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639999pt;margin-top:48.960022pt;width:481.95pt;height:.1pt;mso-position-horizontal-relative:page;mso-position-vertical-relative:page;z-index:0" coordorigin="1133,979" coordsize="9639,2">
            <v:shape style="position:absolute;left:1133;top:979;width:9639;height:2" coordorigin="1133,979" coordsize="9639,0" path="m1133,979l10771,979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6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9699" cy="419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9699" cy="41910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501" w:lineRule="exact" w:before="0"/>
        <w:ind w:left="2034" w:right="203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云南南天电子信息产业股份有限公司</w:t>
      </w:r>
      <w:r>
        <w:rPr>
          <w:rFonts w:ascii="Microsoft JhengHei" w:hAnsi="Microsoft JhengHei" w:cs="Microsoft JhengHei" w:eastAsia="Microsoft JhengHei" w:hint="default"/>
          <w:sz w:val="36"/>
          <w:szCs w:val="36"/>
        </w:rPr>
      </w:r>
    </w:p>
    <w:p>
      <w:pPr>
        <w:pStyle w:val="Heading1"/>
        <w:spacing w:line="240" w:lineRule="auto" w:before="258"/>
        <w:ind w:left="2034" w:right="2025"/>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年度报告</w:t>
      </w:r>
      <w:r>
        <w:rPr>
          <w:b w:val="0"/>
          <w:bCs w:val="0"/>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10"/>
        <w:rPr>
          <w:rFonts w:ascii="Microsoft JhengHei" w:hAnsi="Microsoft JhengHei" w:cs="Microsoft JhengHei" w:eastAsia="Microsoft JhengHei" w:hint="default"/>
          <w:b/>
          <w:bCs/>
          <w:sz w:val="30"/>
          <w:szCs w:val="30"/>
        </w:rPr>
      </w:pPr>
    </w:p>
    <w:p>
      <w:pPr>
        <w:spacing w:before="0"/>
        <w:ind w:left="2034" w:right="2027"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2013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4"/>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1020" w:right="102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4"/>
          <w:szCs w:val="24"/>
        </w:rPr>
      </w:pPr>
    </w:p>
    <w:p>
      <w:pPr>
        <w:pStyle w:val="Heading1"/>
        <w:spacing w:line="456" w:lineRule="exact"/>
        <w:ind w:left="2764" w:right="99"/>
        <w:jc w:val="left"/>
        <w:rPr>
          <w:b w:val="0"/>
          <w:bCs w:val="0"/>
        </w:rPr>
      </w:pPr>
      <w:bookmarkStart w:name="第一节重要提示、目录和释义" w:id="1"/>
      <w:bookmarkEnd w:id="1"/>
      <w:r>
        <w:rPr>
          <w:b w:val="0"/>
          <w:bCs w:val="0"/>
        </w:rPr>
      </w:r>
      <w:bookmarkStart w:name="_bookmark0" w:id="2"/>
      <w:bookmarkEnd w:id="2"/>
      <w:r>
        <w:rPr>
          <w:b w:val="0"/>
          <w:bCs w:val="0"/>
        </w:rPr>
      </w:r>
      <w:r>
        <w:rPr/>
        <w:t>第一节 </w:t>
      </w:r>
      <w:r>
        <w:rPr>
          <w:spacing w:val="11"/>
        </w:rPr>
        <w:t> </w:t>
      </w:r>
      <w:r>
        <w:rPr/>
        <w:t>重要提示、目录和释义</w:t>
      </w:r>
      <w:r>
        <w:rPr>
          <w:b w:val="0"/>
          <w:bCs w:val="0"/>
        </w:rPr>
      </w:r>
    </w:p>
    <w:p>
      <w:pPr>
        <w:spacing w:line="240" w:lineRule="auto" w:before="1"/>
        <w:rPr>
          <w:rFonts w:ascii="Microsoft JhengHei" w:hAnsi="Microsoft JhengHei" w:cs="Microsoft JhengHei" w:eastAsia="Microsoft JhengHei" w:hint="default"/>
          <w:b/>
          <w:bCs/>
          <w:sz w:val="29"/>
          <w:szCs w:val="29"/>
        </w:rPr>
      </w:pPr>
    </w:p>
    <w:p>
      <w:pPr>
        <w:spacing w:line="307" w:lineRule="auto" w:before="0"/>
        <w:ind w:left="112" w:right="125"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本公司董事会、监事会及董事、监事、高级管理人员保证本报告所载资料</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不存在任何虚假记载、误导性陈述或者重大遗漏，并对其内容的真实性、准确</w:t>
      </w:r>
      <w:r>
        <w:rPr>
          <w:rFonts w:ascii="Microsoft JhengHei" w:hAnsi="Microsoft JhengHei" w:cs="Microsoft JhengHei" w:eastAsia="Microsoft JhengHei" w:hint="default"/>
          <w:b/>
          <w:bCs/>
          <w:spacing w:val="22"/>
          <w:sz w:val="28"/>
          <w:szCs w:val="28"/>
        </w:rPr>
        <w:t> </w:t>
      </w:r>
      <w:r>
        <w:rPr>
          <w:rFonts w:ascii="Microsoft JhengHei" w:hAnsi="Microsoft JhengHei" w:cs="Microsoft JhengHei" w:eastAsia="Microsoft JhengHei" w:hint="default"/>
          <w:b/>
          <w:bCs/>
          <w:spacing w:val="22"/>
          <w:sz w:val="28"/>
          <w:szCs w:val="28"/>
        </w:rPr>
      </w:r>
      <w:r>
        <w:rPr>
          <w:rFonts w:ascii="Microsoft JhengHei" w:hAnsi="Microsoft JhengHei" w:cs="Microsoft JhengHei" w:eastAsia="Microsoft JhengHei" w:hint="default"/>
          <w:b/>
          <w:bCs/>
          <w:sz w:val="28"/>
          <w:szCs w:val="28"/>
        </w:rPr>
        <w:t>性和完整性承担个别及连带责任。</w:t>
      </w:r>
      <w:r>
        <w:rPr>
          <w:rFonts w:ascii="Microsoft JhengHei" w:hAnsi="Microsoft JhengHei" w:cs="Microsoft JhengHei" w:eastAsia="Microsoft JhengHei" w:hint="default"/>
          <w:sz w:val="28"/>
          <w:szCs w:val="28"/>
        </w:rPr>
      </w:r>
    </w:p>
    <w:p>
      <w:pPr>
        <w:spacing w:line="307" w:lineRule="auto" w:before="130"/>
        <w:ind w:left="112" w:right="11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公司负责人雷坚、主管会计工作负责人张锦鸿及会计机构负责人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唐绯声明：保证年度报告中财务报告的真实、准确、完整。</w:t>
      </w:r>
      <w:r>
        <w:rPr>
          <w:rFonts w:ascii="Microsoft JhengHei" w:hAnsi="Microsoft JhengHei" w:cs="Microsoft JhengHei" w:eastAsia="Microsoft JhengHei" w:hint="default"/>
          <w:sz w:val="28"/>
          <w:szCs w:val="28"/>
        </w:rPr>
      </w:r>
    </w:p>
    <w:p>
      <w:pPr>
        <w:spacing w:line="357" w:lineRule="auto" w:before="133"/>
        <w:ind w:left="674"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54"/>
          <w:sz w:val="28"/>
          <w:szCs w:val="28"/>
        </w:rPr>
        <w:t> </w:t>
      </w:r>
      <w:r>
        <w:rPr>
          <w:rFonts w:ascii="Microsoft JhengHei" w:hAnsi="Microsoft JhengHei" w:cs="Microsoft JhengHei" w:eastAsia="Microsoft JhengHei" w:hint="default"/>
          <w:b/>
          <w:bCs/>
          <w:spacing w:val="-3"/>
          <w:sz w:val="28"/>
          <w:szCs w:val="28"/>
        </w:rPr>
        <w:t>公司经本次董事会审议通过的利润分配预案为：以 </w:t>
      </w:r>
      <w:r>
        <w:rPr>
          <w:rFonts w:ascii="Times New Roman" w:hAnsi="Times New Roman" w:cs="Times New Roman" w:eastAsia="Times New Roman" w:hint="default"/>
          <w:b/>
          <w:bCs/>
          <w:sz w:val="28"/>
          <w:szCs w:val="28"/>
        </w:rPr>
        <w:t>2012 </w:t>
      </w:r>
      <w:r>
        <w:rPr>
          <w:rFonts w:ascii="Microsoft JhengHei" w:hAnsi="Microsoft JhengHei" w:cs="Microsoft JhengHei" w:eastAsia="Microsoft JhengHei" w:hint="default"/>
          <w:b/>
          <w:bCs/>
          <w:sz w:val="28"/>
          <w:szCs w:val="28"/>
        </w:rPr>
        <w:t>年 </w:t>
      </w:r>
      <w:r>
        <w:rPr>
          <w:rFonts w:ascii="Times New Roman" w:hAnsi="Times New Roman" w:cs="Times New Roman" w:eastAsia="Times New Roman" w:hint="default"/>
          <w:b/>
          <w:bCs/>
          <w:sz w:val="28"/>
          <w:szCs w:val="28"/>
        </w:rPr>
        <w:t>12 </w:t>
      </w:r>
      <w:r>
        <w:rPr>
          <w:rFonts w:ascii="Microsoft JhengHei" w:hAnsi="Microsoft JhengHei" w:cs="Microsoft JhengHei" w:eastAsia="Microsoft JhengHei" w:hint="default"/>
          <w:b/>
          <w:bCs/>
          <w:sz w:val="28"/>
          <w:szCs w:val="28"/>
        </w:rPr>
        <w:t>月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42"/>
          <w:sz w:val="28"/>
          <w:szCs w:val="28"/>
        </w:rPr>
        <w:t> </w:t>
      </w:r>
      <w:r>
        <w:rPr>
          <w:rFonts w:ascii="Microsoft JhengHei" w:hAnsi="Microsoft JhengHei" w:cs="Microsoft JhengHei" w:eastAsia="Microsoft JhengHei" w:hint="default"/>
          <w:b/>
          <w:bCs/>
          <w:sz w:val="28"/>
          <w:szCs w:val="28"/>
        </w:rPr>
        <w:t>日的公</w:t>
      </w:r>
      <w:r>
        <w:rPr>
          <w:rFonts w:ascii="Microsoft JhengHei" w:hAnsi="Microsoft JhengHei" w:cs="Microsoft JhengHei" w:eastAsia="Microsoft JhengHei" w:hint="default"/>
          <w:sz w:val="28"/>
          <w:szCs w:val="28"/>
        </w:rPr>
      </w:r>
    </w:p>
    <w:p>
      <w:pPr>
        <w:spacing w:line="442" w:lineRule="exact" w:before="0"/>
        <w:ind w:left="112" w:right="0"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pacing w:val="7"/>
          <w:w w:val="100"/>
          <w:sz w:val="28"/>
          <w:szCs w:val="28"/>
        </w:rPr>
        <w:t>司总股本为基数，向全体股东</w:t>
      </w:r>
      <w:r>
        <w:rPr>
          <w:rFonts w:ascii="Microsoft JhengHei" w:hAnsi="Microsoft JhengHei" w:cs="Microsoft JhengHei" w:eastAsia="Microsoft JhengHei" w:hint="default"/>
          <w:b/>
          <w:bCs/>
          <w:w w:val="100"/>
          <w:sz w:val="28"/>
          <w:szCs w:val="28"/>
        </w:rPr>
        <w:t>每</w:t>
      </w:r>
      <w:r>
        <w:rPr>
          <w:rFonts w:ascii="Microsoft JhengHei" w:hAnsi="Microsoft JhengHei" w:cs="Microsoft JhengHei" w:eastAsia="Microsoft JhengHei" w:hint="default"/>
          <w:b/>
          <w:bCs/>
          <w:spacing w:val="2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3"/>
          <w:sz w:val="28"/>
          <w:szCs w:val="28"/>
        </w:rPr>
        <w:t> </w:t>
      </w:r>
      <w:r>
        <w:rPr>
          <w:rFonts w:ascii="Microsoft JhengHei" w:hAnsi="Microsoft JhengHei" w:cs="Microsoft JhengHei" w:eastAsia="Microsoft JhengHei" w:hint="default"/>
          <w:b/>
          <w:bCs/>
          <w:spacing w:val="7"/>
          <w:w w:val="100"/>
          <w:sz w:val="28"/>
          <w:szCs w:val="28"/>
        </w:rPr>
        <w:t>股派发现金红</w:t>
      </w:r>
      <w:r>
        <w:rPr>
          <w:rFonts w:ascii="Microsoft JhengHei" w:hAnsi="Microsoft JhengHei" w:cs="Microsoft JhengHei" w:eastAsia="Microsoft JhengHei" w:hint="default"/>
          <w:b/>
          <w:bCs/>
          <w:w w:val="100"/>
          <w:sz w:val="28"/>
          <w:szCs w:val="28"/>
        </w:rPr>
        <w:t>利</w:t>
      </w:r>
      <w:r>
        <w:rPr>
          <w:rFonts w:ascii="Microsoft JhengHei" w:hAnsi="Microsoft JhengHei" w:cs="Microsoft JhengHei" w:eastAsia="Microsoft JhengHei" w:hint="default"/>
          <w:b/>
          <w:bCs/>
          <w:spacing w:val="17"/>
          <w:sz w:val="28"/>
          <w:szCs w:val="28"/>
        </w:rPr>
        <w:t> </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7"/>
          <w:w w:val="100"/>
          <w:sz w:val="28"/>
          <w:szCs w:val="28"/>
        </w:rPr>
        <w:t>元（含税</w:t>
      </w:r>
      <w:r>
        <w:rPr>
          <w:rFonts w:ascii="Microsoft JhengHei" w:hAnsi="Microsoft JhengHei" w:cs="Microsoft JhengHei" w:eastAsia="Microsoft JhengHei" w:hint="default"/>
          <w:b/>
          <w:bCs/>
          <w:spacing w:val="-132"/>
          <w:w w:val="100"/>
          <w:sz w:val="28"/>
          <w:szCs w:val="28"/>
        </w:rPr>
        <w:t>）</w:t>
      </w:r>
      <w:r>
        <w:rPr>
          <w:rFonts w:ascii="Microsoft JhengHei" w:hAnsi="Microsoft JhengHei" w:cs="Microsoft JhengHei" w:eastAsia="Microsoft JhengHei" w:hint="default"/>
          <w:b/>
          <w:bCs/>
          <w:spacing w:val="7"/>
          <w:w w:val="100"/>
          <w:sz w:val="28"/>
          <w:szCs w:val="28"/>
        </w:rPr>
        <w:t>，送红</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pacing w:val="15"/>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line="355" w:lineRule="auto" w:before="136"/>
        <w:ind w:left="674" w:right="99" w:hanging="562"/>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9"/>
          <w:w w:val="100"/>
          <w:sz w:val="28"/>
          <w:szCs w:val="28"/>
        </w:rPr>
        <w:t>股（含税），不以公积金转增股本。</w:t>
      </w:r>
      <w:r>
        <w:rPr>
          <w:rFonts w:ascii="Microsoft JhengHei" w:hAnsi="Microsoft JhengHei" w:cs="Microsoft JhengHei" w:eastAsia="Microsoft JhengHei" w:hint="default"/>
          <w:b/>
          <w:bCs/>
          <w:spacing w:val="-67"/>
          <w:w w:val="100"/>
          <w:sz w:val="28"/>
          <w:szCs w:val="28"/>
        </w:rPr>
        <w:t> </w:t>
      </w:r>
      <w:r>
        <w:rPr>
          <w:rFonts w:ascii="Microsoft JhengHei" w:hAnsi="Microsoft JhengHei" w:cs="Microsoft JhengHei" w:eastAsia="Microsoft JhengHei" w:hint="default"/>
          <w:b/>
          <w:bCs/>
          <w:spacing w:val="-67"/>
          <w:w w:val="100"/>
          <w:sz w:val="28"/>
          <w:szCs w:val="28"/>
        </w:rPr>
      </w:r>
      <w:r>
        <w:rPr>
          <w:rFonts w:ascii="Microsoft JhengHei" w:hAnsi="Microsoft JhengHei" w:cs="Microsoft JhengHei" w:eastAsia="Microsoft JhengHei" w:hint="default"/>
          <w:b/>
          <w:bCs/>
          <w:sz w:val="28"/>
          <w:szCs w:val="28"/>
        </w:rPr>
        <w:t>公司本年度报告中涉及的未来计划不构成公司对投资者的实质承诺，敬请</w:t>
      </w:r>
      <w:r>
        <w:rPr>
          <w:rFonts w:ascii="Microsoft JhengHei" w:hAnsi="Microsoft JhengHei" w:cs="Microsoft JhengHei" w:eastAsia="Microsoft JhengHei" w:hint="default"/>
          <w:sz w:val="28"/>
          <w:szCs w:val="28"/>
        </w:rPr>
      </w:r>
    </w:p>
    <w:p>
      <w:pPr>
        <w:spacing w:line="445" w:lineRule="exact" w:before="0"/>
        <w:ind w:left="112"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投资者注意投资风险。</w:t>
      </w:r>
      <w:r>
        <w:rPr>
          <w:rFonts w:ascii="Microsoft JhengHei" w:hAnsi="Microsoft JhengHei" w:cs="Microsoft JhengHei" w:eastAsia="Microsoft JhengHei" w:hint="default"/>
          <w:sz w:val="28"/>
          <w:szCs w:val="28"/>
        </w:rPr>
      </w:r>
    </w:p>
    <w:p>
      <w:pPr>
        <w:spacing w:after="0" w:line="445" w:lineRule="exact"/>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1020" w:right="102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4"/>
          <w:szCs w:val="14"/>
        </w:rPr>
      </w:pPr>
    </w:p>
    <w:p>
      <w:pPr>
        <w:spacing w:line="501" w:lineRule="exact" w:before="0"/>
        <w:ind w:left="2032" w:right="203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3"/>
        <w:rPr>
          <w:rFonts w:ascii="Microsoft JhengHei" w:hAnsi="Microsoft JhengHei" w:cs="Microsoft JhengHei" w:eastAsia="Microsoft JhengHei" w:hint="default"/>
          <w:b/>
          <w:bCs/>
          <w:sz w:val="43"/>
          <w:szCs w:val="43"/>
        </w:rPr>
      </w:pPr>
    </w:p>
    <w:sdt>
      <w:sdtPr>
        <w:docPartObj>
          <w:docPartGallery w:val="Table of Contents"/>
          <w:docPartUnique/>
        </w:docPartObj>
      </w:sdtPr>
      <w:sdtEndPr/>
      <w:sdtContent>
        <w:p>
          <w:pPr>
            <w:pStyle w:val="TOC1"/>
            <w:tabs>
              <w:tab w:pos="9748" w:val="right" w:leader="dot"/>
            </w:tabs>
            <w:spacing w:line="240" w:lineRule="auto" w:before="0"/>
            <w:ind w:left="120"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r>
              <w:rPr>
                <w:rFonts w:ascii="Times New Roman" w:hAnsi="Times New Roman" w:cs="Times New Roman" w:eastAsia="Times New Roman" w:hint="default"/>
                <w:b w:val="0"/>
                <w:bCs w:val="0"/>
              </w:rPr>
            </w:r>
          </w:hyperlink>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24</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26</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30</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36</w:t>
          </w:r>
          <w:r>
            <w:rPr>
              <w:rFonts w:ascii="Times New Roman" w:hAnsi="Times New Roman" w:cs="Times New Roman" w:eastAsia="Times New Roman" w:hint="default"/>
              <w:b w:val="0"/>
              <w:bCs w:val="0"/>
            </w:rPr>
          </w:r>
        </w:p>
        <w:p>
          <w:pPr>
            <w:pStyle w:val="TOC1"/>
            <w:tabs>
              <w:tab w:pos="9748"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九、内部控制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40</w:t>
            </w:r>
            <w:r>
              <w:rPr>
                <w:rFonts w:ascii="Times New Roman" w:hAnsi="Times New Roman" w:cs="Times New Roman" w:eastAsia="Times New Roman" w:hint="default"/>
                <w:b w:val="0"/>
                <w:bCs w:val="0"/>
              </w:rPr>
            </w:r>
          </w:hyperlink>
        </w:p>
        <w:p>
          <w:pPr>
            <w:pStyle w:val="TOC1"/>
            <w:tabs>
              <w:tab w:pos="9748"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十、财务报告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42</w:t>
            </w:r>
            <w:r>
              <w:rPr>
                <w:rFonts w:ascii="Times New Roman" w:hAnsi="Times New Roman" w:cs="Times New Roman" w:eastAsia="Times New Roman" w:hint="default"/>
                <w:b w:val="0"/>
                <w:bCs w:val="0"/>
              </w:rPr>
            </w:r>
          </w:hyperlink>
        </w:p>
        <w:p>
          <w:pPr>
            <w:pStyle w:val="TOC1"/>
            <w:tabs>
              <w:tab w:pos="9748"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138</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1020" w:right="1020"/>
        </w:sectPr>
      </w:pPr>
    </w:p>
    <w:p>
      <w:pPr>
        <w:pStyle w:val="Heading1"/>
        <w:spacing w:line="240" w:lineRule="auto" w:before="845"/>
        <w:ind w:right="2032"/>
        <w:jc w:val="center"/>
        <w:rPr>
          <w:b w:val="0"/>
          <w:bCs w:val="0"/>
        </w:rPr>
      </w:pPr>
      <w:r>
        <w:rPr/>
        <w:t>释义</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3523"/>
        <w:gridCol w:w="622"/>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公司、南天、南天信息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南天集团</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工投集团</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5"/>
          <w:szCs w:val="25"/>
        </w:rPr>
      </w:pPr>
    </w:p>
    <w:p>
      <w:pPr>
        <w:spacing w:line="456" w:lineRule="exact" w:before="0"/>
        <w:ind w:left="2032" w:right="203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重大风险提示</w:t>
      </w:r>
      <w:r>
        <w:rPr>
          <w:rFonts w:ascii="Microsoft JhengHei" w:hAnsi="Microsoft JhengHei" w:cs="Microsoft JhengHei" w:eastAsia="Microsoft JhengHei" w:hint="default"/>
          <w:sz w:val="32"/>
          <w:szCs w:val="32"/>
        </w:rPr>
      </w:r>
    </w:p>
    <w:p>
      <w:pPr>
        <w:spacing w:line="307" w:lineRule="auto" w:before="210"/>
        <w:ind w:left="112" w:right="10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5"/>
          <w:w w:val="100"/>
          <w:sz w:val="28"/>
          <w:szCs w:val="28"/>
        </w:rPr>
        <w:t>《证券时报》、《中国证券报》和巨潮资讯网（</w:t>
      </w:r>
      <w:hyperlink r:id="rId9">
        <w:r>
          <w:rPr>
            <w:rFonts w:ascii="Times New Roman" w:hAnsi="Times New Roman" w:cs="Times New Roman" w:eastAsia="Times New Roman" w:hint="default"/>
            <w:b/>
            <w:bCs/>
            <w:spacing w:val="-5"/>
            <w:w w:val="100"/>
            <w:sz w:val="28"/>
            <w:szCs w:val="28"/>
          </w:rPr>
          <w:t>http://www.cninfo.com.cn</w:t>
        </w:r>
      </w:hyperlink>
      <w:r>
        <w:rPr>
          <w:rFonts w:ascii="Microsoft JhengHei" w:hAnsi="Microsoft JhengHei" w:cs="Microsoft JhengHei" w:eastAsia="Microsoft JhengHei" w:hint="default"/>
          <w:b/>
          <w:bCs/>
          <w:spacing w:val="-5"/>
          <w:w w:val="100"/>
          <w:sz w:val="28"/>
          <w:szCs w:val="28"/>
        </w:rPr>
        <w:t>）</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为本公司选定的信息披露媒体，本公司所有信息均以在上述选定媒体刊登的信</w:t>
      </w:r>
      <w:r>
        <w:rPr>
          <w:rFonts w:ascii="Microsoft JhengHei" w:hAnsi="Microsoft JhengHei" w:cs="Microsoft JhengHei" w:eastAsia="Microsoft JhengHei" w:hint="default"/>
          <w:b/>
          <w:bCs/>
          <w:spacing w:val="22"/>
          <w:sz w:val="28"/>
          <w:szCs w:val="28"/>
        </w:rPr>
        <w:t> </w:t>
      </w:r>
      <w:r>
        <w:rPr>
          <w:rFonts w:ascii="Microsoft JhengHei" w:hAnsi="Microsoft JhengHei" w:cs="Microsoft JhengHei" w:eastAsia="Microsoft JhengHei" w:hint="default"/>
          <w:b/>
          <w:bCs/>
          <w:spacing w:val="22"/>
          <w:sz w:val="28"/>
          <w:szCs w:val="28"/>
        </w:rPr>
      </w:r>
      <w:r>
        <w:rPr>
          <w:rFonts w:ascii="Microsoft JhengHei" w:hAnsi="Microsoft JhengHei" w:cs="Microsoft JhengHei" w:eastAsia="Microsoft JhengHei" w:hint="default"/>
          <w:b/>
          <w:bCs/>
          <w:sz w:val="28"/>
          <w:szCs w:val="28"/>
        </w:rPr>
        <w:t>息为准，敬请投资者注意投资风险。</w:t>
      </w:r>
      <w:r>
        <w:rPr>
          <w:rFonts w:ascii="Microsoft JhengHei" w:hAnsi="Microsoft JhengHei" w:cs="Microsoft JhengHei" w:eastAsia="Microsoft JhengHei" w:hint="default"/>
          <w:sz w:val="28"/>
          <w:szCs w:val="28"/>
        </w:rPr>
      </w:r>
    </w:p>
    <w:p>
      <w:pPr>
        <w:spacing w:after="0" w:line="307" w:lineRule="auto"/>
        <w:jc w:val="both"/>
        <w:rPr>
          <w:rFonts w:ascii="Microsoft JhengHei" w:hAnsi="Microsoft JhengHei" w:cs="Microsoft JhengHei" w:eastAsia="Microsoft JhengHei" w:hint="default"/>
          <w:sz w:val="28"/>
          <w:szCs w:val="28"/>
        </w:rPr>
        <w:sectPr>
          <w:pgSz w:w="11910" w:h="16840"/>
          <w:pgMar w:header="745" w:footer="979" w:top="1060" w:bottom="1160" w:left="1020" w:right="102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164.880005pt;margin-top:269.52002pt;width:370.1pt;height:19.8pt;mso-position-horizontal-relative:page;mso-position-vertical-relative:page;z-index:-908440"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70.87999pt;margin-top:269.52002pt;width:364.1pt;height:19.8pt;mso-position-horizontal-relative:page;mso-position-vertical-relative:page;z-index:-908416" coordorigin="3418,5390" coordsize="7282,396">
            <v:shape style="position:absolute;left:3418;top:5390;width:7282;height:396" coordorigin="3418,5390" coordsize="7282,396" path="m3418,5390l3418,5786,10699,5786,10699,5390,3418,5390xe" filled="true" fillcolor="#ffffff" stroked="false">
              <v:path arrowok="t"/>
              <v:fill type="solid"/>
            </v:shape>
            <w10:wrap type="none"/>
          </v:group>
        </w:pict>
      </w:r>
    </w:p>
    <w:p>
      <w:pPr>
        <w:spacing w:line="240" w:lineRule="auto" w:before="15"/>
        <w:rPr>
          <w:rFonts w:ascii="Microsoft JhengHei" w:hAnsi="Microsoft JhengHei" w:cs="Microsoft JhengHei" w:eastAsia="Microsoft JhengHei" w:hint="default"/>
          <w:b/>
          <w:bCs/>
          <w:sz w:val="21"/>
          <w:szCs w:val="21"/>
        </w:rPr>
      </w:pPr>
    </w:p>
    <w:p>
      <w:pPr>
        <w:pStyle w:val="Heading1"/>
        <w:spacing w:line="456" w:lineRule="exact"/>
        <w:ind w:right="2032"/>
        <w:jc w:val="center"/>
        <w:rPr>
          <w:b w:val="0"/>
          <w:bCs w:val="0"/>
        </w:rPr>
      </w:pPr>
      <w:bookmarkStart w:name="第二节公司简介" w:id="3"/>
      <w:bookmarkEnd w:id="3"/>
      <w:r>
        <w:rPr>
          <w:b w:val="0"/>
          <w:bCs w:val="0"/>
        </w:rPr>
      </w:r>
      <w:bookmarkStart w:name="一、公司信息" w:id="4"/>
      <w:bookmarkEnd w:id="4"/>
      <w:r>
        <w:rPr>
          <w:b w:val="0"/>
          <w:bCs w:val="0"/>
        </w:rPr>
      </w:r>
      <w:bookmarkStart w:name="二、联系人和联系方式" w:id="5"/>
      <w:bookmarkEnd w:id="5"/>
      <w:r>
        <w:rPr>
          <w:b w:val="0"/>
          <w:bCs w:val="0"/>
        </w:rPr>
      </w:r>
      <w:bookmarkStart w:name="三、信息披露及备置地点" w:id="6"/>
      <w:bookmarkEnd w:id="6"/>
      <w:r>
        <w:rPr>
          <w:b w:val="0"/>
          <w:bCs w:val="0"/>
        </w:rPr>
      </w:r>
      <w:r>
        <w:rPr/>
        <w:t>第二节 </w:t>
      </w:r>
      <w:r>
        <w:rPr>
          <w:spacing w:val="4"/>
        </w:rPr>
        <w:t> </w:t>
      </w:r>
      <w:r>
        <w:rPr/>
        <w:t>公司简介</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99"/>
        <w:jc w:val="left"/>
        <w:rPr>
          <w:b w:val="0"/>
          <w:bCs w:val="0"/>
        </w:rPr>
      </w:pP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282"/>
        <w:gridCol w:w="2952"/>
        <w:gridCol w:w="2158"/>
        <w:gridCol w:w="2177"/>
      </w:tblGrid>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南天信息</w:t>
            </w:r>
          </w:p>
        </w:tc>
        <w:tc>
          <w:tcPr>
            <w:tcW w:w="2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000948</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南天信息</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YUNNAN NANTIAN ELECTRONICS </w:t>
            </w:r>
            <w:r>
              <w:rPr>
                <w:rFonts w:ascii="Times New Roman"/>
                <w:spacing w:val="-3"/>
                <w:sz w:val="18"/>
              </w:rPr>
              <w:t>INFORMATION CO.,LTD.</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NANTIAN</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昆明市高新技术产业开发区软件园创新大厦</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650000</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650041</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http://www.nantian.com.cn</w:t>
              </w:r>
            </w:hyperlink>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000948@nantian.com.cn</w:t>
              </w:r>
            </w:hyperlink>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二、联系人和联系方式</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施丽媛、沈硕</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63366327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63366327</w:t>
            </w:r>
            <w:r>
              <w:rPr>
                <w:rFonts w:ascii="宋体" w:hAnsi="宋体" w:cs="宋体" w:eastAsia="宋体" w:hint="default"/>
                <w:sz w:val="18"/>
                <w:szCs w:val="18"/>
              </w:rPr>
              <w:t>、</w:t>
            </w:r>
            <w:r>
              <w:rPr>
                <w:rFonts w:ascii="Times New Roman" w:hAnsi="Times New Roman" w:cs="Times New Roman" w:eastAsia="Times New Roman" w:hint="default"/>
                <w:sz w:val="18"/>
                <w:szCs w:val="18"/>
              </w:rPr>
              <w:t>68279182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63317398</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hyperlink r:id="rId12">
              <w:r>
                <w:rPr>
                  <w:rFonts w:ascii="Times New Roman"/>
                  <w:sz w:val="18"/>
                </w:rPr>
                <w:t>jiangdong@nantian.com.cn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shily@nantian.com.cn</w:t>
              </w:r>
            </w:hyperlink>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w:t>
            </w:r>
          </w:p>
          <w:p>
            <w:pPr>
              <w:pStyle w:val="TableParagraph"/>
              <w:spacing w:line="240" w:lineRule="auto" w:before="105"/>
              <w:ind w:left="24" w:right="0"/>
              <w:jc w:val="left"/>
              <w:rPr>
                <w:rFonts w:ascii="Times New Roman" w:hAnsi="Times New Roman" w:cs="Times New Roman" w:eastAsia="Times New Roman" w:hint="default"/>
                <w:sz w:val="18"/>
                <w:szCs w:val="18"/>
              </w:rPr>
            </w:pPr>
            <w:hyperlink r:id="rId14">
              <w:r>
                <w:rPr>
                  <w:rFonts w:ascii="Times New Roman"/>
                  <w:sz w:val="18"/>
                </w:rPr>
                <w:t>shensh@nantian.com.cn</w:t>
              </w:r>
            </w:hyperlink>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三、信息披露及备置地点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727"/>
        <w:gridCol w:w="5842"/>
      </w:tblGrid>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3"/>
        <w:rPr>
          <w:rFonts w:ascii="Microsoft JhengHei" w:hAnsi="Microsoft JhengHei" w:cs="Microsoft JhengHei" w:eastAsia="Microsoft JhengHei" w:hint="default"/>
          <w:b/>
          <w:bCs/>
          <w:sz w:val="17"/>
          <w:szCs w:val="17"/>
        </w:rPr>
      </w:pPr>
    </w:p>
    <w:p>
      <w:pPr>
        <w:spacing w:line="367" w:lineRule="exact" w:before="0"/>
        <w:ind w:left="112" w:right="99" w:firstLine="0"/>
        <w:jc w:val="left"/>
        <w:rPr>
          <w:rFonts w:ascii="Microsoft JhengHei" w:hAnsi="Microsoft JhengHei" w:cs="Microsoft JhengHei" w:eastAsia="Microsoft JhengHei" w:hint="default"/>
          <w:sz w:val="24"/>
          <w:szCs w:val="24"/>
        </w:rPr>
      </w:pPr>
      <w:bookmarkStart w:name="四、注册变更情况" w:id="7"/>
      <w:bookmarkEnd w:id="7"/>
      <w:r>
        <w:rPr/>
      </w:r>
      <w:bookmarkStart w:name="五、其他有关资料" w:id="8"/>
      <w:bookmarkEnd w:id="8"/>
      <w:r>
        <w:rPr/>
      </w:r>
      <w:r>
        <w:rPr>
          <w:rFonts w:ascii="Microsoft JhengHei" w:hAnsi="Microsoft JhengHei" w:cs="Microsoft JhengHei" w:eastAsia="Microsoft JhengHei" w:hint="default"/>
          <w:b/>
          <w:bCs/>
          <w:sz w:val="24"/>
          <w:szCs w:val="24"/>
        </w:rPr>
        <w:t>四、注册变更情况</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3" w:right="71"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昆明市高新技术产 业开发区软件园创 新大厦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5300001007806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530112713401509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71340150-9</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昆明市高新技术产 业开发区软件园创 新大厦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530000000014595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530112713401509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71340150-9</w:t>
            </w:r>
          </w:p>
        </w:tc>
      </w:tr>
      <w:tr>
        <w:trPr>
          <w:trHeight w:val="713"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五、其他有关资料</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662"/>
        <w:gridCol w:w="6907"/>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李玉、刘婷</w:t>
            </w:r>
          </w:p>
        </w:tc>
      </w:tr>
    </w:tbl>
    <w:p>
      <w:pPr>
        <w:pStyle w:val="BodyText"/>
        <w:spacing w:line="240" w:lineRule="auto" w:before="51"/>
        <w:ind w:right="99"/>
        <w:jc w:val="left"/>
      </w:pPr>
      <w:r>
        <w:rPr/>
        <w:t>公司聘请的报告期内履行持续督导职责的保荐机构</w:t>
      </w:r>
    </w:p>
    <w:p>
      <w:pPr>
        <w:pStyle w:val="BodyText"/>
        <w:spacing w:line="338" w:lineRule="auto" w:before="117"/>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456" w:lineRule="exact"/>
        <w:ind w:left="2606" w:right="99"/>
        <w:jc w:val="left"/>
        <w:rPr>
          <w:b w:val="0"/>
          <w:bCs w:val="0"/>
        </w:rPr>
      </w:pPr>
      <w:bookmarkStart w:name="第三节会计数据和财务指标摘要" w:id="9"/>
      <w:bookmarkEnd w:id="9"/>
      <w:r>
        <w:rPr>
          <w:b w:val="0"/>
          <w:bCs w:val="0"/>
        </w:rPr>
      </w:r>
      <w:bookmarkStart w:name="一、主要会计数据和财务指标" w:id="10"/>
      <w:bookmarkEnd w:id="10"/>
      <w:r>
        <w:rPr>
          <w:b w:val="0"/>
          <w:bCs w:val="0"/>
        </w:rPr>
      </w:r>
      <w:bookmarkStart w:name="二、非经常性损益项目及金额" w:id="11"/>
      <w:bookmarkEnd w:id="11"/>
      <w:r>
        <w:rPr>
          <w:b w:val="0"/>
          <w:bCs w:val="0"/>
        </w:rPr>
      </w:r>
      <w:r>
        <w:rPr/>
        <w:t>第三节 </w:t>
      </w:r>
      <w:r>
        <w:rPr>
          <w:spacing w:val="12"/>
        </w:rPr>
        <w:t> </w:t>
      </w:r>
      <w:r>
        <w:rPr/>
        <w:t>会计数据和财务指标摘要</w:t>
      </w:r>
      <w:r>
        <w:rPr>
          <w:b w:val="0"/>
          <w:bCs w:val="0"/>
        </w:rPr>
      </w:r>
    </w:p>
    <w:p>
      <w:pPr>
        <w:spacing w:line="240" w:lineRule="auto" w:before="12"/>
        <w:rPr>
          <w:rFonts w:ascii="Microsoft JhengHei" w:hAnsi="Microsoft JhengHei" w:cs="Microsoft JhengHei" w:eastAsia="Microsoft JhengHei" w:hint="default"/>
          <w:b/>
          <w:bCs/>
          <w:sz w:val="22"/>
          <w:szCs w:val="22"/>
        </w:rPr>
      </w:pPr>
    </w:p>
    <w:p>
      <w:pPr>
        <w:pStyle w:val="Heading2"/>
        <w:spacing w:line="240" w:lineRule="auto"/>
        <w:ind w:right="99"/>
        <w:jc w:val="left"/>
        <w:rPr>
          <w:b w:val="0"/>
          <w:bCs w:val="0"/>
        </w:rPr>
      </w:pPr>
      <w:r>
        <w:rPr/>
        <w:t>一、主要会计数据和财务指标</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240" w:lineRule="auto"/>
        <w:ind w:right="99"/>
        <w:jc w:val="left"/>
      </w:pPr>
      <w:r>
        <w:rPr/>
        <w:t>公司是否因会计政策变更及会计差错更正等追溯调整或重述以前年度会计数据</w:t>
      </w:r>
    </w:p>
    <w:p>
      <w:pPr>
        <w:pStyle w:val="BodyText"/>
        <w:spacing w:line="240" w:lineRule="auto" w:before="115"/>
        <w:ind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618"/>
        <w:gridCol w:w="1740"/>
        <w:gridCol w:w="1738"/>
        <w:gridCol w:w="1738"/>
        <w:gridCol w:w="1735"/>
      </w:tblGrid>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1,826,566,611.11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2,656,849,321.37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2,227,535,336.85</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6,388,256.96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94,308,795.43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68,943,815.49</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-9,323,457.04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50,721,289.09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-118.38%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63,728,511.12</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-20,970,943.58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134,194,488.54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-115.63%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-123,085,670.86</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0.2977</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0.2965</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5.91%</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2,191,719,132.00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2,186,656,141.44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2,388,998,659.16</w:t>
            </w:r>
          </w:p>
        </w:tc>
      </w:tr>
      <w:tr>
        <w:trPr>
          <w:trHeight w:val="102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6"/>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1,292,467,704.15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1,297,554,707.25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1,207,405,261.07</w:t>
            </w:r>
          </w:p>
        </w:tc>
      </w:tr>
    </w:tbl>
    <w:p>
      <w:pPr>
        <w:spacing w:line="240" w:lineRule="auto" w:before="3"/>
        <w:rPr>
          <w:rFonts w:ascii="宋体" w:hAnsi="宋体" w:cs="宋体" w:eastAsia="宋体" w:hint="default"/>
          <w:sz w:val="18"/>
          <w:szCs w:val="18"/>
        </w:rPr>
      </w:pPr>
    </w:p>
    <w:p>
      <w:pPr>
        <w:pStyle w:val="Heading2"/>
        <w:spacing w:line="367" w:lineRule="exact"/>
        <w:ind w:right="99"/>
        <w:jc w:val="left"/>
        <w:rPr>
          <w:b w:val="0"/>
          <w:bCs w:val="0"/>
        </w:rPr>
      </w:pPr>
      <w:r>
        <w:rPr/>
        <w:t>二、非经常性损益项目及金额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298"/>
        <w:gridCol w:w="1519"/>
        <w:gridCol w:w="1519"/>
        <w:gridCol w:w="1522"/>
        <w:gridCol w:w="1711"/>
      </w:tblGrid>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-348,487.81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51,697,215.20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71,236.50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15,322,050.30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14,818,937.51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12,674,144.65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-5,964.40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-26,908.75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674"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3,576,046.75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-1,116,208.70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2,782,037.29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2,578,166.17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8,746,157.32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1,964,855.18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253,764.67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13,260,471.60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8,947,258.89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15,711,714.00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43,587,506.34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5,215,304.37</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456" w:lineRule="exact"/>
        <w:ind w:left="3552" w:right="3629"/>
        <w:jc w:val="center"/>
        <w:rPr>
          <w:b w:val="0"/>
          <w:bCs w:val="0"/>
        </w:rPr>
      </w:pPr>
      <w:bookmarkStart w:name="第四节董事会报告" w:id="12"/>
      <w:bookmarkEnd w:id="12"/>
      <w:r>
        <w:rPr>
          <w:b w:val="0"/>
          <w:bCs w:val="0"/>
        </w:rPr>
      </w:r>
      <w:bookmarkStart w:name="一、概述" w:id="13"/>
      <w:bookmarkEnd w:id="13"/>
      <w:r>
        <w:rPr>
          <w:b w:val="0"/>
          <w:bCs w:val="0"/>
        </w:rPr>
      </w:r>
      <w:bookmarkStart w:name="二、主营业务分析" w:id="14"/>
      <w:bookmarkEnd w:id="14"/>
      <w:r>
        <w:rPr>
          <w:b w:val="0"/>
          <w:bCs w:val="0"/>
        </w:rPr>
      </w:r>
      <w:bookmarkStart w:name="1、概述" w:id="15"/>
      <w:bookmarkEnd w:id="15"/>
      <w:r>
        <w:rPr>
          <w:b w:val="0"/>
          <w:bCs w:val="0"/>
        </w:rPr>
      </w:r>
      <w:r>
        <w:rPr/>
        <w:t>第四节 </w:t>
      </w:r>
      <w:r>
        <w:rPr>
          <w:spacing w:val="5"/>
        </w:rPr>
        <w:t> </w:t>
      </w:r>
      <w:r>
        <w:rPr/>
        <w:t>董事会报告</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94"/>
        <w:jc w:val="left"/>
        <w:rPr>
          <w:b w:val="0"/>
          <w:bCs w:val="0"/>
        </w:rPr>
      </w:pPr>
      <w:r>
        <w:rPr/>
        <w:t>一、概述</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307" w:lineRule="auto"/>
        <w:ind w:right="192" w:firstLine="362"/>
        <w:jc w:val="both"/>
      </w:pPr>
      <w:r>
        <w:rPr>
          <w:rFonts w:ascii="Times New Roman" w:hAnsi="Times New Roman" w:cs="Times New Roman" w:eastAsia="Times New Roman" w:hint="default"/>
          <w:spacing w:val="-2"/>
        </w:rPr>
        <w:t>2012</w:t>
      </w:r>
      <w:r>
        <w:rPr>
          <w:spacing w:val="-2"/>
        </w:rPr>
        <w:t>年，国内外经济发展的不确定因素进一步复杂化、多样化。从国际市场看，由于主要经济体债务问题严重，全球经</w:t>
      </w:r>
      <w:r>
        <w:rPr/>
        <w:t> </w:t>
      </w:r>
      <w:r>
        <w:rPr>
          <w:spacing w:val="-2"/>
        </w:rPr>
        <w:t>济增长乏力，行业出口额增速持续保持低位。从国内市场看，国内经济依然低迷，电子产品消费动力不足，行业内需增长较</w:t>
      </w:r>
      <w:r>
        <w:rPr>
          <w:spacing w:val="-65"/>
        </w:rPr>
        <w:t> </w:t>
      </w:r>
      <w:r>
        <w:rPr>
          <w:spacing w:val="-65"/>
        </w:rPr>
      </w:r>
      <w:r>
        <w:rPr/>
        <w:t>为乏力。</w:t>
      </w:r>
    </w:p>
    <w:p>
      <w:pPr>
        <w:pStyle w:val="BodyText"/>
        <w:spacing w:line="316" w:lineRule="auto" w:before="26"/>
        <w:ind w:right="192" w:firstLine="362"/>
        <w:jc w:val="both"/>
      </w:pPr>
      <w:r>
        <w:rPr>
          <w:spacing w:val="-2"/>
        </w:rPr>
        <w:t>报告期内，公司全体员工在宏观经济不容乐观的情况下，精诚团结、努力奋斗，积极应对国内外复杂多变的不利经济形</w:t>
      </w:r>
      <w:r>
        <w:rPr/>
        <w:t> 势，努力完成公司年度生产、经营、管理等目标。</w:t>
      </w:r>
    </w:p>
    <w:p>
      <w:pPr>
        <w:pStyle w:val="BodyText"/>
        <w:spacing w:line="312" w:lineRule="auto" w:before="21"/>
        <w:ind w:right="191" w:firstLine="362"/>
        <w:jc w:val="both"/>
      </w:pPr>
      <w:r>
        <w:rPr/>
        <w:t>在生产经营方面，公司重点围绕信息产品、软件、系统集成和服务等方面的业务开展。其中，信息产品业务，坚持</w:t>
      </w:r>
      <w:r>
        <w:rPr>
          <w:rFonts w:ascii="Times New Roman" w:hAnsi="Times New Roman" w:cs="Times New Roman" w:eastAsia="Times New Roman" w:hint="default"/>
        </w:rPr>
        <w:t>“</w:t>
      </w:r>
      <w:r>
        <w:rPr/>
        <w:t>四 项基本原则</w:t>
      </w:r>
      <w:r>
        <w:rPr>
          <w:rFonts w:ascii="Times New Roman" w:hAnsi="Times New Roman" w:cs="Times New Roman" w:eastAsia="Times New Roman" w:hint="default"/>
        </w:rPr>
        <w:t>”</w:t>
      </w:r>
      <w:r>
        <w:rPr/>
        <w:t>来建设，即：加强体系建设，优化工作流程；专注卓越，适应发展需求；提升运作效率，节约运营成本；明晰 </w:t>
      </w:r>
      <w:r>
        <w:rPr>
          <w:spacing w:val="-2"/>
        </w:rPr>
        <w:t>核算单元，实现精益管理。软件业务，在提升策划能力的同时，不断探索在技术和新产品层面的突破，明晰市场定位及行业</w:t>
      </w:r>
      <w:r>
        <w:rPr>
          <w:spacing w:val="-65"/>
        </w:rPr>
        <w:t> </w:t>
      </w:r>
      <w:r>
        <w:rPr>
          <w:spacing w:val="-65"/>
        </w:rPr>
      </w:r>
      <w:r>
        <w:rPr>
          <w:w w:val="95"/>
        </w:rPr>
        <w:t>销售方式。系统集成业务，对外与相关产品供应商、系统维护商建立平滑的合作渠道，保障信息的互通；对内建立信息库，</w:t>
      </w:r>
      <w:r>
        <w:rPr>
          <w:spacing w:val="63"/>
          <w:w w:val="95"/>
        </w:rPr>
        <w:t> </w:t>
      </w:r>
      <w:r>
        <w:rPr>
          <w:spacing w:val="63"/>
          <w:w w:val="95"/>
        </w:rPr>
      </w:r>
      <w:r>
        <w:rPr>
          <w:spacing w:val="-2"/>
        </w:rPr>
        <w:t>跟踪业务和技术的发展趋势，分享经验。服务业务从服务层次、服务模式、服务资源配备以及组织结构等方面进行调整，优</w:t>
      </w:r>
      <w:r>
        <w:rPr>
          <w:spacing w:val="-64"/>
        </w:rPr>
        <w:t> </w:t>
      </w:r>
      <w:r>
        <w:rPr>
          <w:spacing w:val="-64"/>
        </w:rPr>
      </w:r>
      <w:r>
        <w:rPr/>
        <w:t>化整合现有服务方案，提升服务能力，打造服务品牌。</w:t>
      </w:r>
    </w:p>
    <w:p>
      <w:pPr>
        <w:pStyle w:val="BodyText"/>
        <w:spacing w:line="314" w:lineRule="auto" w:before="22"/>
        <w:ind w:right="192" w:firstLine="362"/>
        <w:jc w:val="both"/>
      </w:pPr>
      <w:r>
        <w:rPr>
          <w:spacing w:val="-2"/>
        </w:rPr>
        <w:t>在管理素质提升方面，公司通过加强制度建设，风险及内控管理、质量体系建设、信息化支撑平台建设及安全生产管理</w:t>
      </w:r>
      <w:r>
        <w:rPr/>
        <w:t> 等方面来加强和改进公司的经营管理。</w:t>
      </w:r>
    </w:p>
    <w:p>
      <w:pPr>
        <w:pStyle w:val="BodyText"/>
        <w:spacing w:line="300" w:lineRule="auto" w:before="20"/>
        <w:ind w:right="192" w:firstLine="362"/>
        <w:jc w:val="both"/>
      </w:pPr>
      <w:r>
        <w:rPr>
          <w:spacing w:val="-2"/>
        </w:rPr>
        <w:t>在转型升级和业务结构调整方面，针对公司在生产经营方面遇到的问题和困难，公司</w:t>
      </w:r>
      <w:r>
        <w:rPr>
          <w:rFonts w:ascii="Times New Roman" w:hAnsi="Times New Roman" w:cs="Times New Roman" w:eastAsia="Times New Roman" w:hint="default"/>
          <w:spacing w:val="-2"/>
        </w:rPr>
        <w:t>2012</w:t>
      </w:r>
      <w:r>
        <w:rPr>
          <w:spacing w:val="-2"/>
        </w:rPr>
        <w:t>年第四季度引进</w:t>
      </w:r>
      <w:r>
        <w:rPr>
          <w:rFonts w:ascii="Times New Roman" w:hAnsi="Times New Roman" w:cs="Times New Roman" w:eastAsia="Times New Roman" w:hint="default"/>
          <w:spacing w:val="-2"/>
        </w:rPr>
        <w:t>IBM</w:t>
      </w:r>
      <w:r>
        <w:rPr>
          <w:spacing w:val="-2"/>
        </w:rPr>
        <w:t>作为咨询</w:t>
      </w:r>
      <w:r>
        <w:rPr/>
        <w:t> 顾问，开展了战略目标与业务梳理、组织架构设计等工作，针对业务升级和转型进行了认真规划。</w:t>
      </w:r>
    </w:p>
    <w:p>
      <w:pPr>
        <w:pStyle w:val="BodyText"/>
        <w:spacing w:line="309" w:lineRule="auto" w:before="31"/>
        <w:ind w:right="108" w:firstLine="362"/>
        <w:jc w:val="both"/>
      </w:pPr>
      <w:r>
        <w:rPr>
          <w:spacing w:val="-2"/>
        </w:rPr>
        <w:t>此外，公司注重产品和业务的创新，在服务方面，公司作为国家信息技术运维专业组副组长单位，参加了国家信息技术</w:t>
      </w:r>
      <w:r>
        <w:rPr/>
        <w:t> </w:t>
      </w:r>
      <w:r>
        <w:rPr>
          <w:w w:val="95"/>
        </w:rPr>
        <w:t>运维系列标准的制定工作；在软件方面，加大对新一代银行前端开发平台</w:t>
      </w:r>
      <w:r>
        <w:rPr>
          <w:rFonts w:ascii="Times New Roman" w:hAnsi="Times New Roman" w:cs="Times New Roman" w:eastAsia="Times New Roman" w:hint="default"/>
          <w:w w:val="95"/>
        </w:rPr>
        <w:t>ABS</w:t>
      </w:r>
      <w:r>
        <w:rPr>
          <w:w w:val="95"/>
        </w:rPr>
        <w:t>、面向中小银行主机核心系统等项目的投入；</w:t>
      </w:r>
      <w:r>
        <w:rPr>
          <w:spacing w:val="69"/>
          <w:w w:val="95"/>
        </w:rPr>
        <w:t> </w:t>
      </w:r>
      <w:r>
        <w:rPr>
          <w:spacing w:val="69"/>
          <w:w w:val="95"/>
        </w:rPr>
      </w:r>
      <w:r>
        <w:rPr/>
        <w:t>信息产品方面，去年自主研发了自助回单机、自助发卡机、免填单机、虚拟柜员终端等一批拥有核心知识产权的自助产品。</w:t>
      </w:r>
    </w:p>
    <w:p>
      <w:pPr>
        <w:pStyle w:val="BodyText"/>
        <w:spacing w:line="309" w:lineRule="auto" w:before="24"/>
        <w:ind w:right="101" w:firstLine="362"/>
        <w:jc w:val="both"/>
      </w:pPr>
      <w:r>
        <w:rPr>
          <w:w w:val="95"/>
        </w:rPr>
        <w:t>受制于整个宏观经营环境不景气的影响，金融行业的需求，特别是硬件产品的需求增幅减弱；</w:t>
      </w:r>
      <w:r>
        <w:rPr>
          <w:rFonts w:ascii="Times New Roman" w:hAnsi="Times New Roman" w:cs="Times New Roman" w:eastAsia="Times New Roman" w:hint="default"/>
          <w:w w:val="95"/>
        </w:rPr>
        <w:t>IT</w:t>
      </w:r>
      <w:r>
        <w:rPr>
          <w:w w:val="95"/>
        </w:rPr>
        <w:t>行业的竞争日趋激烈，</w:t>
      </w:r>
      <w:r>
        <w:rPr>
          <w:spacing w:val="-55"/>
          <w:w w:val="95"/>
        </w:rPr>
        <w:t> </w:t>
      </w:r>
      <w:r>
        <w:rPr>
          <w:spacing w:val="-55"/>
          <w:w w:val="95"/>
        </w:rPr>
      </w:r>
      <w:r>
        <w:rPr>
          <w:spacing w:val="-2"/>
        </w:rPr>
        <w:t>信息产品毛利率骤降，利润大幅压缩；第三方支付、轨道交道等新兴业务，尚未盈利，未能形成新的增长点；成本费用持续</w:t>
      </w:r>
      <w:r>
        <w:rPr>
          <w:spacing w:val="-67"/>
        </w:rPr>
        <w:t> </w:t>
      </w:r>
      <w:r>
        <w:rPr>
          <w:spacing w:val="-67"/>
        </w:rPr>
      </w:r>
      <w:r>
        <w:rPr>
          <w:spacing w:val="-4"/>
        </w:rPr>
        <w:t>攀升，包括人工成本、材料成本和财务费用均大幅上升以及投资收益同比减少等因素的影响，致使公司利润指标大幅度下降。</w:t>
      </w:r>
    </w:p>
    <w:p>
      <w:pPr>
        <w:spacing w:line="240" w:lineRule="auto" w:before="3"/>
        <w:rPr>
          <w:rFonts w:ascii="宋体" w:hAnsi="宋体" w:cs="宋体" w:eastAsia="宋体" w:hint="default"/>
          <w:sz w:val="15"/>
          <w:szCs w:val="15"/>
        </w:rPr>
      </w:pPr>
    </w:p>
    <w:p>
      <w:pPr>
        <w:pStyle w:val="Heading2"/>
        <w:spacing w:line="240" w:lineRule="auto"/>
        <w:ind w:right="94"/>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9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475" w:right="94"/>
        <w:jc w:val="left"/>
      </w:pPr>
      <w:r>
        <w:rPr/>
        <w:t>（</w:t>
      </w:r>
      <w:r>
        <w:rPr>
          <w:rFonts w:ascii="Times New Roman" w:hAnsi="Times New Roman" w:cs="Times New Roman" w:eastAsia="Times New Roman" w:hint="default"/>
        </w:rPr>
        <w:t>1</w:t>
      </w:r>
      <w:r>
        <w:rPr/>
        <w:t>）报告期内，公司变动幅度较大的主要经营指标：</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35"/>
        <w:gridCol w:w="1934"/>
        <w:gridCol w:w="1937"/>
        <w:gridCol w:w="1534"/>
      </w:tblGrid>
      <w:tr>
        <w:trPr>
          <w:trHeight w:val="346" w:hRule="exact"/>
        </w:trPr>
        <w:tc>
          <w:tcPr>
            <w:tcW w:w="3235" w:type="dxa"/>
            <w:tcBorders>
              <w:top w:val="single" w:sz="6" w:space="0" w:color="000000"/>
              <w:left w:val="single" w:sz="6" w:space="0" w:color="000000"/>
              <w:bottom w:val="single" w:sz="6" w:space="0" w:color="000000"/>
              <w:right w:val="single" w:sz="6" w:space="0" w:color="000000"/>
            </w:tcBorders>
          </w:tcPr>
          <w:p>
            <w:pPr>
              <w:pStyle w:val="TableParagraph"/>
              <w:tabs>
                <w:tab w:pos="1970" w:val="left" w:leader="none"/>
              </w:tabs>
              <w:spacing w:line="276" w:lineRule="exact"/>
              <w:ind w:left="10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2012</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2011</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增减幅度</w:t>
            </w:r>
            <w:r>
              <w:rPr>
                <w:rFonts w:ascii="Microsoft JhengHei" w:hAnsi="Microsoft JhengHei" w:cs="Microsoft JhengHei" w:eastAsia="Microsoft JhengHei" w:hint="default"/>
                <w:sz w:val="18"/>
                <w:szCs w:val="18"/>
              </w:rPr>
            </w:r>
          </w:p>
        </w:tc>
      </w:tr>
      <w:tr>
        <w:trPr>
          <w:trHeight w:val="348" w:hRule="exact"/>
        </w:trPr>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1,826,566,611.11</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2,656,849,321.37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-31.25%</w:t>
            </w:r>
          </w:p>
        </w:tc>
      </w:tr>
      <w:tr>
        <w:trPr>
          <w:trHeight w:val="348" w:hRule="exact"/>
        </w:trPr>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1,416,519,647.64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2,183,203,805.49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-35.12%</w:t>
            </w:r>
          </w:p>
        </w:tc>
      </w:tr>
      <w:tr>
        <w:trPr>
          <w:trHeight w:val="346" w:hRule="exact"/>
        </w:trPr>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1,008,266.70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17,678,761.79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-94.30%</w:t>
            </w:r>
          </w:p>
        </w:tc>
      </w:tr>
      <w:tr>
        <w:trPr>
          <w:trHeight w:val="348" w:hRule="exact"/>
        </w:trPr>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6,388,256.96</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94,308,795.43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-93.23%</w:t>
            </w:r>
          </w:p>
        </w:tc>
      </w:tr>
      <w:tr>
        <w:trPr>
          <w:trHeight w:val="346" w:hRule="exact"/>
        </w:trPr>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-20,970,943.58</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134,194,488.54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-115.63%</w:t>
            </w:r>
          </w:p>
        </w:tc>
      </w:tr>
    </w:tbl>
    <w:p>
      <w:pPr>
        <w:pStyle w:val="BodyText"/>
        <w:spacing w:line="240" w:lineRule="auto" w:before="13"/>
        <w:ind w:left="489" w:right="94"/>
        <w:jc w:val="left"/>
      </w:pPr>
      <w:r>
        <w:rPr/>
        <w:t>（</w:t>
      </w:r>
      <w:r>
        <w:rPr>
          <w:rFonts w:ascii="Times New Roman" w:hAnsi="Times New Roman" w:cs="Times New Roman" w:eastAsia="Times New Roman" w:hint="default"/>
        </w:rPr>
        <w:t>2</w:t>
      </w:r>
      <w:r>
        <w:rPr/>
        <w:t>）报告期内公司主要经营指标与上年同期相比变动原因分析：</w:t>
      </w:r>
    </w:p>
    <w:p>
      <w:pPr>
        <w:pStyle w:val="BodyText"/>
        <w:spacing w:line="297" w:lineRule="auto" w:before="63"/>
        <w:ind w:right="94" w:firstLine="376"/>
        <w:jc w:val="left"/>
      </w:pPr>
      <w:r>
        <w:rPr/>
        <w:t>①营业收入及营业成本较去年同期分别下降</w:t>
      </w:r>
      <w:r>
        <w:rPr>
          <w:rFonts w:ascii="Times New Roman" w:hAnsi="Times New Roman" w:cs="Times New Roman" w:eastAsia="Times New Roman" w:hint="default"/>
        </w:rPr>
        <w:t>31.25%</w:t>
      </w:r>
      <w:r>
        <w:rPr/>
        <w:t>及</w:t>
      </w:r>
      <w:r>
        <w:rPr>
          <w:rFonts w:ascii="Times New Roman" w:hAnsi="Times New Roman" w:cs="Times New Roman" w:eastAsia="Times New Roman" w:hint="default"/>
        </w:rPr>
        <w:t>35.12%</w:t>
      </w:r>
      <w:r>
        <w:rPr/>
        <w:t>，主要是公司原控股子公司云南医药工业股份有限公司本 报告期不再纳入本公司合并报表范围所致。</w:t>
      </w:r>
    </w:p>
    <w:p>
      <w:pPr>
        <w:pStyle w:val="BodyText"/>
        <w:spacing w:line="240" w:lineRule="auto" w:before="33"/>
        <w:ind w:left="475" w:right="94"/>
        <w:jc w:val="left"/>
      </w:pPr>
      <w:r>
        <w:rPr/>
        <w:t>②所得税费用较上年同期减少</w:t>
      </w:r>
      <w:r>
        <w:rPr>
          <w:rFonts w:ascii="Times New Roman" w:hAnsi="Times New Roman" w:cs="Times New Roman" w:eastAsia="Times New Roman" w:hint="default"/>
        </w:rPr>
        <w:t>94.30%</w:t>
      </w:r>
      <w:r>
        <w:rPr/>
        <w:t>，主要原因是本期利润下滑，导致本期所得税费用减少。</w:t>
      </w:r>
    </w:p>
    <w:p>
      <w:pPr>
        <w:spacing w:after="0" w:line="240" w:lineRule="auto"/>
        <w:jc w:val="left"/>
        <w:sectPr>
          <w:footerReference w:type="default" r:id="rId15"/>
          <w:pgSz w:w="11910" w:h="16840"/>
          <w:pgMar w:footer="979" w:header="745" w:top="1060" w:bottom="1160" w:left="1020" w:right="940"/>
          <w:pgNumType w:start="10"/>
        </w:sectPr>
      </w:pPr>
    </w:p>
    <w:p>
      <w:pPr>
        <w:spacing w:line="240" w:lineRule="auto" w:before="12"/>
        <w:rPr>
          <w:rFonts w:ascii="宋体" w:hAnsi="宋体" w:cs="宋体" w:eastAsia="宋体" w:hint="default"/>
          <w:sz w:val="25"/>
          <w:szCs w:val="25"/>
        </w:rPr>
      </w:pPr>
    </w:p>
    <w:p>
      <w:pPr>
        <w:pStyle w:val="BodyText"/>
        <w:spacing w:line="300" w:lineRule="auto" w:before="44"/>
        <w:ind w:right="124" w:firstLine="376"/>
        <w:jc w:val="both"/>
      </w:pPr>
      <w:bookmarkStart w:name="2、收入" w:id="16"/>
      <w:bookmarkEnd w:id="16"/>
      <w:r>
        <w:rPr/>
      </w:r>
      <w:r>
        <w:rPr/>
        <w:t>③归属于母公司所有者的净利润较上年同期减少93.23</w:t>
      </w:r>
      <w:r>
        <w:rPr>
          <w:rFonts w:ascii="Times New Roman" w:hAnsi="Times New Roman" w:cs="Times New Roman" w:eastAsia="Times New Roman" w:hint="default"/>
        </w:rPr>
        <w:t>%</w:t>
      </w:r>
      <w:r>
        <w:rPr/>
        <w:t>，主要原因是公司信息产品毛利率下降，人工成本、材料成本 和财务费用均大幅上升，投资收益同比减少，此外第三方支付、轨道交道等新兴业务尚未盈利。</w:t>
      </w:r>
    </w:p>
    <w:p>
      <w:pPr>
        <w:pStyle w:val="BodyText"/>
        <w:spacing w:line="309" w:lineRule="auto" w:before="31"/>
        <w:ind w:right="111" w:firstLine="376"/>
        <w:jc w:val="both"/>
      </w:pPr>
      <w:r>
        <w:rPr>
          <w:spacing w:val="-3"/>
          <w:w w:val="95"/>
        </w:rPr>
        <w:t>④经营活动产生的现金流量净额较上年同期减少</w:t>
      </w:r>
      <w:r>
        <w:rPr>
          <w:rFonts w:ascii="Times New Roman" w:hAnsi="Times New Roman" w:cs="Times New Roman" w:eastAsia="Times New Roman" w:hint="default"/>
          <w:spacing w:val="-3"/>
          <w:w w:val="95"/>
        </w:rPr>
        <w:t>115.63%</w:t>
      </w:r>
      <w:r>
        <w:rPr>
          <w:spacing w:val="-3"/>
          <w:w w:val="95"/>
        </w:rPr>
        <w:t>，主要原因是报告期软件退税减少，导致收到的税收返还减少；</w:t>
      </w:r>
      <w:r>
        <w:rPr>
          <w:spacing w:val="-27"/>
          <w:w w:val="95"/>
        </w:rPr>
        <w:t> </w:t>
      </w:r>
      <w:r>
        <w:rPr>
          <w:spacing w:val="-27"/>
          <w:w w:val="95"/>
        </w:rPr>
      </w:r>
      <w:r>
        <w:rPr>
          <w:spacing w:val="-2"/>
        </w:rPr>
        <w:t>云南医药工业股份有限公司不再纳入合并报表范围导致收到其他与经营活动有关的现金较上年减少；此外，支付给职工以及</w:t>
      </w:r>
      <w:r>
        <w:rPr>
          <w:spacing w:val="-64"/>
        </w:rPr>
        <w:t> </w:t>
      </w:r>
      <w:r>
        <w:rPr>
          <w:spacing w:val="-64"/>
        </w:rPr>
      </w:r>
      <w:r>
        <w:rPr/>
        <w:t>为职工支付的现金上涨较大。</w:t>
      </w:r>
    </w:p>
    <w:p>
      <w:pPr>
        <w:pStyle w:val="BodyText"/>
        <w:spacing w:line="240" w:lineRule="auto" w:before="62"/>
        <w:ind w:right="99"/>
        <w:jc w:val="left"/>
      </w:pPr>
      <w:r>
        <w:rPr/>
        <w:t>公司回顾总结前期披露的发展战略和经营计划在报告期内的进展情况</w:t>
      </w:r>
    </w:p>
    <w:p>
      <w:pPr>
        <w:pStyle w:val="BodyText"/>
        <w:spacing w:line="300" w:lineRule="auto" w:before="117"/>
        <w:ind w:right="112" w:firstLine="362"/>
        <w:jc w:val="both"/>
      </w:pPr>
      <w:r>
        <w:rPr/>
        <w:t>公司前期披露的发展策略为</w:t>
      </w:r>
      <w:r>
        <w:rPr>
          <w:spacing w:val="-7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年公司将坚定不移的贯彻</w:t>
      </w:r>
      <w:r>
        <w:rPr>
          <w:rFonts w:ascii="Times New Roman" w:hAnsi="Times New Roman" w:cs="Times New Roman" w:eastAsia="Times New Roman" w:hint="default"/>
        </w:rPr>
        <w:t>“</w:t>
      </w:r>
      <w:r>
        <w:rPr/>
        <w:t>可持续发展</w:t>
      </w:r>
      <w:r>
        <w:rPr>
          <w:rFonts w:ascii="Times New Roman" w:hAnsi="Times New Roman" w:cs="Times New Roman" w:eastAsia="Times New Roman" w:hint="default"/>
        </w:rPr>
        <w:t>”</w:t>
      </w:r>
      <w:r>
        <w:rPr/>
        <w:t>这一战略思想，使其落地、生根、发芽，把</w:t>
      </w:r>
      <w:r>
        <w:rPr>
          <w:rFonts w:ascii="Times New Roman" w:hAnsi="Times New Roman" w:cs="Times New Roman" w:eastAsia="Times New Roman" w:hint="default"/>
        </w:rPr>
        <w:t>“</w:t>
      </w:r>
      <w:r>
        <w:rPr/>
        <w:t>可 持续发展</w:t>
      </w:r>
      <w:r>
        <w:rPr>
          <w:rFonts w:ascii="Times New Roman" w:hAnsi="Times New Roman" w:cs="Times New Roman" w:eastAsia="Times New Roman" w:hint="default"/>
        </w:rPr>
        <w:t>”</w:t>
      </w:r>
      <w:r>
        <w:rPr/>
        <w:t>这一主线贯彻到经营、管理、研发及生产工作中。</w:t>
      </w:r>
    </w:p>
    <w:p>
      <w:pPr>
        <w:pStyle w:val="BodyText"/>
        <w:spacing w:line="300" w:lineRule="auto" w:before="53"/>
        <w:ind w:right="112" w:firstLine="362"/>
        <w:jc w:val="both"/>
      </w:pPr>
      <w:r>
        <w:rPr>
          <w:spacing w:val="-2"/>
        </w:rPr>
        <w:t>报告期内，公司继续坚定不移地贯彻</w:t>
      </w:r>
      <w:r>
        <w:rPr>
          <w:rFonts w:ascii="Times New Roman" w:hAnsi="Times New Roman" w:cs="Times New Roman" w:eastAsia="Times New Roman" w:hint="default"/>
          <w:spacing w:val="-2"/>
        </w:rPr>
        <w:t>“</w:t>
      </w:r>
      <w:r>
        <w:rPr>
          <w:spacing w:val="-2"/>
        </w:rPr>
        <w:t>可持续发展</w:t>
      </w:r>
      <w:r>
        <w:rPr>
          <w:rFonts w:ascii="Times New Roman" w:hAnsi="Times New Roman" w:cs="Times New Roman" w:eastAsia="Times New Roman" w:hint="default"/>
          <w:spacing w:val="-2"/>
        </w:rPr>
        <w:t>”</w:t>
      </w:r>
      <w:r>
        <w:rPr>
          <w:spacing w:val="-2"/>
        </w:rPr>
        <w:t>战略思路，在积极稳健经营主营业务同时，继续推进公司组织架构调</w:t>
      </w:r>
      <w:r>
        <w:rPr/>
        <w:t> </w:t>
      </w:r>
      <w:r>
        <w:rPr>
          <w:spacing w:val="-2"/>
        </w:rPr>
        <w:t>整、业务梳理、管理提升和</w:t>
      </w:r>
      <w:r>
        <w:rPr>
          <w:rFonts w:ascii="Times New Roman" w:hAnsi="Times New Roman" w:cs="Times New Roman" w:eastAsia="Times New Roman" w:hint="default"/>
          <w:spacing w:val="-2"/>
        </w:rPr>
        <w:t>“</w:t>
      </w:r>
      <w:r>
        <w:rPr>
          <w:spacing w:val="-2"/>
        </w:rPr>
        <w:t>三率一新</w:t>
      </w:r>
      <w:r>
        <w:rPr>
          <w:rFonts w:ascii="Times New Roman" w:hAnsi="Times New Roman" w:cs="Times New Roman" w:eastAsia="Times New Roman" w:hint="default"/>
          <w:spacing w:val="-2"/>
        </w:rPr>
        <w:t>”</w:t>
      </w:r>
      <w:r>
        <w:rPr>
          <w:spacing w:val="-2"/>
        </w:rPr>
        <w:t>工作，加快转方式、调结构，努力实践管理创新、技术创新、业务创新、融资创新工</w:t>
      </w:r>
      <w:r>
        <w:rPr>
          <w:spacing w:val="-48"/>
        </w:rPr>
        <w:t> </w:t>
      </w:r>
      <w:r>
        <w:rPr>
          <w:spacing w:val="-48"/>
        </w:rPr>
      </w:r>
      <w:r>
        <w:rPr/>
        <w:t>作，努力完成年度生产、经营、管理等目标。</w:t>
      </w:r>
    </w:p>
    <w:p>
      <w:pPr>
        <w:pStyle w:val="BodyText"/>
        <w:spacing w:line="240" w:lineRule="auto" w:before="70"/>
        <w:ind w:right="99"/>
        <w:jc w:val="left"/>
      </w:pPr>
      <w:r>
        <w:rPr/>
        <w:t>公司实际经营业绩较曾公开披露过的本年度盈利预测低于或高于</w:t>
      </w:r>
      <w:r>
        <w:rPr>
          <w:spacing w:val="-48"/>
        </w:rPr>
        <w:t> </w:t>
      </w:r>
      <w:r>
        <w:rPr>
          <w:rFonts w:ascii="Times New Roman" w:hAnsi="Times New Roman" w:cs="Times New Roman" w:eastAsia="Times New Roman" w:hint="default"/>
        </w:rPr>
        <w:t>20%</w:t>
      </w:r>
      <w:r>
        <w:rPr/>
        <w:t>以上的差异原因</w:t>
      </w:r>
    </w:p>
    <w:p>
      <w:pPr>
        <w:pStyle w:val="BodyText"/>
        <w:spacing w:line="240" w:lineRule="auto" w:before="103"/>
        <w:ind w:right="99"/>
        <w:jc w:val="left"/>
      </w:pPr>
      <w:r>
        <w:rPr/>
        <w:t>□ 适用 √ 不适用</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9"/>
        <w:jc w:val="left"/>
      </w:pPr>
      <w:r>
        <w:rPr/>
        <w:t>说明</w:t>
      </w:r>
    </w:p>
    <w:p>
      <w:pPr>
        <w:pStyle w:val="BodyText"/>
        <w:spacing w:line="240" w:lineRule="auto" w:before="117"/>
        <w:ind w:left="475" w:right="99"/>
        <w:jc w:val="left"/>
      </w:pPr>
      <w:r>
        <w:rPr/>
        <w:t>（</w:t>
      </w:r>
      <w:r>
        <w:rPr>
          <w:rFonts w:ascii="Times New Roman" w:hAnsi="Times New Roman" w:cs="Times New Roman" w:eastAsia="Times New Roman" w:hint="default"/>
        </w:rPr>
        <w:t>1</w:t>
      </w:r>
      <w:r>
        <w:rPr/>
        <w:t>）报告期收入变化情况（单位：元）</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20"/>
        <w:gridCol w:w="1891"/>
        <w:gridCol w:w="1889"/>
        <w:gridCol w:w="1260"/>
      </w:tblGrid>
      <w:tr>
        <w:trPr>
          <w:trHeight w:val="34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tabs>
                <w:tab w:pos="1615" w:val="left" w:leader="none"/>
              </w:tabs>
              <w:spacing w:line="276" w:lineRule="exact"/>
              <w:ind w:left="7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本年数</w:t>
            </w:r>
            <w:r>
              <w:rPr>
                <w:rFonts w:ascii="Microsoft JhengHei" w:hAnsi="Microsoft JhengHei" w:cs="Microsoft JhengHei" w:eastAsia="Microsoft JhengHei" w:hint="default"/>
                <w:sz w:val="18"/>
                <w:szCs w:val="18"/>
              </w:rPr>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上年数</w:t>
            </w:r>
            <w:r>
              <w:rPr>
                <w:rFonts w:ascii="Microsoft JhengHei" w:hAnsi="Microsoft JhengHei" w:cs="Microsoft JhengHei" w:eastAsia="Microsoft JhengHei"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增减幅度</w:t>
            </w:r>
            <w:r>
              <w:rPr>
                <w:rFonts w:ascii="Microsoft JhengHei" w:hAnsi="Microsoft JhengHei" w:cs="Microsoft JhengHei" w:eastAsia="Microsoft JhengHei" w:hint="default"/>
                <w:sz w:val="18"/>
                <w:szCs w:val="18"/>
              </w:rPr>
            </w:r>
          </w:p>
        </w:tc>
      </w:tr>
      <w:tr>
        <w:trPr>
          <w:trHeight w:val="346"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1,826,566,611.11</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2,656,849,321.37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-31.25%</w:t>
            </w:r>
          </w:p>
        </w:tc>
      </w:tr>
      <w:tr>
        <w:trPr>
          <w:trHeight w:val="34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其中：软件和信息技术服务业</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1,826,566,611.11</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1,677,751,607.28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8.87%</w:t>
            </w:r>
          </w:p>
        </w:tc>
      </w:tr>
      <w:tr>
        <w:trPr>
          <w:trHeight w:val="346"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24"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959,897,385.43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00" w:lineRule="auto" w:before="13"/>
        <w:ind w:left="475" w:right="99" w:hanging="8"/>
        <w:jc w:val="left"/>
      </w:pPr>
      <w:r>
        <w:rPr/>
        <w:t>（</w:t>
      </w:r>
      <w:r>
        <w:rPr>
          <w:rFonts w:ascii="Times New Roman" w:hAnsi="Times New Roman" w:cs="Times New Roman" w:eastAsia="Times New Roman" w:hint="default"/>
        </w:rPr>
        <w:t>2</w:t>
      </w:r>
      <w:r>
        <w:rPr/>
        <w:t>）报告期内收入变动原因分析： 报告期内，营业收入比上年同期下降</w:t>
      </w:r>
      <w:r>
        <w:rPr>
          <w:rFonts w:ascii="Times New Roman" w:hAnsi="Times New Roman" w:cs="Times New Roman" w:eastAsia="Times New Roman" w:hint="default"/>
        </w:rPr>
        <w:t>31.25%</w:t>
      </w:r>
      <w:r>
        <w:rPr/>
        <w:t>，主要是公司原控股子公司云南医药工业股份有限公司自</w:t>
      </w:r>
      <w:r>
        <w:rPr>
          <w:spacing w:val="-26"/>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p>
    <w:p>
      <w:pPr>
        <w:pStyle w:val="BodyText"/>
        <w:spacing w:line="300" w:lineRule="auto" w:before="13"/>
        <w:ind w:right="99"/>
        <w:jc w:val="left"/>
      </w:pPr>
      <w:r>
        <w:rPr/>
        <w:t>起不再纳入本公司合并报表范围所致，剔除云南医药工业股份有限公司影响，</w:t>
      </w:r>
      <w:r>
        <w:rPr>
          <w:spacing w:val="-38"/>
        </w:rPr>
        <w:t> </w:t>
      </w:r>
      <w:r>
        <w:rPr>
          <w:rFonts w:ascii="Times New Roman" w:hAnsi="Times New Roman" w:cs="Times New Roman" w:eastAsia="Times New Roman" w:hint="default"/>
        </w:rPr>
        <w:t>2012</w:t>
      </w:r>
      <w:r>
        <w:rPr/>
        <w:t>年公司实现的营业收入比上年同期增长</w:t>
      </w:r>
      <w:r>
        <w:rPr>
          <w:spacing w:val="-70"/>
        </w:rPr>
        <w:t> </w:t>
      </w:r>
      <w:r>
        <w:rPr>
          <w:spacing w:val="-70"/>
        </w:rPr>
      </w:r>
      <w:r>
        <w:rPr>
          <w:rFonts w:ascii="Times New Roman" w:hAnsi="Times New Roman" w:cs="Times New Roman" w:eastAsia="Times New Roman" w:hint="default"/>
        </w:rPr>
        <w:t>8.87%</w:t>
      </w:r>
      <w:r>
        <w:rPr/>
        <w:t>。</w:t>
      </w:r>
    </w:p>
    <w:p>
      <w:pPr>
        <w:pStyle w:val="BodyText"/>
        <w:spacing w:line="240" w:lineRule="auto" w:before="51"/>
        <w:ind w:right="99"/>
        <w:jc w:val="left"/>
      </w:pPr>
      <w:r>
        <w:rPr/>
        <w:t>公司实物销售收入是否大于劳务收入</w:t>
      </w:r>
    </w:p>
    <w:p>
      <w:pPr>
        <w:pStyle w:val="BodyText"/>
        <w:spacing w:line="240" w:lineRule="auto" w:before="117"/>
        <w:ind w:right="99"/>
        <w:jc w:val="left"/>
      </w:pPr>
      <w:r>
        <w:rPr/>
        <w:t>√ 是 □ 否</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227,107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w:t>
            </w:r>
          </w:p>
        </w:tc>
      </w:tr>
      <w:tr>
        <w:trPr>
          <w:trHeight w:val="401" w:hRule="exact"/>
        </w:trPr>
        <w:tc>
          <w:tcPr>
            <w:tcW w:w="1915" w:type="dxa"/>
            <w:vMerge/>
            <w:tcBorders>
              <w:left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229,938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-9.89%</w:t>
            </w:r>
          </w:p>
        </w:tc>
      </w:tr>
      <w:tr>
        <w:trPr>
          <w:trHeight w:val="403" w:hRule="exact"/>
        </w:trPr>
        <w:tc>
          <w:tcPr>
            <w:tcW w:w="1915" w:type="dxa"/>
            <w:vMerge/>
            <w:tcBorders>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138.94%</w:t>
            </w:r>
          </w:p>
        </w:tc>
      </w:tr>
    </w:tbl>
    <w:p>
      <w:pPr>
        <w:pStyle w:val="BodyText"/>
        <w:spacing w:line="240" w:lineRule="auto" w:before="51"/>
        <w:ind w:right="99"/>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60" w:lineRule="auto" w:before="101"/>
        <w:ind w:right="1364"/>
        <w:jc w:val="left"/>
      </w:pPr>
      <w:r>
        <w:rPr/>
        <w:t>√ 适用 □ 不适用 原因：</w:t>
      </w:r>
      <w:r>
        <w:rPr>
          <w:rFonts w:ascii="Times New Roman" w:hAnsi="Times New Roman" w:cs="Times New Roman" w:eastAsia="Times New Roman" w:hint="default"/>
        </w:rPr>
        <w:t>1</w:t>
      </w:r>
      <w:r>
        <w:rPr/>
        <w:t>、受宏观经济及市场竞争影响，本期销量较上期同比下降，但生产量下降幅度比销量下降幅度小。</w:t>
      </w:r>
    </w:p>
    <w:p>
      <w:pPr>
        <w:pStyle w:val="BodyText"/>
        <w:spacing w:line="240" w:lineRule="auto" w:before="4"/>
        <w:ind w:left="655" w:right="99"/>
        <w:jc w:val="left"/>
      </w:pPr>
      <w:r>
        <w:rPr>
          <w:rFonts w:ascii="Times New Roman" w:hAnsi="Times New Roman" w:cs="Times New Roman" w:eastAsia="Times New Roman" w:hint="default"/>
        </w:rPr>
        <w:t>2</w:t>
      </w:r>
      <w:r>
        <w:rPr/>
        <w:t>、因上期库存数较小的原因导致本期库存数较上期变动幅度较大。</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99"/>
        <w:jc w:val="left"/>
      </w:pPr>
      <w:r>
        <w:rPr/>
        <w:t>公司重大的在手订单情况</w:t>
      </w:r>
    </w:p>
    <w:p>
      <w:pPr>
        <w:pStyle w:val="BodyText"/>
        <w:spacing w:line="338" w:lineRule="auto" w:before="117"/>
        <w:ind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spacing w:after="0" w:line="338"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38" w:lineRule="auto" w:before="44"/>
        <w:ind w:right="7934"/>
        <w:jc w:val="left"/>
      </w:pPr>
      <w:bookmarkStart w:name="3、成本" w:id="17"/>
      <w:bookmarkEnd w:id="17"/>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437,118,979.40</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23.93%</w:t>
            </w:r>
          </w:p>
        </w:tc>
      </w:tr>
    </w:tbl>
    <w:p>
      <w:pPr>
        <w:pStyle w:val="BodyText"/>
        <w:spacing w:line="240" w:lineRule="auto" w:before="51"/>
        <w:ind w:right="99"/>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802"/>
        <w:gridCol w:w="3302"/>
        <w:gridCol w:w="2321"/>
        <w:gridCol w:w="3144"/>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162,269,888.08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143,225,441.12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昆明轨道交通有限公司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59,475,167.24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四川农村信用社联合社</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37,006,259.39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国家开发银行股份有限公司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35,142,223.63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437,118,979.46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23.93%</w:t>
            </w:r>
          </w:p>
        </w:tc>
      </w:tr>
    </w:tbl>
    <w:p>
      <w:pPr>
        <w:spacing w:line="240" w:lineRule="auto" w:before="2"/>
        <w:rPr>
          <w:rFonts w:ascii="宋体" w:hAnsi="宋体" w:cs="宋体" w:eastAsia="宋体" w:hint="default"/>
          <w:sz w:val="19"/>
          <w:szCs w:val="19"/>
        </w:rPr>
      </w:pPr>
    </w:p>
    <w:p>
      <w:pPr>
        <w:pStyle w:val="Heading4"/>
        <w:spacing w:line="333" w:lineRule="exact"/>
        <w:ind w:left="119" w:right="99"/>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4"/>
        <w:ind w:right="99"/>
        <w:jc w:val="left"/>
      </w:pPr>
      <w:r>
        <w:rPr/>
        <w:t>产品分类</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70"/>
        <w:gridCol w:w="1366"/>
        <w:gridCol w:w="1368"/>
        <w:gridCol w:w="1366"/>
        <w:gridCol w:w="1368"/>
        <w:gridCol w:w="1368"/>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信息产品</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408,532,836.78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437,353,674.31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792,665,564.29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694,206,031.11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14.18%</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70,486,818.22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53,039,945.34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128,954,900.75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90,587,017.19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42.35%</w:t>
            </w:r>
          </w:p>
        </w:tc>
      </w:tr>
    </w:tbl>
    <w:p>
      <w:pPr>
        <w:pStyle w:val="BodyText"/>
        <w:spacing w:line="240" w:lineRule="auto" w:before="49"/>
        <w:ind w:right="99"/>
        <w:jc w:val="left"/>
      </w:pPr>
      <w:r>
        <w:rPr/>
        <w:t>说明</w:t>
      </w:r>
    </w:p>
    <w:p>
      <w:pPr>
        <w:pStyle w:val="BodyText"/>
        <w:spacing w:line="240" w:lineRule="auto" w:before="117"/>
        <w:ind w:left="475" w:right="0"/>
        <w:jc w:val="left"/>
      </w:pPr>
      <w:r>
        <w:rPr/>
        <w:t>上表</w:t>
      </w:r>
      <w:r>
        <w:rPr>
          <w:spacing w:val="-3"/>
        </w:rPr>
        <w:t>中</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t>年各类产品金额占营业成本比重</w:t>
      </w:r>
      <w:r>
        <w:rPr>
          <w:spacing w:val="2"/>
        </w:rPr>
        <w:t>较</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年增加</w:t>
      </w:r>
      <w:r>
        <w:rPr>
          <w:spacing w:val="-84"/>
        </w:rPr>
        <w:t>，</w:t>
      </w:r>
      <w:r>
        <w:rPr/>
        <w:t>主要是</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1</w:t>
      </w:r>
      <w:r>
        <w:rPr/>
        <w:t>年计算基数包含了云南医药工业股份有限公司的</w:t>
      </w:r>
    </w:p>
    <w:p>
      <w:pPr>
        <w:pStyle w:val="BodyText"/>
        <w:spacing w:line="717" w:lineRule="auto" w:before="63"/>
        <w:ind w:right="8114"/>
        <w:jc w:val="left"/>
      </w:pPr>
      <w:r>
        <w:rPr/>
        <w:pict>
          <v:shape style="position:absolute;margin-left:263.519989pt;margin-top:75.941704pt;width:271.45pt;height:19.8pt;mso-position-horizontal-relative:page;mso-position-vertical-relative:paragraph;z-index:-908368"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56.399998pt;margin-top:55.421703pt;width:479.2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449,417,158.53</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26.97%</w:t>
                        </w:r>
                      </w:p>
                    </w:tc>
                  </w:tr>
                </w:tbl>
                <w:p>
                  <w:pPr/>
                </w:p>
              </w:txbxContent>
            </v:textbox>
            <w10:wrap type="none"/>
          </v:shape>
        </w:pict>
      </w:r>
      <w:r>
        <w:rPr/>
        <w:t>营业成本。 公司主要供应商情况</w:t>
      </w:r>
    </w:p>
    <w:p>
      <w:pPr>
        <w:spacing w:line="240" w:lineRule="auto" w:before="2"/>
        <w:rPr>
          <w:rFonts w:ascii="宋体" w:hAnsi="宋体" w:cs="宋体" w:eastAsia="宋体" w:hint="default"/>
          <w:sz w:val="12"/>
          <w:szCs w:val="12"/>
        </w:rPr>
      </w:pPr>
    </w:p>
    <w:p>
      <w:pPr>
        <w:spacing w:line="396" w:lineRule="exact"/>
        <w:ind w:left="437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65.350pt;height:19.8pt;mso-position-horizontal-relative:char;mso-position-vertical-relative:line" coordorigin="0,0" coordsize="5307,396">
            <v:group style="position:absolute;left:0;top:0;width:5307;height:396" coordorigin="0,0" coordsize="5307,396">
              <v:shape style="position:absolute;left:0;top:0;width:5307;height:396" coordorigin="0,0" coordsize="5307,396" path="m0,0l0,396,5306,396,5306,0,0,0xe" filled="true" fillcolor="#ffffff" stroked="false">
                <v:path arrowok="t"/>
                <v:fill type="solid"/>
              </v:shape>
            </v:group>
          </v:group>
        </w:pict>
      </w:r>
      <w:r>
        <w:rPr>
          <w:rFonts w:ascii="宋体" w:hAnsi="宋体" w:cs="宋体" w:eastAsia="宋体" w:hint="default"/>
          <w:position w:val="-7"/>
          <w:sz w:val="20"/>
          <w:szCs w:val="20"/>
        </w:rPr>
      </w:r>
    </w:p>
    <w:p>
      <w:pPr>
        <w:pStyle w:val="BodyText"/>
        <w:spacing w:line="240" w:lineRule="auto" w:before="58"/>
        <w:ind w:right="99"/>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936"/>
        <w:gridCol w:w="3168"/>
        <w:gridCol w:w="2321"/>
        <w:gridCol w:w="3144"/>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143,788,066.89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bookmarkStart w:name="4、费用" w:id="18"/>
            <w:bookmarkEnd w:id="18"/>
            <w:r>
              <w:rPr/>
            </w:r>
            <w:bookmarkStart w:name="5、研发支出" w:id="19"/>
            <w:bookmarkEnd w:id="19"/>
            <w:r>
              <w:rPr/>
            </w:r>
            <w:bookmarkStart w:name="6、现金流" w:id="20"/>
            <w:bookmarkEnd w:id="20"/>
            <w:r>
              <w:rPr/>
            </w: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华贸广通供应链管理（北京）有限公司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111,669,712.84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香港明源（贸易）有限公司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86,375,320.60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上海金陵时威科技发展股份有限公司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59,942,008.08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四川长虹佳华数字技术有限公司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47,642,050.12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449,417,158.53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26.97%</w:t>
            </w:r>
          </w:p>
        </w:tc>
      </w:tr>
    </w:tbl>
    <w:p>
      <w:pPr>
        <w:spacing w:line="240" w:lineRule="auto" w:before="5"/>
        <w:rPr>
          <w:rFonts w:ascii="宋体" w:hAnsi="宋体" w:cs="宋体" w:eastAsia="宋体" w:hint="default"/>
          <w:sz w:val="19"/>
          <w:szCs w:val="19"/>
        </w:rPr>
      </w:pPr>
    </w:p>
    <w:p>
      <w:pPr>
        <w:pStyle w:val="Heading4"/>
        <w:spacing w:line="333" w:lineRule="exact"/>
        <w:ind w:left="119" w:right="99"/>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3"/>
        <w:rPr>
          <w:rFonts w:ascii="Microsoft JhengHei" w:hAnsi="Microsoft JhengHei" w:cs="Microsoft JhengHei" w:eastAsia="Microsoft JhengHei" w:hint="default"/>
          <w:b/>
          <w:bCs/>
          <w:sz w:val="16"/>
          <w:szCs w:val="16"/>
        </w:rPr>
      </w:pPr>
    </w:p>
    <w:p>
      <w:pPr>
        <w:pStyle w:val="Heading5"/>
        <w:spacing w:line="240" w:lineRule="auto"/>
        <w:ind w:right="99"/>
        <w:jc w:val="left"/>
        <w:rPr>
          <w:b w:val="0"/>
          <w:bCs w:val="0"/>
        </w:rPr>
      </w:pPr>
      <w:r>
        <w:rPr/>
        <w:t>报告期费用变化情况（单位：元）</w:t>
      </w:r>
      <w:r>
        <w:rPr>
          <w:b w:val="0"/>
          <w:bCs w:val="0"/>
        </w:rPr>
      </w:r>
    </w:p>
    <w:p>
      <w:pPr>
        <w:spacing w:line="240" w:lineRule="auto" w:before="11"/>
        <w:rPr>
          <w:rFonts w:ascii="Microsoft JhengHei" w:hAnsi="Microsoft JhengHei" w:cs="Microsoft JhengHei" w:eastAsia="Microsoft JhengHei"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1560"/>
        <w:gridCol w:w="2146"/>
        <w:gridCol w:w="1661"/>
        <w:gridCol w:w="1661"/>
        <w:gridCol w:w="1433"/>
      </w:tblGrid>
      <w:tr>
        <w:trPr>
          <w:trHeight w:val="34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tabs>
                <w:tab w:pos="1132" w:val="left" w:leader="none"/>
              </w:tabs>
              <w:spacing w:line="276" w:lineRule="exact"/>
              <w:ind w:left="2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tabs>
                <w:tab w:pos="448" w:val="left" w:leader="none"/>
              </w:tabs>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行</w:t>
              <w:tab/>
              <w:t>业</w:t>
            </w:r>
            <w:r>
              <w:rPr>
                <w:rFonts w:ascii="Microsoft JhengHei" w:hAnsi="Microsoft JhengHei" w:cs="Microsoft JhengHei" w:eastAsia="Microsoft JhengHei" w:hint="default"/>
                <w:sz w:val="18"/>
                <w:szCs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本年数</w:t>
            </w:r>
            <w:r>
              <w:rPr>
                <w:rFonts w:ascii="Microsoft JhengHei" w:hAnsi="Microsoft JhengHei" w:cs="Microsoft JhengHei" w:eastAsia="Microsoft JhengHei" w:hint="default"/>
                <w:sz w:val="18"/>
                <w:szCs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上年数</w:t>
            </w:r>
            <w:r>
              <w:rPr>
                <w:rFonts w:ascii="Microsoft JhengHei" w:hAnsi="Microsoft JhengHei" w:cs="Microsoft JhengHei" w:eastAsia="Microsoft JhengHei" w:hint="default"/>
                <w:sz w:val="18"/>
                <w:szCs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增减幅度</w:t>
            </w:r>
            <w:r>
              <w:rPr>
                <w:rFonts w:ascii="Microsoft JhengHei" w:hAnsi="Microsoft JhengHei" w:cs="Microsoft JhengHei" w:eastAsia="Microsoft JhengHei" w:hint="default"/>
                <w:sz w:val="18"/>
                <w:szCs w:val="18"/>
              </w:rPr>
            </w:r>
          </w:p>
        </w:tc>
      </w:tr>
      <w:tr>
        <w:trPr>
          <w:trHeight w:val="348"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265,420,459.66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206,444,573.15</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28.57%</w:t>
            </w:r>
          </w:p>
        </w:tc>
      </w:tr>
      <w:tr>
        <w:trPr>
          <w:trHeight w:val="346" w:hRule="exact"/>
        </w:trPr>
        <w:tc>
          <w:tcPr>
            <w:tcW w:w="1560" w:type="dxa"/>
            <w:vMerge/>
            <w:tcBorders>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39,906,185.91</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25,900,797.36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10,310,942.01</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151.20%</w:t>
            </w:r>
          </w:p>
        </w:tc>
      </w:tr>
      <w:tr>
        <w:trPr>
          <w:trHeight w:val="348" w:hRule="exact"/>
        </w:trPr>
        <w:tc>
          <w:tcPr>
            <w:tcW w:w="1560" w:type="dxa"/>
            <w:vMerge/>
            <w:tcBorders>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19,668,261.31</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1,008,266.70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11,135,841.76</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-90.95%</w:t>
            </w:r>
          </w:p>
        </w:tc>
      </w:tr>
      <w:tr>
        <w:trPr>
          <w:trHeight w:val="348" w:hRule="exact"/>
        </w:trPr>
        <w:tc>
          <w:tcPr>
            <w:tcW w:w="1560" w:type="dxa"/>
            <w:vMerge/>
            <w:tcBorders>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6,542,920.03</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67" w:lineRule="exact" w:before="0"/>
        <w:ind w:left="467" w:right="9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变动原因分析：</w:t>
      </w:r>
      <w:r>
        <w:rPr>
          <w:rFonts w:ascii="Microsoft JhengHei" w:hAnsi="Microsoft JhengHei" w:cs="Microsoft JhengHei" w:eastAsia="Microsoft JhengHei" w:hint="default"/>
          <w:sz w:val="18"/>
          <w:szCs w:val="18"/>
        </w:rPr>
      </w:r>
    </w:p>
    <w:p>
      <w:pPr>
        <w:pStyle w:val="BodyText"/>
        <w:spacing w:line="300" w:lineRule="auto" w:before="56"/>
        <w:ind w:right="99" w:firstLine="362"/>
        <w:jc w:val="left"/>
      </w:pPr>
      <w:r>
        <w:rPr>
          <w:spacing w:val="-1"/>
        </w:rPr>
        <w:t>（</w:t>
      </w:r>
      <w:r>
        <w:rPr>
          <w:rFonts w:ascii="Times New Roman" w:hAnsi="Times New Roman" w:cs="Times New Roman" w:eastAsia="Times New Roman" w:hint="default"/>
          <w:spacing w:val="-1"/>
        </w:rPr>
        <w:t>1</w:t>
      </w:r>
      <w:r>
        <w:rPr>
          <w:spacing w:val="-1"/>
        </w:rPr>
        <w:t>）报告期内，公司管理费用（剔除上年同期医药纳入的合并数）比上年同期增加</w:t>
      </w:r>
      <w:r>
        <w:rPr>
          <w:rFonts w:ascii="Times New Roman" w:hAnsi="Times New Roman" w:cs="Times New Roman" w:eastAsia="Times New Roman" w:hint="default"/>
          <w:spacing w:val="-1"/>
        </w:rPr>
        <w:t>28.57%</w:t>
      </w:r>
      <w:r>
        <w:rPr>
          <w:spacing w:val="-1"/>
        </w:rPr>
        <w:t>，主要是公司业务转型导致</w:t>
      </w:r>
      <w:r>
        <w:rPr/>
        <w:t> 人员增加，员工薪酬及相应的五险一金等用工成本增加；</w:t>
      </w:r>
    </w:p>
    <w:p>
      <w:pPr>
        <w:pStyle w:val="BodyText"/>
        <w:spacing w:line="300" w:lineRule="auto" w:before="31"/>
        <w:ind w:right="99" w:firstLine="362"/>
        <w:jc w:val="left"/>
      </w:pPr>
      <w:r>
        <w:rPr/>
        <w:t>（</w:t>
      </w:r>
      <w:r>
        <w:rPr>
          <w:rFonts w:ascii="Times New Roman" w:hAnsi="Times New Roman" w:cs="Times New Roman" w:eastAsia="Times New Roman" w:hint="default"/>
        </w:rPr>
        <w:t>2</w:t>
      </w:r>
      <w:r>
        <w:rPr/>
        <w:t>）报告期内，公司财务费用（剔除上年同期医药纳入的合并数）比上年同期增加</w:t>
      </w:r>
      <w:r>
        <w:rPr>
          <w:spacing w:val="-49"/>
        </w:rPr>
        <w:t> </w:t>
      </w:r>
      <w:r>
        <w:rPr>
          <w:rFonts w:ascii="Times New Roman" w:hAnsi="Times New Roman" w:cs="Times New Roman" w:eastAsia="Times New Roman" w:hint="default"/>
        </w:rPr>
        <w:t>151.20%</w:t>
      </w:r>
      <w:r>
        <w:rPr/>
        <w:t>，主要是</w:t>
      </w:r>
      <w:r>
        <w:rPr>
          <w:rFonts w:ascii="Times New Roman" w:hAnsi="Times New Roman" w:cs="Times New Roman" w:eastAsia="Times New Roman" w:hint="default"/>
        </w:rPr>
        <w:t>2012</w:t>
      </w:r>
      <w:r>
        <w:rPr/>
        <w:t>年度支付了 第</w:t>
      </w:r>
      <w:r>
        <w:rPr>
          <w:rFonts w:ascii="Times New Roman" w:hAnsi="Times New Roman" w:cs="Times New Roman" w:eastAsia="Times New Roman" w:hint="default"/>
        </w:rPr>
        <w:t>1</w:t>
      </w:r>
      <w:r>
        <w:rPr/>
        <w:t>期短期融资券的利息</w:t>
      </w:r>
      <w:r>
        <w:rPr>
          <w:rFonts w:ascii="Times New Roman" w:hAnsi="Times New Roman" w:cs="Times New Roman" w:eastAsia="Times New Roman" w:hint="default"/>
        </w:rPr>
        <w:t>1,564.46</w:t>
      </w:r>
      <w:r>
        <w:rPr/>
        <w:t>万元所致；</w:t>
      </w:r>
    </w:p>
    <w:p>
      <w:pPr>
        <w:pStyle w:val="BodyText"/>
        <w:spacing w:line="300" w:lineRule="auto" w:before="13"/>
        <w:ind w:right="87" w:firstLine="362"/>
        <w:jc w:val="left"/>
      </w:pPr>
      <w:r>
        <w:rPr/>
        <w:t>（</w:t>
      </w:r>
      <w:r>
        <w:rPr>
          <w:rFonts w:ascii="Times New Roman" w:hAnsi="Times New Roman" w:cs="Times New Roman" w:eastAsia="Times New Roman" w:hint="default"/>
        </w:rPr>
        <w:t>3</w:t>
      </w:r>
      <w:r>
        <w:rPr/>
        <w:t>）报告期内，公司所得税费用（剔除上年同期医药纳入的合并数）比上年同期减少</w:t>
      </w:r>
      <w:r>
        <w:rPr>
          <w:rFonts w:ascii="Times New Roman" w:hAnsi="Times New Roman" w:cs="Times New Roman" w:eastAsia="Times New Roman" w:hint="default"/>
        </w:rPr>
        <w:t>90.95%</w:t>
      </w:r>
      <w:r>
        <w:rPr/>
        <w:t>，主要是本期利润下滑， 导致本期所得税费用减少。</w:t>
      </w:r>
    </w:p>
    <w:p>
      <w:pPr>
        <w:spacing w:line="240" w:lineRule="auto" w:before="6"/>
        <w:rPr>
          <w:rFonts w:ascii="宋体" w:hAnsi="宋体" w:cs="宋体" w:eastAsia="宋体" w:hint="default"/>
          <w:sz w:val="18"/>
          <w:szCs w:val="18"/>
        </w:rPr>
      </w:pPr>
    </w:p>
    <w:p>
      <w:pPr>
        <w:pStyle w:val="Heading4"/>
        <w:spacing w:line="240" w:lineRule="auto"/>
        <w:ind w:left="119" w:right="99"/>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00" w:lineRule="auto"/>
        <w:ind w:right="99" w:firstLine="362"/>
        <w:jc w:val="left"/>
      </w:pPr>
      <w:r>
        <w:rPr>
          <w:spacing w:val="-4"/>
          <w:w w:val="95"/>
        </w:rPr>
        <w:t>作为高新技术企业，公司历来重视对新产品、新业务、新技术的研发投入，公司</w:t>
      </w:r>
      <w:r>
        <w:rPr>
          <w:rFonts w:ascii="Times New Roman" w:hAnsi="Times New Roman" w:cs="Times New Roman" w:eastAsia="Times New Roman" w:hint="default"/>
          <w:spacing w:val="-4"/>
          <w:w w:val="95"/>
        </w:rPr>
        <w:t>2012</w:t>
      </w:r>
      <w:r>
        <w:rPr>
          <w:spacing w:val="-4"/>
          <w:w w:val="95"/>
        </w:rPr>
        <w:t>年度研发支出总额为</w:t>
      </w:r>
      <w:r>
        <w:rPr>
          <w:rFonts w:ascii="Times New Roman" w:hAnsi="Times New Roman" w:cs="Times New Roman" w:eastAsia="Times New Roman" w:hint="default"/>
          <w:spacing w:val="-4"/>
          <w:w w:val="95"/>
        </w:rPr>
        <w:t>13,670.88</w:t>
      </w:r>
      <w:r>
        <w:rPr>
          <w:spacing w:val="-4"/>
          <w:w w:val="95"/>
        </w:rPr>
        <w:t>万元，</w:t>
      </w:r>
      <w:r>
        <w:rPr>
          <w:spacing w:val="-3"/>
          <w:w w:val="95"/>
        </w:rPr>
        <w:t> </w:t>
      </w:r>
      <w:r>
        <w:rPr>
          <w:spacing w:val="-3"/>
          <w:w w:val="95"/>
        </w:rPr>
      </w:r>
      <w:r>
        <w:rPr/>
        <w:t>分别占公司最近一期经审计净资产</w:t>
      </w:r>
      <w:r>
        <w:rPr>
          <w:rFonts w:ascii="Times New Roman" w:hAnsi="Times New Roman" w:cs="Times New Roman" w:eastAsia="Times New Roman" w:hint="default"/>
        </w:rPr>
        <w:t>10.50%</w:t>
      </w:r>
      <w:r>
        <w:rPr/>
        <w:t>、营业收入的</w:t>
      </w:r>
      <w:r>
        <w:rPr>
          <w:rFonts w:ascii="Times New Roman" w:hAnsi="Times New Roman" w:cs="Times New Roman" w:eastAsia="Times New Roman" w:hint="default"/>
        </w:rPr>
        <w:t>7.48%</w:t>
      </w:r>
      <w:r>
        <w:rPr/>
        <w:t>。</w:t>
      </w:r>
    </w:p>
    <w:p>
      <w:pPr>
        <w:spacing w:line="240" w:lineRule="auto" w:before="11"/>
        <w:rPr>
          <w:rFonts w:ascii="宋体" w:hAnsi="宋体" w:cs="宋体" w:eastAsia="宋体" w:hint="default"/>
          <w:sz w:val="16"/>
          <w:szCs w:val="16"/>
        </w:rPr>
      </w:pPr>
    </w:p>
    <w:p>
      <w:pPr>
        <w:pStyle w:val="Heading4"/>
        <w:spacing w:line="240" w:lineRule="auto"/>
        <w:ind w:left="119" w:right="99"/>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2,138,796,870.46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2,630,545,397.85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2,159,767,814.04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2,496,350,909.31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-20,970,943.58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134,194,488.54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-115.63%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9,106,257.72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27,775,486.70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96,323,698.01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326,041,584.62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-70.46%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-87,217,440.29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-298,266,097.92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393"/>
        <w:gridCol w:w="2390"/>
        <w:gridCol w:w="2393"/>
        <w:gridCol w:w="2393"/>
      </w:tblGrid>
      <w:tr>
        <w:trPr>
          <w:trHeight w:val="36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18"/>
                <w:szCs w:val="18"/>
              </w:rPr>
            </w:pPr>
            <w:bookmarkStart w:name="三、主营业务构成情况" w:id="21"/>
            <w:bookmarkEnd w:id="21"/>
            <w:r>
              <w:rPr/>
            </w:r>
            <w:r>
              <w:rPr>
                <w:rFonts w:ascii="宋体" w:hAnsi="宋体" w:cs="宋体" w:eastAsia="宋体" w:hint="default"/>
                <w:sz w:val="18"/>
                <w:szCs w:val="18"/>
              </w:rPr>
              <w:t>额</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347,243,462.36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911,700,000.00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331,191,890.49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694,806,098.95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16,051,571.87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216,893,901.05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-92,215,377.45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52,475,624.97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-275.73%</w:t>
            </w:r>
          </w:p>
        </w:tc>
      </w:tr>
    </w:tbl>
    <w:p>
      <w:pPr>
        <w:pStyle w:val="BodyText"/>
        <w:spacing w:line="240" w:lineRule="auto" w:before="49"/>
        <w:ind w:right="99"/>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3"/>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9" w:lineRule="auto" w:before="103"/>
        <w:ind w:right="99" w:firstLine="362"/>
        <w:jc w:val="left"/>
      </w:pPr>
      <w:r>
        <w:rPr/>
        <w:t>（</w:t>
      </w:r>
      <w:r>
        <w:rPr>
          <w:rFonts w:ascii="Times New Roman" w:hAnsi="Times New Roman" w:cs="Times New Roman" w:eastAsia="Times New Roman" w:hint="default"/>
        </w:rPr>
        <w:t>1</w:t>
      </w:r>
      <w:r>
        <w:rPr/>
        <w:t>）经营活动产生的现金流量净额比上年同期减少</w:t>
      </w:r>
      <w:r>
        <w:rPr>
          <w:rFonts w:ascii="Times New Roman" w:hAnsi="Times New Roman" w:cs="Times New Roman" w:eastAsia="Times New Roman" w:hint="default"/>
        </w:rPr>
        <w:t>115.63%</w:t>
      </w:r>
      <w:r>
        <w:rPr/>
        <w:t>，主要是本年软件退税减少，导致本年收到的税收返还减 </w:t>
      </w:r>
      <w:r>
        <w:rPr>
          <w:spacing w:val="-2"/>
        </w:rPr>
        <w:t>少；云南医药工业股份有限公司不再纳入合并报表范围导致收到其他与经营活动有关的现金较上年减少；此外，支付给职工</w:t>
      </w:r>
      <w:r>
        <w:rPr>
          <w:spacing w:val="-65"/>
        </w:rPr>
        <w:t> </w:t>
      </w:r>
      <w:r>
        <w:rPr>
          <w:spacing w:val="-65"/>
        </w:rPr>
      </w:r>
      <w:r>
        <w:rPr/>
        <w:t>以及为职工支付的现金增长较大。</w:t>
      </w:r>
    </w:p>
    <w:p>
      <w:pPr>
        <w:pStyle w:val="BodyText"/>
        <w:spacing w:line="300" w:lineRule="auto" w:before="24"/>
        <w:ind w:right="112" w:firstLine="362"/>
        <w:jc w:val="both"/>
      </w:pPr>
      <w:r>
        <w:rPr>
          <w:spacing w:val="-1"/>
        </w:rPr>
        <w:t>（</w:t>
      </w:r>
      <w:r>
        <w:rPr>
          <w:rFonts w:ascii="Times New Roman" w:hAnsi="Times New Roman" w:cs="Times New Roman" w:eastAsia="Times New Roman" w:hint="default"/>
          <w:spacing w:val="-1"/>
        </w:rPr>
        <w:t>2</w:t>
      </w:r>
      <w:r>
        <w:rPr>
          <w:spacing w:val="-1"/>
        </w:rPr>
        <w:t>）投资活动现金流入小计较上年同期减少</w:t>
      </w:r>
      <w:r>
        <w:rPr>
          <w:rFonts w:ascii="Times New Roman" w:hAnsi="Times New Roman" w:cs="Times New Roman" w:eastAsia="Times New Roman" w:hint="default"/>
          <w:spacing w:val="-1"/>
        </w:rPr>
        <w:t>67.21%</w:t>
      </w:r>
      <w:r>
        <w:rPr>
          <w:spacing w:val="-1"/>
        </w:rPr>
        <w:t>，主要是本年云南医药工业股份有限公司不再纳入合并报表范围导</w:t>
      </w:r>
      <w:r>
        <w:rPr/>
        <w:t> 致取得投资收益收到的现金较上年同期大幅减少；</w:t>
      </w:r>
    </w:p>
    <w:p>
      <w:pPr>
        <w:pStyle w:val="BodyText"/>
        <w:spacing w:line="300" w:lineRule="auto" w:before="70"/>
        <w:ind w:right="112" w:firstLine="362"/>
        <w:jc w:val="both"/>
      </w:pPr>
      <w:r>
        <w:rPr>
          <w:spacing w:val="-1"/>
        </w:rPr>
        <w:t>（</w:t>
      </w:r>
      <w:r>
        <w:rPr>
          <w:rFonts w:ascii="Times New Roman" w:hAnsi="Times New Roman" w:cs="Times New Roman" w:eastAsia="Times New Roman" w:hint="default"/>
          <w:spacing w:val="-1"/>
        </w:rPr>
        <w:t>3</w:t>
      </w:r>
      <w:r>
        <w:rPr>
          <w:spacing w:val="-1"/>
        </w:rPr>
        <w:t>）投资活动现金流出小计较去年同期减少</w:t>
      </w:r>
      <w:r>
        <w:rPr>
          <w:rFonts w:ascii="Times New Roman" w:hAnsi="Times New Roman" w:cs="Times New Roman" w:eastAsia="Times New Roman" w:hint="default"/>
          <w:spacing w:val="-1"/>
        </w:rPr>
        <w:t>70.46%</w:t>
      </w:r>
      <w:r>
        <w:rPr>
          <w:spacing w:val="-1"/>
        </w:rPr>
        <w:t>，主要是上期本公司处置云南医药工业股份有限公司时，该公司账</w:t>
      </w:r>
      <w:r>
        <w:rPr/>
        <w:t> 面的现金及现金等价物金额较大。</w:t>
      </w:r>
    </w:p>
    <w:p>
      <w:pPr>
        <w:pStyle w:val="BodyText"/>
        <w:spacing w:line="300" w:lineRule="auto" w:before="72"/>
        <w:ind w:right="112" w:firstLine="362"/>
        <w:jc w:val="both"/>
      </w:pPr>
      <w:r>
        <w:rPr>
          <w:spacing w:val="-1"/>
        </w:rPr>
        <w:t>（</w:t>
      </w:r>
      <w:r>
        <w:rPr>
          <w:rFonts w:ascii="Times New Roman" w:hAnsi="Times New Roman" w:cs="Times New Roman" w:eastAsia="Times New Roman" w:hint="default"/>
          <w:spacing w:val="-1"/>
        </w:rPr>
        <w:t>4</w:t>
      </w:r>
      <w:r>
        <w:rPr>
          <w:spacing w:val="-1"/>
        </w:rPr>
        <w:t>）筹资活动现金流入小计较去年同期减少</w:t>
      </w:r>
      <w:r>
        <w:rPr>
          <w:rFonts w:ascii="Times New Roman" w:hAnsi="Times New Roman" w:cs="Times New Roman" w:eastAsia="Times New Roman" w:hint="default"/>
          <w:spacing w:val="-1"/>
        </w:rPr>
        <w:t>61.91%</w:t>
      </w:r>
      <w:r>
        <w:rPr>
          <w:spacing w:val="-1"/>
        </w:rPr>
        <w:t>，主要是上年云南医药工业股份有限公司收到云南省工业投资控股</w:t>
      </w:r>
      <w:r>
        <w:rPr/>
        <w:t> 集团有限公司增资款</w:t>
      </w:r>
      <w:r>
        <w:rPr>
          <w:rFonts w:ascii="Times New Roman" w:hAnsi="Times New Roman" w:cs="Times New Roman" w:eastAsia="Times New Roman" w:hint="default"/>
        </w:rPr>
        <w:t>182,500,000.00</w:t>
      </w:r>
      <w:r>
        <w:rPr/>
        <w:t>元导致吸收投资收到的现金上年同期数较大。其次，云南医药工业股份有限公司上年有 取得借款收到的现金</w:t>
      </w:r>
      <w:r>
        <w:rPr>
          <w:rFonts w:ascii="Times New Roman" w:hAnsi="Times New Roman" w:cs="Times New Roman" w:eastAsia="Times New Roman" w:hint="default"/>
        </w:rPr>
        <w:t>270,000,000.00</w:t>
      </w:r>
      <w:r>
        <w:rPr/>
        <w:t>元，本期不再纳入合并范围。</w:t>
      </w:r>
    </w:p>
    <w:p>
      <w:pPr>
        <w:pStyle w:val="BodyText"/>
        <w:spacing w:line="300" w:lineRule="auto" w:before="13"/>
        <w:ind w:right="111" w:firstLine="362"/>
        <w:jc w:val="both"/>
      </w:pPr>
      <w:r>
        <w:rPr>
          <w:spacing w:val="-3"/>
          <w:w w:val="95"/>
        </w:rPr>
        <w:t>（</w:t>
      </w:r>
      <w:r>
        <w:rPr>
          <w:rFonts w:ascii="Times New Roman" w:hAnsi="Times New Roman" w:cs="Times New Roman" w:eastAsia="Times New Roman" w:hint="default"/>
          <w:spacing w:val="-3"/>
          <w:w w:val="95"/>
        </w:rPr>
        <w:t>5</w:t>
      </w:r>
      <w:r>
        <w:rPr>
          <w:spacing w:val="-3"/>
          <w:w w:val="95"/>
        </w:rPr>
        <w:t>）筹资活动现金流出小计较去年减少</w:t>
      </w:r>
      <w:r>
        <w:rPr>
          <w:rFonts w:ascii="Times New Roman" w:hAnsi="Times New Roman" w:cs="Times New Roman" w:eastAsia="Times New Roman" w:hint="default"/>
          <w:spacing w:val="-3"/>
          <w:w w:val="95"/>
        </w:rPr>
        <w:t>52.33%</w:t>
      </w:r>
      <w:r>
        <w:rPr>
          <w:spacing w:val="-3"/>
          <w:w w:val="95"/>
        </w:rPr>
        <w:t>，主要是本年偿还债务支付的现金</w:t>
      </w:r>
      <w:r>
        <w:rPr>
          <w:rFonts w:ascii="Times New Roman" w:hAnsi="Times New Roman" w:cs="Times New Roman" w:eastAsia="Times New Roman" w:hint="default"/>
          <w:spacing w:val="-3"/>
          <w:w w:val="95"/>
        </w:rPr>
        <w:t>287,328,566.26</w:t>
      </w:r>
      <w:r>
        <w:rPr>
          <w:spacing w:val="-3"/>
          <w:w w:val="95"/>
        </w:rPr>
        <w:t>元，较上年减少</w:t>
      </w:r>
      <w:r>
        <w:rPr>
          <w:rFonts w:ascii="Times New Roman" w:hAnsi="Times New Roman" w:cs="Times New Roman" w:eastAsia="Times New Roman" w:hint="default"/>
          <w:spacing w:val="-3"/>
          <w:w w:val="95"/>
        </w:rPr>
        <w:t>56.47%</w:t>
      </w:r>
      <w:r>
        <w:rPr>
          <w:spacing w:val="-3"/>
          <w:w w:val="95"/>
        </w:rPr>
        <w:t>，</w:t>
      </w:r>
      <w:r>
        <w:rPr>
          <w:spacing w:val="-36"/>
          <w:w w:val="95"/>
        </w:rPr>
        <w:t> </w:t>
      </w:r>
      <w:r>
        <w:rPr/>
        <w:t>一方面本年云南医药工业股份有限公司不再纳入合并范围；另一方面，上年偿还长短期借款</w:t>
      </w:r>
      <w:r>
        <w:rPr>
          <w:rFonts w:ascii="Times New Roman" w:hAnsi="Times New Roman" w:cs="Times New Roman" w:eastAsia="Times New Roman" w:hint="default"/>
        </w:rPr>
        <w:t>1.5</w:t>
      </w:r>
      <w:r>
        <w:rPr/>
        <w:t>亿元导致。</w:t>
      </w:r>
    </w:p>
    <w:p>
      <w:pPr>
        <w:pStyle w:val="BodyText"/>
        <w:spacing w:line="300" w:lineRule="auto" w:before="53"/>
        <w:ind w:right="196" w:firstLine="362"/>
        <w:jc w:val="both"/>
      </w:pPr>
      <w:r>
        <w:rPr/>
        <w:t>（</w:t>
      </w:r>
      <w:r>
        <w:rPr>
          <w:rFonts w:ascii="Times New Roman" w:hAnsi="Times New Roman" w:cs="Times New Roman" w:eastAsia="Times New Roman" w:hint="default"/>
        </w:rPr>
        <w:t>6</w:t>
      </w:r>
      <w:r>
        <w:rPr/>
        <w:t>）现金及现金等价物净增加额较去年减少</w:t>
      </w:r>
      <w:r>
        <w:rPr>
          <w:rFonts w:ascii="Times New Roman" w:hAnsi="Times New Roman" w:cs="Times New Roman" w:eastAsia="Times New Roman" w:hint="default"/>
        </w:rPr>
        <w:t>275.73%</w:t>
      </w:r>
      <w:r>
        <w:rPr/>
        <w:t>，主要是经营活动产生的现金流量净额及筹资活动产生的现金流 量净额较去年同期减少幅度较大所致。</w:t>
      </w:r>
    </w:p>
    <w:p>
      <w:pPr>
        <w:pStyle w:val="BodyText"/>
        <w:spacing w:line="240" w:lineRule="auto" w:before="70"/>
        <w:ind w:right="99"/>
        <w:jc w:val="left"/>
      </w:pPr>
      <w:r>
        <w:rPr/>
        <w:t>报告期内公司经营活动的现金流量与本年度净利润存在重大差异的原因说明</w:t>
      </w:r>
    </w:p>
    <w:p>
      <w:pPr>
        <w:pStyle w:val="BodyText"/>
        <w:spacing w:line="240" w:lineRule="auto" w:before="117"/>
        <w:ind w:right="99"/>
        <w:jc w:val="left"/>
      </w:pPr>
      <w:r>
        <w:rPr/>
        <w:t>√ 适用 □ 不适用</w:t>
      </w:r>
    </w:p>
    <w:p>
      <w:pPr>
        <w:pStyle w:val="BodyText"/>
        <w:spacing w:line="300" w:lineRule="auto" w:before="117"/>
        <w:ind w:right="121" w:firstLine="362"/>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年云南医药工业股份有限公司不再纳入财务报表合并范围，仅从软件和信息服务业的营业收入来看，</w:t>
      </w:r>
      <w:r>
        <w:rPr>
          <w:rFonts w:ascii="Times New Roman" w:hAnsi="Times New Roman" w:cs="Times New Roman" w:eastAsia="Times New Roman" w:hint="default"/>
        </w:rPr>
        <w:t>2012</w:t>
      </w:r>
      <w:r>
        <w:rPr/>
        <w:t>年 较</w:t>
      </w:r>
      <w:r>
        <w:rPr>
          <w:rFonts w:ascii="Times New Roman" w:hAnsi="Times New Roman" w:cs="Times New Roman" w:eastAsia="Times New Roman" w:hint="default"/>
        </w:rPr>
        <w:t>2011</w:t>
      </w:r>
      <w:r>
        <w:rPr/>
        <w:t>年有所增长，销售规模增长需投入相应的经营性现金来作为保障，同时</w:t>
      </w:r>
      <w:r>
        <w:rPr>
          <w:rFonts w:ascii="Times New Roman" w:hAnsi="Times New Roman" w:cs="Times New Roman" w:eastAsia="Times New Roman" w:hint="default"/>
        </w:rPr>
        <w:t>2012</w:t>
      </w:r>
      <w:r>
        <w:rPr/>
        <w:t>年存货也有较大增长。</w:t>
      </w:r>
    </w:p>
    <w:p>
      <w:pPr>
        <w:pStyle w:val="BodyText"/>
        <w:spacing w:line="300" w:lineRule="auto" w:before="13"/>
        <w:ind w:right="112" w:firstLine="362"/>
        <w:jc w:val="both"/>
      </w:pPr>
      <w:r>
        <w:rPr/>
        <w:t>（</w:t>
      </w:r>
      <w:r>
        <w:rPr>
          <w:rFonts w:ascii="Times New Roman" w:hAnsi="Times New Roman" w:cs="Times New Roman" w:eastAsia="Times New Roman" w:hint="default"/>
        </w:rPr>
        <w:t>2</w:t>
      </w:r>
      <w:r>
        <w:rPr/>
        <w:t>）由于公司的客户主要是银行，而银行对其采购的付款在一定程度上受其预算完成情况的影响，会根据其需要有所 </w:t>
      </w:r>
      <w:r>
        <w:rPr>
          <w:spacing w:val="-1"/>
        </w:rPr>
        <w:t>调节，使得公司每年收款情况有所波动。如</w:t>
      </w:r>
      <w:r>
        <w:rPr>
          <w:rFonts w:ascii="Times New Roman" w:hAnsi="Times New Roman" w:cs="Times New Roman" w:eastAsia="Times New Roman" w:hint="default"/>
          <w:spacing w:val="-1"/>
        </w:rPr>
        <w:t>2008</w:t>
      </w:r>
      <w:r>
        <w:rPr>
          <w:spacing w:val="-1"/>
        </w:rPr>
        <w:t>年公司经营性净现金流达</w:t>
      </w:r>
      <w:r>
        <w:rPr>
          <w:rFonts w:ascii="Times New Roman" w:hAnsi="Times New Roman" w:cs="Times New Roman" w:eastAsia="Times New Roman" w:hint="default"/>
          <w:spacing w:val="-1"/>
        </w:rPr>
        <w:t>1.10</w:t>
      </w:r>
      <w:r>
        <w:rPr>
          <w:spacing w:val="-1"/>
        </w:rPr>
        <w:t>亿元，</w:t>
      </w:r>
      <w:r>
        <w:rPr>
          <w:rFonts w:ascii="Times New Roman" w:hAnsi="Times New Roman" w:cs="Times New Roman" w:eastAsia="Times New Roman" w:hint="default"/>
          <w:spacing w:val="-1"/>
        </w:rPr>
        <w:t>2009</w:t>
      </w:r>
      <w:r>
        <w:rPr>
          <w:spacing w:val="-1"/>
        </w:rPr>
        <w:t>年较低，</w:t>
      </w:r>
      <w:r>
        <w:rPr>
          <w:rFonts w:ascii="Times New Roman" w:hAnsi="Times New Roman" w:cs="Times New Roman" w:eastAsia="Times New Roman" w:hint="default"/>
          <w:spacing w:val="-1"/>
        </w:rPr>
        <w:t>2010</w:t>
      </w:r>
      <w:r>
        <w:rPr>
          <w:spacing w:val="-1"/>
        </w:rPr>
        <w:t>年为负，</w:t>
      </w:r>
      <w:r>
        <w:rPr>
          <w:rFonts w:ascii="Times New Roman" w:hAnsi="Times New Roman" w:cs="Times New Roman" w:eastAsia="Times New Roman" w:hint="default"/>
          <w:spacing w:val="-1"/>
        </w:rPr>
        <w:t>2011</w:t>
      </w:r>
      <w:r>
        <w:rPr>
          <w:spacing w:val="-1"/>
        </w:rPr>
        <w:t>年又达</w:t>
      </w:r>
      <w:r>
        <w:rPr>
          <w:spacing w:val="-77"/>
        </w:rPr>
        <w:t> </w:t>
      </w:r>
      <w:r>
        <w:rPr>
          <w:rFonts w:ascii="Times New Roman" w:hAnsi="Times New Roman" w:cs="Times New Roman" w:eastAsia="Times New Roman" w:hint="default"/>
        </w:rPr>
        <w:t>1.34</w:t>
      </w:r>
      <w:r>
        <w:rPr/>
        <w:t>亿元，因此，公司的经营活动现金净流量在各年度波动较大。</w:t>
      </w:r>
    </w:p>
    <w:p>
      <w:pPr>
        <w:pStyle w:val="BodyText"/>
        <w:spacing w:line="240" w:lineRule="auto" w:before="13"/>
        <w:ind w:left="475" w:right="99"/>
        <w:jc w:val="left"/>
      </w:pPr>
      <w:r>
        <w:rPr/>
        <w:t>（</w:t>
      </w:r>
      <w:r>
        <w:rPr>
          <w:rFonts w:ascii="Times New Roman" w:hAnsi="Times New Roman" w:cs="Times New Roman" w:eastAsia="Times New Roman" w:hint="default"/>
        </w:rPr>
        <w:t>3</w:t>
      </w:r>
      <w:r>
        <w:rPr/>
        <w:t>）对公司净利润影响较大的投资收益</w:t>
      </w:r>
      <w:r>
        <w:rPr>
          <w:rFonts w:ascii="Times New Roman" w:hAnsi="Times New Roman" w:cs="Times New Roman" w:eastAsia="Times New Roman" w:hint="default"/>
        </w:rPr>
        <w:t>2,200</w:t>
      </w:r>
      <w:r>
        <w:rPr/>
        <w:t>万元不属于经营活动现金净流量里面。</w:t>
      </w:r>
    </w:p>
    <w:p>
      <w:pPr>
        <w:spacing w:line="240" w:lineRule="auto" w:before="2"/>
        <w:rPr>
          <w:rFonts w:ascii="宋体" w:hAnsi="宋体" w:cs="宋体" w:eastAsia="宋体" w:hint="default"/>
          <w:sz w:val="18"/>
          <w:szCs w:val="18"/>
        </w:rPr>
      </w:pPr>
    </w:p>
    <w:p>
      <w:pPr>
        <w:pStyle w:val="Heading2"/>
        <w:spacing w:line="240" w:lineRule="auto"/>
        <w:ind w:right="99"/>
        <w:jc w:val="left"/>
        <w:rPr>
          <w:b w:val="0"/>
          <w:bCs w:val="0"/>
        </w:rPr>
      </w:pPr>
      <w:r>
        <w:rPr/>
        <w:t>三、主营业务构成情况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47"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47"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1,808,104,056.35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1,400,640,120.04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22.54%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7.23%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0.39%</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四、资产、负债状况分析" w:id="22"/>
            <w:bookmarkEnd w:id="22"/>
            <w:r>
              <w:rPr/>
            </w:r>
            <w:bookmarkStart w:name="1、资产项目重大变动情况" w:id="23"/>
            <w:bookmarkEnd w:id="23"/>
            <w:r>
              <w:rPr/>
            </w:r>
            <w:bookmarkStart w:name="2、负债项目重大变动情况" w:id="24"/>
            <w:bookmarkEnd w:id="24"/>
            <w:r>
              <w:rPr/>
            </w:r>
            <w:r>
              <w:rPr>
                <w:rFonts w:ascii="宋体" w:hAnsi="宋体" w:cs="宋体" w:eastAsia="宋体" w:hint="default"/>
                <w:sz w:val="18"/>
                <w:szCs w:val="18"/>
              </w:rPr>
              <w:t>信息产品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514,695,077.58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408,532,836.78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867,624,965.24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792,665,564.29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156,892,286.82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70,486,818.22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268,891,726.71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128,954,900.75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-0.93%</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333,296,067.50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253,496,389.53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326,104,726.20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253,090,558.61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802,215,486.25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657,029,480.44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346,487,776.40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237,023,691.46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51"/>
        <w:ind w:right="99"/>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9"/>
        <w:jc w:val="left"/>
        <w:rPr>
          <w:b w:val="0"/>
          <w:bCs w:val="0"/>
        </w:rPr>
      </w:pPr>
      <w:r>
        <w:rPr/>
        <w:t>四、资产、负债状况分析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99"/>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68"/>
        <w:gridCol w:w="1332"/>
        <w:gridCol w:w="895"/>
        <w:gridCol w:w="1265"/>
        <w:gridCol w:w="994"/>
        <w:gridCol w:w="797"/>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 w:firstLine="60"/>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8" w:right="3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489,637,956.11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22.34%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572,741,635.66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358,911,169.66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428,390,809.84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399,704,264.75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356,098,820.89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27,421,667.01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28,945,315.70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334,250,930.25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288,236,990.54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262,894,328.57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273,003,078.45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46,172,636.40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2.11%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20,255,014.41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333" w:lineRule="exact"/>
        <w:ind w:left="119" w:right="99"/>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68"/>
        <w:gridCol w:w="1332"/>
        <w:gridCol w:w="895"/>
        <w:gridCol w:w="1195"/>
        <w:gridCol w:w="1063"/>
        <w:gridCol w:w="797"/>
        <w:gridCol w:w="291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8" w:firstLine="60"/>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106,282,283.79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45,000,000.00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5,370,233.15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25,950,063.37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-0.94%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3、以公允价值计量的资产和负债" w:id="25"/>
      <w:bookmarkEnd w:id="25"/>
      <w:r>
        <w:rPr>
          <w:b w:val="0"/>
          <w:bCs w:val="0"/>
        </w:rPr>
      </w:r>
      <w:bookmarkStart w:name="五、核心竞争力分析" w:id="26"/>
      <w:bookmarkEnd w:id="26"/>
      <w:r>
        <w:rPr>
          <w:b w:val="0"/>
          <w:bCs w:val="0"/>
        </w:rPr>
      </w:r>
      <w:bookmarkStart w:name="六、投资状况分析" w:id="27"/>
      <w:bookmarkEnd w:id="27"/>
      <w:r>
        <w:rPr>
          <w:b w:val="0"/>
          <w:bCs w:val="0"/>
        </w:rPr>
      </w:r>
      <w:bookmarkStart w:name="1、对外股权投资情况" w:id="28"/>
      <w:bookmarkEnd w:id="28"/>
      <w:r>
        <w:rPr>
          <w:b w:val="0"/>
          <w:bCs w:val="0"/>
        </w:rPr>
      </w:r>
      <w:bookmarkStart w:name="（1）对外投资情况" w:id="29"/>
      <w:bookmarkEnd w:id="29"/>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98"/>
        <w:gridCol w:w="1198"/>
        <w:gridCol w:w="1195"/>
        <w:gridCol w:w="1195"/>
        <w:gridCol w:w="1198"/>
        <w:gridCol w:w="1195"/>
        <w:gridCol w:w="1195"/>
        <w:gridCol w:w="1195"/>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4" w:right="5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1"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1" w:hRule="exact"/>
        </w:trPr>
        <w:tc>
          <w:tcPr>
            <w:tcW w:w="11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w:t>
            </w:r>
          </w:p>
        </w:tc>
        <w:tc>
          <w:tcPr>
            <w:tcW w:w="1198"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计量且其变动</w:t>
            </w:r>
          </w:p>
        </w:tc>
        <w:tc>
          <w:tcPr>
            <w:tcW w:w="1198"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4" w:right="83"/>
              <w:jc w:val="left"/>
              <w:rPr>
                <w:rFonts w:ascii="宋体" w:hAnsi="宋体" w:cs="宋体" w:eastAsia="宋体" w:hint="default"/>
                <w:sz w:val="18"/>
                <w:szCs w:val="18"/>
              </w:rPr>
            </w:pPr>
            <w:r>
              <w:rPr>
                <w:rFonts w:ascii="宋体" w:hAnsi="宋体" w:cs="宋体" w:eastAsia="宋体" w:hint="default"/>
                <w:sz w:val="18"/>
                <w:szCs w:val="18"/>
              </w:rPr>
              <w:t>计入当期损益 的金融资产</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74,239.00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-1,140.00</w:t>
            </w: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54,924.00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18,175.00</w:t>
            </w:r>
          </w:p>
        </w:tc>
      </w:tr>
      <w:tr>
        <w:trPr>
          <w:trHeight w:val="312" w:hRule="exact"/>
        </w:trPr>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（不含衍生金</w:t>
            </w:r>
          </w:p>
        </w:tc>
        <w:tc>
          <w:tcPr>
            <w:tcW w:w="1198"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1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198"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74,239.00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54,924.00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18,175.00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
        <w:jc w:val="left"/>
      </w:pPr>
      <w:r>
        <w:rPr/>
        <w:t>报告期内公司主要资产计量属性是否发生重大变化</w:t>
      </w:r>
    </w:p>
    <w:p>
      <w:pPr>
        <w:pStyle w:val="BodyText"/>
        <w:spacing w:line="240" w:lineRule="auto" w:before="117"/>
        <w:ind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18"/>
          <w:szCs w:val="18"/>
        </w:rPr>
      </w:pPr>
    </w:p>
    <w:p>
      <w:pPr>
        <w:pStyle w:val="Heading2"/>
        <w:spacing w:line="240" w:lineRule="auto"/>
        <w:ind w:right="99"/>
        <w:jc w:val="left"/>
        <w:rPr>
          <w:b w:val="0"/>
          <w:bCs w:val="0"/>
        </w:rPr>
      </w:pPr>
      <w:r>
        <w:rPr/>
        <w:t>五、核心竞争力分析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2" w:lineRule="auto"/>
        <w:ind w:right="99" w:firstLine="391"/>
        <w:jc w:val="left"/>
      </w:pPr>
      <w:r>
        <w:rPr/>
        <w:t>公司自成立以来始终专注于为金融信息行业服务，在业务上的踏实和对客户稳定的服务质量，为公司在行业客户中树 </w:t>
      </w:r>
      <w:r>
        <w:rPr>
          <w:spacing w:val="-2"/>
        </w:rPr>
        <w:t>立了很好的声誉和口碑，也让更多地金融客户在业务合作上选择了南天信息；多年来在银行业务上的发展还为公司积累了优</w:t>
      </w:r>
      <w:r>
        <w:rPr>
          <w:spacing w:val="-65"/>
        </w:rPr>
        <w:t> </w:t>
      </w:r>
      <w:r>
        <w:rPr>
          <w:spacing w:val="-65"/>
        </w:rPr>
      </w:r>
      <w:r>
        <w:rPr>
          <w:spacing w:val="-2"/>
        </w:rPr>
        <w:t>质的客户资源，银行客户构成了南天信息赖以生存的核心客户群；南天信息具有二十多年</w:t>
      </w:r>
      <w:r>
        <w:rPr>
          <w:rFonts w:ascii="Times New Roman" w:hAnsi="Times New Roman" w:cs="Times New Roman" w:eastAsia="Times New Roman" w:hint="default"/>
          <w:spacing w:val="-2"/>
        </w:rPr>
        <w:t>IT</w:t>
      </w:r>
      <w:r>
        <w:rPr>
          <w:spacing w:val="-2"/>
        </w:rPr>
        <w:t>专业服务的丰富经验，集计算机</w:t>
      </w:r>
      <w:r>
        <w:rPr>
          <w:spacing w:val="-53"/>
        </w:rPr>
        <w:t> </w:t>
      </w:r>
      <w:r>
        <w:rPr>
          <w:spacing w:val="-53"/>
        </w:rPr>
      </w:r>
      <w:r>
        <w:rPr>
          <w:spacing w:val="-2"/>
        </w:rPr>
        <w:t>软件、硬件、网络、行业知识、集成技术及全面服务为一体，公司的技术在围绕着银行业务发展的基础上不断发展创新，并</w:t>
      </w:r>
      <w:r>
        <w:rPr>
          <w:spacing w:val="-64"/>
        </w:rPr>
        <w:t> </w:t>
      </w:r>
      <w:r>
        <w:rPr>
          <w:spacing w:val="-64"/>
        </w:rPr>
      </w:r>
      <w:r>
        <w:rPr>
          <w:spacing w:val="-2"/>
        </w:rPr>
        <w:t>积累了大量的成功案例，继而更加深入地支撑公司在银行客户业务上的纵深挖掘和横向业务拓展；南天售后服务保障体系是</w:t>
      </w:r>
      <w:r>
        <w:rPr>
          <w:spacing w:val="-65"/>
        </w:rPr>
        <w:t> </w:t>
      </w:r>
      <w:r>
        <w:rPr>
          <w:spacing w:val="-65"/>
        </w:rPr>
      </w:r>
      <w:r>
        <w:rPr>
          <w:spacing w:val="-2"/>
        </w:rPr>
        <w:t>客户使用南天产品的坚强保障，已成为南天生产、销售、服务中心的重要一环，经过十多年的建设，公司目前已经建立形成</w:t>
      </w:r>
      <w:r>
        <w:rPr>
          <w:spacing w:val="-66"/>
        </w:rPr>
        <w:t> </w:t>
      </w:r>
      <w:r>
        <w:rPr>
          <w:spacing w:val="-66"/>
        </w:rPr>
      </w:r>
      <w:r>
        <w:rPr>
          <w:spacing w:val="-2"/>
        </w:rPr>
        <w:t>了覆盖全国的</w:t>
      </w:r>
      <w:r>
        <w:rPr>
          <w:rFonts w:ascii="Times New Roman" w:hAnsi="Times New Roman" w:cs="Times New Roman" w:eastAsia="Times New Roman" w:hint="default"/>
          <w:spacing w:val="-2"/>
        </w:rPr>
        <w:t>4</w:t>
      </w:r>
      <w:r>
        <w:rPr>
          <w:spacing w:val="-2"/>
        </w:rPr>
        <w:t>大区域公司和</w:t>
      </w:r>
      <w:r>
        <w:rPr>
          <w:rFonts w:ascii="Times New Roman" w:hAnsi="Times New Roman" w:cs="Times New Roman" w:eastAsia="Times New Roman" w:hint="default"/>
          <w:spacing w:val="-2"/>
        </w:rPr>
        <w:t>110</w:t>
      </w:r>
      <w:r>
        <w:rPr>
          <w:spacing w:val="-2"/>
        </w:rPr>
        <w:t>多个办事处和服务网点，销售服务网络可实现对银行客户从总行、支行到营业网点的销售和</w:t>
      </w:r>
      <w:r>
        <w:rPr>
          <w:spacing w:val="-62"/>
        </w:rPr>
        <w:t> </w:t>
      </w:r>
      <w:r>
        <w:rPr>
          <w:spacing w:val="-62"/>
        </w:rPr>
      </w:r>
      <w:r>
        <w:rPr/>
        <w:t>服务覆盖。</w:t>
      </w:r>
    </w:p>
    <w:p>
      <w:pPr>
        <w:pStyle w:val="BodyText"/>
        <w:spacing w:line="316" w:lineRule="auto" w:before="22"/>
        <w:ind w:right="163" w:firstLine="391"/>
        <w:jc w:val="left"/>
      </w:pPr>
      <w:r>
        <w:rPr/>
        <w:t>努力追求信息科技领域的高新技术，与客户共同创造信息科技的价值，是南天信息不懈的追求。今后，南天信息将继 续通过不断为用户提供优秀的产品和解决方案，实现与客户的共同发展。</w:t>
      </w:r>
    </w:p>
    <w:p>
      <w:pPr>
        <w:spacing w:line="240" w:lineRule="auto" w:before="11"/>
        <w:rPr>
          <w:rFonts w:ascii="宋体" w:hAnsi="宋体" w:cs="宋体" w:eastAsia="宋体" w:hint="default"/>
          <w:sz w:val="14"/>
          <w:szCs w:val="14"/>
        </w:rPr>
      </w:pPr>
    </w:p>
    <w:p>
      <w:pPr>
        <w:pStyle w:val="Heading2"/>
        <w:spacing w:line="240" w:lineRule="auto"/>
        <w:ind w:right="99"/>
        <w:jc w:val="left"/>
        <w:rPr>
          <w:b w:val="0"/>
          <w:bCs w:val="0"/>
        </w:rPr>
      </w:pPr>
      <w:r>
        <w:rPr/>
        <w:t>六、投资状况分析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99"/>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）对外投资情况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-33.33%</w:t>
            </w:r>
          </w:p>
        </w:tc>
      </w:tr>
      <w:tr>
        <w:trPr>
          <w:trHeight w:val="403"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bookmarkStart w:name="（2）持有金融企业股权情况" w:id="30"/>
            <w:bookmarkEnd w:id="30"/>
            <w:r>
              <w:rPr/>
            </w:r>
            <w:bookmarkStart w:name="（3）证券投资情况" w:id="31"/>
            <w:bookmarkEnd w:id="31"/>
            <w:r>
              <w:rPr/>
            </w:r>
            <w:bookmarkStart w:name="2、募集资金使用情况" w:id="32"/>
            <w:bookmarkEnd w:id="32"/>
            <w:r>
              <w:rPr/>
            </w:r>
            <w:bookmarkStart w:name="（1）募集资金总体使用情况" w:id="33"/>
            <w:bookmarkEnd w:id="33"/>
            <w:r>
              <w:rPr/>
            </w: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58"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货运代理、货运配载、货运信息、仓储</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理货、搬运装卸；物流方案的设计与策</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划；劳务派遣；物流信息及经济信息的</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咨询承接网络工程、信息系统工程、开</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云南东盟公共物流信息有限公司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发销售计算机软硬件、智能化产品；计</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42.8%</w:t>
            </w:r>
          </w:p>
        </w:tc>
      </w:tr>
      <w:tr>
        <w:trPr>
          <w:trHeight w:val="307"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算机技术服务及技术咨询；代理机动车</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辆险、企业财产险、货运险、人生意外</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pacing w:val="-16"/>
                <w:sz w:val="18"/>
                <w:szCs w:val="18"/>
              </w:rPr>
              <w:t> </w:t>
            </w:r>
            <w:r>
              <w:rPr>
                <w:rFonts w:ascii="宋体" w:hAnsi="宋体" w:cs="宋体" w:eastAsia="宋体" w:hint="default"/>
                <w:sz w:val="18"/>
                <w:szCs w:val="18"/>
              </w:rPr>
              <w:t>责任险；第二类增值电信业务中的</w:t>
            </w:r>
          </w:p>
        </w:tc>
        <w:tc>
          <w:tcPr>
            <w:tcW w:w="319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3190" w:type="dxa"/>
            <w:tcBorders>
              <w:top w:val="nil" w:sz="6" w:space="0" w:color="auto"/>
              <w:left w:val="single" w:sz="4" w:space="0" w:color="000000"/>
              <w:bottom w:val="single" w:sz="4" w:space="0" w:color="000000"/>
              <w:right w:val="single" w:sz="4" w:space="0" w:color="000000"/>
            </w:tcBorders>
          </w:tcPr>
          <w:p>
            <w:pPr/>
          </w:p>
        </w:tc>
      </w:tr>
    </w:tbl>
    <w:p>
      <w:pPr>
        <w:spacing w:line="240" w:lineRule="auto" w:before="7"/>
        <w:rPr>
          <w:rFonts w:ascii="Microsoft JhengHei" w:hAnsi="Microsoft JhengHei" w:cs="Microsoft JhengHei" w:eastAsia="Microsoft JhengHei" w:hint="default"/>
          <w:b/>
          <w:bCs/>
          <w:sz w:val="14"/>
          <w:szCs w:val="14"/>
        </w:rPr>
      </w:pPr>
    </w:p>
    <w:p>
      <w:pPr>
        <w:pStyle w:val="Heading4"/>
        <w:spacing w:line="333" w:lineRule="exact"/>
        <w:ind w:right="99"/>
        <w:jc w:val="left"/>
        <w:rPr>
          <w:b w:val="0"/>
          <w:bCs w:val="0"/>
        </w:rPr>
      </w:pPr>
      <w:r>
        <w:rPr/>
        <w:pict>
          <v:shape style="position:absolute;margin-left:181.919998pt;margin-top:33.531868pt;width:49.45pt;height:35.4pt;mso-position-horizontal-relative:page;mso-position-vertical-relative:paragraph;z-index:-90832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shape style="position:absolute;margin-left:225.360001pt;margin-top:33.531868pt;width:49.45pt;height:35.4pt;mso-position-horizontal-relative:page;mso-position-vertical-relative:paragraph;z-index:-90829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shape style="position:absolute;margin-left:312.359985pt;margin-top:33.531868pt;width:49.35pt;height:35.4pt;mso-position-horizontal-relative:page;mso-position-vertical-relative:paragraph;z-index:-9082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876"/>
        <w:gridCol w:w="881"/>
        <w:gridCol w:w="869"/>
        <w:gridCol w:w="871"/>
        <w:gridCol w:w="869"/>
        <w:gridCol w:w="869"/>
        <w:gridCol w:w="869"/>
        <w:gridCol w:w="869"/>
        <w:gridCol w:w="869"/>
        <w:gridCol w:w="869"/>
        <w:gridCol w:w="857"/>
      </w:tblGrid>
      <w:tr>
        <w:trPr>
          <w:trHeight w:val="715" w:hRule="exact"/>
        </w:trPr>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7" w:firstLine="45"/>
              <w:jc w:val="left"/>
              <w:rPr>
                <w:rFonts w:ascii="宋体" w:hAnsi="宋体" w:cs="宋体" w:eastAsia="宋体" w:hint="default"/>
                <w:sz w:val="18"/>
                <w:szCs w:val="18"/>
              </w:rPr>
            </w:pPr>
            <w:r>
              <w:rPr>
                <w:rFonts w:ascii="宋体" w:hAnsi="宋体" w:cs="宋体" w:eastAsia="宋体" w:hint="default"/>
                <w:sz w:val="18"/>
                <w:szCs w:val="18"/>
              </w:rPr>
              <w:t>最初投资 成本（元</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7" w:firstLine="48"/>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7"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5"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both"/>
              <w:rPr>
                <w:rFonts w:ascii="宋体" w:hAnsi="宋体" w:cs="宋体" w:eastAsia="宋体" w:hint="default"/>
                <w:sz w:val="18"/>
                <w:szCs w:val="18"/>
              </w:rPr>
            </w:pPr>
            <w:r>
              <w:rPr>
                <w:rFonts w:ascii="宋体" w:hAnsi="宋体" w:cs="宋体" w:eastAsia="宋体" w:hint="default"/>
                <w:sz w:val="18"/>
                <w:szCs w:val="18"/>
              </w:rPr>
              <w:t>富滇银行 股份有限 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增资扩股</w:t>
            </w:r>
          </w:p>
        </w:tc>
      </w:tr>
      <w:tr>
        <w:trPr>
          <w:trHeight w:val="715"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Microsoft JhengHei" w:hAnsi="Microsoft JhengHei" w:cs="Microsoft JhengHei" w:eastAsia="Microsoft JhengHei" w:hint="default"/>
          <w:b/>
          <w:bCs/>
          <w:sz w:val="14"/>
          <w:szCs w:val="14"/>
        </w:rPr>
      </w:pPr>
    </w:p>
    <w:p>
      <w:pPr>
        <w:pStyle w:val="Heading4"/>
        <w:spacing w:line="333" w:lineRule="exact"/>
        <w:ind w:right="99"/>
        <w:jc w:val="left"/>
        <w:rPr>
          <w:b w:val="0"/>
          <w:bCs w:val="0"/>
        </w:rPr>
      </w:pPr>
      <w:r>
        <w:rPr/>
        <w:pict>
          <v:shape style="position:absolute;margin-left:211.440002pt;margin-top:33.531864pt;width:45.5pt;height:35.4pt;mso-position-horizontal-relative:page;mso-position-vertical-relative:paragraph;z-index:-90824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shape style="position:absolute;margin-left:251.160004pt;margin-top:33.531864pt;width:45.6pt;height:35.4pt;mso-position-horizontal-relative:page;mso-position-vertical-relative:paragraph;z-index:-90822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shape style="position:absolute;margin-left:291.119995pt;margin-top:33.531864pt;width:45.5pt;height:35.4pt;mso-position-horizontal-relative:page;mso-position-vertical-relative:paragraph;z-index:-90820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shape style="position:absolute;margin-left:330.959991pt;margin-top:33.531864pt;width:45.6pt;height:35.4pt;mso-position-horizontal-relative:page;mso-position-vertical-relative:paragraph;z-index:-9081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shape style="position:absolute;margin-left:370.799988pt;margin-top:33.531864pt;width:45.5pt;height:35.4pt;mso-position-horizontal-relative:page;mso-position-vertical-relative:paragraph;z-index:-90815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t>（</w:t>
      </w:r>
      <w:r>
        <w:rPr>
          <w:rFonts w:ascii="Times New Roman" w:hAnsi="Times New Roman" w:cs="Times New Roman" w:eastAsia="Times New Roman" w:hint="default"/>
        </w:rPr>
        <w:t>3</w:t>
      </w:r>
      <w:r>
        <w:rPr/>
        <w:t>）证券投资情况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799"/>
        <w:gridCol w:w="799"/>
        <w:gridCol w:w="816"/>
        <w:gridCol w:w="799"/>
        <w:gridCol w:w="794"/>
        <w:gridCol w:w="799"/>
        <w:gridCol w:w="794"/>
        <w:gridCol w:w="799"/>
        <w:gridCol w:w="797"/>
        <w:gridCol w:w="797"/>
        <w:gridCol w:w="797"/>
        <w:gridCol w:w="780"/>
      </w:tblGrid>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1" w:firstLine="12"/>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17"/>
                <w:sz w:val="18"/>
                <w:szCs w:val="18"/>
              </w:rPr>
              <w:t>成本（元</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 w:right="29" w:firstLine="12"/>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18"/>
                <w:sz w:val="18"/>
                <w:szCs w:val="18"/>
              </w:rPr>
              <w:t>数量（股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1"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9" w:firstLine="9"/>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18"/>
                <w:sz w:val="18"/>
                <w:szCs w:val="18"/>
              </w:rPr>
              <w:t>数量（股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1"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1" w:hRule="exact"/>
        </w:trPr>
        <w:tc>
          <w:tcPr>
            <w:tcW w:w="241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持有其他上市公司股权情况的说明</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）募集资金总体使用情况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4"/>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102"/>
        <w:gridCol w:w="5467"/>
      </w:tblGrid>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46,990.89</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4,619.13</w:t>
            </w:r>
          </w:p>
        </w:tc>
      </w:tr>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48,694.25</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4,155.73</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8.84%</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2）募集资金承诺项目情况" w:id="34"/>
      <w:bookmarkEnd w:id="3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4"/>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9"/>
              <w:ind w:left="153"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信息产品产能扩建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27,076.76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106.39%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自主软件研发</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 及软件外包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15,551.59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货币自动处理设备服 务及运营项目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6,044.89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1,889.16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8" w:hRule="exact"/>
        </w:trPr>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南天移动互联网支付</w:t>
            </w: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应用综合解决方案项</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4,155.73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1,230.39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4,176.73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100.51%</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-2,258.23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46,990.89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46,990.89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48,694.24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-71.95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46,990.89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46,990.89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4,619.13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48,694.24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-71.95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一、信息产品产能扩建项目</w:t>
            </w:r>
          </w:p>
        </w:tc>
      </w:tr>
      <w:tr>
        <w:trPr>
          <w:trHeight w:val="3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、信息产品产能扩建厂房建造项目受行政审批时间，施工地质、设计问题的影响，导致工期延后，</w:t>
            </w:r>
            <w:r>
              <w:rPr>
                <w:rFonts w:ascii="宋体" w:hAnsi="宋体" w:cs="宋体" w:eastAsia="宋体" w:hint="default"/>
                <w:sz w:val="18"/>
                <w:szCs w:val="18"/>
              </w:rPr>
            </w:r>
          </w:p>
        </w:tc>
      </w:tr>
      <w:tr>
        <w:trPr>
          <w:trHeight w:val="327"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从而使项目实施进度滞后于计划进度；</w:t>
            </w:r>
          </w:p>
        </w:tc>
      </w:tr>
      <w:tr>
        <w:trPr>
          <w:trHeight w:val="337"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）施工地质影响：建设地点处于古河河床之上（属于淤泥层</w:t>
            </w:r>
            <w:r>
              <w:rPr>
                <w:rFonts w:ascii="宋体" w:hAnsi="宋体" w:cs="宋体" w:eastAsia="宋体" w:hint="default"/>
                <w:spacing w:val="-89"/>
                <w:sz w:val="18"/>
                <w:szCs w:val="18"/>
              </w:rPr>
              <w:t>）</w:t>
            </w:r>
            <w:r>
              <w:rPr>
                <w:rFonts w:ascii="宋体" w:hAnsi="宋体" w:cs="宋体" w:eastAsia="宋体" w:hint="default"/>
                <w:sz w:val="18"/>
                <w:szCs w:val="18"/>
              </w:rPr>
              <w:t>，地质结构复杂，为保证工程建设</w:t>
            </w:r>
          </w:p>
        </w:tc>
      </w:tr>
      <w:tr>
        <w:trPr>
          <w:trHeight w:val="327"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工程质量，前期需进行清淤、回填、防土体沉降等工作，遂停工多时，工程进度严重滞后；</w:t>
            </w:r>
          </w:p>
        </w:tc>
      </w:tr>
      <w:tr>
        <w:trPr>
          <w:trHeight w:val="3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4"/>
                <w:w w:val="95"/>
                <w:sz w:val="18"/>
                <w:szCs w:val="18"/>
              </w:rPr>
              <w:t>（</w:t>
            </w:r>
            <w:r>
              <w:rPr>
                <w:rFonts w:ascii="Times New Roman" w:hAnsi="Times New Roman" w:cs="Times New Roman" w:eastAsia="Times New Roman" w:hint="default"/>
                <w:spacing w:val="-4"/>
                <w:w w:val="95"/>
                <w:sz w:val="18"/>
                <w:szCs w:val="18"/>
              </w:rPr>
              <w:t>2</w:t>
            </w:r>
            <w:r>
              <w:rPr>
                <w:rFonts w:ascii="宋体" w:hAnsi="宋体" w:cs="宋体" w:eastAsia="宋体" w:hint="default"/>
                <w:spacing w:val="-4"/>
                <w:w w:val="95"/>
                <w:sz w:val="18"/>
                <w:szCs w:val="18"/>
              </w:rPr>
              <w:t>）工程设计影响：项目施工图设计方案初稿与施工实际情况存在冲突，本公司提出修改设计方案，</w:t>
            </w:r>
            <w:r>
              <w:rPr>
                <w:rFonts w:ascii="宋体" w:hAnsi="宋体" w:cs="宋体" w:eastAsia="宋体" w:hint="default"/>
                <w:spacing w:val="-4"/>
                <w:sz w:val="18"/>
                <w:szCs w:val="18"/>
              </w:rPr>
            </w:r>
          </w:p>
        </w:tc>
      </w:tr>
      <w:tr>
        <w:trPr>
          <w:trHeight w:val="327"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修改工作几经反复，导致工作进度滞后于计划；</w:t>
            </w:r>
          </w:p>
        </w:tc>
      </w:tr>
      <w:tr>
        <w:trPr>
          <w:trHeight w:val="3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）招投标影响：项目电子装配综合楼工程前两次招标出现一次流标、一次废标。第三次招标成功</w:t>
            </w:r>
          </w:p>
        </w:tc>
      </w:tr>
      <w:tr>
        <w:trPr>
          <w:trHeight w:val="717"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61"/>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3"/>
              <w:jc w:val="left"/>
              <w:rPr>
                <w:rFonts w:ascii="宋体" w:hAnsi="宋体" w:cs="宋体" w:eastAsia="宋体" w:hint="default"/>
                <w:sz w:val="18"/>
                <w:szCs w:val="18"/>
              </w:rPr>
            </w:pPr>
            <w:r>
              <w:rPr>
                <w:rFonts w:ascii="宋体" w:hAnsi="宋体" w:cs="宋体" w:eastAsia="宋体" w:hint="default"/>
                <w:sz w:val="18"/>
                <w:szCs w:val="18"/>
              </w:rPr>
              <w:t>后，由于低价中标，导致公司与中标单位合同谈判中关于增加人工费用、材料价格补差等争议事项 协商时间较长，致使项目建设进度严重滞后于工期安排。</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、受国家宏观经济环境影响，信息产品产能未能实现满负荷运转，并且市场需求减少，导致公司</w:t>
            </w:r>
          </w:p>
        </w:tc>
      </w:tr>
      <w:tr>
        <w:trPr>
          <w:trHeight w:val="280"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BST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ATM</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PR</w:t>
            </w:r>
            <w:r>
              <w:rPr>
                <w:rFonts w:ascii="Times New Roman" w:hAnsi="Times New Roman" w:cs="Times New Roman" w:eastAsia="Times New Roman" w:hint="default"/>
                <w:sz w:val="18"/>
                <w:szCs w:val="18"/>
              </w:rPr>
              <w:t> </w:t>
            </w:r>
            <w:r>
              <w:rPr>
                <w:rFonts w:ascii="宋体" w:hAnsi="宋体" w:cs="宋体" w:eastAsia="宋体" w:hint="default"/>
                <w:sz w:val="18"/>
                <w:szCs w:val="18"/>
              </w:rPr>
              <w:t>销售数量大幅度减少。</w:t>
            </w:r>
          </w:p>
        </w:tc>
      </w:tr>
      <w:tr>
        <w:trPr>
          <w:trHeight w:val="350"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二、自主软件研发、</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服务及软件外包项目</w:t>
            </w:r>
          </w:p>
        </w:tc>
      </w:tr>
      <w:tr>
        <w:trPr>
          <w:trHeight w:val="33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pacing w:val="-4"/>
                <w:w w:val="95"/>
                <w:sz w:val="18"/>
                <w:szCs w:val="18"/>
              </w:rPr>
              <w:t>受国家宏观经济环境影响，本公司客户  </w:t>
            </w:r>
            <w:r>
              <w:rPr>
                <w:rFonts w:ascii="Times New Roman" w:hAnsi="Times New Roman" w:cs="Times New Roman" w:eastAsia="Times New Roman" w:hint="default"/>
                <w:w w:val="95"/>
                <w:sz w:val="18"/>
                <w:szCs w:val="18"/>
              </w:rPr>
              <w:t>2012    </w:t>
            </w:r>
            <w:r>
              <w:rPr>
                <w:rFonts w:ascii="Times New Roman" w:hAnsi="Times New Roman" w:cs="Times New Roman" w:eastAsia="Times New Roman" w:hint="default"/>
                <w:spacing w:val="31"/>
                <w:w w:val="95"/>
                <w:sz w:val="18"/>
                <w:szCs w:val="18"/>
              </w:rPr>
              <w:t> </w:t>
            </w:r>
            <w:r>
              <w:rPr>
                <w:rFonts w:ascii="宋体" w:hAnsi="宋体" w:cs="宋体" w:eastAsia="宋体" w:hint="default"/>
                <w:spacing w:val="-5"/>
                <w:w w:val="95"/>
                <w:sz w:val="18"/>
                <w:szCs w:val="18"/>
              </w:rPr>
              <w:t>年度需求减弱，同时因为通货膨胀影响，采购成本上升；</w:t>
            </w:r>
            <w:r>
              <w:rPr>
                <w:rFonts w:ascii="宋体" w:hAnsi="宋体" w:cs="宋体" w:eastAsia="宋体" w:hint="default"/>
                <w:spacing w:val="-5"/>
                <w:sz w:val="18"/>
                <w:szCs w:val="18"/>
              </w:rPr>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此外公司本期因软件及服务人员增加，人工成本上升。由于上述原因导致公司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自主软件研发、</w:t>
            </w:r>
            <w:r>
              <w:rPr>
                <w:rFonts w:ascii="Times New Roman" w:hAnsi="Times New Roman" w:cs="Times New Roman" w:eastAsia="Times New Roman" w:hint="default"/>
                <w:spacing w:val="-4"/>
                <w:sz w:val="18"/>
                <w:szCs w:val="18"/>
              </w:rPr>
              <w:t>IT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服</w:t>
            </w:r>
          </w:p>
        </w:tc>
      </w:tr>
      <w:tr>
        <w:trPr>
          <w:trHeight w:val="33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务及软件外包项目</w:t>
            </w:r>
            <w:r>
              <w:rPr>
                <w:rFonts w:ascii="Times New Roman" w:hAnsi="Times New Roman" w:cs="Times New Roman" w:eastAsia="Times New Roman" w:hint="default"/>
                <w:sz w:val="18"/>
                <w:szCs w:val="18"/>
              </w:rPr>
              <w:t>”</w:t>
            </w:r>
            <w:r>
              <w:rPr>
                <w:rFonts w:ascii="宋体" w:hAnsi="宋体" w:cs="宋体" w:eastAsia="宋体" w:hint="default"/>
                <w:sz w:val="18"/>
                <w:szCs w:val="18"/>
              </w:rPr>
              <w:t>承诺收益金额低于预期承诺收益金额。</w:t>
            </w:r>
          </w:p>
        </w:tc>
      </w:tr>
      <w:tr>
        <w:trPr>
          <w:trHeight w:val="348"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三、南天移动互联网支付应用综合解决方案项目</w:t>
            </w:r>
          </w:p>
        </w:tc>
      </w:tr>
      <w:tr>
        <w:trPr>
          <w:trHeight w:val="3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日，中国人民银行重庆营业部下达《中国人民银行重庆营管理业部受理行政许可申</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请通知书</w:t>
            </w:r>
            <w:r>
              <w:rPr>
                <w:rFonts w:ascii="宋体" w:hAnsi="宋体" w:cs="宋体" w:eastAsia="宋体" w:hint="default"/>
                <w:spacing w:val="-92"/>
                <w:sz w:val="18"/>
                <w:szCs w:val="18"/>
              </w:rPr>
              <w:t>》</w:t>
            </w:r>
            <w:r>
              <w:rPr>
                <w:rFonts w:ascii="宋体" w:hAnsi="宋体" w:cs="宋体" w:eastAsia="宋体" w:hint="default"/>
                <w:sz w:val="18"/>
                <w:szCs w:val="18"/>
              </w:rPr>
              <w:t>（渝银支付许可【</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，受理本公司第三方支付牌照申请，但按照《非金融机构</w:t>
            </w:r>
          </w:p>
        </w:tc>
      </w:tr>
      <w:tr>
        <w:trPr>
          <w:trHeight w:val="313"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支付服务管理办法</w:t>
            </w:r>
            <w:r>
              <w:rPr>
                <w:rFonts w:ascii="宋体" w:hAnsi="宋体" w:cs="宋体" w:eastAsia="宋体" w:hint="default"/>
                <w:spacing w:val="-92"/>
                <w:sz w:val="18"/>
                <w:szCs w:val="18"/>
              </w:rPr>
              <w:t>》</w:t>
            </w:r>
            <w:r>
              <w:rPr>
                <w:rFonts w:ascii="宋体" w:hAnsi="宋体" w:cs="宋体" w:eastAsia="宋体" w:hint="default"/>
                <w:sz w:val="18"/>
                <w:szCs w:val="18"/>
              </w:rPr>
              <w:t>（中国人民银行令【</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第三条：非金融机构提供支付服务，应当</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r>
        <w:rPr/>
        <w:pict>
          <v:shape style="position:absolute;margin-left:56.759998pt;margin-top:257.400024pt;width:88.2pt;height:19.8pt;mso-position-horizontal-relative:page;mso-position-vertical-relative:page;z-index:-908128" type="#_x0000_t202" filled="false" stroked="false">
            <v:textbox inset="0,0,0,0">
              <w:txbxContent>
                <w:p>
                  <w:pPr>
                    <w:pStyle w:val="BodyText"/>
                    <w:spacing w:line="201" w:lineRule="exact"/>
                    <w:ind w:left="26" w:right="0"/>
                    <w:jc w:val="left"/>
                  </w:pPr>
                  <w:r>
                    <w:rPr/>
                    <w:t>及使用进展情况</w:t>
                  </w:r>
                </w:p>
              </w:txbxContent>
            </v:textbox>
            <w10:wrap type="none"/>
          </v:shape>
        </w:pict>
      </w:r>
      <w:r>
        <w:rPr/>
        <w:pict>
          <v:shape style="position:absolute;margin-left:56.759998pt;margin-top:277.560028pt;width:88.2pt;height:19.8pt;mso-position-horizontal-relative:page;mso-position-vertical-relative:page;z-index:-908104" type="#_x0000_t202" filled="false" stroked="false">
            <v:textbox inset="0,0,0,0">
              <w:txbxContent>
                <w:p>
                  <w:pPr>
                    <w:pStyle w:val="BodyText"/>
                    <w:spacing w:line="198" w:lineRule="exact"/>
                    <w:ind w:left="26" w:right="0"/>
                    <w:jc w:val="left"/>
                  </w:pPr>
                  <w:r>
                    <w:rPr/>
                    <w:t>施地点变更情况</w:t>
                  </w:r>
                </w:p>
              </w:txbxContent>
            </v:textbox>
            <w10:wrap type="none"/>
          </v:shape>
        </w:pict>
      </w:r>
      <w:r>
        <w:rPr/>
        <w:pict>
          <v:shape style="position:absolute;margin-left:56.759998pt;margin-top:297.600006pt;width:88.2pt;height:86.8pt;mso-position-horizontal-relative:page;mso-position-vertical-relative:page;z-index:-908080" type="#_x0000_t202" filled="false" stroked="false">
            <v:textbox inset="0,0,0,0">
              <w:txbxContent>
                <w:p>
                  <w:pPr>
                    <w:pStyle w:val="BodyText"/>
                    <w:spacing w:line="201" w:lineRule="exact"/>
                    <w:ind w:left="26" w:right="0"/>
                    <w:jc w:val="left"/>
                  </w:pPr>
                  <w:r>
                    <w:rPr/>
                    <w:t>施方式调整情况</w:t>
                  </w:r>
                </w:p>
              </w:txbxContent>
            </v:textbox>
            <w10:wrap type="none"/>
          </v:shape>
        </w:pict>
      </w:r>
      <w:r>
        <w:rPr/>
        <w:pict>
          <v:shape style="position:absolute;margin-left:56.759998pt;margin-top:404.76001pt;width:88.2pt;height:19.8pt;mso-position-horizontal-relative:page;mso-position-vertical-relative:page;z-index:-908056" type="#_x0000_t202" filled="false" stroked="false">
            <v:textbox inset="0,0,0,0">
              <w:txbxContent>
                <w:p>
                  <w:pPr>
                    <w:pStyle w:val="BodyText"/>
                    <w:spacing w:line="198" w:lineRule="exact"/>
                    <w:ind w:left="26" w:right="0"/>
                    <w:jc w:val="left"/>
                  </w:pPr>
                  <w:r>
                    <w:rPr/>
                    <w:t>补充流动资金情况</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771"/>
        <w:gridCol w:w="7798"/>
      </w:tblGrid>
      <w:tr>
        <w:trPr>
          <w:trHeight w:val="317" w:hRule="exact"/>
        </w:trPr>
        <w:tc>
          <w:tcPr>
            <w:tcW w:w="1771" w:type="dxa"/>
            <w:vMerge w:val="restart"/>
            <w:tcBorders>
              <w:top w:val="single" w:sz="4" w:space="0" w:color="000000"/>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3、主要子公司、参股公司分析" w:id="35"/>
            <w:bookmarkEnd w:id="35"/>
            <w:r>
              <w:rPr/>
            </w:r>
            <w:r>
              <w:rPr>
                <w:rFonts w:ascii="宋体" w:hAnsi="宋体" w:cs="宋体" w:eastAsia="宋体" w:hint="default"/>
                <w:sz w:val="18"/>
                <w:szCs w:val="18"/>
              </w:rPr>
              <w:t>依据本办法规定取</w:t>
            </w:r>
            <w:r>
              <w:rPr>
                <w:rFonts w:ascii="宋体" w:hAnsi="宋体" w:cs="宋体" w:eastAsia="宋体" w:hint="default"/>
                <w:spacing w:val="-24"/>
                <w:sz w:val="18"/>
                <w:szCs w:val="18"/>
              </w:rPr>
              <w:t>得</w:t>
            </w:r>
            <w:r>
              <w:rPr>
                <w:rFonts w:ascii="宋体" w:hAnsi="宋体" w:cs="宋体" w:eastAsia="宋体" w:hint="default"/>
                <w:sz w:val="18"/>
                <w:szCs w:val="18"/>
              </w:rPr>
              <w:t>《支付业务许可</w:t>
            </w:r>
            <w:r>
              <w:rPr>
                <w:rFonts w:ascii="宋体" w:hAnsi="宋体" w:cs="宋体" w:eastAsia="宋体" w:hint="default"/>
                <w:spacing w:val="2"/>
                <w:sz w:val="18"/>
                <w:szCs w:val="18"/>
              </w:rPr>
              <w:t>证</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成为支付机构</w:t>
            </w:r>
            <w:r>
              <w:rPr>
                <w:rFonts w:ascii="宋体" w:hAnsi="宋体" w:cs="宋体" w:eastAsia="宋体" w:hint="default"/>
                <w:spacing w:val="-22"/>
                <w:sz w:val="18"/>
                <w:szCs w:val="18"/>
              </w:rPr>
              <w:t>；</w:t>
            </w:r>
            <w:r>
              <w:rPr>
                <w:rFonts w:ascii="宋体" w:hAnsi="宋体" w:cs="宋体" w:eastAsia="宋体" w:hint="default"/>
                <w:sz w:val="18"/>
                <w:szCs w:val="18"/>
              </w:rPr>
              <w:t>未经中国人民银行批准</w:t>
            </w:r>
            <w:r>
              <w:rPr>
                <w:rFonts w:ascii="宋体" w:hAnsi="宋体" w:cs="宋体" w:eastAsia="宋体" w:hint="default"/>
                <w:spacing w:val="-24"/>
                <w:sz w:val="18"/>
                <w:szCs w:val="18"/>
              </w:rPr>
              <w:t>，</w:t>
            </w:r>
            <w:r>
              <w:rPr>
                <w:rFonts w:ascii="宋体" w:hAnsi="宋体" w:cs="宋体" w:eastAsia="宋体" w:hint="default"/>
                <w:sz w:val="18"/>
                <w:szCs w:val="18"/>
              </w:rPr>
              <w:t>任何非金融机构</w:t>
            </w:r>
          </w:p>
        </w:tc>
      </w:tr>
      <w:tr>
        <w:trPr>
          <w:trHeight w:val="316"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和个人不得从事或变相从事支付业务。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由于本公司至今未能获得第三方支付牌照，按照上述法律法</w:t>
            </w:r>
          </w:p>
        </w:tc>
      </w:tr>
      <w:tr>
        <w:trPr>
          <w:trHeight w:val="329"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规规定，致使本公司无法直接开展相应的支付业务。</w:t>
            </w:r>
          </w:p>
        </w:tc>
      </w:tr>
      <w:tr>
        <w:trPr>
          <w:trHeight w:val="33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截至财务报表日本公司虽已完成支付平台及相关资产的购置建设工作，但因无支付牌照资质，致使</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公司支付业务只能为已获得第三方支付牌照的企业提供终端产品、开发支付软件平台及支付业务合</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作运营等。此外经过公司管理层对支付业务市场前景、风险、投资、成本及收益等方面进行综合评</w:t>
            </w:r>
          </w:p>
        </w:tc>
      </w:tr>
      <w:tr>
        <w:trPr>
          <w:trHeight w:val="311"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估，本期对相应的无形资产、研发支出等长期资产计提了减值准备或者当期费用化处理。由于上述</w:t>
            </w:r>
          </w:p>
        </w:tc>
      </w:tr>
      <w:tr>
        <w:trPr>
          <w:trHeight w:val="356"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原因使得</w:t>
            </w:r>
            <w:r>
              <w:rPr>
                <w:rFonts w:ascii="Times New Roman" w:hAnsi="Times New Roman" w:cs="Times New Roman" w:eastAsia="Times New Roman" w:hint="default"/>
                <w:sz w:val="18"/>
                <w:szCs w:val="18"/>
              </w:rPr>
              <w:t>“</w:t>
            </w:r>
            <w:r>
              <w:rPr>
                <w:rFonts w:ascii="宋体" w:hAnsi="宋体" w:cs="宋体" w:eastAsia="宋体" w:hint="default"/>
                <w:sz w:val="18"/>
                <w:szCs w:val="18"/>
              </w:rPr>
              <w:t>南天移动互联网支付应用综合解决方案项目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远远低于预期承诺收益金额。</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由于前述原因，导致南天移动互联网支付应用综合解决方案项目的可行性发生重大变化。</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8"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5"/>
                <w:sz w:val="18"/>
                <w:szCs w:val="18"/>
              </w:rPr>
              <w:t>根据公司第三届董事会第二十一次会议决议和  </w:t>
            </w:r>
            <w:r>
              <w:rPr>
                <w:rFonts w:ascii="Times New Roman" w:hAnsi="Times New Roman" w:cs="Times New Roman" w:eastAsia="Times New Roman" w:hint="default"/>
                <w:w w:val="95"/>
                <w:sz w:val="18"/>
                <w:szCs w:val="18"/>
              </w:rPr>
              <w:t>2007   </w:t>
            </w:r>
            <w:r>
              <w:rPr>
                <w:rFonts w:ascii="Times New Roman" w:hAnsi="Times New Roman" w:cs="Times New Roman" w:eastAsia="Times New Roman" w:hint="default"/>
                <w:spacing w:val="42"/>
                <w:w w:val="95"/>
                <w:sz w:val="18"/>
                <w:szCs w:val="18"/>
              </w:rPr>
              <w:t> </w:t>
            </w:r>
            <w:r>
              <w:rPr>
                <w:rFonts w:ascii="宋体" w:hAnsi="宋体" w:cs="宋体" w:eastAsia="宋体" w:hint="default"/>
                <w:w w:val="95"/>
                <w:sz w:val="18"/>
                <w:szCs w:val="18"/>
              </w:rPr>
              <w:t>年第一次临时股东大会决议，募集资金到位后，</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将用于归还前期投入的银行贷款及其他自行筹集的部分资金。</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日公司召开第四届董</w:t>
            </w:r>
          </w:p>
          <w:p>
            <w:pPr>
              <w:pStyle w:val="TableParagraph"/>
              <w:spacing w:line="297"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事会第六次会议，审议通过用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万元募集资金归还募投项目前期投入的银行贷款及其他自行筹 集的部分资金。</w:t>
            </w:r>
          </w:p>
        </w:tc>
      </w:tr>
      <w:tr>
        <w:trPr>
          <w:trHeight w:val="869"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vMerge/>
            <w:tcBorders>
              <w:left w:val="single" w:sz="4" w:space="0" w:color="000000"/>
              <w:bottom w:val="single" w:sz="4" w:space="0" w:color="000000"/>
              <w:right w:val="single" w:sz="4" w:space="0" w:color="000000"/>
            </w:tcBorders>
          </w:tcPr>
          <w:p>
            <w:pP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尚未使用的募集资金成立由保荐人、公司、银行三方监管的募集资金专项账户暂存银行，实行三方</w:t>
            </w:r>
          </w:p>
        </w:tc>
      </w:tr>
      <w:tr>
        <w:trPr>
          <w:trHeight w:val="357"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监管制度。</w:t>
            </w:r>
          </w:p>
        </w:tc>
      </w:tr>
      <w:tr>
        <w:trPr>
          <w:trHeight w:val="355"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333" w:lineRule="exact"/>
        <w:ind w:left="119" w:right="99"/>
        <w:jc w:val="left"/>
        <w:rPr>
          <w:b w:val="0"/>
          <w:bCs w:val="0"/>
        </w:rPr>
      </w:pPr>
      <w:r>
        <w:rPr/>
        <w:pict>
          <v:shape style="position:absolute;margin-left:56.759998pt;margin-top:-99.788132pt;width:88.2pt;height:35.4pt;mso-position-horizontal-relative:page;mso-position-vertical-relative:paragraph;z-index:-908032" type="#_x0000_t202" filled="false" stroked="false">
            <v:textbox inset="0,0,0,0">
              <w:txbxContent>
                <w:p>
                  <w:pPr>
                    <w:pStyle w:val="BodyText"/>
                    <w:spacing w:line="198" w:lineRule="exact"/>
                    <w:ind w:left="26" w:right="0"/>
                    <w:jc w:val="left"/>
                  </w:pPr>
                  <w:r>
                    <w:rPr/>
                    <w:t>金结余的金额及原因</w:t>
                  </w:r>
                </w:p>
              </w:txbxContent>
            </v:textbox>
            <w10:wrap type="none"/>
          </v:shape>
        </w:pict>
      </w:r>
      <w:r>
        <w:rPr>
          <w:rFonts w:ascii="Times New Roman" w:hAnsi="Times New Roman" w:cs="Times New Roman" w:eastAsia="Times New Roman" w:hint="default"/>
        </w:rPr>
        <w:t>3</w:t>
      </w:r>
      <w:r>
        <w:rPr/>
        <w:t>、主要子公司、参股公司分析</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主要子公司、参股公司情况</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50"/>
        <w:gridCol w:w="1078"/>
        <w:gridCol w:w="943"/>
        <w:gridCol w:w="941"/>
        <w:gridCol w:w="943"/>
        <w:gridCol w:w="943"/>
        <w:gridCol w:w="941"/>
        <w:gridCol w:w="943"/>
        <w:gridCol w:w="806"/>
        <w:gridCol w:w="1078"/>
      </w:tblGrid>
      <w:tr>
        <w:trPr>
          <w:trHeight w:val="756" w:hRule="exact"/>
        </w:trPr>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196" w:right="103"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北京南天 信息工程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2,756.18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94,713,586.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17,470,723.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201,769,21</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6.24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688,214.5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3,043,890.08</w:t>
            </w:r>
          </w:p>
        </w:tc>
      </w:tr>
      <w:tr>
        <w:trPr>
          <w:trHeight w:val="102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广州南天 电脑系统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8,923.00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322,806,81</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7.67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107,851,96</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4.83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384,259,83</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0.80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-7,019,99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-3,848,544.75</w:t>
            </w:r>
          </w:p>
        </w:tc>
      </w:tr>
      <w:tr>
        <w:trPr>
          <w:trHeight w:val="102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上海南天 电脑系统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10,209.43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178,240,91</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4.90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117,824,78</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6.39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264,024,87</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0.01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4,974,750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5,896,192.51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227" w:type="dxa"/>
        <w:tblLayout w:type="fixed"/>
        <w:tblCellMar>
          <w:top w:w="0" w:type="dxa"/>
          <w:left w:w="0" w:type="dxa"/>
          <w:bottom w:w="0" w:type="dxa"/>
          <w:right w:w="0" w:type="dxa"/>
        </w:tblCellMar>
        <w:tblLook w:val="01E0"/>
      </w:tblPr>
      <w:tblGrid>
        <w:gridCol w:w="950"/>
        <w:gridCol w:w="1078"/>
        <w:gridCol w:w="943"/>
        <w:gridCol w:w="941"/>
        <w:gridCol w:w="943"/>
        <w:gridCol w:w="943"/>
        <w:gridCol w:w="941"/>
        <w:gridCol w:w="943"/>
        <w:gridCol w:w="806"/>
        <w:gridCol w:w="1078"/>
      </w:tblGrid>
      <w:tr>
        <w:trPr>
          <w:trHeight w:val="102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武汉南天 电脑系统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13,191,931.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1,747,187.4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26,497,826.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-942,657.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-777,062.32</w:t>
            </w:r>
          </w:p>
        </w:tc>
      </w:tr>
      <w:tr>
        <w:trPr>
          <w:trHeight w:val="102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西安南天 电脑系统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312.15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16,575,621.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-7,468,582.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18,076,257.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-3,701,79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7.08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-3,705,129.57</w:t>
            </w:r>
          </w:p>
        </w:tc>
      </w:tr>
      <w:tr>
        <w:trPr>
          <w:trHeight w:val="102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昆明南天 电脑系统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67,032,538.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10,208,715.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92,580,249.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3,621,984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3,331,542.31</w:t>
            </w:r>
          </w:p>
        </w:tc>
      </w:tr>
      <w:tr>
        <w:trPr>
          <w:trHeight w:val="102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深圳南天 东华科技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847.77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64,240,100.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14,207,499.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108,502,96</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1.03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-2,749,28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-1,428,738.95</w:t>
            </w:r>
          </w:p>
        </w:tc>
      </w:tr>
      <w:tr>
        <w:trPr>
          <w:trHeight w:val="102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北京南天 软件有限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81,749,454.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71,626,747.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222,211,30</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3.94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9,173,306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9,080,891.97</w:t>
            </w:r>
          </w:p>
        </w:tc>
      </w:tr>
      <w:tr>
        <w:trPr>
          <w:trHeight w:val="102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云南南天 信息设备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60,358,342.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19,896,009.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177,705,84</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8.66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3,061,682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2,598,757.73</w:t>
            </w:r>
          </w:p>
        </w:tc>
      </w:tr>
      <w:tr>
        <w:trPr>
          <w:trHeight w:val="133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重庆南天 数据资讯 服务有限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产品、软</w:t>
            </w:r>
            <w:r>
              <w:rPr>
                <w:rFonts w:ascii="宋体" w:hAnsi="宋体" w:cs="宋体" w:eastAsia="宋体" w:hint="default"/>
                <w:sz w:val="18"/>
                <w:szCs w:val="18"/>
              </w:rPr>
              <w:t> </w:t>
            </w:r>
            <w:r>
              <w:rPr>
                <w:rFonts w:ascii="宋体" w:hAnsi="宋体" w:cs="宋体" w:eastAsia="宋体" w:hint="default"/>
                <w:spacing w:val="-3"/>
                <w:sz w:val="18"/>
                <w:szCs w:val="18"/>
              </w:rPr>
              <w:t>件、服务等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10,728,466.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-938,900.18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-13,590,434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-26,004,3</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72.36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-25,969,458.4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税控机等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98,554,697.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63,821,712.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20,738,082.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80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3,199,938.23</w:t>
            </w:r>
          </w:p>
        </w:tc>
      </w:tr>
      <w:tr>
        <w:trPr>
          <w:trHeight w:val="102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云南医药 工业股份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w w:val="95"/>
                <w:sz w:val="18"/>
                <w:szCs w:val="18"/>
              </w:rPr>
              <w:t>药品制造、</w:t>
            </w:r>
            <w:r>
              <w:rPr>
                <w:rFonts w:ascii="宋体" w:hAnsi="宋体" w:cs="宋体" w:eastAsia="宋体" w:hint="default"/>
                <w:spacing w:val="-55"/>
                <w:w w:val="95"/>
                <w:sz w:val="18"/>
                <w:szCs w:val="18"/>
              </w:rPr>
              <w:t> </w:t>
            </w:r>
            <w:r>
              <w:rPr>
                <w:rFonts w:ascii="宋体" w:hAnsi="宋体" w:cs="宋体" w:eastAsia="宋体" w:hint="default"/>
                <w:spacing w:val="-55"/>
                <w:w w:val="95"/>
                <w:sz w:val="18"/>
                <w:szCs w:val="18"/>
              </w:rPr>
            </w:r>
            <w:r>
              <w:rPr>
                <w:rFonts w:ascii="宋体" w:hAnsi="宋体" w:cs="宋体" w:eastAsia="宋体" w:hint="default"/>
                <w:spacing w:val="-3"/>
                <w:sz w:val="18"/>
                <w:szCs w:val="18"/>
              </w:rPr>
              <w:t>销售，医药</w:t>
            </w:r>
            <w:r>
              <w:rPr>
                <w:rFonts w:ascii="宋体" w:hAnsi="宋体" w:cs="宋体" w:eastAsia="宋体" w:hint="default"/>
                <w:sz w:val="18"/>
                <w:szCs w:val="18"/>
              </w:rPr>
              <w:t> 商业流通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13,192.68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1,658,702,6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87.44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670,968,30</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2.67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1,628,446,1</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60.33</w:t>
            </w:r>
          </w:p>
        </w:tc>
        <w:tc>
          <w:tcPr>
            <w:tcW w:w="80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35,662,958.8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339"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云南东盟 公共物流 信息有限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85"/>
              <w:jc w:val="left"/>
              <w:rPr>
                <w:rFonts w:ascii="宋体" w:hAnsi="宋体" w:cs="宋体" w:eastAsia="宋体" w:hint="default"/>
                <w:sz w:val="18"/>
                <w:szCs w:val="18"/>
              </w:rPr>
            </w:pPr>
            <w:r>
              <w:rPr>
                <w:rFonts w:ascii="宋体" w:hAnsi="宋体" w:cs="宋体" w:eastAsia="宋体" w:hint="default"/>
                <w:sz w:val="18"/>
                <w:szCs w:val="18"/>
              </w:rPr>
              <w:t>物流信息 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4,906.60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56,370,392.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48,741,608.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4,341,947.0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0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2,574,616.54</w:t>
            </w:r>
          </w:p>
        </w:tc>
      </w:tr>
      <w:tr>
        <w:trPr>
          <w:trHeight w:val="102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盈富泰克 创业投资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7"/>
              <w:jc w:val="left"/>
              <w:rPr>
                <w:rFonts w:ascii="宋体" w:hAnsi="宋体" w:cs="宋体" w:eastAsia="宋体" w:hint="default"/>
                <w:sz w:val="18"/>
                <w:szCs w:val="18"/>
              </w:rPr>
            </w:pPr>
            <w:r>
              <w:rPr>
                <w:rFonts w:ascii="宋体" w:hAnsi="宋体" w:cs="宋体" w:eastAsia="宋体" w:hint="default"/>
                <w:sz w:val="18"/>
                <w:szCs w:val="18"/>
              </w:rPr>
              <w:t>股权投资 行业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投资管理 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11,100.00</w:t>
            </w:r>
          </w:p>
        </w:tc>
        <w:tc>
          <w:tcPr>
            <w:tcW w:w="9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32" w:right="0"/>
        <w:jc w:val="left"/>
      </w:pPr>
      <w:r>
        <w:rPr/>
        <w:t>主要子公司、参股公司情况说明</w:t>
      </w:r>
    </w:p>
    <w:p>
      <w:pPr>
        <w:pStyle w:val="BodyText"/>
        <w:tabs>
          <w:tab w:pos="7087" w:val="left" w:leader="none"/>
        </w:tabs>
        <w:spacing w:line="240" w:lineRule="auto" w:before="117"/>
        <w:ind w:left="232" w:right="0"/>
        <w:jc w:val="left"/>
      </w:pPr>
      <w:r>
        <w:rPr/>
        <w:t>投资收益中占比</w:t>
      </w:r>
      <w:r>
        <w:rPr>
          <w:spacing w:val="-48"/>
        </w:rPr>
        <w:t> </w:t>
      </w:r>
      <w:r>
        <w:rPr>
          <w:rFonts w:ascii="Times New Roman" w:hAnsi="Times New Roman" w:cs="Times New Roman" w:eastAsia="Times New Roman" w:hint="default"/>
        </w:rPr>
        <w:t>10%</w:t>
      </w:r>
      <w:r>
        <w:rPr/>
        <w:t>以上的股权投资项目情况：</w:t>
        <w:tab/>
        <w:t>（单位：元）</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916"/>
        <w:gridCol w:w="972"/>
        <w:gridCol w:w="1620"/>
        <w:gridCol w:w="1548"/>
        <w:gridCol w:w="1080"/>
      </w:tblGrid>
      <w:tr>
        <w:trPr>
          <w:trHeight w:val="40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公司类型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本公司持股比例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报告期投资收益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会计核算</w:t>
            </w:r>
          </w:p>
        </w:tc>
      </w:tr>
      <w:tr>
        <w:trPr>
          <w:trHeight w:val="40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参股公司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10.99%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r>
      <w:tr>
        <w:trPr>
          <w:trHeight w:val="40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富滇银行股份有限公司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参股公司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0.65%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成本法</w:t>
            </w:r>
          </w:p>
        </w:tc>
      </w:tr>
    </w:tbl>
    <w:p>
      <w:pPr>
        <w:spacing w:after="0" w:line="240" w:lineRule="auto"/>
        <w:jc w:val="center"/>
        <w:rPr>
          <w:rFonts w:ascii="宋体" w:hAnsi="宋体" w:cs="宋体" w:eastAsia="宋体" w:hint="default"/>
          <w:sz w:val="18"/>
          <w:szCs w:val="18"/>
        </w:rPr>
        <w:sectPr>
          <w:footerReference w:type="default" r:id="rId16"/>
          <w:pgSz w:w="11910" w:h="16840"/>
          <w:pgMar w:footer="979" w:header="745" w:top="1060" w:bottom="1160" w:left="900" w:right="1020"/>
          <w:pgNumType w:start="2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916"/>
        <w:gridCol w:w="972"/>
        <w:gridCol w:w="1620"/>
        <w:gridCol w:w="1548"/>
        <w:gridCol w:w="1080"/>
      </w:tblGrid>
      <w:tr>
        <w:trPr>
          <w:trHeight w:val="40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bookmarkStart w:name="七、公司未来发展的展望" w:id="36"/>
            <w:bookmarkEnd w:id="36"/>
            <w:r>
              <w:rPr/>
            </w:r>
            <w:bookmarkStart w:name="八、与上年度财务报告相比，会计政策、会计估计和核算方法发生变化的情况说明" w:id="37"/>
            <w:bookmarkEnd w:id="37"/>
            <w:r>
              <w:rPr/>
            </w:r>
            <w:bookmarkStart w:name="九、报告期内发生重大会计差错更正需追溯重述的情况说明" w:id="38"/>
            <w:bookmarkEnd w:id="38"/>
            <w:r>
              <w:rPr/>
            </w:r>
            <w:bookmarkStart w:name="十、与上年度财务报告相比，合并报表范围发生变化的情况说明" w:id="39"/>
            <w:bookmarkEnd w:id="39"/>
            <w:r>
              <w:rPr/>
            </w:r>
            <w:r>
              <w:rPr>
                <w:rFonts w:ascii="宋体" w:hAnsi="宋体" w:cs="宋体" w:eastAsia="宋体" w:hint="default"/>
                <w:sz w:val="18"/>
                <w:szCs w:val="18"/>
              </w:rPr>
              <w:t>云南医药工业股份有限公司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参股公司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41.36%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13,882,056.61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参股公司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719,987.65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云南东盟公共物流信息有限公司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参股公司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1,082,798.12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232" w:right="0"/>
        <w:jc w:val="left"/>
      </w:pPr>
      <w:r>
        <w:rPr/>
        <w:t>报告期内取得和处置子公司的情况</w:t>
      </w:r>
    </w:p>
    <w:p>
      <w:pPr>
        <w:pStyle w:val="BodyText"/>
        <w:spacing w:line="240" w:lineRule="auto" w:before="117"/>
        <w:ind w:left="232"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7" w:hanging="898"/>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2" w:right="108"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8"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整合资源，减少管理成本，提</w:t>
            </w: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由公司控股子公司北京南天</w:t>
            </w: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属于同一控制下的企业合并，</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北京南天宏远科技有限公司</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高运营效率，增强综合实力和</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信息工程有限公司对其进行</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对本公司整体生产和业绩无</w:t>
            </w:r>
          </w:p>
        </w:tc>
      </w:tr>
      <w:tr>
        <w:trPr>
          <w:trHeight w:val="355"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抗风险能力</w:t>
            </w: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吸收合并</w:t>
            </w: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影响</w:t>
            </w:r>
          </w:p>
        </w:tc>
      </w:tr>
    </w:tbl>
    <w:p>
      <w:pPr>
        <w:spacing w:line="240" w:lineRule="auto" w:before="3"/>
        <w:rPr>
          <w:rFonts w:ascii="宋体" w:hAnsi="宋体" w:cs="宋体" w:eastAsia="宋体" w:hint="default"/>
          <w:sz w:val="18"/>
          <w:szCs w:val="18"/>
        </w:rPr>
      </w:pPr>
    </w:p>
    <w:p>
      <w:pPr>
        <w:pStyle w:val="Heading2"/>
        <w:spacing w:line="367" w:lineRule="exact"/>
        <w:ind w:left="232" w:right="0"/>
        <w:jc w:val="both"/>
        <w:rPr>
          <w:b w:val="0"/>
          <w:bCs w:val="0"/>
        </w:rPr>
      </w:pPr>
      <w:r>
        <w:rPr/>
        <w:t>七、公司未来发展的展望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left="232" w:right="110" w:firstLine="362"/>
        <w:jc w:val="both"/>
      </w:pPr>
      <w:r>
        <w:rPr>
          <w:rFonts w:ascii="Times New Roman" w:hAnsi="Times New Roman" w:cs="Times New Roman" w:eastAsia="Times New Roman" w:hint="default"/>
          <w:spacing w:val="-2"/>
        </w:rPr>
        <w:t>2012</w:t>
      </w:r>
      <w:r>
        <w:rPr>
          <w:spacing w:val="-2"/>
        </w:rPr>
        <w:t>年公司引进</w:t>
      </w:r>
      <w:r>
        <w:rPr>
          <w:rFonts w:ascii="Times New Roman" w:hAnsi="Times New Roman" w:cs="Times New Roman" w:eastAsia="Times New Roman" w:hint="default"/>
          <w:spacing w:val="-2"/>
        </w:rPr>
        <w:t>IBM</w:t>
      </w:r>
      <w:r>
        <w:rPr>
          <w:spacing w:val="-2"/>
        </w:rPr>
        <w:t>作为咨询顾问，开展了战略目标与业务梳理、组织架构设计等工作，针对业务升级和转型进行了认</w:t>
      </w:r>
      <w:r>
        <w:rPr/>
        <w:t> 真规划，就未来的业务发展定下了一个基础、一个方向和三个方面的</w:t>
      </w:r>
      <w:r>
        <w:rPr>
          <w:rFonts w:ascii="Times New Roman" w:hAnsi="Times New Roman" w:cs="Times New Roman" w:eastAsia="Times New Roman" w:hint="default"/>
        </w:rPr>
        <w:t>“113”</w:t>
      </w:r>
      <w:r>
        <w:rPr/>
        <w:t>原则，并将围绕着这个原则寻求突破，尤其是在</w:t>
      </w:r>
      <w:r>
        <w:rPr>
          <w:spacing w:val="-74"/>
        </w:rPr>
        <w:t> </w:t>
      </w:r>
      <w:r>
        <w:rPr/>
        <w:t>合作模式、人才队伍建设、风险管控等方面，运用动态管理的思路，打造南天的核心竞争力。</w:t>
      </w:r>
    </w:p>
    <w:p>
      <w:pPr>
        <w:pStyle w:val="BodyText"/>
        <w:spacing w:line="300" w:lineRule="auto" w:before="31"/>
        <w:ind w:left="232" w:right="109" w:firstLine="362"/>
        <w:jc w:val="both"/>
      </w:pPr>
      <w:r>
        <w:rPr>
          <w:spacing w:val="-2"/>
        </w:rPr>
        <w:t>公司根据</w:t>
      </w:r>
      <w:r>
        <w:rPr>
          <w:rFonts w:ascii="Times New Roman" w:hAnsi="Times New Roman" w:cs="Times New Roman" w:eastAsia="Times New Roman" w:hint="default"/>
          <w:spacing w:val="-2"/>
        </w:rPr>
        <w:t>IBM</w:t>
      </w:r>
      <w:r>
        <w:rPr>
          <w:spacing w:val="-2"/>
        </w:rPr>
        <w:t>提交的《南天战略梳理报告》，结合公司实际情况，进行了广泛而深入的探讨与分析，最终制定了公司未</w:t>
      </w:r>
      <w:r>
        <w:rPr/>
        <w:t> 来的发展战略：</w:t>
      </w:r>
    </w:p>
    <w:p>
      <w:pPr>
        <w:pStyle w:val="BodyText"/>
        <w:spacing w:line="300" w:lineRule="auto" w:before="31"/>
        <w:ind w:left="232" w:right="117" w:firstLine="362"/>
        <w:jc w:val="both"/>
      </w:pPr>
      <w:r>
        <w:rPr>
          <w:rFonts w:ascii="Times New Roman" w:hAnsi="Times New Roman" w:cs="Times New Roman" w:eastAsia="Times New Roman" w:hint="default"/>
        </w:rPr>
        <w:t>1</w:t>
      </w:r>
      <w:r>
        <w:rPr/>
        <w:t>、战略目标：</w:t>
      </w:r>
      <w:r>
        <w:rPr>
          <w:rFonts w:ascii="Times New Roman" w:hAnsi="Times New Roman" w:cs="Times New Roman" w:eastAsia="Times New Roman" w:hint="default"/>
        </w:rPr>
        <w:t>2015</w:t>
      </w:r>
      <w:r>
        <w:rPr/>
        <w:t>年末，信息产业年收入达到</w:t>
      </w:r>
      <w:r>
        <w:rPr>
          <w:rFonts w:ascii="Times New Roman" w:hAnsi="Times New Roman" w:cs="Times New Roman" w:eastAsia="Times New Roman" w:hint="default"/>
        </w:rPr>
        <w:t>25</w:t>
      </w:r>
      <w:r>
        <w:rPr/>
        <w:t>亿元，保证各业务体系之间是一个正盈利的收入结构，保持信息产品 收入稳定，同时提升系统集成和软件业务的收入规模。</w:t>
      </w:r>
    </w:p>
    <w:p>
      <w:pPr>
        <w:pStyle w:val="BodyText"/>
        <w:spacing w:line="240" w:lineRule="auto" w:before="31"/>
        <w:ind w:left="595" w:right="0"/>
        <w:jc w:val="left"/>
      </w:pPr>
      <w:r>
        <w:rPr>
          <w:rFonts w:ascii="Times New Roman" w:hAnsi="Times New Roman" w:cs="Times New Roman" w:eastAsia="Times New Roman" w:hint="default"/>
        </w:rPr>
        <w:t>2</w:t>
      </w:r>
      <w:r>
        <w:rPr/>
        <w:t>、业务战略</w:t>
      </w:r>
    </w:p>
    <w:p>
      <w:pPr>
        <w:pStyle w:val="BodyText"/>
        <w:spacing w:line="300" w:lineRule="auto" w:before="63"/>
        <w:ind w:left="232" w:right="121" w:firstLine="362"/>
        <w:jc w:val="both"/>
      </w:pPr>
      <w:r>
        <w:rPr/>
        <w:t>（</w:t>
      </w:r>
      <w:r>
        <w:rPr>
          <w:rFonts w:ascii="Times New Roman" w:hAnsi="Times New Roman" w:cs="Times New Roman" w:eastAsia="Times New Roman" w:hint="default"/>
        </w:rPr>
        <w:t>1</w:t>
      </w:r>
      <w:r>
        <w:rPr/>
        <w:t>）业务组合：坚持与发展信息产品、系统集成、软件业务，大力拓展服务业务，在此基础上审慎发展支付和轨道交 通等新兴业务。</w:t>
      </w:r>
    </w:p>
    <w:p>
      <w:pPr>
        <w:pStyle w:val="BodyText"/>
        <w:spacing w:line="300" w:lineRule="auto" w:before="31"/>
        <w:ind w:left="232" w:right="122" w:firstLine="362"/>
        <w:jc w:val="both"/>
      </w:pPr>
      <w:r>
        <w:rPr/>
        <w:t>（</w:t>
      </w:r>
      <w:r>
        <w:rPr>
          <w:rFonts w:ascii="Times New Roman" w:hAnsi="Times New Roman" w:cs="Times New Roman" w:eastAsia="Times New Roman" w:hint="default"/>
        </w:rPr>
        <w:t>2</w:t>
      </w:r>
      <w:r>
        <w:rPr/>
        <w:t>）市场策略：专注于金融</w:t>
      </w:r>
      <w:r>
        <w:rPr>
          <w:rFonts w:ascii="Times New Roman" w:hAnsi="Times New Roman" w:cs="Times New Roman" w:eastAsia="Times New Roman" w:hint="default"/>
        </w:rPr>
        <w:t>IT</w:t>
      </w:r>
      <w:r>
        <w:rPr/>
        <w:t>应用行业，继续巩固和提升在金融</w:t>
      </w:r>
      <w:r>
        <w:rPr>
          <w:rFonts w:ascii="Times New Roman" w:hAnsi="Times New Roman" w:cs="Times New Roman" w:eastAsia="Times New Roman" w:hint="default"/>
        </w:rPr>
        <w:t>IT</w:t>
      </w:r>
      <w:r>
        <w:rPr/>
        <w:t>市场的竞争力，在深耕银行客户的同时，关注其他 行业客户。</w:t>
      </w:r>
    </w:p>
    <w:p>
      <w:pPr>
        <w:pStyle w:val="BodyText"/>
        <w:spacing w:line="240" w:lineRule="auto" w:before="31"/>
        <w:ind w:left="595" w:right="0"/>
        <w:jc w:val="left"/>
      </w:pPr>
      <w:r>
        <w:rPr/>
        <w:t>（</w:t>
      </w:r>
      <w:r>
        <w:rPr>
          <w:rFonts w:ascii="Times New Roman" w:hAnsi="Times New Roman" w:cs="Times New Roman" w:eastAsia="Times New Roman" w:hint="default"/>
        </w:rPr>
        <w:t>3</w:t>
      </w:r>
      <w:r>
        <w:rPr/>
        <w:t>）创新策略：加强与国内外战略伙伴的合作，强化自主创新能力，大力开发具有自主知识产权的关键技术。</w:t>
      </w:r>
    </w:p>
    <w:p>
      <w:pPr>
        <w:spacing w:line="240" w:lineRule="auto" w:before="2"/>
        <w:rPr>
          <w:rFonts w:ascii="宋体" w:hAnsi="宋体" w:cs="宋体" w:eastAsia="宋体" w:hint="default"/>
          <w:sz w:val="18"/>
          <w:szCs w:val="18"/>
        </w:rPr>
      </w:pPr>
    </w:p>
    <w:p>
      <w:pPr>
        <w:pStyle w:val="Heading2"/>
        <w:spacing w:line="240" w:lineRule="auto"/>
        <w:ind w:left="232" w:right="0"/>
        <w:jc w:val="both"/>
        <w:rPr>
          <w:b w:val="0"/>
          <w:bCs w:val="0"/>
        </w:rPr>
      </w:pPr>
      <w:r>
        <w:rPr/>
        <w:t>八、与上年度财务报告相比，会计政策、会计估计和核算方法发生变化的情况说明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32" w:right="0"/>
        <w:jc w:val="both"/>
      </w:pPr>
      <w:r>
        <w:rPr/>
        <w:t>不适用</w:t>
      </w:r>
    </w:p>
    <w:p>
      <w:pPr>
        <w:spacing w:line="240" w:lineRule="auto" w:before="5"/>
        <w:rPr>
          <w:rFonts w:ascii="宋体" w:hAnsi="宋体" w:cs="宋体" w:eastAsia="宋体" w:hint="default"/>
          <w:sz w:val="19"/>
          <w:szCs w:val="19"/>
        </w:rPr>
      </w:pPr>
    </w:p>
    <w:p>
      <w:pPr>
        <w:pStyle w:val="Heading2"/>
        <w:spacing w:line="240" w:lineRule="auto"/>
        <w:ind w:left="232" w:right="0"/>
        <w:jc w:val="both"/>
        <w:rPr>
          <w:b w:val="0"/>
          <w:bCs w:val="0"/>
        </w:rPr>
      </w:pPr>
      <w:r>
        <w:rPr/>
        <w:t>九、报告期内发生重大会计差错更正需追溯重述的情况说明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32" w:right="0"/>
        <w:jc w:val="both"/>
      </w:pPr>
      <w:r>
        <w:rPr/>
        <w:t>不适用</w:t>
      </w:r>
    </w:p>
    <w:p>
      <w:pPr>
        <w:spacing w:line="240" w:lineRule="auto" w:before="3"/>
        <w:rPr>
          <w:rFonts w:ascii="宋体" w:hAnsi="宋体" w:cs="宋体" w:eastAsia="宋体" w:hint="default"/>
          <w:sz w:val="19"/>
          <w:szCs w:val="19"/>
        </w:rPr>
      </w:pPr>
    </w:p>
    <w:p>
      <w:pPr>
        <w:pStyle w:val="Heading2"/>
        <w:spacing w:line="240" w:lineRule="auto"/>
        <w:ind w:left="232" w:right="0"/>
        <w:jc w:val="both"/>
        <w:rPr>
          <w:b w:val="0"/>
          <w:bCs w:val="0"/>
        </w:rPr>
      </w:pPr>
      <w:r>
        <w:rPr/>
        <w:t>十、与上年度财务报告相比，合并报表范围发生变化的情况说明</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309" w:lineRule="auto"/>
        <w:ind w:left="232" w:right="112"/>
        <w:jc w:val="both"/>
      </w:pPr>
      <w:r>
        <w:rPr>
          <w:spacing w:val="-2"/>
        </w:rPr>
        <w:t>本公司于2011年9月16日召开第一次临时股东大会，审议并通过了</w:t>
      </w:r>
      <w:r>
        <w:rPr>
          <w:rFonts w:ascii="Times New Roman" w:hAnsi="Times New Roman" w:cs="Times New Roman" w:eastAsia="Times New Roman" w:hint="default"/>
          <w:spacing w:val="-2"/>
        </w:rPr>
        <w:t>“</w:t>
      </w:r>
      <w:r>
        <w:rPr>
          <w:spacing w:val="-2"/>
        </w:rPr>
        <w:t>关于南天信息股份公司放弃对云南医药工业股份有限公司</w:t>
      </w:r>
      <w:r>
        <w:rPr>
          <w:spacing w:val="-49"/>
        </w:rPr>
        <w:t> </w:t>
      </w:r>
      <w:r>
        <w:rPr/>
        <w:t>增资扩股权利的议案</w:t>
      </w:r>
      <w:r>
        <w:rPr>
          <w:rFonts w:ascii="Times New Roman" w:hAnsi="Times New Roman" w:cs="Times New Roman" w:eastAsia="Times New Roman" w:hint="default"/>
        </w:rPr>
        <w:t>”</w:t>
      </w:r>
      <w:r>
        <w:rPr/>
        <w:t>，放弃增资扩股权利。2011年10月31日云南省工业投资控股集团有限责任公司单方面对云南医药工业 股份有限公司增资</w:t>
      </w:r>
      <w:r>
        <w:rPr>
          <w:spacing w:val="14"/>
        </w:rPr>
        <w:t> </w:t>
      </w:r>
      <w:r>
        <w:rPr>
          <w:spacing w:val="-2"/>
        </w:rPr>
        <w:t>5,000万股，增资金额为1.825亿元。增资完成后，本公司的持股比例由66.6％降至41.36％，本公司对云</w:t>
      </w:r>
      <w:r>
        <w:rPr>
          <w:spacing w:val="-88"/>
        </w:rPr>
        <w:t> </w:t>
      </w:r>
      <w:r>
        <w:rPr>
          <w:spacing w:val="-88"/>
        </w:rPr>
      </w:r>
      <w:r>
        <w:rPr/>
        <w:t>南医药工业股份有限公司不再控制。因此自2011年11月1日起不再将云南医药工业股份有限公司纳入本公司合并财务报表的</w:t>
      </w:r>
      <w:r>
        <w:rPr/>
        <w:t> 范围。</w:t>
      </w:r>
    </w:p>
    <w:p>
      <w:pPr>
        <w:spacing w:after="0" w:line="309" w:lineRule="auto"/>
        <w:jc w:val="both"/>
        <w:sectPr>
          <w:pgSz w:w="11910" w:h="16840"/>
          <w:pgMar w:header="745" w:footer="979" w:top="1060" w:bottom="1160" w:left="900" w:right="1020"/>
        </w:sectPr>
      </w:pPr>
    </w:p>
    <w:p>
      <w:pPr>
        <w:spacing w:line="240" w:lineRule="auto" w:before="8"/>
        <w:rPr>
          <w:rFonts w:ascii="宋体" w:hAnsi="宋体" w:cs="宋体" w:eastAsia="宋体" w:hint="default"/>
          <w:sz w:val="23"/>
          <w:szCs w:val="23"/>
        </w:rPr>
      </w:pPr>
    </w:p>
    <w:p>
      <w:pPr>
        <w:pStyle w:val="Heading2"/>
        <w:spacing w:line="367" w:lineRule="exact"/>
        <w:ind w:right="99"/>
        <w:jc w:val="left"/>
        <w:rPr>
          <w:b w:val="0"/>
          <w:bCs w:val="0"/>
        </w:rPr>
      </w:pPr>
      <w:bookmarkStart w:name="十一、公司利润分配及分红派息情况" w:id="40"/>
      <w:bookmarkEnd w:id="40"/>
      <w:r>
        <w:rPr>
          <w:b w:val="0"/>
          <w:bCs w:val="0"/>
        </w:rPr>
      </w:r>
      <w:bookmarkStart w:name="十二、报告期内接待调研、沟通、采访等活动登记表" w:id="41"/>
      <w:bookmarkEnd w:id="41"/>
      <w:r>
        <w:rPr>
          <w:b w:val="0"/>
          <w:bCs w:val="0"/>
        </w:rPr>
      </w:r>
      <w:r>
        <w:rPr/>
        <w:t>十一、公司利润分配及分红派息情况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t>报告期内利润分配政策特别是现金分红政策的制定、执行或调整情况</w:t>
      </w:r>
    </w:p>
    <w:p>
      <w:pPr>
        <w:pStyle w:val="BodyText"/>
        <w:spacing w:line="338" w:lineRule="auto" w:before="117"/>
        <w:ind w:left="475" w:right="99"/>
        <w:jc w:val="left"/>
      </w:pPr>
      <w:r>
        <w:rPr>
          <w:rFonts w:ascii="Times New Roman" w:hAnsi="Times New Roman" w:cs="Times New Roman" w:eastAsia="Times New Roman" w:hint="default"/>
        </w:rPr>
        <w:t>1</w:t>
      </w:r>
      <w:r>
        <w:rPr/>
        <w:t>、报告期内，公司利润分配政策的制定及调整情况 </w:t>
      </w:r>
      <w:r>
        <w:rPr>
          <w:spacing w:val="-2"/>
        </w:rPr>
        <w:t>报告期内，为进一步强化回报股东意识，充分维护公司股东依法享有的资产收益等权利，不断完善董事会、股东大会对</w:t>
      </w:r>
    </w:p>
    <w:p>
      <w:pPr>
        <w:pStyle w:val="BodyText"/>
        <w:spacing w:line="312" w:lineRule="auto" w:before="2"/>
        <w:ind w:right="112"/>
        <w:jc w:val="left"/>
      </w:pPr>
      <w:r>
        <w:rPr>
          <w:spacing w:val="-2"/>
        </w:rPr>
        <w:t>公司利润分配事项的决策程序和机制，公司根据中国证监会《关于进一步落实上市公司现金分红有关事项的通知》及云南证</w:t>
      </w:r>
      <w:r>
        <w:rPr>
          <w:spacing w:val="-65"/>
        </w:rPr>
        <w:t> </w:t>
      </w:r>
      <w:r>
        <w:rPr>
          <w:spacing w:val="-65"/>
        </w:rPr>
      </w:r>
      <w:r>
        <w:rPr/>
        <w:t>监局《关于进一步落实上市公司现金分红有关事项的通知》（云证监</w:t>
      </w:r>
      <w:r>
        <w:rPr>
          <w:rFonts w:ascii="Times New Roman" w:hAnsi="Times New Roman" w:cs="Times New Roman" w:eastAsia="Times New Roman" w:hint="default"/>
        </w:rPr>
        <w:t>[2012]122</w:t>
      </w:r>
      <w:r>
        <w:rPr/>
        <w:t>号）的相关要求，并结合公司实际情况，修 </w:t>
      </w:r>
      <w:r>
        <w:rPr>
          <w:spacing w:val="-2"/>
        </w:rPr>
        <w:t>改了《公司章程》中关于利润分配的相关条款，明确了公司利润分配的决策程序和机制、公司的利润分配政策尤其是现金分</w:t>
      </w:r>
      <w:r>
        <w:rPr>
          <w:spacing w:val="-66"/>
        </w:rPr>
        <w:t> </w:t>
      </w:r>
      <w:r>
        <w:rPr>
          <w:spacing w:val="-66"/>
        </w:rPr>
      </w:r>
      <w:r>
        <w:rPr/>
        <w:t>红政策的具体内容，利润分配的形式等方面的内容。同时公司制定了《南天信息股份公司</w:t>
      </w:r>
      <w:r>
        <w:rPr>
          <w:rFonts w:ascii="Times New Roman" w:hAnsi="Times New Roman" w:cs="Times New Roman" w:eastAsia="Times New Roman" w:hint="default"/>
        </w:rPr>
        <w:t>2012-2014</w:t>
      </w:r>
      <w:r>
        <w:rPr/>
        <w:t>年分红规划》。</w:t>
      </w:r>
    </w:p>
    <w:p>
      <w:pPr>
        <w:pStyle w:val="BodyText"/>
        <w:spacing w:line="316" w:lineRule="auto" w:before="44"/>
        <w:ind w:right="112" w:firstLine="362"/>
        <w:jc w:val="both"/>
      </w:pPr>
      <w:r>
        <w:rPr>
          <w:spacing w:val="-2"/>
        </w:rPr>
        <w:t>调整后的利润分配政策，重视对股东的合理投资回报并兼顾公司当年的实际经营情况和可持续发展，充分保护了股东特</w:t>
      </w:r>
      <w:r>
        <w:rPr/>
        <w:t> 别是中小股东的合法权益，利润分配政策调整的条件和程序合规、透明。</w:t>
      </w:r>
    </w:p>
    <w:p>
      <w:pPr>
        <w:pStyle w:val="BodyText"/>
        <w:spacing w:line="240" w:lineRule="auto" w:before="59"/>
        <w:ind w:left="475" w:right="99"/>
        <w:jc w:val="left"/>
      </w:pPr>
      <w:r>
        <w:rPr>
          <w:rFonts w:ascii="Times New Roman" w:hAnsi="Times New Roman" w:cs="Times New Roman" w:eastAsia="Times New Roman" w:hint="default"/>
        </w:rPr>
        <w:t>2</w:t>
      </w:r>
      <w:r>
        <w:rPr/>
        <w:t>、报告期内，公司利润分配政策的执行情况</w:t>
      </w:r>
    </w:p>
    <w:p>
      <w:pPr>
        <w:pStyle w:val="BodyText"/>
        <w:spacing w:line="300" w:lineRule="auto" w:before="101"/>
        <w:ind w:right="112" w:firstLine="362"/>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年利润分配方案：以公司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210,550,951 </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0.80</w:t>
      </w:r>
      <w:r>
        <w:rPr/>
        <w:t>元（含税），合计派发现金红利</w:t>
      </w:r>
      <w:r>
        <w:rPr>
          <w:rFonts w:ascii="Times New Roman" w:hAnsi="Times New Roman" w:cs="Times New Roman" w:eastAsia="Times New Roman" w:hint="default"/>
        </w:rPr>
        <w:t>16,844,076.08</w:t>
      </w:r>
      <w:r>
        <w:rPr/>
        <w:t>元（含税）。同时，进行资本 </w:t>
      </w:r>
      <w:r>
        <w:rPr>
          <w:spacing w:val="-2"/>
        </w:rPr>
        <w:t>公积金转增股本，以公司总股本</w:t>
      </w:r>
      <w:r>
        <w:rPr>
          <w:rFonts w:ascii="Times New Roman" w:hAnsi="Times New Roman" w:cs="Times New Roman" w:eastAsia="Times New Roman" w:hint="default"/>
          <w:spacing w:val="-2"/>
        </w:rPr>
        <w:t>210,550,951</w:t>
      </w:r>
      <w:r>
        <w:rPr>
          <w:spacing w:val="-2"/>
        </w:rPr>
        <w:t>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w:t>
      </w:r>
      <w:r>
        <w:rPr>
          <w:spacing w:val="-2"/>
        </w:rPr>
        <w:t>股，合计转增股本</w:t>
      </w:r>
      <w:r>
        <w:rPr>
          <w:rFonts w:ascii="Times New Roman" w:hAnsi="Times New Roman" w:cs="Times New Roman" w:eastAsia="Times New Roman" w:hint="default"/>
          <w:spacing w:val="-2"/>
        </w:rPr>
        <w:t>21,055,095</w:t>
      </w:r>
      <w:r>
        <w:rPr>
          <w:spacing w:val="-2"/>
        </w:rPr>
        <w:t>股，转增后公司</w:t>
      </w:r>
      <w:r>
        <w:rPr>
          <w:spacing w:val="-50"/>
        </w:rPr>
        <w:t> </w:t>
      </w:r>
      <w:r>
        <w:rPr>
          <w:spacing w:val="-50"/>
        </w:rPr>
      </w:r>
      <w:r>
        <w:rPr/>
        <w:t>总股本增加至</w:t>
      </w:r>
      <w:r>
        <w:rPr>
          <w:rFonts w:ascii="Times New Roman" w:hAnsi="Times New Roman" w:cs="Times New Roman" w:eastAsia="Times New Roman" w:hint="default"/>
        </w:rPr>
        <w:t>231,606,046</w:t>
      </w:r>
      <w:r>
        <w:rPr/>
        <w:t>股。股东大会审议通过后的当月公司就根据股东大会决议完成了利润分配事宜。</w:t>
      </w:r>
    </w:p>
    <w:p>
      <w:pPr>
        <w:pStyle w:val="BodyText"/>
        <w:spacing w:line="360" w:lineRule="auto" w:before="53"/>
        <w:ind w:right="2895"/>
        <w:jc w:val="left"/>
      </w:pPr>
      <w:r>
        <w:rPr/>
        <w:t>公司报告期利润分配预案及资本公积金转增股本预案符合公司章程等的相关规定。 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
        <w:ind w:left="475" w:right="9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年度利润分配预案：以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231,606,046</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w:t>
      </w:r>
    </w:p>
    <w:p>
      <w:pPr>
        <w:pStyle w:val="BodyText"/>
        <w:spacing w:line="240" w:lineRule="auto" w:before="63"/>
        <w:ind w:right="99"/>
        <w:jc w:val="left"/>
      </w:pPr>
      <w:r>
        <w:rPr/>
        <w:t>（含税），合计派发现金红利</w:t>
      </w:r>
      <w:r>
        <w:rPr>
          <w:rFonts w:ascii="Times New Roman" w:hAnsi="Times New Roman" w:cs="Times New Roman" w:eastAsia="Times New Roman" w:hint="default"/>
        </w:rPr>
        <w:t>4,632,120.92</w:t>
      </w:r>
      <w:r>
        <w:rPr/>
        <w:t>元（含税）。</w:t>
      </w:r>
    </w:p>
    <w:p>
      <w:pPr>
        <w:pStyle w:val="BodyText"/>
        <w:spacing w:line="240" w:lineRule="auto" w:before="103"/>
        <w:ind w:left="475" w:right="9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210,550,951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0.80</w:t>
      </w:r>
      <w:r>
        <w:rPr/>
        <w:t>元</w:t>
      </w:r>
    </w:p>
    <w:p>
      <w:pPr>
        <w:pStyle w:val="BodyText"/>
        <w:spacing w:line="300" w:lineRule="auto" w:before="63"/>
        <w:ind w:right="99"/>
        <w:jc w:val="left"/>
      </w:pPr>
      <w:r>
        <w:rPr>
          <w:spacing w:val="-6"/>
        </w:rPr>
        <w:t>（含税），合计派发现金红利</w:t>
      </w:r>
      <w:r>
        <w:rPr>
          <w:rFonts w:ascii="Times New Roman" w:hAnsi="Times New Roman" w:cs="Times New Roman" w:eastAsia="Times New Roman" w:hint="default"/>
          <w:spacing w:val="-6"/>
        </w:rPr>
        <w:t>16,844,076.08</w:t>
      </w:r>
      <w:r>
        <w:rPr>
          <w:spacing w:val="-6"/>
        </w:rPr>
        <w:t>元（含税）。同时，本年度进行资本公积金转增股本，以公司现有总股本</w:t>
      </w:r>
      <w:r>
        <w:rPr>
          <w:rFonts w:ascii="Times New Roman" w:hAnsi="Times New Roman" w:cs="Times New Roman" w:eastAsia="Times New Roman" w:hint="default"/>
          <w:spacing w:val="-6"/>
        </w:rPr>
        <w:t>210,550,951</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股，合计转增股本</w:t>
      </w:r>
      <w:r>
        <w:rPr>
          <w:rFonts w:ascii="Times New Roman" w:hAnsi="Times New Roman" w:cs="Times New Roman" w:eastAsia="Times New Roman" w:hint="default"/>
        </w:rPr>
        <w:t>21,055,095</w:t>
      </w:r>
      <w:r>
        <w:rPr/>
        <w:t>股，转增后公司总股本增加至</w:t>
      </w:r>
      <w:r>
        <w:rPr>
          <w:rFonts w:ascii="Times New Roman" w:hAnsi="Times New Roman" w:cs="Times New Roman" w:eastAsia="Times New Roman" w:hint="default"/>
        </w:rPr>
        <w:t>231,606,046</w:t>
      </w:r>
      <w:r>
        <w:rPr/>
        <w:t>股。</w:t>
      </w:r>
    </w:p>
    <w:p>
      <w:pPr>
        <w:pStyle w:val="BodyText"/>
        <w:spacing w:line="300" w:lineRule="auto" w:before="53"/>
        <w:ind w:right="111" w:firstLine="362"/>
        <w:jc w:val="both"/>
      </w:pPr>
      <w:r>
        <w:rPr>
          <w:rFonts w:ascii="Times New Roman" w:hAnsi="Times New Roman" w:cs="Times New Roman" w:eastAsia="Times New Roman" w:hint="default"/>
          <w:spacing w:val="-4"/>
          <w:w w:val="99"/>
        </w:rPr>
        <w:t>3</w:t>
      </w:r>
      <w:r>
        <w:rPr>
          <w:spacing w:val="-4"/>
          <w:w w:val="99"/>
        </w:rPr>
        <w:t>、</w:t>
      </w:r>
      <w:r>
        <w:rPr>
          <w:rFonts w:ascii="Times New Roman" w:hAnsi="Times New Roman" w:cs="Times New Roman" w:eastAsia="Times New Roman" w:hint="default"/>
          <w:spacing w:val="-4"/>
          <w:w w:val="99"/>
        </w:rPr>
        <w:t>2010</w:t>
      </w:r>
      <w:r>
        <w:rPr>
          <w:spacing w:val="-4"/>
          <w:w w:val="99"/>
        </w:rPr>
        <w:t>年度利润分配方案：以</w:t>
      </w:r>
      <w:r>
        <w:rPr>
          <w:rFonts w:ascii="Times New Roman" w:hAnsi="Times New Roman" w:cs="Times New Roman" w:eastAsia="Times New Roman" w:hint="default"/>
          <w:spacing w:val="-4"/>
          <w:w w:val="99"/>
        </w:rPr>
        <w:t>2010</w:t>
      </w:r>
      <w:r>
        <w:rPr>
          <w:spacing w:val="-4"/>
          <w:w w:val="99"/>
        </w:rPr>
        <w:t>年</w:t>
      </w:r>
      <w:r>
        <w:rPr>
          <w:rFonts w:ascii="Times New Roman" w:hAnsi="Times New Roman" w:cs="Times New Roman" w:eastAsia="Times New Roman" w:hint="default"/>
          <w:spacing w:val="-4"/>
          <w:w w:val="99"/>
        </w:rPr>
        <w:t>12</w:t>
      </w:r>
      <w:r>
        <w:rPr>
          <w:spacing w:val="-4"/>
          <w:w w:val="99"/>
        </w:rPr>
        <w:t>月</w:t>
      </w:r>
      <w:r>
        <w:rPr>
          <w:rFonts w:ascii="Times New Roman" w:hAnsi="Times New Roman" w:cs="Times New Roman" w:eastAsia="Times New Roman" w:hint="default"/>
          <w:spacing w:val="-4"/>
          <w:w w:val="99"/>
        </w:rPr>
        <w:t>31</w:t>
      </w:r>
      <w:r>
        <w:rPr>
          <w:spacing w:val="-4"/>
          <w:w w:val="99"/>
        </w:rPr>
        <w:t>日的总股本</w:t>
      </w:r>
      <w:r>
        <w:rPr>
          <w:rFonts w:ascii="Times New Roman" w:hAnsi="Times New Roman" w:cs="Times New Roman" w:eastAsia="Times New Roman" w:hint="default"/>
          <w:spacing w:val="-4"/>
          <w:w w:val="99"/>
        </w:rPr>
        <w:t>210,550,951</w:t>
      </w:r>
      <w:r>
        <w:rPr>
          <w:spacing w:val="-4"/>
          <w:w w:val="99"/>
        </w:rPr>
        <w:t>股为基数，向全体股东每</w:t>
      </w:r>
      <w:r>
        <w:rPr>
          <w:rFonts w:ascii="Times New Roman" w:hAnsi="Times New Roman" w:cs="Times New Roman" w:eastAsia="Times New Roman" w:hint="default"/>
          <w:spacing w:val="-4"/>
          <w:w w:val="99"/>
        </w:rPr>
        <w:t>10</w:t>
      </w:r>
      <w:r>
        <w:rPr>
          <w:spacing w:val="-4"/>
          <w:w w:val="99"/>
        </w:rPr>
        <w:t>股派现金</w:t>
      </w:r>
      <w:r>
        <w:rPr>
          <w:rFonts w:ascii="Times New Roman" w:hAnsi="Times New Roman" w:cs="Times New Roman" w:eastAsia="Times New Roman" w:hint="default"/>
          <w:spacing w:val="-4"/>
          <w:w w:val="99"/>
        </w:rPr>
        <w:t>0.50</w:t>
      </w:r>
      <w:r>
        <w:rPr>
          <w:spacing w:val="-4"/>
          <w:w w:val="99"/>
        </w:rPr>
        <w:t>元（含税），</w:t>
      </w:r>
      <w:r>
        <w:rPr>
          <w:w w:val="50"/>
        </w:rPr>
        <w:t> </w:t>
      </w:r>
      <w:r>
        <w:rPr/>
        <w:t>合计派发现金红利</w:t>
      </w:r>
      <w:r>
        <w:rPr>
          <w:rFonts w:ascii="Times New Roman" w:hAnsi="Times New Roman" w:cs="Times New Roman" w:eastAsia="Times New Roman" w:hint="default"/>
        </w:rPr>
        <w:t>10,527,547.55</w:t>
      </w:r>
      <w:r>
        <w:rPr/>
        <w:t>元。</w:t>
      </w:r>
    </w:p>
    <w:p>
      <w:pPr>
        <w:pStyle w:val="BodyText"/>
        <w:spacing w:line="240" w:lineRule="auto" w:before="51"/>
        <w:ind w:right="99"/>
        <w:jc w:val="left"/>
      </w:pPr>
      <w:r>
        <w:rPr/>
        <w:t>公司近三年现金分红情况表</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0" w:right="108"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 w:right="35"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4,632,120.92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6,388,256.96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72.51%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16,844,076.08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94,308,795.43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10,527,547.55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68,943,815.49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15.27%</w:t>
            </w:r>
          </w:p>
        </w:tc>
      </w:tr>
    </w:tbl>
    <w:p>
      <w:pPr>
        <w:pStyle w:val="BodyText"/>
        <w:spacing w:line="240" w:lineRule="auto" w:before="51"/>
        <w:ind w:right="99"/>
        <w:jc w:val="left"/>
      </w:pPr>
      <w:r>
        <w:rPr/>
        <w:t>公司报告期内盈利且母公司未分配利润为正但未提出现金红利分配预案</w:t>
      </w:r>
    </w:p>
    <w:p>
      <w:pPr>
        <w:pStyle w:val="BodyText"/>
        <w:spacing w:line="240" w:lineRule="auto" w:before="115"/>
        <w:ind w:right="99"/>
        <w:jc w:val="left"/>
      </w:pPr>
      <w:r>
        <w:rPr/>
        <w:t>□ 适用 √ 不适用</w:t>
      </w:r>
    </w:p>
    <w:p>
      <w:pPr>
        <w:spacing w:line="240" w:lineRule="auto" w:before="3"/>
        <w:rPr>
          <w:rFonts w:ascii="宋体" w:hAnsi="宋体" w:cs="宋体" w:eastAsia="宋体" w:hint="default"/>
          <w:sz w:val="19"/>
          <w:szCs w:val="19"/>
        </w:rPr>
      </w:pPr>
    </w:p>
    <w:p>
      <w:pPr>
        <w:pStyle w:val="Heading2"/>
        <w:spacing w:line="240" w:lineRule="auto"/>
        <w:ind w:right="99"/>
        <w:jc w:val="left"/>
        <w:rPr>
          <w:b w:val="0"/>
          <w:bCs w:val="0"/>
        </w:rPr>
      </w:pPr>
      <w:r>
        <w:rPr/>
        <w:t>十二、报告期内接待调研、沟通、采访等活动登记表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昆明本公司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华创证券有限公司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公司的基本情况、经营状 况、发展趋势</w:t>
            </w:r>
          </w:p>
        </w:tc>
      </w:tr>
    </w:tbl>
    <w:p>
      <w:pPr>
        <w:spacing w:after="0" w:line="316"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昆明本公司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深圳禾木资产管理 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公司的基本情况、经营状 况、发展趋势</w:t>
            </w:r>
          </w:p>
        </w:tc>
      </w:tr>
    </w:tbl>
    <w:p>
      <w:pPr>
        <w:spacing w:after="0" w:line="314"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line="456" w:lineRule="exact" w:before="0"/>
        <w:ind w:left="2032" w:right="2032" w:firstLine="0"/>
        <w:jc w:val="center"/>
        <w:rPr>
          <w:rFonts w:ascii="Microsoft JhengHei" w:hAnsi="Microsoft JhengHei" w:cs="Microsoft JhengHei" w:eastAsia="Microsoft JhengHei" w:hint="default"/>
          <w:sz w:val="32"/>
          <w:szCs w:val="32"/>
        </w:rPr>
      </w:pPr>
      <w:bookmarkStart w:name="第五节重要事项" w:id="42"/>
      <w:bookmarkEnd w:id="42"/>
      <w:r>
        <w:rPr/>
      </w:r>
      <w:bookmarkStart w:name="一、上市公司发生控股股东及其关联方非经营性占用资金情况" w:id="43"/>
      <w:bookmarkEnd w:id="43"/>
      <w:r>
        <w:rPr/>
      </w:r>
      <w:bookmarkStart w:name="二、公司股权激励的实施情况及其影响" w:id="44"/>
      <w:bookmarkEnd w:id="44"/>
      <w:r>
        <w:rPr/>
      </w:r>
      <w:r>
        <w:rPr>
          <w:rFonts w:ascii="Microsoft JhengHei" w:hAnsi="Microsoft JhengHei" w:cs="Microsoft JhengHei" w:eastAsia="Microsoft JhengHei" w:hint="default"/>
          <w:b/>
          <w:bCs/>
          <w:sz w:val="32"/>
          <w:szCs w:val="32"/>
        </w:rPr>
        <w:t>第五节 </w:t>
      </w:r>
      <w:r>
        <w:rPr>
          <w:rFonts w:ascii="Microsoft JhengHei" w:hAnsi="Microsoft JhengHei" w:cs="Microsoft JhengHei" w:eastAsia="Microsoft JhengHei" w:hint="default"/>
          <w:b/>
          <w:bCs/>
          <w:spacing w:val="4"/>
          <w:sz w:val="32"/>
          <w:szCs w:val="32"/>
        </w:rPr>
        <w:t> </w:t>
      </w:r>
      <w:r>
        <w:rPr>
          <w:rFonts w:ascii="Microsoft JhengHei" w:hAnsi="Microsoft JhengHei" w:cs="Microsoft JhengHei" w:eastAsia="Microsoft JhengHei" w:hint="default"/>
          <w:b/>
          <w:bCs/>
          <w:sz w:val="32"/>
          <w:szCs w:val="32"/>
        </w:rPr>
        <w:t>重要事项</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2"/>
          <w:szCs w:val="22"/>
        </w:rPr>
      </w:pPr>
    </w:p>
    <w:p>
      <w:pPr>
        <w:spacing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一、上市公司发生控股股东及其关联方非经营性占用资金情况</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04" w:right="23"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5" w:right="23" w:hanging="92"/>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firstLine="91"/>
              <w:jc w:val="left"/>
              <w:rPr>
                <w:rFonts w:ascii="宋体" w:hAnsi="宋体" w:cs="宋体" w:eastAsia="宋体" w:hint="default"/>
                <w:sz w:val="18"/>
                <w:szCs w:val="18"/>
              </w:rPr>
            </w:pPr>
            <w:r>
              <w:rPr>
                <w:rFonts w:ascii="宋体" w:hAnsi="宋体" w:cs="宋体" w:eastAsia="宋体" w:hint="default"/>
                <w:sz w:val="18"/>
                <w:szCs w:val="18"/>
              </w:rPr>
              <w:t>南天电子 信息产业集 团公司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10" w:firstLine="91"/>
              <w:jc w:val="left"/>
              <w:rPr>
                <w:rFonts w:ascii="宋体" w:hAnsi="宋体" w:cs="宋体" w:eastAsia="宋体" w:hint="default"/>
                <w:sz w:val="18"/>
                <w:szCs w:val="18"/>
              </w:rPr>
            </w:pPr>
            <w:r>
              <w:rPr>
                <w:rFonts w:ascii="宋体" w:hAnsi="宋体" w:cs="宋体" w:eastAsia="宋体" w:hint="default"/>
                <w:sz w:val="18"/>
                <w:szCs w:val="18"/>
              </w:rPr>
              <w:t>代垫电话 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已偿还</w:t>
            </w:r>
          </w:p>
        </w:tc>
      </w:tr>
      <w:tr>
        <w:trPr>
          <w:trHeight w:val="40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4"/>
                <w:sz w:val="18"/>
                <w:szCs w:val="18"/>
              </w:rPr>
              <w:t>营性资金占用情况的原因、责任人追</w:t>
            </w:r>
            <w:r>
              <w:rPr>
                <w:rFonts w:ascii="宋体" w:hAnsi="宋体" w:cs="宋体" w:eastAsia="宋体" w:hint="default"/>
                <w:sz w:val="18"/>
                <w:szCs w:val="18"/>
              </w:rPr>
              <w:t> 究及董事会拟定采取措施的情况说 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24" w:right="182"/>
              <w:jc w:val="left"/>
              <w:rPr>
                <w:rFonts w:ascii="宋体" w:hAnsi="宋体" w:cs="宋体" w:eastAsia="宋体" w:hint="default"/>
                <w:sz w:val="18"/>
                <w:szCs w:val="18"/>
              </w:rPr>
            </w:pPr>
            <w:r>
              <w:rPr>
                <w:rFonts w:ascii="宋体" w:hAnsi="宋体" w:cs="宋体" w:eastAsia="宋体" w:hint="default"/>
                <w:sz w:val="18"/>
                <w:szCs w:val="18"/>
              </w:rPr>
              <w:t>本期发生控股股东非经营性占用资金系公司与股东南天集团早期电话线路铺设的历 史原因造成，公司财务中心已于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月收回该笔款项。</w:t>
            </w:r>
          </w:p>
        </w:tc>
      </w:tr>
      <w:tr>
        <w:trPr>
          <w:trHeight w:val="102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4"/>
                <w:sz w:val="18"/>
                <w:szCs w:val="18"/>
              </w:rPr>
              <w:t>的原因、责任追究情况及董事会拟定</w:t>
            </w:r>
            <w:r>
              <w:rPr>
                <w:rFonts w:ascii="宋体" w:hAnsi="宋体" w:cs="宋体" w:eastAsia="宋体" w:hint="default"/>
                <w:sz w:val="18"/>
                <w:szCs w:val="18"/>
              </w:rPr>
              <w:t> 采取的措施说明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《关于云南南天电子信息产业股份有限公司关联方占用上市公司资金情况的专项审 核报告》</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二、公司股权激励的实施情况及其影响</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18"/>
          <w:szCs w:val="18"/>
        </w:rPr>
      </w:pPr>
    </w:p>
    <w:p>
      <w:pPr>
        <w:pStyle w:val="BodyText"/>
        <w:spacing w:line="240" w:lineRule="auto"/>
        <w:ind w:right="99"/>
        <w:jc w:val="left"/>
      </w:pPr>
      <w:r>
        <w:rPr>
          <w:rFonts w:ascii="Times New Roman" w:hAnsi="Times New Roman" w:cs="Times New Roman" w:eastAsia="Times New Roman" w:hint="default"/>
        </w:rPr>
        <w:t>1</w:t>
      </w:r>
      <w:r>
        <w:rPr/>
        <w:t>、行权价格的调整情况</w:t>
      </w:r>
    </w:p>
    <w:p>
      <w:pPr>
        <w:pStyle w:val="BodyText"/>
        <w:spacing w:line="300" w:lineRule="auto" w:before="63"/>
        <w:ind w:right="111" w:firstLine="36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日，本公司召开的 </w:t>
      </w:r>
      <w:r>
        <w:rPr>
          <w:rFonts w:ascii="Times New Roman" w:hAnsi="Times New Roman" w:cs="Times New Roman" w:eastAsia="Times New Roman" w:hint="default"/>
        </w:rPr>
        <w:t>2011</w:t>
      </w:r>
      <w:r>
        <w:rPr/>
        <w:t>年度股东大会审议通过</w:t>
      </w:r>
      <w:r>
        <w:rPr>
          <w:spacing w:val="-13"/>
        </w:rPr>
        <w:t> </w:t>
      </w:r>
      <w:r>
        <w:rPr>
          <w:rFonts w:ascii="Times New Roman" w:hAnsi="Times New Roman" w:cs="Times New Roman" w:eastAsia="Times New Roman" w:hint="default"/>
        </w:rPr>
        <w:t>2011</w:t>
      </w:r>
      <w:r>
        <w:rPr/>
        <w:t>年度权益分派方案为：以公司现有总股本</w:t>
      </w:r>
      <w:r>
        <w:rPr>
          <w:rFonts w:ascii="Times New Roman" w:hAnsi="Times New Roman" w:cs="Times New Roman" w:eastAsia="Times New Roman" w:hint="default"/>
        </w:rPr>
        <w:t>210,550,951 </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0.80</w:t>
      </w:r>
      <w:r>
        <w:rPr>
          <w:spacing w:val="-3"/>
        </w:rPr>
        <w:t>元（含税）。同时进行资本公积金转增股本，以公司现有总股本</w:t>
      </w:r>
      <w:r>
        <w:rPr>
          <w:spacing w:val="17"/>
        </w:rPr>
        <w:t> </w:t>
      </w:r>
      <w:r>
        <w:rPr>
          <w:rFonts w:ascii="Times New Roman" w:hAnsi="Times New Roman" w:cs="Times New Roman" w:eastAsia="Times New Roman" w:hint="default"/>
        </w:rPr>
        <w:t>210,550,951</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w:t>
      </w:r>
      <w:r>
        <w:rPr>
          <w:spacing w:val="-3"/>
        </w:rPr>
        <w:t>股，合计转增股本</w:t>
      </w:r>
      <w:r>
        <w:rPr>
          <w:rFonts w:ascii="Times New Roman" w:hAnsi="Times New Roman" w:cs="Times New Roman" w:eastAsia="Times New Roman" w:hint="default"/>
          <w:spacing w:val="-3"/>
        </w:rPr>
        <w:t>21,055,095</w:t>
      </w:r>
      <w:r>
        <w:rPr>
          <w:spacing w:val="-3"/>
        </w:rPr>
        <w:t>股，转增后公司总股本增加至</w:t>
      </w:r>
      <w:r>
        <w:rPr>
          <w:rFonts w:ascii="Times New Roman" w:hAnsi="Times New Roman" w:cs="Times New Roman" w:eastAsia="Times New Roman" w:hint="default"/>
          <w:spacing w:val="-3"/>
        </w:rPr>
        <w:t>231,606,046 </w:t>
      </w:r>
      <w:r>
        <w:rPr>
          <w:spacing w:val="-5"/>
        </w:rPr>
        <w:t>股。根据公司</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年度权益分派及资本公积金转增股本方案，调整后的行权价格为</w:t>
      </w:r>
      <w:r>
        <w:rPr>
          <w:rFonts w:ascii="Times New Roman" w:hAnsi="Times New Roman" w:cs="Times New Roman" w:eastAsia="Times New Roman" w:hint="default"/>
        </w:rPr>
        <w:t>=(6.55-0.08)÷(1+10%)=5.88(</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 2</w:t>
      </w:r>
      <w:r>
        <w:rPr/>
        <w:t>、股票期权数量的调整情况</w:t>
      </w:r>
    </w:p>
    <w:p>
      <w:pPr>
        <w:pStyle w:val="BodyText"/>
        <w:spacing w:line="240" w:lineRule="auto" w:before="13"/>
        <w:ind w:left="475" w:right="99"/>
        <w:jc w:val="left"/>
      </w:pPr>
      <w:r>
        <w:rPr/>
        <w:t>（</w:t>
      </w:r>
      <w:r>
        <w:rPr>
          <w:rFonts w:ascii="Times New Roman" w:hAnsi="Times New Roman" w:cs="Times New Roman" w:eastAsia="Times New Roman" w:hint="default"/>
        </w:rPr>
        <w:t>1</w:t>
      </w:r>
      <w:r>
        <w:rPr/>
        <w:t>）报告期内，公司股权激励对象朱建明、周文离（辞）职，所授予的股份期权共计</w:t>
      </w:r>
      <w:r>
        <w:rPr>
          <w:rFonts w:ascii="Times New Roman" w:hAnsi="Times New Roman" w:cs="Times New Roman" w:eastAsia="Times New Roman" w:hint="default"/>
        </w:rPr>
        <w:t>30</w:t>
      </w:r>
      <w:r>
        <w:rPr/>
        <w:t>万份，按照规定被取消。</w:t>
      </w:r>
    </w:p>
    <w:p>
      <w:pPr>
        <w:pStyle w:val="BodyText"/>
        <w:spacing w:line="300" w:lineRule="auto" w:before="63"/>
        <w:ind w:left="475" w:right="2261"/>
        <w:jc w:val="left"/>
      </w:pPr>
      <w:r>
        <w:rPr/>
        <w:t>（</w:t>
      </w:r>
      <w:r>
        <w:rPr>
          <w:rFonts w:ascii="Times New Roman" w:hAnsi="Times New Roman" w:cs="Times New Roman" w:eastAsia="Times New Roman" w:hint="default"/>
        </w:rPr>
        <w:t>2</w:t>
      </w:r>
      <w:r>
        <w:rPr/>
        <w:t>）报告期内，公司实施了公积金转增股本的事项，应对股票期权数量进行相应的调整。 综合考虑上述影响事项后，公司授权的股份期权数量如下：</w:t>
      </w:r>
    </w:p>
    <w:p>
      <w:pPr>
        <w:pStyle w:val="BodyText"/>
        <w:spacing w:line="240" w:lineRule="auto" w:before="31"/>
        <w:ind w:left="475" w:right="99"/>
        <w:jc w:val="left"/>
      </w:pPr>
      <w:r>
        <w:rPr/>
        <w:t>第二期股份期权数量</w:t>
      </w:r>
      <w:r>
        <w:rPr>
          <w:rFonts w:ascii="Times New Roman" w:hAnsi="Times New Roman" w:cs="Times New Roman" w:eastAsia="Times New Roman" w:hint="default"/>
        </w:rPr>
        <w:t>=</w:t>
      </w:r>
      <w:r>
        <w:rPr/>
        <w:t>（</w:t>
      </w:r>
      <w:r>
        <w:rPr>
          <w:rFonts w:ascii="Times New Roman" w:hAnsi="Times New Roman" w:cs="Times New Roman" w:eastAsia="Times New Roman" w:hint="default"/>
        </w:rPr>
        <w:t>295-30</w:t>
      </w:r>
      <w:r>
        <w:rPr/>
        <w:t>）</w:t>
      </w:r>
      <w:r>
        <w:rPr>
          <w:rFonts w:ascii="Times New Roman" w:hAnsi="Times New Roman" w:cs="Times New Roman" w:eastAsia="Times New Roman" w:hint="default"/>
        </w:rPr>
        <w:t>×40%×1.1= 116.60</w:t>
      </w:r>
      <w:r>
        <w:rPr>
          <w:rFonts w:ascii="Times New Roman" w:hAnsi="Times New Roman" w:cs="Times New Roman" w:eastAsia="Times New Roman" w:hint="default"/>
          <w:spacing w:val="35"/>
        </w:rPr>
        <w:t> </w:t>
      </w:r>
      <w:r>
        <w:rPr/>
        <w:t>万份</w:t>
      </w:r>
    </w:p>
    <w:p>
      <w:pPr>
        <w:pStyle w:val="BodyText"/>
        <w:spacing w:line="240" w:lineRule="auto" w:before="63"/>
        <w:ind w:left="475" w:right="99"/>
        <w:jc w:val="left"/>
      </w:pPr>
      <w:r>
        <w:rPr/>
        <w:t>第三期股份期权数量</w:t>
      </w:r>
      <w:r>
        <w:rPr>
          <w:rFonts w:ascii="Times New Roman" w:hAnsi="Times New Roman" w:cs="Times New Roman" w:eastAsia="Times New Roman" w:hint="default"/>
        </w:rPr>
        <w:t>=</w:t>
      </w:r>
      <w:r>
        <w:rPr/>
        <w:t>（</w:t>
      </w:r>
      <w:r>
        <w:rPr>
          <w:rFonts w:ascii="Times New Roman" w:hAnsi="Times New Roman" w:cs="Times New Roman" w:eastAsia="Times New Roman" w:hint="default"/>
        </w:rPr>
        <w:t>295-30</w:t>
      </w:r>
      <w:r>
        <w:rPr/>
        <w:t>）</w:t>
      </w:r>
      <w:r>
        <w:rPr>
          <w:rFonts w:ascii="Times New Roman" w:hAnsi="Times New Roman" w:cs="Times New Roman" w:eastAsia="Times New Roman" w:hint="default"/>
        </w:rPr>
        <w:t>×30%×1.1= 87.45</w:t>
      </w:r>
      <w:r>
        <w:rPr>
          <w:rFonts w:ascii="Times New Roman" w:hAnsi="Times New Roman" w:cs="Times New Roman" w:eastAsia="Times New Roman" w:hint="default"/>
          <w:spacing w:val="33"/>
        </w:rPr>
        <w:t> </w:t>
      </w:r>
      <w:r>
        <w:rPr/>
        <w:t>万份</w:t>
      </w:r>
    </w:p>
    <w:p>
      <w:pPr>
        <w:pStyle w:val="BodyText"/>
        <w:spacing w:line="240" w:lineRule="auto" w:before="63"/>
        <w:ind w:right="99"/>
        <w:jc w:val="left"/>
      </w:pPr>
      <w:r>
        <w:rPr>
          <w:rFonts w:ascii="Times New Roman" w:hAnsi="Times New Roman" w:cs="Times New Roman" w:eastAsia="Times New Roman" w:hint="default"/>
        </w:rPr>
        <w:t>3</w:t>
      </w:r>
      <w:r>
        <w:rPr/>
        <w:t>、股份支付的修改、终止情况</w:t>
      </w:r>
    </w:p>
    <w:p>
      <w:pPr>
        <w:spacing w:after="0" w:line="240"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right="99" w:firstLine="362"/>
        <w:jc w:val="left"/>
      </w:pPr>
      <w:bookmarkStart w:name="三、聘任、解聘会计师事务所情况" w:id="45"/>
      <w:bookmarkEnd w:id="45"/>
      <w:r>
        <w:rPr/>
      </w:r>
      <w:bookmarkStart w:name="四、公司子公司重要事项" w:id="46"/>
      <w:bookmarkEnd w:id="46"/>
      <w:r>
        <w:rPr/>
      </w:r>
      <w:r>
        <w:rPr>
          <w:spacing w:val="-3"/>
          <w:w w:val="95"/>
        </w:rPr>
        <w:t>由于第二期期权激励计划未能达到预定的业绩指标，因此公司将第二期股份期权</w:t>
      </w:r>
      <w:r>
        <w:rPr>
          <w:rFonts w:ascii="Times New Roman" w:hAnsi="Times New Roman" w:cs="Times New Roman" w:eastAsia="Times New Roman" w:hint="default"/>
          <w:spacing w:val="-3"/>
          <w:w w:val="95"/>
        </w:rPr>
        <w:t>116.60</w:t>
      </w:r>
      <w:r>
        <w:rPr>
          <w:spacing w:val="-3"/>
          <w:w w:val="95"/>
        </w:rPr>
        <w:t>万股进行了注销。截至报告期末，</w:t>
      </w:r>
      <w:r>
        <w:rPr>
          <w:spacing w:val="-27"/>
          <w:w w:val="95"/>
        </w:rPr>
        <w:t> </w:t>
      </w:r>
      <w:r>
        <w:rPr>
          <w:spacing w:val="-27"/>
          <w:w w:val="95"/>
        </w:rPr>
      </w:r>
      <w:r>
        <w:rPr/>
        <w:t>公司尚未行权的股份期权数量为</w:t>
      </w:r>
      <w:r>
        <w:rPr>
          <w:rFonts w:ascii="Times New Roman" w:hAnsi="Times New Roman" w:cs="Times New Roman" w:eastAsia="Times New Roman" w:hint="default"/>
        </w:rPr>
        <w:t>87.45</w:t>
      </w:r>
      <w:r>
        <w:rPr/>
        <w:t>万份。</w:t>
      </w:r>
    </w:p>
    <w:p>
      <w:pPr>
        <w:spacing w:line="240" w:lineRule="auto" w:before="5"/>
        <w:rPr>
          <w:rFonts w:ascii="宋体" w:hAnsi="宋体" w:cs="宋体" w:eastAsia="宋体" w:hint="default"/>
          <w:sz w:val="14"/>
          <w:szCs w:val="14"/>
        </w:rPr>
      </w:pPr>
    </w:p>
    <w:p>
      <w:pPr>
        <w:pStyle w:val="Heading2"/>
        <w:spacing w:line="240" w:lineRule="auto"/>
        <w:ind w:right="99"/>
        <w:jc w:val="left"/>
        <w:rPr>
          <w:b w:val="0"/>
          <w:bCs w:val="0"/>
        </w:rPr>
      </w:pPr>
      <w:r>
        <w:rPr/>
        <w:t>三、聘任、解聘会计师事务所情况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886"/>
        <w:gridCol w:w="5683"/>
      </w:tblGrid>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90</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李玉、刘婷</w:t>
            </w:r>
          </w:p>
        </w:tc>
      </w:tr>
    </w:tbl>
    <w:p>
      <w:pPr>
        <w:pStyle w:val="BodyText"/>
        <w:spacing w:line="240" w:lineRule="auto" w:before="51"/>
        <w:ind w:right="99"/>
        <w:jc w:val="left"/>
      </w:pPr>
      <w:r>
        <w:rPr/>
        <w:t>当期是否改聘会计师事务所</w:t>
      </w:r>
    </w:p>
    <w:p>
      <w:pPr>
        <w:pStyle w:val="BodyText"/>
        <w:spacing w:line="340" w:lineRule="auto" w:before="115"/>
        <w:ind w:right="52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1"/>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公司因内部控制审计事项，聘请中瑞岳华会计师事务所（特殊普通合伙）为公司</w:t>
      </w:r>
      <w:r>
        <w:rPr>
          <w:rFonts w:ascii="Times New Roman" w:hAnsi="Times New Roman" w:cs="Times New Roman" w:eastAsia="Times New Roman" w:hint="default"/>
          <w:spacing w:val="-2"/>
        </w:rPr>
        <w:t>2012</w:t>
      </w:r>
      <w:r>
        <w:rPr>
          <w:spacing w:val="-2"/>
        </w:rPr>
        <w:t>年度内部控制审计机构，期间共支付内</w:t>
      </w:r>
      <w:r>
        <w:rPr>
          <w:spacing w:val="-64"/>
        </w:rPr>
        <w:t> </w:t>
      </w:r>
      <w:r>
        <w:rPr>
          <w:spacing w:val="-64"/>
        </w:rPr>
      </w:r>
      <w:r>
        <w:rPr/>
        <w:t>部控制审计费</w:t>
      </w:r>
      <w:r>
        <w:rPr>
          <w:rFonts w:ascii="Times New Roman" w:hAnsi="Times New Roman" w:cs="Times New Roman" w:eastAsia="Times New Roman" w:hint="default"/>
        </w:rPr>
        <w:t>30</w:t>
      </w:r>
      <w:r>
        <w:rPr/>
        <w:t>万元。</w:t>
      </w:r>
    </w:p>
    <w:p>
      <w:pPr>
        <w:spacing w:line="240" w:lineRule="auto" w:before="2"/>
        <w:rPr>
          <w:rFonts w:ascii="宋体" w:hAnsi="宋体" w:cs="宋体" w:eastAsia="宋体" w:hint="default"/>
          <w:sz w:val="13"/>
          <w:szCs w:val="13"/>
        </w:rPr>
      </w:pPr>
    </w:p>
    <w:p>
      <w:pPr>
        <w:pStyle w:val="Heading2"/>
        <w:spacing w:line="240" w:lineRule="auto"/>
        <w:ind w:right="99"/>
        <w:jc w:val="left"/>
        <w:rPr>
          <w:b w:val="0"/>
          <w:bCs w:val="0"/>
        </w:rPr>
      </w:pPr>
      <w:r>
        <w:rPr/>
        <w:t>四、公司子公司重要事项</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300" w:lineRule="auto"/>
        <w:ind w:right="112" w:firstLine="362"/>
        <w:jc w:val="both"/>
      </w:pPr>
      <w:r>
        <w:rPr>
          <w:spacing w:val="-2"/>
        </w:rPr>
        <w:t>1、公司控股子公司北京南天信息工程有限公司针对与</w:t>
      </w:r>
      <w:r>
        <w:rPr>
          <w:rFonts w:ascii="Times New Roman" w:hAnsi="Times New Roman" w:cs="Times New Roman" w:eastAsia="Times New Roman" w:hint="default"/>
          <w:spacing w:val="-2"/>
        </w:rPr>
        <w:t>ATICD,L.L.C(</w:t>
      </w:r>
      <w:r>
        <w:rPr>
          <w:spacing w:val="-2"/>
        </w:rPr>
        <w:t>美国安图特国际有限公司</w:t>
      </w:r>
      <w:r>
        <w:rPr>
          <w:rFonts w:ascii="Times New Roman" w:hAnsi="Times New Roman" w:cs="Times New Roman" w:eastAsia="Times New Roman" w:hint="default"/>
          <w:spacing w:val="-2"/>
        </w:rPr>
        <w:t>)</w:t>
      </w:r>
      <w:r>
        <w:rPr>
          <w:spacing w:val="-2"/>
        </w:rPr>
        <w:t>买卖合同纠纷一案的民事</w:t>
      </w:r>
      <w:r>
        <w:rPr/>
        <w:t> 裁定（北京市第一中级人民法院（</w:t>
      </w:r>
      <w:r>
        <w:rPr>
          <w:rFonts w:ascii="Times New Roman" w:hAnsi="Times New Roman" w:cs="Times New Roman" w:eastAsia="Times New Roman" w:hint="default"/>
        </w:rPr>
        <w:t>2010</w:t>
      </w:r>
      <w:r>
        <w:rPr/>
        <w:t>）一中民初字第</w:t>
      </w:r>
      <w:r>
        <w:rPr>
          <w:rFonts w:ascii="Times New Roman" w:hAnsi="Times New Roman" w:cs="Times New Roman" w:eastAsia="Times New Roman" w:hint="default"/>
        </w:rPr>
        <w:t>10070</w:t>
      </w:r>
      <w:r>
        <w:rPr/>
        <w:t>号）不服，因此委托北京市嘉源律师事务所向中华人民共和国 </w:t>
      </w:r>
      <w:r>
        <w:rPr>
          <w:spacing w:val="-2"/>
        </w:rPr>
        <w:t>北京市高级人民法院提起上诉。</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日，北京市高级人民法院下达裁决书《中华人民共和国北京市高级人民法院民</w:t>
      </w:r>
      <w:r>
        <w:rPr>
          <w:spacing w:val="-61"/>
        </w:rPr>
        <w:t> </w:t>
      </w:r>
      <w:r>
        <w:rPr>
          <w:spacing w:val="-61"/>
        </w:rPr>
      </w:r>
      <w:r>
        <w:rPr/>
        <w:t>事裁定书》（（</w:t>
      </w:r>
      <w:r>
        <w:rPr>
          <w:rFonts w:ascii="Times New Roman" w:hAnsi="Times New Roman" w:cs="Times New Roman" w:eastAsia="Times New Roman" w:hint="default"/>
        </w:rPr>
        <w:t>2012</w:t>
      </w:r>
      <w:r>
        <w:rPr/>
        <w:t>）高民终字第</w:t>
      </w:r>
      <w:r>
        <w:rPr>
          <w:rFonts w:ascii="Times New Roman" w:hAnsi="Times New Roman" w:cs="Times New Roman" w:eastAsia="Times New Roman" w:hint="default"/>
        </w:rPr>
        <w:t>3607</w:t>
      </w:r>
      <w:r>
        <w:rPr/>
        <w:t>号）：驳回上诉，维持原裁定。</w:t>
      </w:r>
    </w:p>
    <w:p>
      <w:pPr>
        <w:pStyle w:val="BodyText"/>
        <w:spacing w:line="316" w:lineRule="auto" w:before="13"/>
        <w:ind w:right="112" w:firstLine="362"/>
        <w:jc w:val="both"/>
      </w:pPr>
      <w:r>
        <w:rPr/>
        <w:t>2、报告期内，公司控股子公司北京南天信息工程有限公司与香港明源贸易公司签订股权转让协议，香港明源贸易公司 </w:t>
      </w:r>
      <w:r>
        <w:rPr>
          <w:spacing w:val="-2"/>
        </w:rPr>
        <w:t>拟将其持有的昆明南天电脑系统有限公司25%股权转让给北京南天信息工程有限公司，转让作价10.00万美元。云南南天电子</w:t>
      </w:r>
      <w:r>
        <w:rPr>
          <w:spacing w:val="-60"/>
        </w:rPr>
        <w:t> </w:t>
      </w:r>
      <w:r>
        <w:rPr>
          <w:spacing w:val="-60"/>
        </w:rPr>
      </w:r>
      <w:r>
        <w:rPr>
          <w:spacing w:val="-2"/>
        </w:rPr>
        <w:t>信息产业股份有限公司出具放弃优先购买权的声明。昆明南天电脑系统有限公司董事会通过该转让事项。截止报告日，北京</w:t>
      </w:r>
      <w:r>
        <w:rPr>
          <w:spacing w:val="-65"/>
        </w:rPr>
        <w:t> </w:t>
      </w:r>
      <w:r>
        <w:rPr>
          <w:spacing w:val="-65"/>
        </w:rPr>
      </w:r>
      <w:r>
        <w:rPr/>
        <w:t>南天信息工程有限公司尚未支付对价，昆明南天电脑系统有限公司尚未办理工商变更等事宜。</w:t>
      </w:r>
    </w:p>
    <w:p>
      <w:pPr>
        <w:spacing w:after="0" w:line="316" w:lineRule="auto"/>
        <w:jc w:val="both"/>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456" w:lineRule="exact"/>
        <w:ind w:left="2928" w:right="99"/>
        <w:jc w:val="left"/>
        <w:rPr>
          <w:b w:val="0"/>
          <w:bCs w:val="0"/>
        </w:rPr>
      </w:pPr>
      <w:bookmarkStart w:name="第六节股份变动及股东情况" w:id="47"/>
      <w:bookmarkEnd w:id="47"/>
      <w:r>
        <w:rPr>
          <w:b w:val="0"/>
          <w:bCs w:val="0"/>
        </w:rPr>
      </w:r>
      <w:bookmarkStart w:name="一、股份变动情况" w:id="48"/>
      <w:bookmarkEnd w:id="48"/>
      <w:r>
        <w:rPr>
          <w:b w:val="0"/>
          <w:bCs w:val="0"/>
        </w:rPr>
      </w:r>
      <w:r>
        <w:rPr/>
        <w:t>第六节 </w:t>
      </w:r>
      <w:r>
        <w:rPr>
          <w:spacing w:val="10"/>
        </w:rPr>
        <w:t> </w:t>
      </w:r>
      <w:r>
        <w:rPr/>
        <w:t>股份变动及股东情况</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99"/>
        <w:jc w:val="left"/>
        <w:rPr>
          <w:b w:val="0"/>
          <w:bCs w:val="0"/>
        </w:rPr>
      </w:pPr>
      <w:r>
        <w:rPr/>
        <w:t>一、股份变动情况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033"/>
        <w:gridCol w:w="842"/>
        <w:gridCol w:w="845"/>
        <w:gridCol w:w="845"/>
        <w:gridCol w:w="842"/>
        <w:gridCol w:w="842"/>
        <w:gridCol w:w="845"/>
        <w:gridCol w:w="842"/>
        <w:gridCol w:w="814"/>
        <w:gridCol w:w="814"/>
      </w:tblGrid>
      <w:tr>
        <w:trPr>
          <w:trHeight w:val="403" w:hRule="exact"/>
        </w:trPr>
        <w:tc>
          <w:tcPr>
            <w:tcW w:w="2033" w:type="dxa"/>
            <w:vMerge w:val="restart"/>
            <w:tcBorders>
              <w:top w:val="single" w:sz="4" w:space="0" w:color="000000"/>
              <w:left w:val="single" w:sz="4" w:space="0" w:color="000000"/>
              <w:right w:val="single" w:sz="4" w:space="0" w:color="000000"/>
            </w:tcBorders>
            <w:shd w:val="clear" w:color="auto" w:fill="D3D3D3"/>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11,813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474,540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5" w:right="0"/>
              <w:jc w:val="left"/>
              <w:rPr>
                <w:rFonts w:ascii="Times New Roman" w:hAnsi="Times New Roman" w:cs="Times New Roman" w:eastAsia="Times New Roman" w:hint="default"/>
                <w:sz w:val="18"/>
                <w:szCs w:val="18"/>
              </w:rPr>
            </w:pPr>
            <w:r>
              <w:rPr>
                <w:rFonts w:ascii="Times New Roman"/>
                <w:sz w:val="18"/>
              </w:rPr>
              <w:t>475,665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487,478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11,813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474,540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475,665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487,478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210,539,1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21,053,97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-474,540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20,579,43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231,118,5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99.79%</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210,539,1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21,053,97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-474,540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231,118,5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99.79%</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210,550,9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21,055,09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21,055,09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231,606,0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99"/>
        <w:jc w:val="left"/>
      </w:pPr>
      <w:r>
        <w:rPr/>
        <w:t>股份变动的原因</w:t>
      </w:r>
    </w:p>
    <w:p>
      <w:pPr>
        <w:pStyle w:val="BodyText"/>
        <w:spacing w:line="300" w:lineRule="auto" w:before="117"/>
        <w:ind w:right="99"/>
        <w:jc w:val="left"/>
      </w:pPr>
      <w:r>
        <w:rPr>
          <w:rFonts w:ascii="Times New Roman" w:hAnsi="Times New Roman" w:cs="Times New Roman" w:eastAsia="Times New Roman" w:hint="default"/>
          <w:spacing w:val="-2"/>
        </w:rPr>
        <w:t>1</w:t>
      </w:r>
      <w:r>
        <w:rPr>
          <w:spacing w:val="-2"/>
        </w:rPr>
        <w:t>、报告期内，公司实施了《</w:t>
      </w:r>
      <w:r>
        <w:rPr>
          <w:rFonts w:ascii="Times New Roman" w:hAnsi="Times New Roman" w:cs="Times New Roman" w:eastAsia="Times New Roman" w:hint="default"/>
          <w:spacing w:val="-2"/>
        </w:rPr>
        <w:t>2011</w:t>
      </w:r>
      <w:r>
        <w:rPr>
          <w:spacing w:val="-2"/>
        </w:rPr>
        <w:t>年度利润分配及资本公积转增股本方案》，合计转增股本</w:t>
      </w:r>
      <w:r>
        <w:rPr>
          <w:rFonts w:ascii="Times New Roman" w:hAnsi="Times New Roman" w:cs="Times New Roman" w:eastAsia="Times New Roman" w:hint="default"/>
          <w:spacing w:val="-2"/>
        </w:rPr>
        <w:t>21,055,095</w:t>
      </w:r>
      <w:r>
        <w:rPr>
          <w:spacing w:val="-2"/>
        </w:rPr>
        <w:t>股，转增后公司总股本</w:t>
      </w:r>
      <w:r>
        <w:rPr>
          <w:spacing w:val="-57"/>
        </w:rPr>
        <w:t> </w:t>
      </w:r>
      <w:r>
        <w:rPr>
          <w:spacing w:val="-57"/>
        </w:rPr>
      </w:r>
      <w:r>
        <w:rPr/>
        <w:t>增加至</w:t>
      </w:r>
      <w:r>
        <w:rPr>
          <w:rFonts w:ascii="Times New Roman" w:hAnsi="Times New Roman" w:cs="Times New Roman" w:eastAsia="Times New Roman" w:hint="default"/>
        </w:rPr>
        <w:t>231,606,046</w:t>
      </w:r>
      <w:r>
        <w:rPr/>
        <w:t>股。</w:t>
      </w:r>
    </w:p>
    <w:p>
      <w:pPr>
        <w:pStyle w:val="BodyText"/>
        <w:spacing w:line="240" w:lineRule="auto" w:before="53"/>
        <w:ind w:right="99"/>
        <w:jc w:val="left"/>
      </w:pPr>
      <w:r>
        <w:rPr>
          <w:rFonts w:ascii="Times New Roman" w:hAnsi="Times New Roman" w:cs="Times New Roman" w:eastAsia="Times New Roman" w:hint="default"/>
        </w:rPr>
        <w:t>2</w:t>
      </w:r>
      <w:r>
        <w:rPr/>
        <w:t>、报告期内，公司部分董事、监事及高管利用自有资金对公司股票进行增持。</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99"/>
        <w:jc w:val="left"/>
      </w:pPr>
      <w:r>
        <w:rPr/>
        <w:t>股份变动的批准情况</w:t>
      </w:r>
    </w:p>
    <w:p>
      <w:pPr>
        <w:pStyle w:val="BodyText"/>
        <w:spacing w:line="360" w:lineRule="auto" w:before="117"/>
        <w:ind w:right="4154"/>
        <w:jc w:val="left"/>
      </w:pPr>
      <w:r>
        <w:rPr/>
        <w:t>√ 适用 □ 不适用 公司</w:t>
      </w:r>
      <w:r>
        <w:rPr>
          <w:rFonts w:ascii="Times New Roman" w:hAnsi="Times New Roman" w:cs="Times New Roman" w:eastAsia="Times New Roman" w:hint="default"/>
        </w:rPr>
        <w:t>2011</w:t>
      </w:r>
      <w:r>
        <w:rPr/>
        <w:t>年度资本公积转增股本方案经</w:t>
      </w:r>
      <w:r>
        <w:rPr>
          <w:rFonts w:ascii="Times New Roman" w:hAnsi="Times New Roman" w:cs="Times New Roman" w:eastAsia="Times New Roman" w:hint="default"/>
        </w:rPr>
        <w:t>2011</w:t>
      </w:r>
      <w:r>
        <w:rPr/>
        <w:t>年度股东大会通过后实施。</w:t>
      </w:r>
    </w:p>
    <w:p>
      <w:pPr>
        <w:spacing w:line="240" w:lineRule="auto" w:before="0"/>
        <w:rPr>
          <w:rFonts w:ascii="宋体" w:hAnsi="宋体" w:cs="宋体" w:eastAsia="宋体" w:hint="default"/>
          <w:sz w:val="18"/>
          <w:szCs w:val="18"/>
        </w:rPr>
      </w:pPr>
    </w:p>
    <w:p>
      <w:pPr>
        <w:pStyle w:val="BodyText"/>
        <w:spacing w:line="360" w:lineRule="auto" w:before="119"/>
        <w:ind w:right="374"/>
        <w:jc w:val="left"/>
      </w:pPr>
      <w:r>
        <w:rPr/>
        <w:t>股份变动的过户情况 股份变动对最近一年和最近一期基本每股收益和稀释每股收益、归属于公司普通股股东的每股净资产等财务指标的影响</w:t>
      </w:r>
    </w:p>
    <w:p>
      <w:pPr>
        <w:pStyle w:val="BodyText"/>
        <w:spacing w:line="240" w:lineRule="auto" w:before="25"/>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right="99"/>
        <w:jc w:val="left"/>
      </w:pPr>
      <w:r>
        <w:rPr>
          <w:rFonts w:ascii="Times New Roman" w:hAnsi="Times New Roman" w:cs="Times New Roman" w:eastAsia="Times New Roman" w:hint="default"/>
        </w:rPr>
        <w:t>1</w:t>
      </w:r>
      <w:r>
        <w:rPr/>
        <w:t>、对基本每股收益和稀释每股收益的影响</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75"/>
        <w:gridCol w:w="1178"/>
        <w:gridCol w:w="1133"/>
        <w:gridCol w:w="1702"/>
        <w:gridCol w:w="1560"/>
        <w:gridCol w:w="1178"/>
        <w:gridCol w:w="1231"/>
      </w:tblGrid>
      <w:tr>
        <w:trPr>
          <w:trHeight w:val="346" w:hRule="exact"/>
        </w:trPr>
        <w:tc>
          <w:tcPr>
            <w:tcW w:w="1375" w:type="dxa"/>
            <w:vMerge w:val="restart"/>
            <w:tcBorders>
              <w:top w:val="single" w:sz="6" w:space="0" w:color="000000"/>
              <w:left w:val="single" w:sz="6" w:space="0" w:color="000000"/>
              <w:right w:val="single" w:sz="6"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3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9" w:right="0"/>
              <w:jc w:val="left"/>
              <w:rPr>
                <w:rFonts w:ascii="宋体" w:hAnsi="宋体" w:cs="宋体" w:eastAsia="宋体" w:hint="default"/>
                <w:sz w:val="18"/>
                <w:szCs w:val="18"/>
              </w:rPr>
            </w:pPr>
            <w:r>
              <w:rPr>
                <w:rFonts w:ascii="宋体" w:hAnsi="宋体" w:cs="宋体" w:eastAsia="宋体" w:hint="default"/>
                <w:sz w:val="18"/>
                <w:szCs w:val="18"/>
              </w:rPr>
              <w:t>转增后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年数据</w:t>
            </w:r>
          </w:p>
        </w:tc>
        <w:tc>
          <w:tcPr>
            <w:tcW w:w="32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年数据</w:t>
            </w:r>
          </w:p>
        </w:tc>
        <w:tc>
          <w:tcPr>
            <w:tcW w:w="24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转增影响</w:t>
            </w:r>
          </w:p>
        </w:tc>
      </w:tr>
      <w:tr>
        <w:trPr>
          <w:trHeight w:val="348" w:hRule="exact"/>
        </w:trPr>
        <w:tc>
          <w:tcPr>
            <w:tcW w:w="1375" w:type="dxa"/>
            <w:vMerge/>
            <w:tcBorders>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60" w:hRule="exact"/>
        </w:trPr>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5"/>
              <w:jc w:val="left"/>
              <w:rPr>
                <w:rFonts w:ascii="宋体" w:hAnsi="宋体" w:cs="宋体" w:eastAsia="宋体" w:hint="default"/>
                <w:sz w:val="18"/>
                <w:szCs w:val="18"/>
              </w:rPr>
            </w:pPr>
            <w:r>
              <w:rPr>
                <w:rFonts w:ascii="宋体" w:hAnsi="宋体" w:cs="宋体" w:eastAsia="宋体" w:hint="default"/>
                <w:sz w:val="18"/>
                <w:szCs w:val="18"/>
              </w:rPr>
              <w:t>归属于公司普通 股股东的净利润</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9" w:right="0"/>
              <w:jc w:val="center"/>
              <w:rPr>
                <w:rFonts w:ascii="Times New Roman" w:hAnsi="Times New Roman" w:cs="Times New Roman" w:eastAsia="Times New Roman" w:hint="default"/>
                <w:sz w:val="18"/>
                <w:szCs w:val="18"/>
              </w:rPr>
            </w:pPr>
            <w:r>
              <w:rPr>
                <w:rFonts w:ascii="Times New Roman"/>
                <w:sz w:val="18"/>
              </w:rPr>
              <w:t>0.4072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2" w:right="0"/>
              <w:jc w:val="center"/>
              <w:rPr>
                <w:rFonts w:ascii="Times New Roman" w:hAnsi="Times New Roman" w:cs="Times New Roman" w:eastAsia="Times New Roman" w:hint="default"/>
                <w:sz w:val="18"/>
                <w:szCs w:val="18"/>
              </w:rPr>
            </w:pPr>
            <w:r>
              <w:rPr>
                <w:rFonts w:ascii="Times New Roman"/>
                <w:sz w:val="18"/>
              </w:rPr>
              <w:t>0.4057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4" w:right="0"/>
              <w:jc w:val="center"/>
              <w:rPr>
                <w:rFonts w:ascii="Times New Roman" w:hAnsi="Times New Roman" w:cs="Times New Roman" w:eastAsia="Times New Roman" w:hint="default"/>
                <w:sz w:val="18"/>
                <w:szCs w:val="18"/>
              </w:rPr>
            </w:pPr>
            <w:r>
              <w:rPr>
                <w:rFonts w:ascii="Times New Roman"/>
                <w:sz w:val="18"/>
              </w:rPr>
              <w:t>0.4479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2" w:right="0"/>
              <w:jc w:val="center"/>
              <w:rPr>
                <w:rFonts w:ascii="Times New Roman" w:hAnsi="Times New Roman" w:cs="Times New Roman" w:eastAsia="Times New Roman" w:hint="default"/>
                <w:sz w:val="18"/>
                <w:szCs w:val="18"/>
              </w:rPr>
            </w:pPr>
            <w:r>
              <w:rPr>
                <w:rFonts w:ascii="Times New Roman"/>
                <w:sz w:val="18"/>
              </w:rPr>
              <w:t>0.4461</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2" w:right="0"/>
              <w:jc w:val="center"/>
              <w:rPr>
                <w:rFonts w:ascii="Times New Roman" w:hAnsi="Times New Roman" w:cs="Times New Roman" w:eastAsia="Times New Roman" w:hint="default"/>
                <w:sz w:val="18"/>
                <w:szCs w:val="18"/>
              </w:rPr>
            </w:pPr>
            <w:r>
              <w:rPr>
                <w:rFonts w:ascii="Times New Roman"/>
                <w:sz w:val="18"/>
              </w:rPr>
              <w:t>-0.0407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6" w:right="0"/>
              <w:jc w:val="left"/>
              <w:rPr>
                <w:rFonts w:ascii="Times New Roman" w:hAnsi="Times New Roman" w:cs="Times New Roman" w:eastAsia="Times New Roman" w:hint="default"/>
                <w:sz w:val="18"/>
                <w:szCs w:val="18"/>
              </w:rPr>
            </w:pPr>
            <w:r>
              <w:rPr>
                <w:rFonts w:ascii="Times New Roman"/>
                <w:sz w:val="18"/>
              </w:rPr>
              <w:t>-0.0404</w:t>
            </w:r>
          </w:p>
        </w:tc>
      </w:tr>
    </w:tbl>
    <w:p>
      <w:pPr>
        <w:pStyle w:val="BodyText"/>
        <w:spacing w:line="240" w:lineRule="auto" w:before="10"/>
        <w:ind w:right="99"/>
        <w:jc w:val="left"/>
      </w:pPr>
      <w:r>
        <w:rPr>
          <w:rFonts w:ascii="Times New Roman" w:hAnsi="Times New Roman" w:cs="Times New Roman" w:eastAsia="Times New Roman" w:hint="default"/>
        </w:rPr>
        <w:t>2</w:t>
      </w:r>
      <w:r>
        <w:rPr/>
        <w:t>、对每股净资产的影响</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37"/>
        <w:gridCol w:w="1843"/>
        <w:gridCol w:w="1702"/>
        <w:gridCol w:w="1699"/>
      </w:tblGrid>
      <w:tr>
        <w:trPr>
          <w:trHeight w:val="694" w:hRule="exact"/>
        </w:trPr>
        <w:tc>
          <w:tcPr>
            <w:tcW w:w="2837" w:type="dxa"/>
            <w:vMerge w:val="restart"/>
            <w:tcBorders>
              <w:top w:val="single" w:sz="6" w:space="0" w:color="000000"/>
              <w:left w:val="single" w:sz="6" w:space="0" w:color="000000"/>
              <w:right w:val="single" w:sz="6" w:space="0" w:color="000000"/>
            </w:tcBorders>
          </w:tcPr>
          <w:p>
            <w:pPr>
              <w:pStyle w:val="TableParagraph"/>
              <w:spacing w:line="240" w:lineRule="auto" w:before="4"/>
              <w:ind w:left="12" w:right="0"/>
              <w:jc w:val="left"/>
              <w:rPr>
                <w:rFonts w:ascii="宋体" w:hAnsi="宋体" w:cs="宋体" w:eastAsia="宋体" w:hint="default"/>
                <w:sz w:val="20"/>
                <w:szCs w:val="20"/>
              </w:rPr>
            </w:pPr>
            <w:r>
              <w:rPr>
                <w:rFonts w:ascii="宋体" w:hAnsi="宋体" w:cs="宋体" w:eastAsia="宋体" w:hint="default"/>
                <w:sz w:val="20"/>
                <w:szCs w:val="20"/>
              </w:rPr>
              <w:t>每股净资产（归属普通股股东）</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转增后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年数据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年数据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sz w:val="20"/>
                <w:szCs w:val="20"/>
              </w:rPr>
              <w:t>转增影响</w:t>
            </w:r>
          </w:p>
        </w:tc>
      </w:tr>
      <w:tr>
        <w:trPr>
          <w:trHeight w:val="348" w:hRule="exact"/>
        </w:trPr>
        <w:tc>
          <w:tcPr>
            <w:tcW w:w="2837"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center"/>
              <w:rPr>
                <w:rFonts w:ascii="Times New Roman" w:hAnsi="Times New Roman" w:cs="Times New Roman" w:eastAsia="Times New Roman" w:hint="default"/>
                <w:sz w:val="20"/>
                <w:szCs w:val="20"/>
              </w:rPr>
            </w:pPr>
            <w:r>
              <w:rPr>
                <w:rFonts w:ascii="Times New Roman"/>
                <w:sz w:val="20"/>
              </w:rPr>
              <w:t>5.42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center"/>
              <w:rPr>
                <w:rFonts w:ascii="Times New Roman" w:hAnsi="Times New Roman" w:cs="Times New Roman" w:eastAsia="Times New Roman" w:hint="default"/>
                <w:sz w:val="20"/>
                <w:szCs w:val="20"/>
              </w:rPr>
            </w:pPr>
            <w:r>
              <w:rPr>
                <w:rFonts w:ascii="Times New Roman"/>
                <w:sz w:val="20"/>
              </w:rPr>
              <w:t>5.96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9" w:right="0"/>
              <w:jc w:val="center"/>
              <w:rPr>
                <w:rFonts w:ascii="Times New Roman" w:hAnsi="Times New Roman" w:cs="Times New Roman" w:eastAsia="Times New Roman" w:hint="default"/>
                <w:sz w:val="20"/>
                <w:szCs w:val="20"/>
              </w:rPr>
            </w:pPr>
            <w:r>
              <w:rPr>
                <w:rFonts w:ascii="Times New Roman"/>
                <w:sz w:val="20"/>
              </w:rPr>
              <w:t>-0.54</w:t>
            </w:r>
          </w:p>
        </w:tc>
      </w:tr>
    </w:tbl>
    <w:p>
      <w:pPr>
        <w:spacing w:after="0" w:line="240" w:lineRule="auto"/>
        <w:jc w:val="center"/>
        <w:rPr>
          <w:rFonts w:ascii="Times New Roman" w:hAnsi="Times New Roman" w:cs="Times New Roman" w:eastAsia="Times New Roman" w:hint="default"/>
          <w:sz w:val="20"/>
          <w:szCs w:val="20"/>
        </w:rPr>
        <w:sectPr>
          <w:pgSz w:w="11910" w:h="16840"/>
          <w:pgMar w:header="745" w:footer="979" w:top="1060" w:bottom="1160" w:left="1020" w:right="1020"/>
        </w:sectPr>
      </w:pPr>
    </w:p>
    <w:p>
      <w:pPr>
        <w:spacing w:line="240" w:lineRule="auto" w:before="8"/>
        <w:rPr>
          <w:rFonts w:ascii="宋体" w:hAnsi="宋体" w:cs="宋体" w:eastAsia="宋体" w:hint="default"/>
          <w:sz w:val="23"/>
          <w:szCs w:val="23"/>
        </w:rPr>
      </w:pPr>
    </w:p>
    <w:p>
      <w:pPr>
        <w:pStyle w:val="Heading2"/>
        <w:spacing w:line="367" w:lineRule="exact"/>
        <w:ind w:right="99"/>
        <w:jc w:val="left"/>
        <w:rPr>
          <w:b w:val="0"/>
          <w:bCs w:val="0"/>
        </w:rPr>
      </w:pPr>
      <w:bookmarkStart w:name="二、证券发行与上市情况" w:id="49"/>
      <w:bookmarkEnd w:id="49"/>
      <w:r>
        <w:rPr>
          <w:b w:val="0"/>
          <w:bCs w:val="0"/>
        </w:rPr>
      </w:r>
      <w:bookmarkStart w:name="1、公司股份总数及股东结构的变动、公司资产和负债结构的变动情况说明" w:id="50"/>
      <w:bookmarkEnd w:id="50"/>
      <w:r>
        <w:rPr>
          <w:b w:val="0"/>
          <w:bCs w:val="0"/>
        </w:rPr>
      </w:r>
      <w:bookmarkStart w:name="三、股东和实际控制人情况" w:id="51"/>
      <w:bookmarkEnd w:id="51"/>
      <w:r>
        <w:rPr>
          <w:b w:val="0"/>
          <w:bCs w:val="0"/>
        </w:rPr>
      </w:r>
      <w:bookmarkStart w:name="1、公司股东数量及持股情况" w:id="52"/>
      <w:bookmarkEnd w:id="52"/>
      <w:r>
        <w:rPr>
          <w:b w:val="0"/>
          <w:bCs w:val="0"/>
        </w:rPr>
      </w: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99"/>
        <w:jc w:val="left"/>
        <w:rPr>
          <w:b w:val="0"/>
          <w:bCs w:val="0"/>
        </w:rPr>
      </w:pPr>
      <w:r>
        <w:rPr>
          <w:rFonts w:ascii="Times New Roman" w:hAnsi="Times New Roman" w:cs="Times New Roman" w:eastAsia="Times New Roman" w:hint="default"/>
        </w:rPr>
        <w:t>1</w:t>
      </w:r>
      <w:r>
        <w:rPr/>
        <w:t>、公司股份总数及股东结构的变动、公司资产和负债结构的变动情况说明</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00" w:lineRule="auto"/>
        <w:ind w:right="111" w:firstLine="362"/>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日公司召开</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年度利润分配及资本公积转增股本方案》，以公司总股 </w:t>
      </w:r>
      <w:r>
        <w:rPr>
          <w:spacing w:val="-1"/>
          <w:w w:val="95"/>
        </w:rPr>
        <w:t>本</w:t>
      </w:r>
      <w:r>
        <w:rPr>
          <w:rFonts w:ascii="Times New Roman" w:hAnsi="Times New Roman" w:cs="Times New Roman" w:eastAsia="Times New Roman" w:hint="default"/>
          <w:spacing w:val="-1"/>
          <w:w w:val="95"/>
        </w:rPr>
        <w:t>210,550,951</w:t>
      </w:r>
      <w:r>
        <w:rPr>
          <w:spacing w:val="-1"/>
          <w:w w:val="95"/>
        </w:rPr>
        <w:t>股为基数，向全体股东每</w:t>
      </w:r>
      <w:r>
        <w:rPr>
          <w:rFonts w:ascii="Times New Roman" w:hAnsi="Times New Roman" w:cs="Times New Roman" w:eastAsia="Times New Roman" w:hint="default"/>
          <w:spacing w:val="-1"/>
          <w:w w:val="95"/>
        </w:rPr>
        <w:t>10</w:t>
      </w:r>
      <w:r>
        <w:rPr>
          <w:spacing w:val="-1"/>
          <w:w w:val="95"/>
        </w:rPr>
        <w:t>股转增</w:t>
      </w:r>
      <w:r>
        <w:rPr>
          <w:rFonts w:ascii="Times New Roman" w:hAnsi="Times New Roman" w:cs="Times New Roman" w:eastAsia="Times New Roman" w:hint="default"/>
          <w:spacing w:val="-1"/>
          <w:w w:val="95"/>
        </w:rPr>
        <w:t>1</w:t>
      </w:r>
      <w:r>
        <w:rPr>
          <w:spacing w:val="-1"/>
          <w:w w:val="95"/>
        </w:rPr>
        <w:t>股，合计转增股本</w:t>
      </w:r>
      <w:r>
        <w:rPr>
          <w:rFonts w:ascii="Times New Roman" w:hAnsi="Times New Roman" w:cs="Times New Roman" w:eastAsia="Times New Roman" w:hint="default"/>
          <w:spacing w:val="-1"/>
          <w:w w:val="95"/>
        </w:rPr>
        <w:t>21,055,095</w:t>
      </w:r>
      <w:r>
        <w:rPr>
          <w:spacing w:val="-1"/>
          <w:w w:val="95"/>
        </w:rPr>
        <w:t>股，转增后公司总股本增加至</w:t>
      </w:r>
      <w:r>
        <w:rPr>
          <w:rFonts w:ascii="Times New Roman" w:hAnsi="Times New Roman" w:cs="Times New Roman" w:eastAsia="Times New Roman" w:hint="default"/>
          <w:spacing w:val="-1"/>
          <w:w w:val="95"/>
        </w:rPr>
        <w:t>231,606,046</w:t>
      </w:r>
      <w:r>
        <w:rPr>
          <w:spacing w:val="-1"/>
          <w:w w:val="95"/>
        </w:rPr>
        <w:t>股。</w:t>
      </w:r>
      <w:r>
        <w:rPr>
          <w:spacing w:val="33"/>
          <w:w w:val="95"/>
        </w:rPr>
        <w:t> </w:t>
      </w:r>
      <w:r>
        <w:rPr>
          <w:spacing w:val="33"/>
          <w:w w:val="95"/>
        </w:rPr>
      </w:r>
      <w:r>
        <w:rPr/>
        <w:t>公司股本增加</w:t>
      </w:r>
      <w:r>
        <w:rPr>
          <w:rFonts w:ascii="Times New Roman" w:hAnsi="Times New Roman" w:cs="Times New Roman" w:eastAsia="Times New Roman" w:hint="default"/>
        </w:rPr>
        <w:t>21,055,095</w:t>
      </w:r>
      <w:r>
        <w:rPr/>
        <w:t>元，资本公积金减少</w:t>
      </w:r>
      <w:r>
        <w:rPr>
          <w:rFonts w:ascii="Times New Roman" w:hAnsi="Times New Roman" w:cs="Times New Roman" w:eastAsia="Times New Roman" w:hint="default"/>
        </w:rPr>
        <w:t>21,055,095</w:t>
      </w:r>
      <w:r>
        <w:rPr/>
        <w:t>元，对所有者权益无影响。</w:t>
      </w:r>
    </w:p>
    <w:p>
      <w:pPr>
        <w:spacing w:line="240" w:lineRule="auto" w:before="5"/>
        <w:rPr>
          <w:rFonts w:ascii="宋体" w:hAnsi="宋体" w:cs="宋体" w:eastAsia="宋体" w:hint="default"/>
          <w:sz w:val="14"/>
          <w:szCs w:val="14"/>
        </w:rPr>
      </w:pPr>
    </w:p>
    <w:p>
      <w:pPr>
        <w:pStyle w:val="Heading2"/>
        <w:spacing w:line="240" w:lineRule="auto"/>
        <w:ind w:right="99"/>
        <w:jc w:val="left"/>
        <w:rPr>
          <w:b w:val="0"/>
          <w:bCs w:val="0"/>
        </w:rPr>
      </w:pPr>
      <w:r>
        <w:rPr/>
        <w:t>三、股东和实际控制人情况</w:t>
      </w:r>
      <w:r>
        <w:rPr>
          <w:b w:val="0"/>
          <w:bCs w:val="0"/>
        </w:rPr>
      </w:r>
    </w:p>
    <w:p>
      <w:pPr>
        <w:spacing w:line="240" w:lineRule="auto" w:before="1"/>
        <w:rPr>
          <w:rFonts w:ascii="Microsoft JhengHei" w:hAnsi="Microsoft JhengHei" w:cs="Microsoft JhengHei" w:eastAsia="Microsoft JhengHei" w:hint="default"/>
          <w:b/>
          <w:bCs/>
          <w:sz w:val="13"/>
          <w:szCs w:val="13"/>
        </w:rPr>
      </w:pPr>
    </w:p>
    <w:p>
      <w:pPr>
        <w:pStyle w:val="Heading4"/>
        <w:spacing w:line="240" w:lineRule="auto"/>
        <w:ind w:left="119" w:right="9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12"/>
        <w:jc w:val="right"/>
      </w:pPr>
      <w:r>
        <w:rPr/>
        <w:t>单位：股</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366"/>
        <w:gridCol w:w="1367"/>
        <w:gridCol w:w="1368"/>
        <w:gridCol w:w="683"/>
        <w:gridCol w:w="684"/>
        <w:gridCol w:w="682"/>
        <w:gridCol w:w="684"/>
        <w:gridCol w:w="1368"/>
        <w:gridCol w:w="1368"/>
      </w:tblGrid>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27,533</w:t>
            </w:r>
          </w:p>
        </w:tc>
        <w:tc>
          <w:tcPr>
            <w:tcW w:w="410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0" w:right="0"/>
              <w:jc w:val="left"/>
              <w:rPr>
                <w:rFonts w:ascii="Times New Roman" w:hAnsi="Times New Roman" w:cs="Times New Roman" w:eastAsia="Times New Roman" w:hint="default"/>
                <w:sz w:val="18"/>
                <w:szCs w:val="18"/>
              </w:rPr>
            </w:pPr>
            <w:r>
              <w:rPr>
                <w:rFonts w:ascii="Times New Roman"/>
                <w:sz w:val="18"/>
              </w:rPr>
              <w:t>27,267</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3" w:hRule="exact"/>
        </w:trPr>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 w:right="62"/>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66"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南天电子信息产 业集团公司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65,638,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720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5,967,1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65,638,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云南省工业投资 控股集团有限责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16,500,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16,500,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中国平安人寿保 险股份有限公司</w:t>
            </w:r>
          </w:p>
          <w:p>
            <w:pPr>
              <w:pStyle w:val="TableParagraph"/>
              <w:spacing w:line="240" w:lineRule="auto" w:before="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自有资金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439,612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胡义参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黄成念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朱先康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95,073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云南医药工业股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674,221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61,293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674,221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-8,150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640,000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华泰证券股份有 限公司客户信用 交易担保证券账 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634,827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634,827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629,131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-147,58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629,131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363"/>
        <w:gridCol w:w="1369"/>
        <w:gridCol w:w="1367"/>
        <w:gridCol w:w="684"/>
        <w:gridCol w:w="684"/>
        <w:gridCol w:w="682"/>
        <w:gridCol w:w="684"/>
        <w:gridCol w:w="1368"/>
        <w:gridCol w:w="1368"/>
      </w:tblGrid>
      <w:tr>
        <w:trPr>
          <w:trHeight w:val="98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67"/>
              <w:jc w:val="both"/>
              <w:rPr>
                <w:rFonts w:ascii="宋体" w:hAnsi="宋体" w:cs="宋体" w:eastAsia="宋体" w:hint="default"/>
                <w:sz w:val="18"/>
                <w:szCs w:val="18"/>
              </w:rPr>
            </w:pPr>
            <w:bookmarkStart w:name="2、公司控股股东情况" w:id="53"/>
            <w:bookmarkEnd w:id="53"/>
            <w:r>
              <w:rPr/>
            </w:r>
            <w:r>
              <w:rPr>
                <w:rFonts w:ascii="宋体" w:hAnsi="宋体" w:cs="宋体" w:eastAsia="宋体" w:hint="default"/>
                <w:sz w:val="18"/>
                <w:szCs w:val="18"/>
              </w:rPr>
              <w:t>份有限公司客户 信用交易担保证 券账户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 w:right="0"/>
              <w:jc w:val="left"/>
              <w:rPr>
                <w:rFonts w:ascii="Times New Roman" w:hAnsi="Times New Roman" w:cs="Times New Roman" w:eastAsia="Times New Roman" w:hint="default"/>
                <w:sz w:val="18"/>
                <w:szCs w:val="18"/>
              </w:rPr>
            </w:pPr>
            <w:r>
              <w:rPr>
                <w:rFonts w:ascii="Times New Roman"/>
                <w:sz w:val="18"/>
              </w:rPr>
              <w:t>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3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南天电子信息产业集团公司是云南省工业投资控股集团有限责任公司的全资子公司，云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南医药工业股份有限公司是云南省工业投资控股集团有限责任公司的控股子公司，故云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南省工业投资控股集团有限责任公司、南天电子信息产业集团公司及云南医药工业股份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有限公司属于一致行动人。</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1" w:hRule="exact"/>
        </w:trPr>
        <w:tc>
          <w:tcPr>
            <w:tcW w:w="27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32" w:type="dxa"/>
            <w:gridSpan w:val="2"/>
            <w:vMerge/>
            <w:tcBorders>
              <w:left w:val="single" w:sz="4" w:space="0" w:color="000000"/>
              <w:bottom w:val="single" w:sz="4" w:space="0" w:color="000000"/>
              <w:right w:val="single" w:sz="4" w:space="0" w:color="000000"/>
            </w:tcBorders>
            <w:shd w:val="clear" w:color="auto" w:fill="D3D3D3"/>
          </w:tcPr>
          <w:p>
            <w:pPr/>
          </w:p>
        </w:tc>
        <w:tc>
          <w:tcPr>
            <w:tcW w:w="4100" w:type="dxa"/>
            <w:gridSpan w:val="5"/>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65,638,720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65,638,720</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 任公司</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6"/>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自有资金</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4,835,730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4,835,730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胡义参</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1,919,407</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黄成念</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1,622,621</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朱先康</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1,045,799</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674,221</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梁良</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华泰证券股份有限公司客户信用 交易担保证券账户</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634,827</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中信建投证券股份有限公司客户 信用交易担保证券账户</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629,131</w:t>
            </w:r>
          </w:p>
        </w:tc>
      </w:tr>
      <w:tr>
        <w:trPr>
          <w:trHeight w:val="1337"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24" w:right="8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3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南天电子信息产业集团公司是云南省工业投资控股集团有限责任公司的全资子公司，云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南医药工业股份有限公司是云南省工业投资控股集团有限责任公司的控股子公司，故云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南省工业投资控股集团有限责任公司、南天电子信息产业集团公司及云南医药工业股份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有限公司属于一致行动人。</w:t>
            </w:r>
          </w:p>
        </w:tc>
      </w:tr>
    </w:tbl>
    <w:p>
      <w:pPr>
        <w:spacing w:line="240" w:lineRule="auto" w:before="5"/>
        <w:rPr>
          <w:rFonts w:ascii="宋体" w:hAnsi="宋体" w:cs="宋体" w:eastAsia="宋体" w:hint="default"/>
          <w:sz w:val="19"/>
          <w:szCs w:val="19"/>
        </w:rPr>
      </w:pPr>
    </w:p>
    <w:p>
      <w:pPr>
        <w:pStyle w:val="Heading4"/>
        <w:spacing w:line="333" w:lineRule="exact"/>
        <w:ind w:left="119" w:right="9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法人</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182"/>
        <w:gridCol w:w="1094"/>
        <w:gridCol w:w="888"/>
        <w:gridCol w:w="1800"/>
        <w:gridCol w:w="1802"/>
        <w:gridCol w:w="1800"/>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93" w:right="65"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7"/>
              <w:jc w:val="left"/>
              <w:rPr>
                <w:rFonts w:ascii="宋体" w:hAnsi="宋体" w:cs="宋体" w:eastAsia="宋体" w:hint="default"/>
                <w:sz w:val="18"/>
                <w:szCs w:val="18"/>
              </w:rPr>
            </w:pPr>
            <w:r>
              <w:rPr>
                <w:rFonts w:ascii="宋体" w:hAnsi="宋体" w:cs="宋体" w:eastAsia="宋体" w:hint="default"/>
                <w:sz w:val="18"/>
                <w:szCs w:val="18"/>
              </w:rPr>
              <w:t>南天电子信息产业集团公 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21653146-8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3,434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6"/>
                <w:sz w:val="18"/>
                <w:szCs w:val="18"/>
              </w:rPr>
              <w:t>电子计算机、机床自动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化设备、“三来一补”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业务等</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日，南天电子信息产业集团公司经审计的总资产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230,690.61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万元，净资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142,848.38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年度营业收入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265,694.34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10,967.18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bookmarkStart w:name="3、公司实际控制人情况" w:id="54"/>
      <w:bookmarkEnd w:id="54"/>
      <w:r>
        <w:rPr/>
      </w:r>
      <w:r>
        <w:rPr/>
        <w:t>报告期控股股东变更</w:t>
      </w:r>
    </w:p>
    <w:p>
      <w:pPr>
        <w:pStyle w:val="BodyText"/>
        <w:spacing w:line="240" w:lineRule="auto" w:before="115"/>
        <w:ind w:right="99"/>
        <w:jc w:val="left"/>
      </w:pPr>
      <w:r>
        <w:rPr/>
        <w:t>□ 适用 √ 不适用</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法人</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182"/>
        <w:gridCol w:w="1094"/>
        <w:gridCol w:w="888"/>
        <w:gridCol w:w="1800"/>
        <w:gridCol w:w="1802"/>
        <w:gridCol w:w="1800"/>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93" w:right="65"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云南省人民政府国有资产 监督管理委员会</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徐盛鹏</w:t>
            </w:r>
          </w:p>
        </w:tc>
        <w:tc>
          <w:tcPr>
            <w:tcW w:w="88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67"/>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9"/>
        <w:jc w:val="left"/>
      </w:pPr>
      <w:r>
        <w:rPr/>
        <w:t>报告期实际控制人变更</w:t>
      </w:r>
    </w:p>
    <w:p>
      <w:pPr>
        <w:pStyle w:val="BodyText"/>
        <w:spacing w:line="360" w:lineRule="auto" w:before="117"/>
        <w:ind w:right="5774"/>
        <w:jc w:val="left"/>
      </w:pPr>
      <w:r>
        <w:rPr/>
        <w:t>□ 适用 √ 不适用 公司与实际控制人之间的产权及控制关系的方框图</w:t>
      </w:r>
    </w:p>
    <w:p>
      <w:pPr>
        <w:spacing w:line="240" w:lineRule="auto" w:before="1"/>
        <w:rPr>
          <w:rFonts w:ascii="宋体" w:hAnsi="宋体" w:cs="宋体" w:eastAsia="宋体" w:hint="default"/>
          <w:sz w:val="23"/>
          <w:szCs w:val="23"/>
        </w:rPr>
      </w:pPr>
    </w:p>
    <w:p>
      <w:pPr>
        <w:spacing w:line="4740" w:lineRule="exact"/>
        <w:ind w:left="1317"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591011" cy="30099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91011" cy="3009900"/>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7"/>
        <w:rPr>
          <w:rFonts w:ascii="宋体" w:hAnsi="宋体" w:cs="宋体" w:eastAsia="宋体" w:hint="default"/>
          <w:sz w:val="25"/>
          <w:szCs w:val="25"/>
        </w:rPr>
      </w:pPr>
    </w:p>
    <w:p>
      <w:pPr>
        <w:pStyle w:val="BodyText"/>
        <w:spacing w:line="240" w:lineRule="auto"/>
        <w:ind w:right="99"/>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99"/>
        <w:jc w:val="left"/>
      </w:pPr>
      <w:r>
        <w:rPr/>
        <w:t>□ 适用 √ 不适用</w:t>
      </w:r>
    </w:p>
    <w:p>
      <w:pPr>
        <w:spacing w:after="0" w:line="240" w:lineRule="auto"/>
        <w:jc w:val="left"/>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456" w:lineRule="exact"/>
        <w:ind w:left="1643" w:right="99"/>
        <w:jc w:val="left"/>
        <w:rPr>
          <w:b w:val="0"/>
          <w:bCs w:val="0"/>
        </w:rPr>
      </w:pPr>
      <w:bookmarkStart w:name="第七节董事、监事、高级管理人员和员工情况" w:id="55"/>
      <w:bookmarkEnd w:id="55"/>
      <w:r>
        <w:rPr>
          <w:b w:val="0"/>
          <w:bCs w:val="0"/>
        </w:rPr>
      </w:r>
      <w:bookmarkStart w:name="一、董事、监事和高级管理人员持股变动" w:id="56"/>
      <w:bookmarkEnd w:id="56"/>
      <w:r>
        <w:rPr>
          <w:b w:val="0"/>
          <w:bCs w:val="0"/>
        </w:rPr>
      </w:r>
      <w:r>
        <w:rPr/>
        <w:t>第七节 </w:t>
      </w:r>
      <w:r>
        <w:rPr>
          <w:spacing w:val="17"/>
        </w:rPr>
        <w:t> </w:t>
      </w:r>
      <w:r>
        <w:rPr/>
        <w:t>董事、监事、高级管理人员和员工情况</w:t>
      </w:r>
      <w:r>
        <w:rPr>
          <w:b w:val="0"/>
          <w:bCs w:val="0"/>
        </w:rPr>
      </w:r>
    </w:p>
    <w:p>
      <w:pPr>
        <w:spacing w:line="240" w:lineRule="auto" w:before="12"/>
        <w:rPr>
          <w:rFonts w:ascii="Microsoft JhengHei" w:hAnsi="Microsoft JhengHei" w:cs="Microsoft JhengHei" w:eastAsia="Microsoft JhengHei" w:hint="default"/>
          <w:b/>
          <w:bCs/>
          <w:sz w:val="22"/>
          <w:szCs w:val="22"/>
        </w:rPr>
      </w:pPr>
    </w:p>
    <w:p>
      <w:pPr>
        <w:pStyle w:val="Heading2"/>
        <w:spacing w:line="240" w:lineRule="auto"/>
        <w:ind w:right="99"/>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52"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72"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100,070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w w:val="90"/>
                <w:sz w:val="18"/>
                <w:szCs w:val="18"/>
              </w:rPr>
              <w:t>副董事长、</w:t>
            </w:r>
            <w:r>
              <w:rPr>
                <w:rFonts w:ascii="宋体" w:hAnsi="宋体" w:cs="宋体" w:eastAsia="宋体" w:hint="default"/>
                <w:spacing w:val="-78"/>
                <w:w w:val="90"/>
                <w:sz w:val="18"/>
                <w:szCs w:val="18"/>
              </w:rPr>
              <w:t> </w:t>
            </w:r>
            <w:r>
              <w:rPr>
                <w:rFonts w:ascii="宋体" w:hAnsi="宋体" w:cs="宋体" w:eastAsia="宋体" w:hint="default"/>
                <w:spacing w:val="-78"/>
                <w:w w:val="90"/>
                <w:sz w:val="18"/>
                <w:szCs w:val="18"/>
              </w:rPr>
            </w:r>
            <w:r>
              <w:rPr>
                <w:rFonts w:ascii="宋体" w:hAnsi="宋体" w:cs="宋体" w:eastAsia="宋体" w:hint="default"/>
                <w:sz w:val="18"/>
                <w:szCs w:val="18"/>
              </w:rPr>
              <w:t>高级副总</w:t>
            </w:r>
            <w:r>
              <w:rPr>
                <w:rFonts w:ascii="宋体" w:hAnsi="宋体" w:cs="宋体" w:eastAsia="宋体" w:hint="default"/>
                <w:sz w:val="18"/>
                <w:szCs w:val="18"/>
              </w:rPr>
              <w:t> 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郑南南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㱔克明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高文凤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冯卫华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5" w:top="1060" w:bottom="1160" w:left="1020" w:right="1020"/>
          <w:pgNumType w:start="3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二、任职情况" w:id="57"/>
            <w:bookmarkEnd w:id="57"/>
            <w:r>
              <w:rPr/>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彭玉珠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29,075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29,825</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陈德英</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杨暾</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650,795</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二、任职情况</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t>公司现任董事、监事、高级管理人员最近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3"/>
        <w:ind w:right="110" w:firstLine="482"/>
        <w:jc w:val="both"/>
      </w:pPr>
      <w:r>
        <w:rPr/>
        <w:t>（</w:t>
      </w:r>
      <w:r>
        <w:rPr>
          <w:rFonts w:ascii="Times New Roman" w:hAnsi="Times New Roman" w:cs="Times New Roman" w:eastAsia="Times New Roman" w:hint="default"/>
        </w:rPr>
        <w:t>1</w:t>
      </w:r>
      <w:r>
        <w:rPr/>
        <w:t>）雷坚：</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月至今在云南南天电子信息产业股份有限公司任董事；</w:t>
      </w:r>
      <w:r>
        <w:rPr>
          <w:spacing w:val="-29"/>
        </w:rPr>
        <w:t> </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月在云南南天电子 信息产业股份有限公司总裁；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月至今任云南南天电子信息产业股份有限公司董事长；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月至今任南天电子信 息产业集团公司董事长。</w:t>
      </w:r>
    </w:p>
    <w:p>
      <w:pPr>
        <w:pStyle w:val="BodyText"/>
        <w:spacing w:line="300" w:lineRule="auto" w:before="70"/>
        <w:ind w:right="112" w:firstLine="482"/>
        <w:jc w:val="both"/>
      </w:pPr>
      <w:r>
        <w:rPr/>
        <w:t>（</w:t>
      </w:r>
      <w:r>
        <w:rPr>
          <w:rFonts w:ascii="Times New Roman" w:hAnsi="Times New Roman" w:cs="Times New Roman" w:eastAsia="Times New Roman" w:hint="default"/>
        </w:rPr>
        <w:t>2</w:t>
      </w:r>
      <w:r>
        <w:rPr/>
        <w:t>）刘为：</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月在云南南天电子信息产业股份有限公司任董事、副总裁；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月至今任云 南南天电子信息产业股份有限公司副董事长、高级副总裁。</w:t>
      </w:r>
    </w:p>
    <w:p>
      <w:pPr>
        <w:pStyle w:val="BodyText"/>
        <w:spacing w:line="300" w:lineRule="auto" w:before="72"/>
        <w:ind w:right="112" w:firstLine="482"/>
        <w:jc w:val="both"/>
      </w:pPr>
      <w:r>
        <w:rPr/>
        <w:t>（</w:t>
      </w:r>
      <w:r>
        <w:rPr>
          <w:rFonts w:ascii="Times New Roman" w:hAnsi="Times New Roman" w:cs="Times New Roman" w:eastAsia="Times New Roman" w:hint="default"/>
        </w:rPr>
        <w:t>3</w:t>
      </w:r>
      <w:r>
        <w:rPr/>
        <w:t>）张锦鸿：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月至今任云南南天电子信息产业股份有限公司董事；</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月在云南南天电子 信息产业股份有限公司任副总裁；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月至今任云南南天电子信息产业股份有限公司总裁。</w:t>
      </w:r>
    </w:p>
    <w:p>
      <w:pPr>
        <w:pStyle w:val="BodyText"/>
        <w:spacing w:line="300" w:lineRule="auto" w:before="53"/>
        <w:ind w:right="112" w:firstLine="482"/>
        <w:jc w:val="both"/>
      </w:pPr>
      <w:r>
        <w:rPr/>
        <w:t>（</w:t>
      </w:r>
      <w:r>
        <w:rPr>
          <w:rFonts w:ascii="Times New Roman" w:hAnsi="Times New Roman" w:cs="Times New Roman" w:eastAsia="Times New Roman" w:hint="default"/>
        </w:rPr>
        <w:t>4</w:t>
      </w:r>
      <w:r>
        <w:rPr/>
        <w:t>）郑南南：</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月至今在云南南天电子信息产业股份有限公司任董事；</w:t>
      </w:r>
      <w:r>
        <w:rPr>
          <w:spacing w:val="43"/>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月任南天电子 信息产业集团公司董事长；</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月在云南南天电子信息产业股份有限公司任董事长。</w:t>
      </w:r>
    </w:p>
    <w:p>
      <w:pPr>
        <w:pStyle w:val="BodyText"/>
        <w:spacing w:line="300" w:lineRule="auto" w:before="51"/>
        <w:ind w:right="112" w:firstLine="482"/>
        <w:jc w:val="both"/>
      </w:pPr>
      <w:r>
        <w:rPr/>
        <w:t>（</w:t>
      </w:r>
      <w:r>
        <w:rPr>
          <w:rFonts w:ascii="Times New Roman" w:hAnsi="Times New Roman" w:cs="Times New Roman" w:eastAsia="Times New Roman" w:hint="default"/>
        </w:rPr>
        <w:t>5</w:t>
      </w:r>
      <w:r>
        <w:rPr/>
        <w:t>）吴蜀军：</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月至今在云南南天电子信息产业股份有限公司任党委书记；</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 信息产业股份有限公司任董事。</w:t>
      </w:r>
    </w:p>
    <w:p>
      <w:pPr>
        <w:pStyle w:val="BodyText"/>
        <w:spacing w:line="300" w:lineRule="auto" w:before="72"/>
        <w:ind w:right="112" w:firstLine="482"/>
        <w:jc w:val="both"/>
      </w:pPr>
      <w:r>
        <w:rPr/>
        <w:t>（</w:t>
      </w:r>
      <w:r>
        <w:rPr>
          <w:rFonts w:ascii="Times New Roman" w:hAnsi="Times New Roman" w:cs="Times New Roman" w:eastAsia="Times New Roman" w:hint="default"/>
        </w:rPr>
        <w:t>6</w:t>
      </w:r>
      <w:r>
        <w:rPr/>
        <w:t>）陈宇峰：</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月至今在云南南天电子信息产业股份有限公司任董事；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月至今在云南南天电子信息 产业股份有限公司任高级副总裁。</w:t>
      </w:r>
    </w:p>
    <w:p>
      <w:pPr>
        <w:pStyle w:val="BodyText"/>
        <w:spacing w:line="300" w:lineRule="auto" w:before="72"/>
        <w:ind w:right="112" w:firstLine="482"/>
        <w:jc w:val="both"/>
      </w:pPr>
      <w:r>
        <w:rPr/>
        <w:t>（</w:t>
      </w:r>
      <w:r>
        <w:rPr>
          <w:rFonts w:ascii="Times New Roman" w:hAnsi="Times New Roman" w:cs="Times New Roman" w:eastAsia="Times New Roman" w:hint="default"/>
        </w:rPr>
        <w:t>7</w:t>
      </w:r>
      <w:r>
        <w:rPr/>
        <w:t>）宋卫权：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月至今在云南南天电子信息产业股份有限公司自助产品中心任总经理；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月至今在云南 南天电子信息产业股份有限公司任副总裁；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月至今在云南南天电子信息产业股份有限公司任董事。</w:t>
      </w:r>
    </w:p>
    <w:p>
      <w:pPr>
        <w:pStyle w:val="BodyText"/>
        <w:spacing w:line="240" w:lineRule="auto" w:before="51"/>
        <w:ind w:left="595" w:right="99"/>
        <w:jc w:val="left"/>
      </w:pPr>
      <w:r>
        <w:rPr/>
        <w:t>（</w:t>
      </w:r>
      <w:r>
        <w:rPr>
          <w:rFonts w:ascii="Times New Roman" w:hAnsi="Times New Roman" w:cs="Times New Roman" w:eastAsia="Times New Roman" w:hint="default"/>
        </w:rPr>
        <w:t>8</w:t>
      </w:r>
      <w:r>
        <w:rPr/>
        <w:t>）董云庭：</w:t>
      </w:r>
      <w:r>
        <w:rPr>
          <w:rFonts w:ascii="Times New Roman" w:hAnsi="Times New Roman" w:cs="Times New Roman" w:eastAsia="Times New Roman" w:hint="default"/>
        </w:rPr>
        <w:t>2010</w:t>
      </w:r>
      <w:r>
        <w:rPr/>
        <w:t>年至今任中国电子企业协会会长；</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月至今在云南南天电子信息产业股份有限公司任独立</w:t>
      </w:r>
    </w:p>
    <w:p>
      <w:pPr>
        <w:spacing w:after="0" w:line="240"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r>
        <w:rPr/>
        <w:t>董事。</w:t>
      </w:r>
    </w:p>
    <w:p>
      <w:pPr>
        <w:pStyle w:val="BodyText"/>
        <w:spacing w:line="300" w:lineRule="auto" w:before="115"/>
        <w:ind w:right="110" w:firstLine="482"/>
        <w:jc w:val="both"/>
      </w:pPr>
      <w:r>
        <w:rPr>
          <w:spacing w:val="-1"/>
        </w:rPr>
        <w:t>（</w:t>
      </w:r>
      <w:r>
        <w:rPr>
          <w:rFonts w:ascii="Times New Roman" w:hAnsi="Times New Roman" w:cs="Times New Roman" w:eastAsia="Times New Roman" w:hint="default"/>
          <w:spacing w:val="-1"/>
        </w:rPr>
        <w:t>9</w:t>
      </w:r>
      <w:r>
        <w:rPr>
          <w:spacing w:val="-1"/>
        </w:rPr>
        <w:t>）㱔克明：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8</w:t>
      </w:r>
      <w:r>
        <w:rPr>
          <w:spacing w:val="-1"/>
        </w:rPr>
        <w:t>月至今在云南省注册会计师协会任副会长兼秘书长；</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月至今在云南南天电子信息产业</w:t>
      </w:r>
      <w:r>
        <w:rPr/>
        <w:t> 股份有限公司任独立董事。</w:t>
      </w:r>
    </w:p>
    <w:p>
      <w:pPr>
        <w:pStyle w:val="BodyText"/>
        <w:spacing w:line="300" w:lineRule="auto" w:before="72"/>
        <w:ind w:right="110" w:firstLine="482"/>
        <w:jc w:val="both"/>
      </w:pPr>
      <w:r>
        <w:rPr>
          <w:spacing w:val="-1"/>
        </w:rPr>
        <w:t>（</w:t>
      </w:r>
      <w:r>
        <w:rPr>
          <w:rFonts w:ascii="Times New Roman" w:hAnsi="Times New Roman" w:cs="Times New Roman" w:eastAsia="Times New Roman" w:hint="default"/>
          <w:spacing w:val="-1"/>
        </w:rPr>
        <w:t>10</w:t>
      </w:r>
      <w:r>
        <w:rPr>
          <w:spacing w:val="-1"/>
        </w:rPr>
        <w:t>）母景平：云南大学经济学院会计系主任、教授；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月至今在云南南天电子信息产业股份有限公司任独立</w:t>
      </w:r>
      <w:r>
        <w:rPr/>
        <w:t> 董事。</w:t>
      </w:r>
    </w:p>
    <w:p>
      <w:pPr>
        <w:pStyle w:val="BodyText"/>
        <w:spacing w:line="300" w:lineRule="auto" w:before="72"/>
        <w:ind w:right="109" w:firstLine="482"/>
        <w:jc w:val="both"/>
      </w:pPr>
      <w:r>
        <w:rPr>
          <w:spacing w:val="-1"/>
        </w:rPr>
        <w:t>（</w:t>
      </w:r>
      <w:r>
        <w:rPr>
          <w:rFonts w:ascii="Times New Roman" w:hAnsi="Times New Roman" w:cs="Times New Roman" w:eastAsia="Times New Roman" w:hint="default"/>
          <w:spacing w:val="-1"/>
        </w:rPr>
        <w:t>11</w:t>
      </w:r>
      <w:r>
        <w:rPr>
          <w:spacing w:val="-1"/>
        </w:rPr>
        <w:t>）安树昆：云南行政学院教授。</w:t>
      </w:r>
      <w:r>
        <w:rPr>
          <w:rFonts w:ascii="Times New Roman" w:hAnsi="Times New Roman" w:cs="Times New Roman" w:eastAsia="Times New Roman" w:hint="default"/>
          <w:spacing w:val="-1"/>
        </w:rPr>
        <w:t>1988</w:t>
      </w:r>
      <w:r>
        <w:rPr>
          <w:spacing w:val="-1"/>
        </w:rPr>
        <w:t>年至今从事兼职律师业务；</w:t>
      </w:r>
      <w:r>
        <w:rPr>
          <w:rFonts w:ascii="Times New Roman" w:hAnsi="Times New Roman" w:cs="Times New Roman" w:eastAsia="Times New Roman" w:hint="default"/>
          <w:spacing w:val="-1"/>
        </w:rPr>
        <w:t>2000</w:t>
      </w:r>
      <w:r>
        <w:rPr>
          <w:spacing w:val="-1"/>
        </w:rPr>
        <w:t>年至今担任昆明市仲裁委员会仲裁员；</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月至今在云南南天电子信息产业股份有限公司任独立董事。</w:t>
      </w:r>
    </w:p>
    <w:p>
      <w:pPr>
        <w:pStyle w:val="BodyText"/>
        <w:spacing w:line="300" w:lineRule="auto" w:before="51"/>
        <w:ind w:right="112" w:firstLine="482"/>
        <w:jc w:val="both"/>
      </w:pPr>
      <w:r>
        <w:rPr/>
        <w:t>（</w:t>
      </w:r>
      <w:r>
        <w:rPr>
          <w:rFonts w:ascii="Times New Roman" w:hAnsi="Times New Roman" w:cs="Times New Roman" w:eastAsia="Times New Roman" w:hint="default"/>
        </w:rPr>
        <w:t>12</w:t>
      </w:r>
      <w:r>
        <w:rPr/>
        <w:t>）高文凤：</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月在云南南天电子信息产业股份有限公司财务部任财务部总经理；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 至今任云南南天电子信息产业股份有限公司监事会主席。</w:t>
      </w:r>
      <w:r>
        <w:rPr>
          <w:spacing w:val="-52"/>
        </w:rPr>
        <w:t> </w:t>
      </w:r>
      <w:r>
        <w:rPr>
          <w:rFonts w:ascii="Times New Roman" w:hAnsi="Times New Roman" w:cs="Times New Roman" w:eastAsia="Times New Roman" w:hint="default"/>
        </w:rPr>
        <w:t>2012</w:t>
      </w:r>
      <w:r>
        <w:rPr/>
        <w:t>年至今任云南南天电子信息产业股份有限公司风险管理部部</w:t>
      </w:r>
      <w:r>
        <w:rPr>
          <w:spacing w:val="-60"/>
        </w:rPr>
        <w:t> </w:t>
      </w:r>
      <w:r>
        <w:rPr>
          <w:spacing w:val="-60"/>
        </w:rPr>
      </w:r>
      <w:r>
        <w:rPr/>
        <w:t>长。</w:t>
      </w:r>
    </w:p>
    <w:p>
      <w:pPr>
        <w:pStyle w:val="BodyText"/>
        <w:spacing w:line="300" w:lineRule="auto" w:before="72"/>
        <w:ind w:right="99" w:firstLine="482"/>
        <w:jc w:val="left"/>
      </w:pPr>
      <w:r>
        <w:rPr/>
        <w:t>（</w:t>
      </w:r>
      <w:r>
        <w:rPr>
          <w:rFonts w:ascii="Times New Roman" w:hAnsi="Times New Roman" w:cs="Times New Roman" w:eastAsia="Times New Roman" w:hint="default"/>
        </w:rPr>
        <w:t>13</w:t>
      </w:r>
      <w:r>
        <w:rPr/>
        <w:t>）李云：</w:t>
      </w:r>
      <w:r>
        <w:rPr>
          <w:spacing w:val="-27"/>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月至今在云南南天电子信息产业股份有限公司任纪委书记；</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月至今在云南南天电子信 息产业股份有限公司任监事。</w:t>
      </w:r>
    </w:p>
    <w:p>
      <w:pPr>
        <w:pStyle w:val="BodyText"/>
        <w:spacing w:line="300" w:lineRule="auto" w:before="72"/>
        <w:ind w:right="99" w:firstLine="482"/>
        <w:jc w:val="left"/>
      </w:pPr>
      <w:r>
        <w:rPr/>
        <w:t>（</w:t>
      </w:r>
      <w:r>
        <w:rPr>
          <w:rFonts w:ascii="Times New Roman" w:hAnsi="Times New Roman" w:cs="Times New Roman" w:eastAsia="Times New Roman" w:hint="default"/>
        </w:rPr>
        <w:t>14</w:t>
      </w:r>
      <w:r>
        <w:rPr/>
        <w:t>）张建生：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月至今在云南省工业投资控股集团有限责任公司财务部任职；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 子信息产业股份有限公司任监事。</w:t>
      </w:r>
    </w:p>
    <w:p>
      <w:pPr>
        <w:pStyle w:val="BodyText"/>
        <w:spacing w:line="300" w:lineRule="auto" w:before="70"/>
        <w:ind w:right="99" w:firstLine="482"/>
        <w:jc w:val="left"/>
      </w:pPr>
      <w:r>
        <w:rPr/>
        <w:t>（</w:t>
      </w:r>
      <w:r>
        <w:rPr>
          <w:rFonts w:ascii="Times New Roman" w:hAnsi="Times New Roman" w:cs="Times New Roman" w:eastAsia="Times New Roman" w:hint="default"/>
        </w:rPr>
        <w:t>15</w:t>
      </w:r>
      <w:r>
        <w:rPr/>
        <w:t>）冯卫华：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月至今在云南南天电子信息产业股份有限公司自助产品部任副总经理；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 南南天电子信息产业股份有限公司任职工监事。</w:t>
      </w:r>
    </w:p>
    <w:p>
      <w:pPr>
        <w:pStyle w:val="BodyText"/>
        <w:spacing w:line="300" w:lineRule="auto" w:before="72"/>
        <w:ind w:right="99" w:firstLine="482"/>
        <w:jc w:val="left"/>
      </w:pPr>
      <w:r>
        <w:rPr/>
        <w:t>（</w:t>
      </w:r>
      <w:r>
        <w:rPr>
          <w:rFonts w:ascii="Times New Roman" w:hAnsi="Times New Roman" w:cs="Times New Roman" w:eastAsia="Times New Roman" w:hint="default"/>
        </w:rPr>
        <w:t>16</w:t>
      </w:r>
      <w:r>
        <w:rPr/>
        <w:t>）章维萍：</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月至今在云南南天电子信息产业股份有限公司任人力资源部部长；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 天电子信息产业股份有限公司任职工监事。</w:t>
      </w:r>
    </w:p>
    <w:p>
      <w:pPr>
        <w:pStyle w:val="BodyText"/>
        <w:spacing w:line="240" w:lineRule="auto" w:before="72"/>
        <w:ind w:left="595" w:right="99"/>
        <w:jc w:val="left"/>
      </w:pPr>
      <w:r>
        <w:rPr/>
        <w:t>（</w:t>
      </w:r>
      <w:r>
        <w:rPr>
          <w:rFonts w:ascii="Times New Roman" w:hAnsi="Times New Roman" w:cs="Times New Roman" w:eastAsia="Times New Roman" w:hint="default"/>
        </w:rPr>
        <w:t>17</w:t>
      </w:r>
      <w:r>
        <w:rPr/>
        <w:t>）唐绯：</w:t>
      </w:r>
      <w:r>
        <w:rPr>
          <w:spacing w:val="-3"/>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月至今在云南南天电子信息产业股份有限公司任财务总监兼财务中心总经理。</w:t>
      </w:r>
    </w:p>
    <w:p>
      <w:pPr>
        <w:pStyle w:val="BodyText"/>
        <w:spacing w:line="240" w:lineRule="auto" w:before="101"/>
        <w:ind w:left="595" w:right="99"/>
        <w:jc w:val="left"/>
      </w:pPr>
      <w:r>
        <w:rPr/>
        <w:t>（</w:t>
      </w:r>
      <w:r>
        <w:rPr>
          <w:rFonts w:ascii="Times New Roman" w:hAnsi="Times New Roman" w:cs="Times New Roman" w:eastAsia="Times New Roman" w:hint="default"/>
        </w:rPr>
        <w:t>18</w:t>
      </w:r>
      <w:r>
        <w:rPr/>
        <w:t>）姜东：</w:t>
      </w:r>
      <w:r>
        <w:rPr>
          <w:spacing w:val="-4"/>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月至今在云南南天电子信息产业股份有限公司任董事会秘书。</w:t>
      </w:r>
    </w:p>
    <w:p>
      <w:pPr>
        <w:pStyle w:val="BodyText"/>
        <w:spacing w:line="240" w:lineRule="auto" w:before="103"/>
        <w:ind w:left="595" w:right="99"/>
        <w:jc w:val="left"/>
      </w:pPr>
      <w:r>
        <w:rPr/>
        <w:t>（</w:t>
      </w:r>
      <w:r>
        <w:rPr>
          <w:rFonts w:ascii="Times New Roman" w:hAnsi="Times New Roman" w:cs="Times New Roman" w:eastAsia="Times New Roman" w:hint="default"/>
        </w:rPr>
        <w:t>19</w:t>
      </w:r>
      <w:r>
        <w:rPr/>
        <w:t>）彭玉珠：</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月至今在云南南天电子信息产业股份有限公司任总裁助理。</w:t>
      </w:r>
    </w:p>
    <w:p>
      <w:pPr>
        <w:pStyle w:val="BodyText"/>
        <w:spacing w:line="300" w:lineRule="auto" w:before="103"/>
        <w:ind w:right="99" w:firstLine="482"/>
        <w:jc w:val="left"/>
      </w:pPr>
      <w:r>
        <w:rPr/>
        <w:t>（</w:t>
      </w:r>
      <w:r>
        <w:rPr>
          <w:rFonts w:ascii="Times New Roman" w:hAnsi="Times New Roman" w:cs="Times New Roman" w:eastAsia="Times New Roman" w:hint="default"/>
        </w:rPr>
        <w:t>20</w:t>
      </w:r>
      <w:r>
        <w:rPr/>
        <w:t>）陈德英：</w:t>
      </w:r>
      <w:r>
        <w:rPr>
          <w:rFonts w:ascii="Times New Roman" w:hAnsi="Times New Roman" w:cs="Times New Roman" w:eastAsia="Times New Roman" w:hint="default"/>
        </w:rPr>
        <w:t>2003</w:t>
      </w:r>
      <w:r>
        <w:rPr/>
        <w:t>年至今在云南南天电子信息产业股份有限公司任国际业务部总经理；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月至今在云南南天 电子信息产业股份有限公司任总裁助理。</w:t>
      </w:r>
    </w:p>
    <w:p>
      <w:pPr>
        <w:pStyle w:val="BodyText"/>
        <w:spacing w:line="300" w:lineRule="auto" w:before="70"/>
        <w:ind w:right="99" w:firstLine="571"/>
        <w:jc w:val="left"/>
      </w:pPr>
      <w:r>
        <w:rPr/>
        <w:t>（</w:t>
      </w:r>
      <w:r>
        <w:rPr>
          <w:rFonts w:ascii="Times New Roman" w:hAnsi="Times New Roman" w:cs="Times New Roman" w:eastAsia="Times New Roman" w:hint="default"/>
        </w:rPr>
        <w:t>21</w:t>
      </w:r>
      <w:r>
        <w:rPr/>
        <w:t>）徐宏灿：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月至今在北京南天软件有限公司任总经理；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月至今在云南南天电子信息产业股份有 限公司软件事业部任总经理；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月至今在云南南天电子信息产业股份有限公司任副总裁。</w:t>
      </w:r>
    </w:p>
    <w:p>
      <w:pPr>
        <w:pStyle w:val="BodyText"/>
        <w:spacing w:line="300" w:lineRule="auto" w:before="53"/>
        <w:ind w:right="99" w:firstLine="482"/>
        <w:jc w:val="left"/>
      </w:pPr>
      <w:r>
        <w:rPr>
          <w:spacing w:val="-1"/>
        </w:rPr>
        <w:t>（</w:t>
      </w:r>
      <w:r>
        <w:rPr>
          <w:rFonts w:ascii="Times New Roman" w:hAnsi="Times New Roman" w:cs="Times New Roman" w:eastAsia="Times New Roman" w:hint="default"/>
          <w:spacing w:val="-1"/>
        </w:rPr>
        <w:t>22</w:t>
      </w:r>
      <w:r>
        <w:rPr>
          <w:spacing w:val="-1"/>
        </w:rPr>
        <w:t>）陈智：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月至今在云南南天电子信息产业股份有限公司集成服务事业部任总经理；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月至今在云南</w:t>
      </w:r>
      <w:r>
        <w:rPr/>
        <w:t> 南天电子信息产业股份有限公司任副总裁。</w:t>
      </w:r>
    </w:p>
    <w:p>
      <w:pPr>
        <w:pStyle w:val="BodyText"/>
        <w:spacing w:line="300" w:lineRule="auto" w:before="72"/>
        <w:ind w:right="99" w:firstLine="482"/>
        <w:jc w:val="left"/>
      </w:pPr>
      <w:r>
        <w:rPr>
          <w:spacing w:val="-1"/>
        </w:rPr>
        <w:t>（</w:t>
      </w:r>
      <w:r>
        <w:rPr>
          <w:rFonts w:ascii="Times New Roman" w:hAnsi="Times New Roman" w:cs="Times New Roman" w:eastAsia="Times New Roman" w:hint="default"/>
          <w:spacing w:val="-1"/>
        </w:rPr>
        <w:t>23</w:t>
      </w:r>
      <w:r>
        <w:rPr>
          <w:spacing w:val="-1"/>
        </w:rPr>
        <w:t>）杨暾：</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月至今在云南南天电子信息产业股份有限公司软件资源事业部任总经理；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月至今在云南</w:t>
      </w:r>
      <w:r>
        <w:rPr/>
        <w:t> 南天电子信息产业股份有限公司任副总裁。</w:t>
      </w:r>
    </w:p>
    <w:p>
      <w:pPr>
        <w:pStyle w:val="BodyText"/>
        <w:spacing w:line="240" w:lineRule="auto" w:before="70"/>
        <w:ind w:right="99"/>
        <w:jc w:val="left"/>
      </w:pPr>
      <w:r>
        <w:rPr/>
        <w:t>在股东单位任职情况</w:t>
      </w:r>
    </w:p>
    <w:p>
      <w:pPr>
        <w:pStyle w:val="BodyText"/>
        <w:spacing w:line="240" w:lineRule="auto" w:before="117"/>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202"/>
        <w:gridCol w:w="3187"/>
        <w:gridCol w:w="1066"/>
        <w:gridCol w:w="1195"/>
        <w:gridCol w:w="1330"/>
        <w:gridCol w:w="1589"/>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9"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0" w:right="67" w:hanging="272"/>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郑南南</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1"/>
              <w:jc w:val="left"/>
              <w:rPr>
                <w:rFonts w:ascii="宋体" w:hAnsi="宋体" w:cs="宋体" w:eastAsia="宋体" w:hint="default"/>
                <w:sz w:val="18"/>
                <w:szCs w:val="18"/>
              </w:rPr>
            </w:pPr>
            <w:r>
              <w:rPr>
                <w:rFonts w:ascii="宋体" w:hAnsi="宋体" w:cs="宋体" w:eastAsia="宋体" w:hint="default"/>
                <w:sz w:val="18"/>
                <w:szCs w:val="18"/>
              </w:rPr>
              <w:t>财务部副经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三、董事、监事、高级管理人员报酬情况" w:id="58"/>
            <w:bookmarkEnd w:id="58"/>
            <w:r>
              <w:rPr/>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99"/>
        <w:jc w:val="left"/>
      </w:pPr>
      <w:r>
        <w:rPr/>
        <w:t>在其他单位任职情况</w:t>
      </w:r>
    </w:p>
    <w:p>
      <w:pPr>
        <w:pStyle w:val="BodyText"/>
        <w:spacing w:line="240" w:lineRule="auto" w:before="117"/>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02"/>
        <w:gridCol w:w="3190"/>
        <w:gridCol w:w="1063"/>
        <w:gridCol w:w="1195"/>
        <w:gridCol w:w="1325"/>
        <w:gridCol w:w="1594"/>
      </w:tblGrid>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天水华天科技股份有限公司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㱔克明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云南省注册会计师协会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副会长兼秘 书长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云南大学会计系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主任、教授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云南省委党校、云南行政学院法学教研 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367" w:lineRule="exact"/>
        <w:ind w:right="99"/>
        <w:jc w:val="left"/>
        <w:rPr>
          <w:b w:val="0"/>
          <w:bCs w:val="0"/>
        </w:rPr>
      </w:pPr>
      <w:r>
        <w:rPr/>
        <w:t>三、董事、监事、高级管理人员报酬情况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99"/>
        <w:jc w:val="left"/>
      </w:pPr>
      <w:r>
        <w:rPr/>
        <w:t>董事、监事、高级管理人员报酬的决策程序、确定依据、实际支付情况 </w:t>
      </w:r>
      <w:r>
        <w:rPr>
          <w:spacing w:val="-2"/>
        </w:rPr>
        <w:t>报告期内，公司董事、监事及高级管理人员报酬的决策程序及确定依据按照《南天信息股份公司高级管理人员薪酬与绩效管</w:t>
      </w:r>
      <w:r>
        <w:rPr>
          <w:spacing w:val="-65"/>
        </w:rPr>
        <w:t> </w:t>
      </w:r>
      <w:r>
        <w:rPr>
          <w:spacing w:val="-65"/>
        </w:rPr>
      </w:r>
      <w:r>
        <w:rPr/>
        <w:t>理制度》执行。</w:t>
      </w:r>
    </w:p>
    <w:p>
      <w:pPr>
        <w:pStyle w:val="BodyText"/>
        <w:spacing w:line="240" w:lineRule="auto" w:before="43"/>
        <w:ind w:right="99"/>
        <w:jc w:val="left"/>
      </w:pPr>
      <w:r>
        <w:rPr/>
        <w:t>公司报告期内董事、监事和高级管理人员报酬情况</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8"/>
        <w:gridCol w:w="1195"/>
        <w:gridCol w:w="1195"/>
        <w:gridCol w:w="1198"/>
        <w:gridCol w:w="1195"/>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5"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46.41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46.41</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副董事长、高 级副总裁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70.22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郑南南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41.75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㱔克明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四、公司董事、监事、高级管理人员离职和解聘情况" w:id="59"/>
            <w:bookmarkEnd w:id="59"/>
            <w:r>
              <w:rPr/>
            </w:r>
            <w:bookmarkStart w:name="五、公司员工情况" w:id="60"/>
            <w:bookmarkEnd w:id="60"/>
            <w:r>
              <w:rPr/>
            </w:r>
            <w:r>
              <w:rPr>
                <w:rFonts w:ascii="宋体" w:hAnsi="宋体" w:cs="宋体" w:eastAsia="宋体" w:hint="default"/>
                <w:sz w:val="18"/>
                <w:szCs w:val="18"/>
              </w:rPr>
              <w:t>母景平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高文凤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冯卫华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彭玉珠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陈德英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57.81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40.79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654.05</w:t>
            </w:r>
          </w:p>
        </w:tc>
      </w:tr>
    </w:tbl>
    <w:p>
      <w:pPr>
        <w:pStyle w:val="BodyText"/>
        <w:spacing w:line="240" w:lineRule="auto" w:before="49"/>
        <w:ind w:right="99"/>
        <w:jc w:val="left"/>
      </w:pPr>
      <w:r>
        <w:rPr/>
        <w:t>公司董事、监事、高级管理人员报告期内被授予的股权激励情况</w:t>
      </w:r>
    </w:p>
    <w:p>
      <w:pPr>
        <w:pStyle w:val="BodyText"/>
        <w:spacing w:line="240" w:lineRule="auto" w:before="117"/>
        <w:ind w:right="99"/>
        <w:jc w:val="left"/>
      </w:pPr>
      <w:r>
        <w:rPr/>
        <w:t>□ 适用 √ 不适用</w:t>
      </w:r>
    </w:p>
    <w:p>
      <w:pPr>
        <w:spacing w:line="240" w:lineRule="auto" w:before="3"/>
        <w:rPr>
          <w:rFonts w:ascii="宋体" w:hAnsi="宋体" w:cs="宋体" w:eastAsia="宋体" w:hint="default"/>
          <w:sz w:val="19"/>
          <w:szCs w:val="19"/>
        </w:rPr>
      </w:pPr>
    </w:p>
    <w:p>
      <w:pPr>
        <w:pStyle w:val="Heading2"/>
        <w:spacing w:line="240" w:lineRule="auto"/>
        <w:ind w:right="99"/>
        <w:jc w:val="left"/>
        <w:rPr>
          <w:b w:val="0"/>
          <w:bCs w:val="0"/>
        </w:rPr>
      </w:pPr>
      <w:r>
        <w:rPr/>
        <w:t>四、公司董事、监事、高级管理人员离职和解聘情况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五、公司员工情况</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rFonts w:ascii="Times New Roman" w:hAnsi="Times New Roman" w:cs="Times New Roman" w:eastAsia="Times New Roman" w:hint="default"/>
        </w:rPr>
        <w:t>1</w:t>
      </w:r>
      <w:r>
        <w:rPr/>
        <w:t>、专业构成情况（截至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3"/>
        <w:gridCol w:w="864"/>
        <w:gridCol w:w="979"/>
        <w:gridCol w:w="1274"/>
        <w:gridCol w:w="922"/>
        <w:gridCol w:w="1010"/>
        <w:gridCol w:w="1010"/>
        <w:gridCol w:w="1010"/>
        <w:gridCol w:w="1008"/>
      </w:tblGrid>
      <w:tr>
        <w:trPr>
          <w:trHeight w:val="655"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岗位</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247" w:right="245"/>
              <w:jc w:val="left"/>
              <w:rPr>
                <w:rFonts w:ascii="宋体" w:hAnsi="宋体" w:cs="宋体" w:eastAsia="宋体" w:hint="default"/>
                <w:sz w:val="18"/>
                <w:szCs w:val="18"/>
              </w:rPr>
            </w:pPr>
            <w:r>
              <w:rPr>
                <w:rFonts w:ascii="宋体" w:hAnsi="宋体" w:cs="宋体" w:eastAsia="宋体" w:hint="default"/>
                <w:sz w:val="18"/>
                <w:szCs w:val="18"/>
              </w:rPr>
              <w:t>开发 人员</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304" w:right="302"/>
              <w:jc w:val="left"/>
              <w:rPr>
                <w:rFonts w:ascii="宋体" w:hAnsi="宋体" w:cs="宋体" w:eastAsia="宋体" w:hint="default"/>
                <w:sz w:val="18"/>
                <w:szCs w:val="18"/>
              </w:rPr>
            </w:pPr>
            <w:r>
              <w:rPr>
                <w:rFonts w:ascii="宋体" w:hAnsi="宋体" w:cs="宋体" w:eastAsia="宋体" w:hint="default"/>
                <w:sz w:val="18"/>
                <w:szCs w:val="18"/>
              </w:rPr>
              <w:t>市场 人员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售后服务人员</w:t>
            </w:r>
          </w:p>
          <w:p>
            <w:pPr>
              <w:pStyle w:val="TableParagraph"/>
              <w:spacing w:line="240" w:lineRule="auto" w:before="76"/>
              <w:ind w:left="182" w:right="0"/>
              <w:jc w:val="left"/>
              <w:rPr>
                <w:rFonts w:ascii="宋体" w:hAnsi="宋体" w:cs="宋体" w:eastAsia="宋体" w:hint="default"/>
                <w:sz w:val="18"/>
                <w:szCs w:val="18"/>
              </w:rPr>
            </w:pPr>
            <w:r>
              <w:rPr>
                <w:rFonts w:ascii="宋体" w:hAnsi="宋体" w:cs="宋体" w:eastAsia="宋体" w:hint="default"/>
                <w:sz w:val="18"/>
                <w:szCs w:val="18"/>
              </w:rPr>
              <w:t>（含维修）</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276" w:right="275"/>
              <w:jc w:val="left"/>
              <w:rPr>
                <w:rFonts w:ascii="宋体" w:hAnsi="宋体" w:cs="宋体" w:eastAsia="宋体" w:hint="default"/>
                <w:sz w:val="18"/>
                <w:szCs w:val="18"/>
              </w:rPr>
            </w:pPr>
            <w:r>
              <w:rPr>
                <w:rFonts w:ascii="宋体" w:hAnsi="宋体" w:cs="宋体" w:eastAsia="宋体" w:hint="default"/>
                <w:sz w:val="18"/>
                <w:szCs w:val="18"/>
              </w:rPr>
              <w:t>生产 人员</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321" w:right="317"/>
              <w:jc w:val="left"/>
              <w:rPr>
                <w:rFonts w:ascii="宋体" w:hAnsi="宋体" w:cs="宋体" w:eastAsia="宋体" w:hint="default"/>
                <w:sz w:val="18"/>
                <w:szCs w:val="18"/>
              </w:rPr>
            </w:pPr>
            <w:r>
              <w:rPr>
                <w:rFonts w:ascii="宋体" w:hAnsi="宋体" w:cs="宋体" w:eastAsia="宋体" w:hint="default"/>
                <w:sz w:val="18"/>
                <w:szCs w:val="18"/>
              </w:rPr>
              <w:t>管理 人员</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321" w:right="317"/>
              <w:jc w:val="left"/>
              <w:rPr>
                <w:rFonts w:ascii="宋体" w:hAnsi="宋体" w:cs="宋体" w:eastAsia="宋体" w:hint="default"/>
                <w:sz w:val="18"/>
                <w:szCs w:val="18"/>
              </w:rPr>
            </w:pPr>
            <w:r>
              <w:rPr>
                <w:rFonts w:ascii="宋体" w:hAnsi="宋体" w:cs="宋体" w:eastAsia="宋体" w:hint="default"/>
                <w:sz w:val="18"/>
                <w:szCs w:val="18"/>
              </w:rPr>
              <w:t>财务 人员</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319" w:right="319"/>
              <w:jc w:val="left"/>
              <w:rPr>
                <w:rFonts w:ascii="宋体" w:hAnsi="宋体" w:cs="宋体" w:eastAsia="宋体" w:hint="default"/>
                <w:sz w:val="18"/>
                <w:szCs w:val="18"/>
              </w:rPr>
            </w:pPr>
            <w:r>
              <w:rPr>
                <w:rFonts w:ascii="宋体" w:hAnsi="宋体" w:cs="宋体" w:eastAsia="宋体" w:hint="default"/>
                <w:sz w:val="18"/>
                <w:szCs w:val="18"/>
              </w:rPr>
              <w:t>其它 人员</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hAnsi="宋体" w:cs="宋体" w:eastAsia="宋体" w:hint="default"/>
                <w:sz w:val="18"/>
                <w:szCs w:val="18"/>
              </w:rPr>
              <w:t>人数</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2032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526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403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366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3784</w:t>
            </w:r>
          </w:p>
        </w:tc>
      </w:tr>
      <w:tr>
        <w:trPr>
          <w:trHeight w:val="343"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hAnsi="宋体" w:cs="宋体" w:eastAsia="宋体" w:hint="default"/>
                <w:sz w:val="18"/>
                <w:szCs w:val="18"/>
              </w:rPr>
              <w:t>比例</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53.70%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13.90%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10.65%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1.45%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4080" w:lineRule="exact"/>
        <w:ind w:left="115"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361688" cy="25908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361688"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right="99"/>
        <w:jc w:val="left"/>
      </w:pPr>
      <w:r>
        <w:rPr>
          <w:rFonts w:ascii="Times New Roman" w:hAnsi="Times New Roman" w:cs="Times New Roman" w:eastAsia="Times New Roman" w:hint="default"/>
        </w:rPr>
        <w:t>2</w:t>
      </w:r>
      <w:r>
        <w:rPr/>
        <w:t>、学历构成情况（截至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66"/>
        <w:gridCol w:w="1294"/>
        <w:gridCol w:w="1080"/>
        <w:gridCol w:w="1080"/>
        <w:gridCol w:w="1080"/>
        <w:gridCol w:w="1135"/>
        <w:gridCol w:w="1025"/>
        <w:gridCol w:w="1080"/>
      </w:tblGrid>
      <w:tr>
        <w:trPr>
          <w:trHeight w:val="341"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0"/>
              <w:jc w:val="right"/>
              <w:rPr>
                <w:rFonts w:ascii="宋体" w:hAnsi="宋体" w:cs="宋体" w:eastAsia="宋体" w:hint="default"/>
                <w:sz w:val="18"/>
                <w:szCs w:val="18"/>
              </w:rPr>
            </w:pPr>
            <w:r>
              <w:rPr>
                <w:rFonts w:ascii="宋体" w:hAnsi="宋体" w:cs="宋体" w:eastAsia="宋体" w:hint="default"/>
                <w:sz w:val="18"/>
                <w:szCs w:val="18"/>
              </w:rPr>
              <w:t>中专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技校</w:t>
            </w:r>
            <w:r>
              <w:rPr>
                <w:rFonts w:ascii="Times New Roman" w:hAnsi="Times New Roman" w:cs="Times New Roman" w:eastAsia="Times New Roman" w:hint="default"/>
                <w:sz w:val="18"/>
                <w:szCs w:val="18"/>
              </w:rPr>
              <w:t>/</w:t>
            </w:r>
            <w:r>
              <w:rPr>
                <w:rFonts w:ascii="宋体" w:hAnsi="宋体" w:cs="宋体" w:eastAsia="宋体" w:hint="default"/>
                <w:sz w:val="18"/>
                <w:szCs w:val="18"/>
              </w:rPr>
              <w:t>职高</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2204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97"/>
              <w:jc w:val="right"/>
              <w:rPr>
                <w:rFonts w:ascii="Times New Roman" w:hAnsi="Times New Roman" w:cs="Times New Roman" w:eastAsia="Times New Roman" w:hint="default"/>
                <w:sz w:val="18"/>
                <w:szCs w:val="18"/>
              </w:rPr>
            </w:pPr>
            <w:r>
              <w:rPr>
                <w:rFonts w:ascii="Times New Roman"/>
                <w:spacing w:val="-1"/>
                <w:sz w:val="18"/>
              </w:rPr>
              <w:t>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174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3784</w:t>
            </w:r>
          </w:p>
        </w:tc>
      </w:tr>
      <w:tr>
        <w:trPr>
          <w:trHeight w:val="341"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58.25%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25.50%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96"/>
              <w:jc w:val="right"/>
              <w:rPr>
                <w:rFonts w:ascii="Times New Roman" w:hAnsi="Times New Roman" w:cs="Times New Roman" w:eastAsia="Times New Roman" w:hint="default"/>
                <w:sz w:val="18"/>
                <w:szCs w:val="18"/>
              </w:rPr>
            </w:pPr>
            <w:r>
              <w:rPr>
                <w:rFonts w:ascii="Times New Roman"/>
                <w:sz w:val="18"/>
              </w:rPr>
              <w:t>2.85%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4.60%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7"/>
          <w:szCs w:val="7"/>
        </w:rPr>
      </w:pPr>
    </w:p>
    <w:p>
      <w:pPr>
        <w:spacing w:line="4485" w:lineRule="exact"/>
        <w:ind w:left="115"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098302" cy="28479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5098302" cy="284797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6"/>
        <w:rPr>
          <w:rFonts w:ascii="宋体" w:hAnsi="宋体" w:cs="宋体" w:eastAsia="宋体" w:hint="default"/>
          <w:sz w:val="28"/>
          <w:szCs w:val="28"/>
        </w:rPr>
      </w:pPr>
    </w:p>
    <w:p>
      <w:pPr>
        <w:pStyle w:val="Heading5"/>
        <w:spacing w:line="300" w:lineRule="exact"/>
        <w:ind w:left="118" w:right="99"/>
        <w:jc w:val="left"/>
        <w:rPr>
          <w:b w:val="0"/>
          <w:bCs w:val="0"/>
        </w:rPr>
      </w:pPr>
      <w:r>
        <w:rPr>
          <w:rFonts w:ascii="Times New Roman" w:hAnsi="Times New Roman" w:cs="Times New Roman" w:eastAsia="Times New Roman" w:hint="default"/>
        </w:rPr>
        <w:t>3</w:t>
      </w:r>
      <w:r>
        <w:rPr/>
        <w:t>、薪酬政策：</w:t>
      </w:r>
      <w:r>
        <w:rPr>
          <w:b w:val="0"/>
          <w:bCs w:val="0"/>
        </w:rPr>
      </w:r>
    </w:p>
    <w:p>
      <w:pPr>
        <w:pStyle w:val="BodyText"/>
        <w:spacing w:line="316" w:lineRule="auto" w:before="56"/>
        <w:ind w:right="112" w:firstLine="482"/>
        <w:jc w:val="both"/>
      </w:pPr>
      <w:r>
        <w:rPr>
          <w:spacing w:val="-1"/>
        </w:rPr>
        <w:t>公司在分配制度上实行按劳分配与按资分配相结合的原则，分配适当向开发人员和市场销售一线人员倾斜。通过福利</w:t>
      </w:r>
      <w:r>
        <w:rPr/>
        <w:t> 套餐的组合，贴合员工的需求，增强员工满意度与归属感。</w:t>
      </w:r>
    </w:p>
    <w:p>
      <w:pPr>
        <w:spacing w:line="240" w:lineRule="auto" w:before="12"/>
        <w:rPr>
          <w:rFonts w:ascii="宋体" w:hAnsi="宋体" w:cs="宋体" w:eastAsia="宋体" w:hint="default"/>
          <w:sz w:val="20"/>
          <w:szCs w:val="20"/>
        </w:rPr>
      </w:pPr>
    </w:p>
    <w:p>
      <w:pPr>
        <w:pStyle w:val="Heading5"/>
        <w:spacing w:line="240" w:lineRule="auto"/>
        <w:ind w:left="118" w:right="99"/>
        <w:jc w:val="left"/>
        <w:rPr>
          <w:b w:val="0"/>
          <w:bCs w:val="0"/>
        </w:rPr>
      </w:pPr>
      <w:r>
        <w:rPr>
          <w:rFonts w:ascii="Times New Roman" w:hAnsi="Times New Roman" w:cs="Times New Roman" w:eastAsia="Times New Roman" w:hint="default"/>
        </w:rPr>
        <w:t>4</w:t>
      </w:r>
      <w:r>
        <w:rPr/>
        <w:t>、培训计划：</w:t>
      </w:r>
      <w:r>
        <w:rPr>
          <w:b w:val="0"/>
          <w:bCs w:val="0"/>
        </w:rPr>
      </w:r>
    </w:p>
    <w:p>
      <w:pPr>
        <w:pStyle w:val="BodyText"/>
        <w:spacing w:line="309" w:lineRule="auto" w:before="56"/>
        <w:ind w:right="111" w:firstLine="451"/>
        <w:jc w:val="both"/>
      </w:pPr>
      <w:r>
        <w:rPr>
          <w:spacing w:val="-1"/>
          <w:w w:val="99"/>
        </w:rPr>
        <w:t>公司围绕</w:t>
      </w:r>
      <w:r>
        <w:rPr>
          <w:rFonts w:ascii="Times New Roman" w:hAnsi="Times New Roman" w:cs="Times New Roman" w:eastAsia="Times New Roman" w:hint="default"/>
          <w:spacing w:val="-1"/>
          <w:w w:val="99"/>
        </w:rPr>
        <w:t>“</w:t>
      </w:r>
      <w:r>
        <w:rPr>
          <w:spacing w:val="-1"/>
          <w:w w:val="99"/>
        </w:rPr>
        <w:t>以人为本，人尽其才</w:t>
      </w:r>
      <w:r>
        <w:rPr>
          <w:rFonts w:ascii="Times New Roman" w:hAnsi="Times New Roman" w:cs="Times New Roman" w:eastAsia="Times New Roman" w:hint="default"/>
          <w:spacing w:val="-1"/>
          <w:w w:val="99"/>
        </w:rPr>
        <w:t>”</w:t>
      </w:r>
      <w:r>
        <w:rPr>
          <w:spacing w:val="-1"/>
          <w:w w:val="99"/>
        </w:rPr>
        <w:t>的人才发展策略，基于公司专业化发展需求，以</w:t>
      </w:r>
      <w:r>
        <w:rPr>
          <w:rFonts w:ascii="Times New Roman" w:hAnsi="Times New Roman" w:cs="Times New Roman" w:eastAsia="Times New Roman" w:hint="default"/>
          <w:spacing w:val="-1"/>
          <w:w w:val="99"/>
        </w:rPr>
        <w:t>“</w:t>
      </w:r>
      <w:r>
        <w:rPr>
          <w:spacing w:val="-1"/>
          <w:w w:val="99"/>
        </w:rPr>
        <w:t>人才适岗</w:t>
      </w:r>
      <w:r>
        <w:rPr>
          <w:rFonts w:ascii="Times New Roman" w:hAnsi="Times New Roman" w:cs="Times New Roman" w:eastAsia="Times New Roman" w:hint="default"/>
          <w:spacing w:val="-1"/>
          <w:w w:val="99"/>
        </w:rPr>
        <w:t>”</w:t>
      </w:r>
      <w:r>
        <w:rPr>
          <w:spacing w:val="-1"/>
          <w:w w:val="99"/>
        </w:rPr>
        <w:t>为核心管理模式开展培训，</w:t>
      </w:r>
      <w:r>
        <w:rPr>
          <w:w w:val="50"/>
        </w:rPr>
        <w:t> </w:t>
      </w:r>
      <w:r>
        <w:rPr>
          <w:spacing w:val="-2"/>
        </w:rPr>
        <w:t>建立分层分类、多形式、多渠道的人才培养机制，推进专业化人才队伍建设，实施培训的事业化及规模化，从整体上优化公</w:t>
      </w:r>
      <w:r>
        <w:rPr>
          <w:spacing w:val="-65"/>
        </w:rPr>
        <w:t> </w:t>
      </w:r>
      <w:r>
        <w:rPr>
          <w:spacing w:val="-65"/>
        </w:rPr>
      </w:r>
      <w:r>
        <w:rPr/>
        <w:t>司人才结构，培养能够顺应公司发展需求的高素质人才，增强公司的凝聚力和综合竞争力。</w:t>
      </w:r>
    </w:p>
    <w:p>
      <w:pPr>
        <w:spacing w:after="0" w:line="309" w:lineRule="auto"/>
        <w:jc w:val="both"/>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456" w:lineRule="exact"/>
        <w:ind w:left="3712" w:right="3809"/>
        <w:jc w:val="center"/>
        <w:rPr>
          <w:b w:val="0"/>
          <w:bCs w:val="0"/>
        </w:rPr>
      </w:pPr>
      <w:bookmarkStart w:name="第八节公司治理" w:id="61"/>
      <w:bookmarkEnd w:id="61"/>
      <w:r>
        <w:rPr>
          <w:b w:val="0"/>
          <w:bCs w:val="0"/>
        </w:rPr>
      </w:r>
      <w:bookmarkStart w:name="一、公司治理的基本状况" w:id="62"/>
      <w:bookmarkEnd w:id="62"/>
      <w:r>
        <w:rPr>
          <w:b w:val="0"/>
          <w:bCs w:val="0"/>
        </w:rPr>
      </w:r>
      <w:bookmarkStart w:name="二、报告期内召开的年度股东大会和临时股东大会的有关情况" w:id="63"/>
      <w:bookmarkEnd w:id="63"/>
      <w:r>
        <w:rPr>
          <w:b w:val="0"/>
          <w:bCs w:val="0"/>
        </w:rPr>
      </w:r>
      <w:bookmarkStart w:name="1、本报告期年度股东大会情况" w:id="64"/>
      <w:bookmarkEnd w:id="64"/>
      <w:r>
        <w:rPr>
          <w:b w:val="0"/>
          <w:bCs w:val="0"/>
        </w:rPr>
      </w:r>
      <w:bookmarkStart w:name="2、本报告期临时股东大会情况" w:id="65"/>
      <w:bookmarkEnd w:id="65"/>
      <w:r>
        <w:rPr>
          <w:b w:val="0"/>
          <w:bCs w:val="0"/>
        </w:rPr>
      </w:r>
      <w:r>
        <w:rPr/>
        <w:t>第八节 </w:t>
      </w:r>
      <w:r>
        <w:rPr>
          <w:spacing w:val="4"/>
        </w:rPr>
        <w:t> </w:t>
      </w:r>
      <w:r>
        <w:rPr/>
        <w:t>公司治理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0" w:firstLine="362"/>
        <w:jc w:val="left"/>
      </w:pPr>
      <w:r>
        <w:rPr>
          <w:spacing w:val="-2"/>
        </w:rPr>
        <w:t>公司严格按照《公司法》、《证券法》、中国证监会和深圳证券交易所的有关规定及要求，不断健全和完善符合现代管</w:t>
      </w:r>
      <w:r>
        <w:rPr/>
        <w:t> 理要求的法人治理结构及内部组织结构。公司治理的实际情况与《上市公司治理准则》等规范性文件的规定和要求相符。 </w:t>
      </w:r>
      <w:r>
        <w:rPr>
          <w:spacing w:val="-2"/>
        </w:rPr>
        <w:t>报告期内，公司不断完善内部控制体系建设，相应修订了《南天信息股份公司章程》及《南天信息股份公司高级管理人员薪</w:t>
      </w:r>
      <w:r>
        <w:rPr>
          <w:spacing w:val="-64"/>
        </w:rPr>
        <w:t> </w:t>
      </w:r>
      <w:r>
        <w:rPr>
          <w:spacing w:val="-64"/>
        </w:rPr>
      </w:r>
      <w:r>
        <w:rPr/>
        <w:t>酬与绩效管理制度》等管理制度，确保公司的规范运作和稳健发展。</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公司治理与《公司法》和中国证监会相关规定的要求是否存在差异</w:t>
      </w:r>
    </w:p>
    <w:p>
      <w:pPr>
        <w:pStyle w:val="BodyText"/>
        <w:spacing w:line="338" w:lineRule="auto" w:before="117"/>
        <w:ind w:right="4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60" w:lineRule="auto" w:before="43"/>
        <w:ind w:left="475" w:right="0" w:hanging="363"/>
        <w:jc w:val="left"/>
      </w:pPr>
      <w:r>
        <w:rPr/>
        <w:t>公司治理专项活动开展情况以及内幕信息知情人登记管理制度的制定、实施情况 </w:t>
      </w:r>
      <w:r>
        <w:rPr>
          <w:spacing w:val="-12"/>
        </w:rPr>
        <w:t>公司已建立了《信息披露管理制度》、《内幕信息知情人管理办法》、《南天信息股份公司重大事项报告制度》、《南天信息</w:t>
      </w:r>
    </w:p>
    <w:p>
      <w:pPr>
        <w:pStyle w:val="BodyText"/>
        <w:spacing w:line="222" w:lineRule="exact"/>
        <w:ind w:right="0"/>
        <w:jc w:val="left"/>
      </w:pPr>
      <w:r>
        <w:rPr/>
        <w:t>股份公司控股子公司管理办法》等制度，并按照上述办法和要求严格执行，加强管理。</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080"/>
        <w:gridCol w:w="1080"/>
        <w:gridCol w:w="4140"/>
        <w:gridCol w:w="1080"/>
        <w:gridCol w:w="1080"/>
        <w:gridCol w:w="1106"/>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议案一：公司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年度董事会报告；</w:t>
            </w: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50"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议案二：公司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年度监事会报告；</w:t>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743"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300" w:lineRule="auto"/>
              <w:ind w:left="24"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 东大会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300" w:lineRule="auto" w:before="26"/>
              <w:ind w:left="24" w:right="60"/>
              <w:jc w:val="left"/>
              <w:rPr>
                <w:rFonts w:ascii="宋体" w:hAnsi="宋体" w:cs="宋体" w:eastAsia="宋体" w:hint="default"/>
                <w:sz w:val="18"/>
                <w:szCs w:val="18"/>
              </w:rPr>
            </w:pPr>
            <w:r>
              <w:rPr>
                <w:rFonts w:ascii="宋体" w:hAnsi="宋体" w:cs="宋体" w:eastAsia="宋体" w:hint="default"/>
                <w:sz w:val="18"/>
                <w:szCs w:val="18"/>
              </w:rPr>
              <w:t>议案三：公司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年度利润分配及资本公积转增股 本方案；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审议通过全 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2012-012</w:t>
            </w:r>
          </w:p>
        </w:tc>
      </w:tr>
      <w:tr>
        <w:trPr>
          <w:trHeight w:val="275"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议案四：公司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年年度报告正文及摘要；</w:t>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pacing w:val="-3"/>
                <w:sz w:val="18"/>
                <w:szCs w:val="18"/>
              </w:rPr>
              <w:t>议案五：聘任中瑞岳华会计师事务所有限公司承担本</w:t>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年度财务会计报告的审计任务。</w:t>
            </w: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、本报告期临时股东大会情况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080"/>
        <w:gridCol w:w="1080"/>
        <w:gridCol w:w="4140"/>
        <w:gridCol w:w="1080"/>
        <w:gridCol w:w="1157"/>
        <w:gridCol w:w="1205"/>
      </w:tblGrid>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议案一：公司董事会关于前次募集资金使用情况的报</w:t>
            </w:r>
          </w:p>
        </w:tc>
        <w:tc>
          <w:tcPr>
            <w:tcW w:w="1080" w:type="dxa"/>
            <w:tcBorders>
              <w:top w:val="single" w:sz="4" w:space="0" w:color="000000"/>
              <w:left w:val="single" w:sz="4" w:space="0" w:color="000000"/>
              <w:bottom w:val="nil" w:sz="6" w:space="0" w:color="auto"/>
              <w:right w:val="single" w:sz="4" w:space="0" w:color="000000"/>
            </w:tcBorders>
          </w:tcPr>
          <w:p>
            <w:pPr/>
          </w:p>
        </w:tc>
        <w:tc>
          <w:tcPr>
            <w:tcW w:w="1157"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080"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r>
      <w:tr>
        <w:trPr>
          <w:trHeight w:val="103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09" w:lineRule="auto" w:before="71"/>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 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357" w:lineRule="auto" w:before="31"/>
              <w:ind w:left="24" w:right="19"/>
              <w:jc w:val="left"/>
              <w:rPr>
                <w:rFonts w:ascii="宋体" w:hAnsi="宋体" w:cs="宋体" w:eastAsia="宋体" w:hint="default"/>
                <w:sz w:val="18"/>
                <w:szCs w:val="18"/>
              </w:rPr>
            </w:pPr>
            <w:r>
              <w:rPr>
                <w:rFonts w:ascii="宋体" w:hAnsi="宋体" w:cs="宋体" w:eastAsia="宋体" w:hint="default"/>
                <w:sz w:val="18"/>
                <w:szCs w:val="18"/>
              </w:rPr>
              <w:t>议案二：公司符合非公开发行股票条件的议案； 议案三：公司非公开发行股票方案； </w:t>
            </w:r>
            <w:r>
              <w:rPr>
                <w:rFonts w:ascii="宋体" w:hAnsi="宋体" w:cs="宋体" w:eastAsia="宋体" w:hint="default"/>
                <w:spacing w:val="-3"/>
                <w:sz w:val="18"/>
                <w:szCs w:val="18"/>
              </w:rPr>
              <w:t>议案四：公司非公开发行股票募集资金投资项目可行</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审议通过全 部议案</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2012-024</w:t>
            </w:r>
          </w:p>
        </w:tc>
      </w:tr>
      <w:tr>
        <w:trPr>
          <w:trHeight w:val="332"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性分析报告；</w:t>
            </w:r>
          </w:p>
        </w:tc>
        <w:tc>
          <w:tcPr>
            <w:tcW w:w="1080"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r>
      <w:tr>
        <w:trPr>
          <w:trHeight w:val="378"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议案五：公司非公开发行股票预案；</w:t>
            </w:r>
          </w:p>
        </w:tc>
        <w:tc>
          <w:tcPr>
            <w:tcW w:w="1080" w:type="dxa"/>
            <w:tcBorders>
              <w:top w:val="nil" w:sz="6" w:space="0" w:color="auto"/>
              <w:left w:val="single" w:sz="4" w:space="0" w:color="000000"/>
              <w:bottom w:val="single" w:sz="4" w:space="0" w:color="000000"/>
              <w:right w:val="single" w:sz="4" w:space="0" w:color="000000"/>
            </w:tcBorders>
          </w:tcPr>
          <w:p>
            <w:pPr/>
          </w:p>
        </w:tc>
        <w:tc>
          <w:tcPr>
            <w:tcW w:w="1157"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9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080"/>
        <w:gridCol w:w="1080"/>
        <w:gridCol w:w="4140"/>
        <w:gridCol w:w="1080"/>
        <w:gridCol w:w="1157"/>
        <w:gridCol w:w="1205"/>
      </w:tblGrid>
      <w:tr>
        <w:trPr>
          <w:trHeight w:val="317" w:hRule="exact"/>
        </w:trPr>
        <w:tc>
          <w:tcPr>
            <w:tcW w:w="108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三、报告期内独立董事履行职责的情况" w:id="66"/>
            <w:bookmarkEnd w:id="66"/>
            <w:r>
              <w:rPr/>
            </w:r>
            <w:bookmarkStart w:name="1、独立董事出席董事会及股东大会的情况" w:id="67"/>
            <w:bookmarkEnd w:id="67"/>
            <w:r>
              <w:rPr/>
            </w:r>
            <w:bookmarkStart w:name="2、独立董事对公司有关事项提出异议的情况" w:id="68"/>
            <w:bookmarkEnd w:id="68"/>
            <w:r>
              <w:rPr/>
            </w:r>
            <w:r>
              <w:rPr>
                <w:rFonts w:ascii="宋体" w:hAnsi="宋体" w:cs="宋体" w:eastAsia="宋体" w:hint="default"/>
                <w:spacing w:val="-3"/>
                <w:sz w:val="18"/>
                <w:szCs w:val="18"/>
              </w:rPr>
              <w:t>议案六：关于本公司与南天集团、工投集团签署附生</w:t>
            </w:r>
          </w:p>
        </w:tc>
        <w:tc>
          <w:tcPr>
            <w:tcW w:w="108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r>
      <w:tr>
        <w:trPr>
          <w:trHeight w:val="331"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效条件认购合同的议案；</w:t>
            </w:r>
          </w:p>
        </w:tc>
        <w:tc>
          <w:tcPr>
            <w:tcW w:w="1080"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332"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3"/>
                <w:sz w:val="18"/>
                <w:szCs w:val="18"/>
              </w:rPr>
              <w:t>议案七：公司非公开发行股票涉及重大关联交易的议</w:t>
            </w:r>
          </w:p>
        </w:tc>
        <w:tc>
          <w:tcPr>
            <w:tcW w:w="1080"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332"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080"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331" w:hRule="exact"/>
        </w:trPr>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3"/>
                <w:sz w:val="18"/>
                <w:szCs w:val="18"/>
              </w:rPr>
              <w:t>议案八：提请股东大会授权董事会全权办理本次非公</w:t>
            </w:r>
          </w:p>
        </w:tc>
        <w:tc>
          <w:tcPr>
            <w:tcW w:w="1080"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357" w:hRule="exact"/>
        </w:trPr>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开发行股票相关事宜的议案。</w:t>
            </w:r>
          </w:p>
        </w:tc>
        <w:tc>
          <w:tcPr>
            <w:tcW w:w="108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 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议案：修改《公司章程》部分条款的议案。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2012-031</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次临时股东 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360" w:lineRule="auto"/>
              <w:ind w:left="24" w:right="504"/>
              <w:jc w:val="left"/>
              <w:rPr>
                <w:rFonts w:ascii="宋体" w:hAnsi="宋体" w:cs="宋体" w:eastAsia="宋体" w:hint="default"/>
                <w:sz w:val="18"/>
                <w:szCs w:val="18"/>
              </w:rPr>
            </w:pPr>
            <w:r>
              <w:rPr>
                <w:rFonts w:ascii="宋体" w:hAnsi="宋体" w:cs="宋体" w:eastAsia="宋体" w:hint="default"/>
                <w:sz w:val="18"/>
                <w:szCs w:val="18"/>
              </w:rPr>
              <w:t>议案一：修改《公司章程》部分条款的议案； </w:t>
            </w:r>
            <w:r>
              <w:rPr>
                <w:rFonts w:ascii="宋体" w:hAnsi="宋体" w:cs="宋体" w:eastAsia="宋体" w:hint="default"/>
                <w:spacing w:val="-13"/>
                <w:sz w:val="18"/>
                <w:szCs w:val="18"/>
              </w:rPr>
              <w:t>议案二：《公司</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2012-2014</w:t>
            </w:r>
            <w:r>
              <w:rPr>
                <w:rFonts w:ascii="Times New Roman" w:hAnsi="Times New Roman" w:cs="Times New Roman" w:eastAsia="Times New Roman" w:hint="default"/>
                <w:spacing w:val="6"/>
                <w:sz w:val="18"/>
                <w:szCs w:val="18"/>
              </w:rPr>
              <w:t> </w:t>
            </w:r>
            <w:r>
              <w:rPr>
                <w:rFonts w:ascii="宋体" w:hAnsi="宋体" w:cs="宋体" w:eastAsia="宋体" w:hint="default"/>
                <w:spacing w:val="-14"/>
                <w:sz w:val="18"/>
                <w:szCs w:val="18"/>
              </w:rPr>
              <w:t>年分红规划》。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审议通过全 部议案</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2012-041</w:t>
            </w:r>
          </w:p>
        </w:tc>
      </w:tr>
      <w:tr>
        <w:trPr>
          <w:trHeight w:val="358"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5"/>
                <w:sz w:val="18"/>
                <w:szCs w:val="18"/>
              </w:rPr>
              <w:t>议案一：关于调整公司非公开发行股票方案的议案；</w:t>
            </w:r>
            <w:r>
              <w:rPr>
                <w:rFonts w:ascii="宋体" w:hAnsi="宋体" w:cs="宋体" w:eastAsia="宋体" w:hint="default"/>
                <w:sz w:val="18"/>
                <w:szCs w:val="18"/>
              </w:rPr>
            </w:r>
          </w:p>
        </w:tc>
        <w:tc>
          <w:tcPr>
            <w:tcW w:w="1080" w:type="dxa"/>
            <w:tcBorders>
              <w:top w:val="single" w:sz="4" w:space="0" w:color="000000"/>
              <w:left w:val="single" w:sz="4" w:space="0" w:color="000000"/>
              <w:bottom w:val="nil" w:sz="6" w:space="0" w:color="auto"/>
              <w:right w:val="single" w:sz="4" w:space="0" w:color="000000"/>
            </w:tcBorders>
          </w:tcPr>
          <w:p>
            <w:pPr/>
          </w:p>
        </w:tc>
        <w:tc>
          <w:tcPr>
            <w:tcW w:w="1157"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议案二</w:t>
            </w:r>
            <w:r>
              <w:rPr>
                <w:rFonts w:ascii="宋体" w:hAnsi="宋体" w:cs="宋体" w:eastAsia="宋体" w:hint="default"/>
                <w:spacing w:val="-89"/>
                <w:sz w:val="18"/>
                <w:szCs w:val="18"/>
              </w:rPr>
              <w:t>：</w:t>
            </w:r>
            <w:r>
              <w:rPr>
                <w:rFonts w:ascii="宋体" w:hAnsi="宋体" w:cs="宋体" w:eastAsia="宋体" w:hint="default"/>
                <w:sz w:val="18"/>
                <w:szCs w:val="18"/>
              </w:rPr>
              <w:t>《公司非公开发行股票预案（修订版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；议</w:t>
            </w:r>
          </w:p>
        </w:tc>
        <w:tc>
          <w:tcPr>
            <w:tcW w:w="1080"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r>
      <w:tr>
        <w:trPr>
          <w:trHeight w:val="342"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案三：公司非公开发行股票募集资金投资项目可行性</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10"/>
                <w:sz w:val="18"/>
                <w:szCs w:val="18"/>
              </w:rPr>
              <w:t>议案三、议案</w:t>
            </w:r>
          </w:p>
        </w:tc>
        <w:tc>
          <w:tcPr>
            <w:tcW w:w="1157"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r>
      <w:tr>
        <w:trPr>
          <w:trHeight w:val="1288"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309" w:lineRule="auto"/>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 次临时股东 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分析报告（修订版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338" w:lineRule="auto" w:before="115"/>
              <w:ind w:left="24" w:right="19"/>
              <w:jc w:val="left"/>
              <w:rPr>
                <w:rFonts w:ascii="宋体" w:hAnsi="宋体" w:cs="宋体" w:eastAsia="宋体" w:hint="default"/>
                <w:sz w:val="18"/>
                <w:szCs w:val="18"/>
              </w:rPr>
            </w:pPr>
            <w:r>
              <w:rPr>
                <w:rFonts w:ascii="宋体" w:hAnsi="宋体" w:cs="宋体" w:eastAsia="宋体" w:hint="default"/>
                <w:spacing w:val="-3"/>
                <w:sz w:val="18"/>
                <w:szCs w:val="18"/>
              </w:rPr>
              <w:t>议案四：关于本公司与南天集团、工投集团签署附生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效条件股份认购合同书之补充合同的议案； </w:t>
            </w:r>
            <w:r>
              <w:rPr>
                <w:rFonts w:ascii="宋体" w:hAnsi="宋体" w:cs="宋体" w:eastAsia="宋体" w:hint="default"/>
                <w:spacing w:val="-3"/>
                <w:sz w:val="18"/>
                <w:szCs w:val="18"/>
              </w:rPr>
              <w:t>议案五：公司调整非公开发行股票方案涉及重大关联</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40"/>
              <w:ind w:left="24" w:right="19"/>
              <w:jc w:val="both"/>
              <w:rPr>
                <w:rFonts w:ascii="宋体" w:hAnsi="宋体" w:cs="宋体" w:eastAsia="宋体" w:hint="default"/>
                <w:sz w:val="18"/>
                <w:szCs w:val="18"/>
              </w:rPr>
            </w:pPr>
            <w:r>
              <w:rPr>
                <w:rFonts w:ascii="宋体" w:hAnsi="宋体" w:cs="宋体" w:eastAsia="宋体" w:hint="default"/>
                <w:w w:val="95"/>
                <w:sz w:val="18"/>
                <w:szCs w:val="18"/>
              </w:rPr>
              <w:t>六审议通过；</w:t>
            </w:r>
            <w:r>
              <w:rPr>
                <w:rFonts w:ascii="宋体" w:hAnsi="宋体" w:cs="宋体" w:eastAsia="宋体" w:hint="default"/>
                <w:w w:val="69"/>
                <w:sz w:val="18"/>
                <w:szCs w:val="18"/>
              </w:rPr>
              <w:t> </w:t>
            </w:r>
            <w:r>
              <w:rPr>
                <w:rFonts w:ascii="宋体" w:hAnsi="宋体" w:cs="宋体" w:eastAsia="宋体" w:hint="default"/>
                <w:spacing w:val="-10"/>
                <w:sz w:val="18"/>
                <w:szCs w:val="18"/>
              </w:rPr>
              <w:t>议案一、议案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w w:val="95"/>
                <w:sz w:val="18"/>
                <w:szCs w:val="18"/>
              </w:rPr>
              <w:t>二、议案四、</w:t>
            </w:r>
            <w:r>
              <w:rPr>
                <w:rFonts w:ascii="宋体" w:hAnsi="宋体" w:cs="宋体" w:eastAsia="宋体" w:hint="default"/>
                <w:w w:val="69"/>
                <w:sz w:val="18"/>
                <w:szCs w:val="18"/>
              </w:rPr>
              <w:t> </w:t>
            </w:r>
            <w:r>
              <w:rPr>
                <w:rFonts w:ascii="宋体" w:hAnsi="宋体" w:cs="宋体" w:eastAsia="宋体" w:hint="default"/>
                <w:sz w:val="18"/>
                <w:szCs w:val="18"/>
              </w:rPr>
              <w:t>议案五被否</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2012-049</w:t>
            </w:r>
          </w:p>
        </w:tc>
      </w:tr>
      <w:tr>
        <w:trPr>
          <w:trHeight w:val="342"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交易的议案；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决</w:t>
            </w:r>
          </w:p>
        </w:tc>
        <w:tc>
          <w:tcPr>
            <w:tcW w:w="1157"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3"/>
                <w:sz w:val="18"/>
                <w:szCs w:val="18"/>
              </w:rPr>
              <w:t>议案六：提请股东大会授权董事会全权办理本次非公</w:t>
            </w:r>
          </w:p>
        </w:tc>
        <w:tc>
          <w:tcPr>
            <w:tcW w:w="1080"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开发行股票相关事宜的议案。</w:t>
            </w:r>
          </w:p>
        </w:tc>
        <w:tc>
          <w:tcPr>
            <w:tcW w:w="1080" w:type="dxa"/>
            <w:tcBorders>
              <w:top w:val="nil" w:sz="6" w:space="0" w:color="auto"/>
              <w:left w:val="single" w:sz="4" w:space="0" w:color="000000"/>
              <w:bottom w:val="single" w:sz="4" w:space="0" w:color="000000"/>
              <w:right w:val="single" w:sz="4" w:space="0" w:color="000000"/>
            </w:tcBorders>
          </w:tcPr>
          <w:p>
            <w:pPr/>
          </w:p>
        </w:tc>
        <w:tc>
          <w:tcPr>
            <w:tcW w:w="1157"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r>
    </w:tbl>
    <w:p>
      <w:pPr>
        <w:spacing w:line="240" w:lineRule="auto" w:before="12"/>
        <w:rPr>
          <w:rFonts w:ascii="Microsoft JhengHei" w:hAnsi="Microsoft JhengHei" w:cs="Microsoft JhengHei" w:eastAsia="Microsoft JhengHei" w:hint="default"/>
          <w:b/>
          <w:bCs/>
          <w:sz w:val="13"/>
          <w:szCs w:val="13"/>
        </w:rPr>
      </w:pPr>
    </w:p>
    <w:p>
      <w:pPr>
        <w:spacing w:line="367" w:lineRule="exact" w:before="0"/>
        <w:ind w:left="11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三、报告期内独立董事履行职责的情况</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spacing w:before="0"/>
        <w:ind w:left="11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、独立董事出席董事会及股东大会的情况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625"/>
        <w:gridCol w:w="1325"/>
        <w:gridCol w:w="1322"/>
        <w:gridCol w:w="1325"/>
        <w:gridCol w:w="1325"/>
        <w:gridCol w:w="1322"/>
        <w:gridCol w:w="1325"/>
      </w:tblGrid>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8"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4" w:hanging="449"/>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7" w:right="2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㱔克明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连续两次未亲自出席董事会的说明</w:t>
      </w:r>
    </w:p>
    <w:p>
      <w:pPr>
        <w:spacing w:line="240" w:lineRule="auto" w:before="9"/>
        <w:rPr>
          <w:rFonts w:ascii="宋体" w:hAnsi="宋体" w:cs="宋体" w:eastAsia="宋体" w:hint="default"/>
          <w:sz w:val="21"/>
          <w:szCs w:val="21"/>
        </w:rPr>
      </w:pPr>
    </w:p>
    <w:p>
      <w:pPr>
        <w:pStyle w:val="Heading4"/>
        <w:spacing w:line="240" w:lineRule="auto"/>
        <w:ind w:left="119"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5" w:footer="979" w:top="1060" w:bottom="1160" w:left="1020" w:right="920"/>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bookmarkStart w:name="3、独立董事履行职责的其他说明" w:id="69"/>
      <w:bookmarkEnd w:id="69"/>
      <w:r>
        <w:rPr/>
      </w:r>
      <w:bookmarkStart w:name="四、董事会下设专门委员会在报告期内履行职责情况" w:id="70"/>
      <w:bookmarkEnd w:id="70"/>
      <w:r>
        <w:rPr/>
      </w:r>
      <w:bookmarkStart w:name="五、监事会工作情况" w:id="71"/>
      <w:bookmarkEnd w:id="71"/>
      <w:r>
        <w:rPr/>
      </w:r>
      <w:bookmarkStart w:name="六、公司相对于控股股东在业务、人员、资产、机构、财务等方面的独立完整情况" w:id="72"/>
      <w:bookmarkEnd w:id="72"/>
      <w:r>
        <w:rPr/>
      </w:r>
      <w:r>
        <w:rPr/>
        <w:t>报告期内独立董事对公司有关事项未提出异议。</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独立董事对公司有关建议是否被采纳</w:t>
      </w:r>
    </w:p>
    <w:p>
      <w:pPr>
        <w:pStyle w:val="BodyText"/>
        <w:spacing w:line="338" w:lineRule="auto" w:before="117"/>
        <w:ind w:right="5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3"/>
        <w:ind w:right="112" w:firstLine="362"/>
        <w:jc w:val="both"/>
      </w:pPr>
      <w:r>
        <w:rPr>
          <w:spacing w:val="-2"/>
        </w:rPr>
        <w:t>报告期内，公司独立董事根据《中华人民共和国公司法》、《中华人民共和国证券法》、《深圳证券交易所股票上市规</w:t>
      </w:r>
      <w:r>
        <w:rPr/>
        <w:t> </w:t>
      </w:r>
      <w:r>
        <w:rPr>
          <w:spacing w:val="-2"/>
        </w:rPr>
        <w:t>则》、公司《章程》及《南天信息独立董事管理办法》等相关法律法规，关注公司运作，独立履行职责，对公司的制度完善</w:t>
      </w:r>
      <w:r>
        <w:rPr>
          <w:spacing w:val="-68"/>
        </w:rPr>
        <w:t> </w:t>
      </w:r>
      <w:r>
        <w:rPr>
          <w:spacing w:val="-68"/>
        </w:rPr>
      </w:r>
      <w:r>
        <w:rPr>
          <w:spacing w:val="-2"/>
        </w:rPr>
        <w:t>和日常经营决策等方面提出了很多宝贵的专业性的意见和建议，对报告期内公司发生的聘请年度报告审计机构、控股股东及</w:t>
      </w:r>
      <w:r>
        <w:rPr>
          <w:spacing w:val="-65"/>
        </w:rPr>
        <w:t> </w:t>
      </w:r>
      <w:r>
        <w:rPr>
          <w:spacing w:val="-65"/>
        </w:rPr>
      </w:r>
      <w:r>
        <w:rPr>
          <w:spacing w:val="-2"/>
        </w:rPr>
        <w:t>其关联方非经营性资金占用情况、非公开发行股票事宜、关联交易事项、核销资产及其他需要独立董事发表意见的事项出具</w:t>
      </w:r>
      <w:r>
        <w:rPr>
          <w:spacing w:val="-65"/>
        </w:rPr>
        <w:t> </w:t>
      </w:r>
      <w:r>
        <w:rPr>
          <w:spacing w:val="-65"/>
        </w:rPr>
      </w:r>
      <w:r>
        <w:rPr/>
        <w:t>了独立、公正意见，为完善公司监督机制，维护公司和全体股东的合法权益发挥了积极的作用。</w:t>
      </w:r>
    </w:p>
    <w:p>
      <w:pPr>
        <w:spacing w:line="240" w:lineRule="auto" w:before="11"/>
        <w:rPr>
          <w:rFonts w:ascii="宋体" w:hAnsi="宋体" w:cs="宋体" w:eastAsia="宋体" w:hint="default"/>
          <w:sz w:val="14"/>
          <w:szCs w:val="14"/>
        </w:rPr>
      </w:pPr>
    </w:p>
    <w:p>
      <w:pPr>
        <w:pStyle w:val="Heading2"/>
        <w:spacing w:line="240" w:lineRule="auto"/>
        <w:ind w:right="99"/>
        <w:jc w:val="left"/>
        <w:rPr>
          <w:b w:val="0"/>
          <w:bCs w:val="0"/>
        </w:rPr>
      </w:pPr>
      <w:r>
        <w:rPr/>
        <w:t>四、董事会下设专门委员会在报告期内履行职责情况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240" w:lineRule="auto"/>
        <w:ind w:left="475" w:right="99"/>
        <w:jc w:val="left"/>
      </w:pPr>
      <w:r>
        <w:rPr>
          <w:rFonts w:ascii="Times New Roman" w:hAnsi="Times New Roman" w:cs="Times New Roman" w:eastAsia="Times New Roman" w:hint="default"/>
        </w:rPr>
        <w:t>1</w:t>
      </w:r>
      <w:r>
        <w:rPr/>
        <w:t>、董事会战略委员会</w:t>
      </w:r>
    </w:p>
    <w:p>
      <w:pPr>
        <w:pStyle w:val="BodyText"/>
        <w:spacing w:line="240" w:lineRule="auto" w:before="63"/>
        <w:ind w:left="475" w:right="0"/>
        <w:jc w:val="left"/>
      </w:pPr>
      <w:r>
        <w:rPr>
          <w:spacing w:val="-2"/>
        </w:rPr>
        <w:t>（</w:t>
      </w:r>
      <w:r>
        <w:rPr>
          <w:rFonts w:ascii="Times New Roman" w:hAnsi="Times New Roman" w:cs="Times New Roman" w:eastAsia="Times New Roman" w:hint="default"/>
          <w:spacing w:val="-2"/>
        </w:rPr>
        <w:t>1</w:t>
      </w:r>
      <w:r>
        <w:rPr>
          <w:spacing w:val="-2"/>
        </w:rPr>
        <w:t>）报告期内讨论了《南天信息股份公司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---2013</w:t>
      </w:r>
      <w:r>
        <w:rPr>
          <w:spacing w:val="-2"/>
        </w:rPr>
        <w:t>年三年发展规划》、《南天信息股份公司人力资源发展规划》、</w:t>
      </w:r>
    </w:p>
    <w:p>
      <w:pPr>
        <w:pStyle w:val="BodyText"/>
        <w:spacing w:line="240" w:lineRule="auto" w:before="63"/>
        <w:ind w:right="99"/>
        <w:jc w:val="left"/>
      </w:pPr>
      <w:r>
        <w:rPr/>
        <w:t>《南天信息股份公司五大业务发展规划》，并提出了专业意见和建议。</w:t>
      </w:r>
    </w:p>
    <w:p>
      <w:pPr>
        <w:pStyle w:val="BodyText"/>
        <w:spacing w:line="297" w:lineRule="auto" w:before="76"/>
        <w:ind w:right="121" w:firstLine="362"/>
        <w:jc w:val="left"/>
      </w:pPr>
      <w:r>
        <w:rPr/>
        <w:t>（</w:t>
      </w:r>
      <w:r>
        <w:rPr>
          <w:rFonts w:ascii="Times New Roman" w:hAnsi="Times New Roman" w:cs="Times New Roman" w:eastAsia="Times New Roman" w:hint="default"/>
        </w:rPr>
        <w:t>2</w:t>
      </w:r>
      <w:r>
        <w:rPr/>
        <w:t>）报告期内审议了</w:t>
      </w:r>
      <w:r>
        <w:rPr>
          <w:rFonts w:ascii="Times New Roman" w:hAnsi="Times New Roman" w:cs="Times New Roman" w:eastAsia="Times New Roman" w:hint="default"/>
        </w:rPr>
        <w:t>IBM</w:t>
      </w:r>
      <w:r>
        <w:rPr/>
        <w:t>公司战略梳理项目组提交的《南天信息股份公司战略梳理交付报告》，确立了公司的企业愿 景、战略目标、业务战略。</w:t>
      </w:r>
    </w:p>
    <w:p>
      <w:pPr>
        <w:pStyle w:val="BodyText"/>
        <w:spacing w:line="240" w:lineRule="auto" w:before="33"/>
        <w:ind w:left="475" w:right="99"/>
        <w:jc w:val="left"/>
      </w:pPr>
      <w:r>
        <w:rPr>
          <w:rFonts w:ascii="Times New Roman" w:hAnsi="Times New Roman" w:cs="Times New Roman" w:eastAsia="Times New Roman" w:hint="default"/>
        </w:rPr>
        <w:t>2</w:t>
      </w:r>
      <w:r>
        <w:rPr/>
        <w:t>、董事会薪酬与考核委员会</w:t>
      </w:r>
    </w:p>
    <w:p>
      <w:pPr>
        <w:pStyle w:val="BodyText"/>
        <w:spacing w:line="300" w:lineRule="auto" w:before="63"/>
        <w:ind w:right="102" w:firstLine="362"/>
        <w:jc w:val="left"/>
      </w:pPr>
      <w:r>
        <w:rPr/>
        <w:t>（</w:t>
      </w:r>
      <w:r>
        <w:rPr>
          <w:rFonts w:ascii="Times New Roman" w:hAnsi="Times New Roman" w:cs="Times New Roman" w:eastAsia="Times New Roman" w:hint="default"/>
        </w:rPr>
        <w:t>1</w:t>
      </w:r>
      <w:r>
        <w:rPr/>
        <w:t>）报告期内审议通过了《南天信息股份公司高级管理人员薪酬与绩效管理制度》，并制定了《南天信息高级管理人 员绩效考核表》。</w:t>
      </w:r>
    </w:p>
    <w:p>
      <w:pPr>
        <w:pStyle w:val="BodyText"/>
        <w:spacing w:line="300" w:lineRule="auto" w:before="31"/>
        <w:ind w:right="102" w:firstLine="362"/>
        <w:jc w:val="left"/>
      </w:pPr>
      <w:r>
        <w:rPr/>
        <w:t>（</w:t>
      </w:r>
      <w:r>
        <w:rPr>
          <w:rFonts w:ascii="Times New Roman" w:hAnsi="Times New Roman" w:cs="Times New Roman" w:eastAsia="Times New Roman" w:hint="default"/>
        </w:rPr>
        <w:t>2</w:t>
      </w:r>
      <w:r>
        <w:rPr/>
        <w:t>）报告期内审核了</w:t>
      </w:r>
      <w:r>
        <w:rPr>
          <w:rFonts w:ascii="Times New Roman" w:hAnsi="Times New Roman" w:cs="Times New Roman" w:eastAsia="Times New Roman" w:hint="default"/>
        </w:rPr>
        <w:t>2011</w:t>
      </w:r>
      <w:r>
        <w:rPr/>
        <w:t>年度高管薪酬考核情况汇报。同时，听取了南天信息股份公司股权激励第一期行权事宜情况 通报。</w:t>
      </w:r>
    </w:p>
    <w:p>
      <w:pPr>
        <w:pStyle w:val="BodyText"/>
        <w:spacing w:line="307" w:lineRule="auto" w:before="31"/>
        <w:ind w:left="384" w:right="99" w:firstLine="91"/>
        <w:jc w:val="left"/>
      </w:pPr>
      <w:r>
        <w:rPr>
          <w:rFonts w:ascii="Times New Roman" w:hAnsi="Times New Roman" w:cs="Times New Roman" w:eastAsia="Times New Roman" w:hint="default"/>
        </w:rPr>
        <w:t>3</w:t>
      </w:r>
      <w:r>
        <w:rPr/>
        <w:t>、董事会提名委员会 报告期内审议通过了《委派雷坚先生担任公司参股子公司盈富泰克创业投资有限公司董事职务的议案》。 </w:t>
      </w:r>
      <w:r>
        <w:rPr>
          <w:rFonts w:ascii="Times New Roman" w:hAnsi="Times New Roman" w:cs="Times New Roman" w:eastAsia="Times New Roman" w:hint="default"/>
        </w:rPr>
        <w:t>4</w:t>
      </w:r>
      <w:r>
        <w:rPr/>
        <w:t>、董事会审计委员会 </w:t>
      </w:r>
      <w:r>
        <w:rPr>
          <w:spacing w:val="-2"/>
        </w:rPr>
        <w:t>报告期内就</w:t>
      </w:r>
      <w:r>
        <w:rPr>
          <w:rFonts w:ascii="Times New Roman" w:hAnsi="Times New Roman" w:cs="Times New Roman" w:eastAsia="Times New Roman" w:hint="default"/>
          <w:spacing w:val="-2"/>
        </w:rPr>
        <w:t>2011</w:t>
      </w:r>
      <w:r>
        <w:rPr>
          <w:spacing w:val="-2"/>
        </w:rPr>
        <w:t>年年报审计工作，与中瑞岳华会计师事务所召开了沟通会，审议确定了《南天信息股份公司</w:t>
      </w:r>
      <w:r>
        <w:rPr>
          <w:rFonts w:ascii="Times New Roman" w:hAnsi="Times New Roman" w:cs="Times New Roman" w:eastAsia="Times New Roman" w:hint="default"/>
          <w:spacing w:val="-2"/>
        </w:rPr>
        <w:t>2011</w:t>
      </w:r>
      <w:r>
        <w:rPr>
          <w:spacing w:val="-2"/>
        </w:rPr>
        <w:t>年度审</w:t>
      </w:r>
    </w:p>
    <w:p>
      <w:pPr>
        <w:pStyle w:val="BodyText"/>
        <w:spacing w:line="240" w:lineRule="auto" w:before="7"/>
        <w:ind w:right="99"/>
        <w:jc w:val="left"/>
      </w:pPr>
      <w:r>
        <w:rPr/>
        <w:t>计方案》及《南天信息股份公司</w:t>
      </w:r>
      <w:r>
        <w:rPr>
          <w:rFonts w:ascii="Times New Roman" w:hAnsi="Times New Roman" w:cs="Times New Roman" w:eastAsia="Times New Roman" w:hint="default"/>
        </w:rPr>
        <w:t>2011</w:t>
      </w:r>
      <w:r>
        <w:rPr/>
        <w:t>年年度报告编制、披露计划》。</w:t>
      </w:r>
    </w:p>
    <w:p>
      <w:pPr>
        <w:pStyle w:val="BodyText"/>
        <w:spacing w:line="300" w:lineRule="auto" w:before="63"/>
        <w:ind w:left="384" w:right="102" w:firstLine="91"/>
        <w:jc w:val="left"/>
      </w:pPr>
      <w:r>
        <w:rPr>
          <w:rFonts w:ascii="Times New Roman" w:hAnsi="Times New Roman" w:cs="Times New Roman" w:eastAsia="Times New Roman" w:hint="default"/>
        </w:rPr>
        <w:t>5</w:t>
      </w:r>
      <w:r>
        <w:rPr/>
        <w:t>、董事会风险管理委员会 报告期内审阅审议了公司《内部控制评价制度》（征求意见稿）、《</w:t>
      </w:r>
      <w:r>
        <w:rPr>
          <w:rFonts w:ascii="Times New Roman" w:hAnsi="Times New Roman" w:cs="Times New Roman" w:eastAsia="Times New Roman" w:hint="default"/>
        </w:rPr>
        <w:t>2011</w:t>
      </w:r>
      <w:r>
        <w:rPr/>
        <w:t>年度内部控制自我评价报告》、《内部控制标</w:t>
      </w:r>
    </w:p>
    <w:p>
      <w:pPr>
        <w:pStyle w:val="BodyText"/>
        <w:spacing w:line="240" w:lineRule="auto" w:before="13"/>
        <w:ind w:right="99"/>
        <w:jc w:val="left"/>
      </w:pPr>
      <w:r>
        <w:rPr/>
        <w:t>准手册》（</w:t>
      </w:r>
      <w:r>
        <w:rPr>
          <w:rFonts w:ascii="Times New Roman" w:hAnsi="Times New Roman" w:cs="Times New Roman" w:eastAsia="Times New Roman" w:hint="default"/>
        </w:rPr>
        <w:t>2012</w:t>
      </w:r>
      <w:r>
        <w:rPr/>
        <w:t>年版）、《内部控制评价制度实施细则》、《</w:t>
      </w:r>
      <w:r>
        <w:rPr>
          <w:rFonts w:ascii="Times New Roman" w:hAnsi="Times New Roman" w:cs="Times New Roman" w:eastAsia="Times New Roman" w:hint="default"/>
        </w:rPr>
        <w:t>2012</w:t>
      </w:r>
      <w:r>
        <w:rPr/>
        <w:t>年内部控制规范实施方案》。</w:t>
      </w:r>
    </w:p>
    <w:p>
      <w:pPr>
        <w:spacing w:line="240" w:lineRule="auto" w:before="2"/>
        <w:rPr>
          <w:rFonts w:ascii="宋体" w:hAnsi="宋体" w:cs="宋体" w:eastAsia="宋体" w:hint="default"/>
          <w:sz w:val="18"/>
          <w:szCs w:val="18"/>
        </w:rPr>
      </w:pPr>
    </w:p>
    <w:p>
      <w:pPr>
        <w:pStyle w:val="Heading2"/>
        <w:spacing w:line="240" w:lineRule="auto"/>
        <w:ind w:right="99"/>
        <w:jc w:val="left"/>
        <w:rPr>
          <w:b w:val="0"/>
          <w:bCs w:val="0"/>
        </w:rPr>
      </w:pPr>
      <w:r>
        <w:rPr/>
        <w:t>五、监事会工作情况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t>监事会在报告期内的监督活动中发现公司是否存在风险</w:t>
      </w:r>
    </w:p>
    <w:p>
      <w:pPr>
        <w:pStyle w:val="BodyText"/>
        <w:spacing w:line="338" w:lineRule="auto" w:before="117"/>
        <w:ind w:right="66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99"/>
        <w:jc w:val="left"/>
        <w:rPr>
          <w:b w:val="0"/>
          <w:bCs w:val="0"/>
        </w:rPr>
      </w:pPr>
      <w:r>
        <w:rPr/>
        <w:t>六、公司相对于控股股东在业务、人员、资产、机构、财务等方面的独立完整情况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240" w:lineRule="auto"/>
        <w:ind w:left="475" w:right="99"/>
        <w:jc w:val="left"/>
      </w:pPr>
      <w:r>
        <w:rPr/>
        <w:t>公司与控股股东在业务、人员、资产、机构、财务上实现了“五分开</w:t>
      </w:r>
      <w:r>
        <w:rPr>
          <w:spacing w:val="-92"/>
        </w:rPr>
        <w:t>”</w:t>
      </w:r>
      <w:r>
        <w:rPr/>
        <w:t>，独立运作。具体情况如下：</w:t>
      </w:r>
    </w:p>
    <w:p>
      <w:pPr>
        <w:pStyle w:val="BodyText"/>
        <w:spacing w:line="240" w:lineRule="auto" w:before="117"/>
        <w:ind w:left="475" w:right="0"/>
        <w:jc w:val="left"/>
      </w:pPr>
      <w:r>
        <w:rPr>
          <w:rFonts w:ascii="Times New Roman" w:hAnsi="Times New Roman" w:cs="Times New Roman" w:eastAsia="Times New Roman" w:hint="default"/>
        </w:rPr>
        <w:t>1</w:t>
      </w:r>
      <w:r>
        <w:rPr/>
        <w:t>、业务方面：本公司拥有独立完整的生产经营计划、财务核算、原材料供应和产品销售等业务体系，并具有自主经营</w:t>
      </w:r>
    </w:p>
    <w:p>
      <w:pPr>
        <w:spacing w:after="0" w:line="240"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bookmarkStart w:name="七、高级管理人员的考评及激励情况" w:id="73"/>
      <w:bookmarkEnd w:id="73"/>
      <w:r>
        <w:rPr/>
      </w:r>
      <w:r>
        <w:rPr/>
        <w:t>能力。</w:t>
      </w:r>
    </w:p>
    <w:p>
      <w:pPr>
        <w:pStyle w:val="BodyText"/>
        <w:spacing w:line="300" w:lineRule="auto" w:before="115"/>
        <w:ind w:right="102" w:firstLine="362"/>
        <w:jc w:val="left"/>
      </w:pPr>
      <w:r>
        <w:rPr>
          <w:rFonts w:ascii="Times New Roman" w:hAnsi="Times New Roman" w:cs="Times New Roman" w:eastAsia="Times New Roman" w:hint="default"/>
        </w:rPr>
        <w:t>2</w:t>
      </w:r>
      <w:r>
        <w:rPr/>
        <w:t>、人员方面：本公司在劳动、人事及工资管理方面实行独立，所有高级管理人员均在本公司领取报酬，未在控股股东 单位领取报酬和担任重要行政职务。</w:t>
      </w:r>
    </w:p>
    <w:p>
      <w:pPr>
        <w:pStyle w:val="BodyText"/>
        <w:spacing w:line="300" w:lineRule="auto" w:before="72"/>
        <w:ind w:right="102" w:firstLine="362"/>
        <w:jc w:val="left"/>
      </w:pPr>
      <w:r>
        <w:rPr>
          <w:rFonts w:ascii="Times New Roman" w:hAnsi="Times New Roman" w:cs="Times New Roman" w:eastAsia="Times New Roman" w:hint="default"/>
        </w:rPr>
        <w:t>3</w:t>
      </w:r>
      <w:r>
        <w:rPr/>
        <w:t>、资产方面：本公司拥有独立完整的产、供、销经营系统，与控股股东完全分开，无从属关系并能保证正常经营业务 工作的开展。</w:t>
      </w:r>
    </w:p>
    <w:p>
      <w:pPr>
        <w:pStyle w:val="BodyText"/>
        <w:spacing w:line="300" w:lineRule="auto" w:before="72"/>
        <w:ind w:right="102" w:firstLine="362"/>
        <w:jc w:val="left"/>
      </w:pPr>
      <w:r>
        <w:rPr>
          <w:rFonts w:ascii="Times New Roman" w:hAnsi="Times New Roman" w:cs="Times New Roman" w:eastAsia="Times New Roman" w:hint="default"/>
        </w:rPr>
        <w:t>4</w:t>
      </w:r>
      <w:r>
        <w:rPr/>
        <w:t>、机构方面：本公司组织机构体系健全，内部机构独立，与控股股东完全分开，无从属关系并能保证正常经营业务的 开展。</w:t>
      </w:r>
    </w:p>
    <w:p>
      <w:pPr>
        <w:pStyle w:val="BodyText"/>
        <w:spacing w:line="300" w:lineRule="auto" w:before="70"/>
        <w:ind w:right="102" w:firstLine="362"/>
        <w:jc w:val="left"/>
      </w:pPr>
      <w:r>
        <w:rPr>
          <w:rFonts w:ascii="Times New Roman" w:hAnsi="Times New Roman" w:cs="Times New Roman" w:eastAsia="Times New Roman" w:hint="default"/>
        </w:rPr>
        <w:t>5</w:t>
      </w:r>
      <w:r>
        <w:rPr/>
        <w:t>、财务方面：本公司设有独立的财务部门，并建立了独立的会计核算系统和财务管理制度，公司拥有独立的银行帐户 并独自纳税。</w:t>
      </w:r>
    </w:p>
    <w:p>
      <w:pPr>
        <w:spacing w:line="240" w:lineRule="auto" w:before="13"/>
        <w:rPr>
          <w:rFonts w:ascii="宋体" w:hAnsi="宋体" w:cs="宋体" w:eastAsia="宋体" w:hint="default"/>
          <w:sz w:val="15"/>
          <w:szCs w:val="15"/>
        </w:rPr>
      </w:pPr>
    </w:p>
    <w:p>
      <w:pPr>
        <w:pStyle w:val="Heading2"/>
        <w:spacing w:line="240" w:lineRule="auto"/>
        <w:ind w:right="99"/>
        <w:jc w:val="left"/>
        <w:rPr>
          <w:b w:val="0"/>
          <w:bCs w:val="0"/>
        </w:rPr>
      </w:pPr>
      <w:r>
        <w:rPr/>
        <w:t>七、高级管理人员的考评及激励情况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2" w:firstLine="542"/>
        <w:jc w:val="both"/>
      </w:pPr>
      <w:r>
        <w:rPr>
          <w:spacing w:val="-2"/>
        </w:rPr>
        <w:t>公司已初步建立高级管理人员的绩效评价体系。公司董事会根据年初确定的工作计划和经营指标，对高级管理人员进</w:t>
      </w:r>
      <w:r>
        <w:rPr/>
        <w:t> </w:t>
      </w:r>
      <w:r>
        <w:rPr>
          <w:spacing w:val="-2"/>
        </w:rPr>
        <w:t>行考核。董事会下设薪酬与考核委员会，薪酬委以《南天信息股份公司高级管理人员薪酬与绩效管理制度》为考核规范，根</w:t>
      </w:r>
      <w:r>
        <w:rPr>
          <w:spacing w:val="-64"/>
        </w:rPr>
        <w:t> </w:t>
      </w:r>
      <w:r>
        <w:rPr>
          <w:spacing w:val="-64"/>
        </w:rPr>
      </w:r>
      <w:r>
        <w:rPr>
          <w:spacing w:val="-2"/>
        </w:rPr>
        <w:t>据公司年度财务报告的各项考核指标和年度经营计划目标，对公司高级管理人员及其所负责的单位进行经营业绩和管理指标</w:t>
      </w:r>
      <w:r>
        <w:rPr>
          <w:spacing w:val="-64"/>
        </w:rPr>
        <w:t> </w:t>
      </w:r>
      <w:r>
        <w:rPr>
          <w:spacing w:val="-64"/>
        </w:rPr>
      </w:r>
      <w:r>
        <w:rPr>
          <w:spacing w:val="-2"/>
        </w:rPr>
        <w:t>的考核，以此作为奖惩依据。公司将继续按照市场化取向，逐步建立更加完善的激励和约束机制，以促使高级管理人员勤勉</w:t>
      </w:r>
      <w:r>
        <w:rPr>
          <w:spacing w:val="-66"/>
        </w:rPr>
        <w:t> </w:t>
      </w:r>
      <w:r>
        <w:rPr>
          <w:spacing w:val="-66"/>
        </w:rPr>
      </w:r>
      <w:r>
        <w:rPr/>
        <w:t>尽责，提高公司法人治理水平，实现股东利益和公司利益最大化。</w:t>
      </w:r>
    </w:p>
    <w:p>
      <w:pPr>
        <w:spacing w:after="0" w:line="316" w:lineRule="auto"/>
        <w:jc w:val="both"/>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456" w:lineRule="exact"/>
        <w:ind w:right="2032"/>
        <w:jc w:val="center"/>
        <w:rPr>
          <w:b w:val="0"/>
          <w:bCs w:val="0"/>
        </w:rPr>
      </w:pPr>
      <w:bookmarkStart w:name="第九节内部控制" w:id="74"/>
      <w:bookmarkEnd w:id="74"/>
      <w:r>
        <w:rPr>
          <w:b w:val="0"/>
          <w:bCs w:val="0"/>
        </w:rPr>
      </w:r>
      <w:bookmarkStart w:name="一、内部控制建设情况" w:id="75"/>
      <w:bookmarkEnd w:id="75"/>
      <w:r>
        <w:rPr>
          <w:b w:val="0"/>
          <w:bCs w:val="0"/>
        </w:rPr>
      </w:r>
      <w:bookmarkStart w:name="二、董事会关于内部控制责任的声明" w:id="76"/>
      <w:bookmarkEnd w:id="76"/>
      <w:r>
        <w:rPr>
          <w:b w:val="0"/>
          <w:bCs w:val="0"/>
        </w:rPr>
      </w:r>
      <w:bookmarkStart w:name="三、建立财务报告内部控制的依据" w:id="77"/>
      <w:bookmarkEnd w:id="77"/>
      <w:r>
        <w:rPr>
          <w:b w:val="0"/>
          <w:bCs w:val="0"/>
        </w:rPr>
      </w:r>
      <w:bookmarkStart w:name="四、内部控制自我评价报告" w:id="78"/>
      <w:bookmarkEnd w:id="78"/>
      <w:r>
        <w:rPr>
          <w:b w:val="0"/>
          <w:bCs w:val="0"/>
        </w:rPr>
      </w:r>
      <w:bookmarkStart w:name="五、内部控制审计报告" w:id="79"/>
      <w:bookmarkEnd w:id="79"/>
      <w:r>
        <w:rPr>
          <w:b w:val="0"/>
          <w:bCs w:val="0"/>
        </w:rPr>
      </w:r>
      <w:r>
        <w:rPr/>
        <w:t>第九节 </w:t>
      </w:r>
      <w:r>
        <w:rPr>
          <w:spacing w:val="4"/>
        </w:rPr>
        <w:t> </w:t>
      </w:r>
      <w:r>
        <w:rPr/>
        <w:t>内部控制</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一、内部控制建设情况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auto"/>
        <w:ind w:right="112" w:firstLine="362"/>
        <w:jc w:val="both"/>
      </w:pPr>
      <w:r>
        <w:rPr>
          <w:spacing w:val="-2"/>
        </w:rPr>
        <w:t>公司董事会、经营班子及各级管理部门对风险控制管理的重要性、制度和流程建设的认识不断深化，并在所有的经营管</w:t>
      </w:r>
      <w:r>
        <w:rPr/>
        <w:t> </w:t>
      </w:r>
      <w:r>
        <w:rPr>
          <w:spacing w:val="-2"/>
        </w:rPr>
        <w:t>理活动中把风险控制放在首位，把风险防范、风险意识判定、风险控制真正管理到公司的核心层面。公司始终把建设良好的</w:t>
      </w:r>
      <w:r>
        <w:rPr>
          <w:spacing w:val="-66"/>
        </w:rPr>
        <w:t> </w:t>
      </w:r>
      <w:r>
        <w:rPr>
          <w:spacing w:val="-66"/>
        </w:rPr>
      </w:r>
      <w:r>
        <w:rPr/>
        <w:t>内部控制环境和完善的内部控制体系作为重点工作。为了健全与完善内部控制体系，公司于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年依据财政部等五部委颁 </w:t>
      </w:r>
      <w:r>
        <w:rPr>
          <w:spacing w:val="-2"/>
        </w:rPr>
        <w:t>布的《企业内部控制基本规范》及其配套指引相关规定的要求，结合公司发展状况，编制了《云南南天电子信息产业股份有</w:t>
      </w:r>
      <w:r>
        <w:rPr>
          <w:spacing w:val="-66"/>
        </w:rPr>
        <w:t> </w:t>
      </w:r>
      <w:r>
        <w:rPr>
          <w:spacing w:val="-66"/>
        </w:rPr>
      </w:r>
      <w:r>
        <w:rPr>
          <w:spacing w:val="-7"/>
        </w:rPr>
        <w:t>限公司内部控制手册》，并于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年末开始试运行。</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475" w:right="0"/>
        <w:jc w:val="left"/>
      </w:pPr>
      <w:r>
        <w:rPr/>
        <w:t>公司董事会对</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年度公司内部控制设计与运行的有效性进行了全面评价，并出具了《云南南天电子信息产业股份有</w:t>
      </w:r>
    </w:p>
    <w:p>
      <w:pPr>
        <w:pStyle w:val="BodyText"/>
        <w:spacing w:line="307" w:lineRule="auto" w:before="63"/>
        <w:ind w:right="111"/>
        <w:jc w:val="both"/>
      </w:pPr>
      <w:r>
        <w:rPr>
          <w:spacing w:val="-5"/>
        </w:rPr>
        <w:t>限公司董事会关于公司内部控制的自我评价报告》，评价结论认为：截至</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日，本公司按照《企业内部控制基</w:t>
      </w:r>
      <w:r>
        <w:rPr/>
        <w:t> 本规范》建立的与财务报表相关的内部控制体系，符合有关法律、法规和监管部门的规范性要求</w:t>
      </w:r>
      <w:r>
        <w:rPr>
          <w:rFonts w:ascii="Times New Roman" w:hAnsi="Times New Roman" w:cs="Times New Roman" w:eastAsia="Times New Roman" w:hint="default"/>
        </w:rPr>
        <w:t>,</w:t>
      </w:r>
      <w:r>
        <w:rPr/>
        <w:t>也能够适应公司当前的管 </w:t>
      </w:r>
      <w:r>
        <w:rPr>
          <w:spacing w:val="-4"/>
          <w:w w:val="95"/>
        </w:rPr>
        <w:t>理需要，公司各项内部控制制度健全、执行有效。公司董事会及其全体成员保证本报告中的全部内容不存在任何的虚假信息、</w:t>
      </w:r>
      <w:r>
        <w:rPr>
          <w:spacing w:val="41"/>
          <w:w w:val="95"/>
        </w:rPr>
        <w:t> </w:t>
      </w:r>
      <w:r>
        <w:rPr>
          <w:spacing w:val="41"/>
          <w:w w:val="95"/>
        </w:rPr>
      </w:r>
      <w:r>
        <w:rPr/>
        <w:t>误导性陈述或重大遗漏，并且对于内容的准确性、真实性承担个别及连带责任。</w:t>
      </w:r>
    </w:p>
    <w:p>
      <w:pPr>
        <w:spacing w:line="240" w:lineRule="auto" w:before="5"/>
        <w:rPr>
          <w:rFonts w:ascii="宋体" w:hAnsi="宋体" w:cs="宋体" w:eastAsia="宋体" w:hint="default"/>
          <w:sz w:val="15"/>
          <w:szCs w:val="15"/>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BodyText"/>
        <w:spacing w:line="316" w:lineRule="auto"/>
        <w:ind w:right="112" w:firstLine="362"/>
        <w:jc w:val="both"/>
      </w:pPr>
      <w:r>
        <w:rPr>
          <w:spacing w:val="-9"/>
        </w:rPr>
        <w:t>公司根据《会计法》、《企业会计准则》、《企业内部控制基本规范》及监管部门的相关规范性文件要求，建立了本公司的</w:t>
      </w:r>
      <w:r>
        <w:rPr/>
        <w:t> 财务报告内部控制，本年度公司的财务报告内部控制不存在重大缺陷。</w:t>
      </w:r>
    </w:p>
    <w:p>
      <w:pPr>
        <w:spacing w:line="240" w:lineRule="auto" w:before="11"/>
        <w:rPr>
          <w:rFonts w:ascii="宋体" w:hAnsi="宋体" w:cs="宋体" w:eastAsia="宋体" w:hint="default"/>
          <w:sz w:val="14"/>
          <w:szCs w:val="14"/>
        </w:rPr>
      </w:pPr>
    </w:p>
    <w:p>
      <w:pPr>
        <w:pStyle w:val="Heading2"/>
        <w:spacing w:line="240" w:lineRule="auto"/>
        <w:ind w:right="0"/>
        <w:jc w:val="both"/>
        <w:rPr>
          <w:b w:val="0"/>
          <w:bCs w:val="0"/>
        </w:rPr>
      </w:pPr>
      <w:r>
        <w:rPr/>
        <w:t>四、内部控制自我评价报告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662"/>
        <w:gridCol w:w="6907"/>
      </w:tblGrid>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9"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bl>
    <w:p>
      <w:pPr>
        <w:spacing w:line="240" w:lineRule="auto" w:before="12"/>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五、内部控制审计报告</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662"/>
        <w:gridCol w:w="6907"/>
      </w:tblGrid>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83" w:firstLine="360"/>
              <w:jc w:val="left"/>
              <w:rPr>
                <w:rFonts w:ascii="宋体" w:hAnsi="宋体" w:cs="宋体" w:eastAsia="宋体" w:hint="default"/>
                <w:sz w:val="18"/>
                <w:szCs w:val="18"/>
              </w:rPr>
            </w:pPr>
            <w:r>
              <w:rPr>
                <w:rFonts w:ascii="宋体" w:hAnsi="宋体" w:cs="宋体" w:eastAsia="宋体" w:hint="default"/>
                <w:sz w:val="18"/>
                <w:szCs w:val="18"/>
              </w:rPr>
              <w:t>我们认为，云南南天电子信息产业股份有限公司于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 所有重大方面保持了有效的财务报告内部控制。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内部控制审计报告（中瑞岳华专审字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footerReference w:type="default" r:id="rId21"/>
          <w:pgSz w:w="11910" w:h="16840"/>
          <w:pgMar w:footer="979" w:header="745" w:top="1060" w:bottom="1160" w:left="1020" w:right="1020"/>
          <w:pgNumType w:start="40"/>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bookmarkStart w:name="六、年度报告重大差错责任追究制度的建立与执行情况" w:id="80"/>
      <w:bookmarkEnd w:id="80"/>
      <w:r>
        <w:rPr/>
      </w:r>
      <w:r>
        <w:rPr/>
        <w:t>会计师事务所是否出具非标准意见的内部控制审计报告</w:t>
      </w:r>
    </w:p>
    <w:p>
      <w:pPr>
        <w:pStyle w:val="BodyText"/>
        <w:spacing w:line="340" w:lineRule="auto" w:before="115"/>
        <w:ind w:right="3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1"/>
        <w:ind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2"/>
        <w:rPr>
          <w:rFonts w:ascii="宋体" w:hAnsi="宋体" w:cs="宋体" w:eastAsia="宋体" w:hint="default"/>
          <w:sz w:val="18"/>
          <w:szCs w:val="18"/>
        </w:rPr>
      </w:pPr>
    </w:p>
    <w:p>
      <w:pPr>
        <w:pStyle w:val="Heading2"/>
        <w:spacing w:line="240" w:lineRule="auto"/>
        <w:ind w:right="99"/>
        <w:jc w:val="left"/>
        <w:rPr>
          <w:b w:val="0"/>
          <w:bCs w:val="0"/>
        </w:rPr>
      </w:pPr>
      <w:r>
        <w:rPr/>
        <w:t>六、年度报告重大差错责任追究制度的建立与执行情况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99" w:firstLine="362"/>
        <w:jc w:val="left"/>
      </w:pPr>
      <w:r>
        <w:rPr>
          <w:spacing w:val="-2"/>
        </w:rPr>
        <w:t>报告期内，公司未发生年报信息披露重大差错、重大会计差错更正、重大遗漏信息补充及业绩预告修正等情况。公司目</w:t>
      </w:r>
      <w:r>
        <w:rPr/>
        <w:t> </w:t>
      </w:r>
      <w:r>
        <w:rPr>
          <w:spacing w:val="-4"/>
        </w:rPr>
        <w:t>前正在组织人员制定《年度报告重大差错责任追究制度》。</w:t>
      </w:r>
    </w:p>
    <w:p>
      <w:pPr>
        <w:spacing w:after="0" w:line="316" w:lineRule="auto"/>
        <w:jc w:val="left"/>
        <w:sectPr>
          <w:pgSz w:w="11910" w:h="16840"/>
          <w:pgMar w:header="745" w:footer="979"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456" w:lineRule="exact"/>
        <w:ind w:right="2032"/>
        <w:jc w:val="center"/>
        <w:rPr>
          <w:b w:val="0"/>
          <w:bCs w:val="0"/>
        </w:rPr>
      </w:pPr>
      <w:bookmarkStart w:name="第十节财务报告" w:id="81"/>
      <w:bookmarkEnd w:id="81"/>
      <w:r>
        <w:rPr>
          <w:b w:val="0"/>
          <w:bCs w:val="0"/>
        </w:rPr>
      </w:r>
      <w:bookmarkStart w:name="一、审计报告" w:id="82"/>
      <w:bookmarkEnd w:id="82"/>
      <w:r>
        <w:rPr>
          <w:b w:val="0"/>
          <w:bCs w:val="0"/>
        </w:rPr>
      </w:r>
      <w:bookmarkStart w:name="_bookmark1" w:id="83"/>
      <w:bookmarkEnd w:id="83"/>
      <w:r>
        <w:rPr>
          <w:b w:val="0"/>
          <w:bCs w:val="0"/>
        </w:rPr>
      </w:r>
      <w:r>
        <w:rPr/>
        <w:t>第十节 </w:t>
      </w:r>
      <w:r>
        <w:rPr>
          <w:spacing w:val="4"/>
        </w:rPr>
        <w:t> </w:t>
      </w:r>
      <w:r>
        <w:rPr/>
        <w:t>财务报告</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2"/>
        <w:spacing w:line="367" w:lineRule="exact"/>
        <w:ind w:right="99"/>
        <w:jc w:val="left"/>
        <w:rPr>
          <w:b w:val="0"/>
          <w:bCs w:val="0"/>
        </w:rPr>
      </w:pP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line="300" w:lineRule="auto" w:before="49"/>
        <w:ind w:left="4391" w:right="4393" w:firstLine="0"/>
        <w:jc w:val="center"/>
        <w:rPr>
          <w:rFonts w:ascii="Microsoft JhengHei" w:hAnsi="Microsoft JhengHei" w:cs="Microsoft JhengHei" w:eastAsia="Microsoft JhengHei" w:hint="default"/>
          <w:sz w:val="18"/>
          <w:szCs w:val="18"/>
        </w:rPr>
      </w:pPr>
      <w:r>
        <w:rPr>
          <w:rFonts w:ascii="宋体" w:hAnsi="宋体" w:cs="宋体" w:eastAsia="宋体" w:hint="default"/>
          <w:sz w:val="18"/>
          <w:szCs w:val="18"/>
        </w:rPr>
        <w:t>审计报告正文 </w:t>
      </w:r>
      <w:r>
        <w:rPr>
          <w:rFonts w:ascii="Microsoft JhengHei" w:hAnsi="Microsoft JhengHei" w:cs="Microsoft JhengHei" w:eastAsia="Microsoft JhengHei" w:hint="default"/>
          <w:b/>
          <w:bCs/>
          <w:sz w:val="18"/>
          <w:szCs w:val="18"/>
        </w:rPr>
        <w:t>审  计  报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告</w:t>
      </w:r>
      <w:r>
        <w:rPr>
          <w:rFonts w:ascii="Microsoft JhengHei" w:hAnsi="Microsoft JhengHei" w:cs="Microsoft JhengHei" w:eastAsia="Microsoft JhengHei" w:hint="default"/>
          <w:sz w:val="18"/>
          <w:szCs w:val="18"/>
        </w:rPr>
      </w:r>
    </w:p>
    <w:p>
      <w:pPr>
        <w:spacing w:line="240" w:lineRule="auto" w:before="3"/>
        <w:rPr>
          <w:rFonts w:ascii="Microsoft JhengHei" w:hAnsi="Microsoft JhengHei" w:cs="Microsoft JhengHei" w:eastAsia="Microsoft JhengHei" w:hint="default"/>
          <w:b/>
          <w:bCs/>
          <w:sz w:val="15"/>
          <w:szCs w:val="15"/>
        </w:rPr>
      </w:pPr>
    </w:p>
    <w:p>
      <w:pPr>
        <w:pStyle w:val="BodyText"/>
        <w:spacing w:line="240" w:lineRule="auto" w:before="44"/>
        <w:ind w:left="0" w:right="136"/>
        <w:jc w:val="right"/>
      </w:pPr>
      <w:r>
        <w:rPr>
          <w:spacing w:val="-1"/>
        </w:rPr>
        <w:t>中瑞岳华审字</w:t>
      </w:r>
      <w:r>
        <w:rPr>
          <w:rFonts w:ascii="Times New Roman" w:hAnsi="Times New Roman" w:cs="Times New Roman" w:eastAsia="Times New Roman" w:hint="default"/>
          <w:spacing w:val="-1"/>
        </w:rPr>
        <w:t>[2013]</w:t>
      </w:r>
      <w:r>
        <w:rPr>
          <w:spacing w:val="-1"/>
        </w:rPr>
        <w:t>第</w:t>
      </w:r>
      <w:r>
        <w:rPr>
          <w:rFonts w:ascii="Times New Roman" w:hAnsi="Times New Roman" w:cs="Times New Roman" w:eastAsia="Times New Roman" w:hint="default"/>
          <w:spacing w:val="-1"/>
        </w:rPr>
        <w:t>2531</w:t>
      </w:r>
      <w:r>
        <w:rPr>
          <w:spacing w:val="-1"/>
        </w:rPr>
        <w:t>号</w:t>
      </w:r>
    </w:p>
    <w:p>
      <w:pPr>
        <w:spacing w:line="240" w:lineRule="auto" w:before="3"/>
        <w:rPr>
          <w:rFonts w:ascii="宋体" w:hAnsi="宋体" w:cs="宋体" w:eastAsia="宋体" w:hint="default"/>
          <w:sz w:val="25"/>
          <w:szCs w:val="25"/>
        </w:rPr>
      </w:pPr>
    </w:p>
    <w:p>
      <w:pPr>
        <w:pStyle w:val="Heading5"/>
        <w:spacing w:line="300" w:lineRule="exact"/>
        <w:ind w:left="139" w:right="99"/>
        <w:jc w:val="left"/>
        <w:rPr>
          <w:b w:val="0"/>
          <w:bCs w:val="0"/>
        </w:rPr>
      </w:pPr>
      <w:r>
        <w:rPr/>
        <w:t>云南南天电子信息产业股份有限公司全体股东：</w:t>
      </w:r>
      <w:r>
        <w:rPr>
          <w:b w:val="0"/>
          <w:bCs w:val="0"/>
        </w:rPr>
      </w:r>
    </w:p>
    <w:p>
      <w:pPr>
        <w:spacing w:line="240" w:lineRule="auto" w:before="2"/>
        <w:rPr>
          <w:rFonts w:ascii="Microsoft JhengHei" w:hAnsi="Microsoft JhengHei" w:cs="Microsoft JhengHei" w:eastAsia="Microsoft JhengHei" w:hint="default"/>
          <w:b/>
          <w:bCs/>
          <w:sz w:val="21"/>
          <w:szCs w:val="21"/>
        </w:rPr>
      </w:pPr>
    </w:p>
    <w:p>
      <w:pPr>
        <w:pStyle w:val="BodyText"/>
        <w:spacing w:line="300" w:lineRule="auto"/>
        <w:ind w:right="106" w:firstLine="482"/>
        <w:jc w:val="both"/>
      </w:pPr>
      <w:r>
        <w:rPr/>
        <w:t>我们审计了后附的云南南天电子信息产业股份有限公司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及其子公司财务报表，包括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99"/>
        </w:rPr>
        <w:t> </w:t>
      </w:r>
      <w:r>
        <w:rPr>
          <w:spacing w:val="-2"/>
        </w:rPr>
        <w:t>日的合并及公司的资产负债表，</w:t>
      </w:r>
      <w:r>
        <w:rPr>
          <w:rFonts w:ascii="Times New Roman" w:hAnsi="Times New Roman" w:cs="Times New Roman" w:eastAsia="Times New Roman" w:hint="default"/>
          <w:spacing w:val="-2"/>
        </w:rPr>
        <w:t>2012</w:t>
      </w:r>
      <w:r>
        <w:rPr>
          <w:spacing w:val="-2"/>
        </w:rPr>
        <w:t>年度合并及公司的利润表、合并及公司的现金流量表和合并及公司的所有者权益变动表</w:t>
      </w:r>
      <w:r>
        <w:rPr>
          <w:spacing w:val="-64"/>
        </w:rPr>
        <w:t> </w:t>
      </w:r>
      <w:r>
        <w:rPr>
          <w:spacing w:val="-64"/>
        </w:rPr>
      </w:r>
      <w:r>
        <w:rPr/>
        <w:t>以及财务报表附注。</w:t>
      </w:r>
    </w:p>
    <w:p>
      <w:pPr>
        <w:pStyle w:val="Heading5"/>
        <w:spacing w:line="287" w:lineRule="exact"/>
        <w:ind w:right="99"/>
        <w:jc w:val="left"/>
        <w:rPr>
          <w:b w:val="0"/>
          <w:bCs w:val="0"/>
        </w:rPr>
      </w:pPr>
      <w:r>
        <w:rPr/>
        <w:t>一、管理层对财务报表的责任</w:t>
      </w:r>
      <w:r>
        <w:rPr>
          <w:b w:val="0"/>
          <w:bCs w:val="0"/>
        </w:rPr>
      </w:r>
    </w:p>
    <w:p>
      <w:pPr>
        <w:pStyle w:val="BodyText"/>
        <w:spacing w:line="300" w:lineRule="auto" w:before="56"/>
        <w:ind w:right="112" w:firstLine="482"/>
        <w:jc w:val="both"/>
      </w:pPr>
      <w:r>
        <w:rPr/>
        <w:t>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 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Heading5"/>
        <w:spacing w:line="269" w:lineRule="exact"/>
        <w:ind w:right="99"/>
        <w:jc w:val="left"/>
        <w:rPr>
          <w:b w:val="0"/>
          <w:bCs w:val="0"/>
        </w:rPr>
      </w:pPr>
      <w:r>
        <w:rPr/>
        <w:t>二、注册会计师的责任</w:t>
      </w:r>
      <w:r>
        <w:rPr>
          <w:b w:val="0"/>
          <w:bCs w:val="0"/>
        </w:rPr>
      </w:r>
    </w:p>
    <w:p>
      <w:pPr>
        <w:pStyle w:val="BodyText"/>
        <w:spacing w:line="316" w:lineRule="auto" w:before="56"/>
        <w:ind w:right="112" w:firstLine="482"/>
        <w:jc w:val="both"/>
      </w:pPr>
      <w:r>
        <w:rPr>
          <w:spacing w:val="-1"/>
        </w:rPr>
        <w:t>我们的责任是在执行审计工作的基础上对财务报表发表审计意见。我们按照中国注册会计师审计准则的规定执行了审</w:t>
      </w:r>
      <w:r>
        <w:rPr/>
        <w:t> </w:t>
      </w:r>
      <w:r>
        <w:rPr>
          <w:spacing w:val="-2"/>
        </w:rPr>
        <w:t>计工作。中国注册会计师审计准则要求我们遵守中国注册会计师职业道德守则，计划和执行审计工作以对财务报表是否不存</w:t>
      </w:r>
      <w:r>
        <w:rPr>
          <w:spacing w:val="-65"/>
        </w:rPr>
        <w:t> </w:t>
      </w:r>
      <w:r>
        <w:rPr>
          <w:spacing w:val="-65"/>
        </w:rPr>
      </w:r>
      <w:r>
        <w:rPr/>
        <w:t>在重大错报获取合理保证。</w:t>
      </w:r>
    </w:p>
    <w:p>
      <w:pPr>
        <w:pStyle w:val="BodyText"/>
        <w:spacing w:line="316" w:lineRule="auto" w:before="19"/>
        <w:ind w:right="111" w:firstLine="482"/>
        <w:jc w:val="both"/>
      </w:pPr>
      <w:r>
        <w:rPr>
          <w:spacing w:val="-3"/>
          <w:w w:val="95"/>
        </w:rPr>
        <w:t>审计工作涉及实施审计程序，以获取有关财务报表金额和披露的审计证据。选择的审计程序取决于注册会计师的判断，</w:t>
      </w:r>
      <w:r>
        <w:rPr>
          <w:w w:val="50"/>
        </w:rPr>
        <w:t> </w:t>
      </w:r>
      <w:r>
        <w:rPr>
          <w:spacing w:val="-2"/>
        </w:rPr>
        <w:t>包括对由于舞弊或错误导致的财务报表重大错报风险的评估。在进行风险评估时，注册会计师考虑与财务报表编制和公允列</w:t>
      </w:r>
      <w:r>
        <w:rPr>
          <w:spacing w:val="-65"/>
        </w:rPr>
        <w:t> </w:t>
      </w:r>
      <w:r>
        <w:rPr>
          <w:spacing w:val="-65"/>
        </w:rPr>
      </w:r>
      <w:r>
        <w:rPr>
          <w:w w:val="95"/>
        </w:rPr>
        <w:t>报相关的内部控制，以设计恰当的审计程序。审计工作还包括评价管理层选用会计政策的恰当性和作出会计估计的合理性，</w:t>
      </w:r>
      <w:r>
        <w:rPr>
          <w:spacing w:val="63"/>
          <w:w w:val="95"/>
        </w:rPr>
        <w:t> </w:t>
      </w:r>
      <w:r>
        <w:rPr>
          <w:spacing w:val="63"/>
          <w:w w:val="95"/>
        </w:rPr>
      </w:r>
      <w:r>
        <w:rPr/>
        <w:t>以及评价财务报表的总体列报。</w:t>
      </w:r>
    </w:p>
    <w:p>
      <w:pPr>
        <w:pStyle w:val="BodyText"/>
        <w:spacing w:line="259" w:lineRule="auto" w:before="19"/>
        <w:ind w:left="595" w:right="2951"/>
        <w:jc w:val="left"/>
        <w:rPr>
          <w:rFonts w:ascii="Microsoft JhengHei" w:hAnsi="Microsoft JhengHei" w:cs="Microsoft JhengHei" w:eastAsia="Microsoft JhengHei" w:hint="default"/>
        </w:rPr>
      </w:pPr>
      <w:r>
        <w:rPr/>
        <w:t>我们相信，我们获取的审计证据是充分、适当的，为发表审计意见提供了基础。 </w:t>
      </w: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rPr>
      </w:r>
    </w:p>
    <w:p>
      <w:pPr>
        <w:pStyle w:val="BodyText"/>
        <w:spacing w:line="309" w:lineRule="auto" w:before="37"/>
        <w:ind w:right="112" w:firstLine="482"/>
        <w:jc w:val="both"/>
      </w:pPr>
      <w:r>
        <w:rPr>
          <w:spacing w:val="-1"/>
        </w:rPr>
        <w:t>我们认为，上述财务报表在所有重大方面按照企业会计准则的规定编制，公允反映了云南南天电子信息产业股份有限</w:t>
      </w:r>
      <w:r>
        <w:rPr/>
        <w:t> </w:t>
      </w:r>
      <w:r>
        <w:rPr>
          <w:spacing w:val="-2"/>
        </w:rPr>
        <w:t>公司及其子公司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日的合并财务状况以及</w:t>
      </w:r>
      <w:r>
        <w:rPr>
          <w:rFonts w:ascii="Times New Roman" w:hAnsi="Times New Roman" w:cs="Times New Roman" w:eastAsia="Times New Roman" w:hint="default"/>
          <w:spacing w:val="-2"/>
        </w:rPr>
        <w:t>2012</w:t>
      </w:r>
      <w:r>
        <w:rPr>
          <w:spacing w:val="-2"/>
        </w:rPr>
        <w:t>年度的合并经营成果和合并现金流量，以及云南南天电子信息产业</w:t>
      </w:r>
      <w:r>
        <w:rPr>
          <w:spacing w:val="-58"/>
        </w:rPr>
        <w:t> </w:t>
      </w:r>
      <w:r>
        <w:rPr>
          <w:spacing w:val="-58"/>
        </w:rPr>
      </w:r>
      <w:r>
        <w:rPr/>
        <w:t>股份有限公司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tabs>
          <w:tab w:pos="4927" w:val="left" w:leader="none"/>
        </w:tabs>
        <w:spacing w:line="340" w:lineRule="auto"/>
        <w:ind w:left="1992" w:right="3136" w:hanging="1232"/>
        <w:jc w:val="left"/>
      </w:pPr>
      <w:r>
        <w:rPr/>
        <w:t>中瑞岳华会计师事务所（特殊普通合伙）</w:t>
        <w:tab/>
        <w:t>中国注册会计师：李玉 </w:t>
      </w:r>
      <w:r>
        <w:rPr>
          <w:spacing w:val="-1"/>
        </w:rPr>
        <w:t>中国</w:t>
      </w:r>
      <w:r>
        <w:rPr>
          <w:rFonts w:ascii="Times New Roman" w:hAnsi="Times New Roman" w:cs="Times New Roman" w:eastAsia="Times New Roman" w:hint="default"/>
          <w:spacing w:val="-1"/>
        </w:rPr>
        <w:t>·</w:t>
      </w:r>
      <w:r>
        <w:rPr>
          <w:spacing w:val="-1"/>
        </w:rPr>
        <w:t>北京</w:t>
        <w:tab/>
      </w:r>
      <w:r>
        <w:rPr/>
        <w:t>中国注册会计师：刘婷</w:t>
      </w:r>
    </w:p>
    <w:p>
      <w:pPr>
        <w:pStyle w:val="BodyText"/>
        <w:spacing w:line="247" w:lineRule="exact"/>
        <w:ind w:left="6206" w:right="99"/>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p>
    <w:p>
      <w:pPr>
        <w:spacing w:after="0" w:line="247" w:lineRule="exact"/>
        <w:jc w:val="left"/>
        <w:sectPr>
          <w:pgSz w:w="11910" w:h="16840"/>
          <w:pgMar w:header="745" w:footer="979" w:top="1060" w:bottom="1160" w:left="1020" w:right="1020"/>
        </w:sectPr>
      </w:pPr>
    </w:p>
    <w:p>
      <w:pPr>
        <w:spacing w:line="240" w:lineRule="auto" w:before="8"/>
        <w:rPr>
          <w:rFonts w:ascii="宋体" w:hAnsi="宋体" w:cs="宋体" w:eastAsia="宋体" w:hint="default"/>
          <w:sz w:val="23"/>
          <w:szCs w:val="23"/>
        </w:rPr>
      </w:pPr>
    </w:p>
    <w:p>
      <w:pPr>
        <w:pStyle w:val="Heading2"/>
        <w:spacing w:line="367" w:lineRule="exact"/>
        <w:ind w:right="99"/>
        <w:jc w:val="left"/>
        <w:rPr>
          <w:b w:val="0"/>
          <w:bCs w:val="0"/>
        </w:rPr>
      </w:pPr>
      <w:bookmarkStart w:name="二、财务报表" w:id="84"/>
      <w:bookmarkEnd w:id="84"/>
      <w:r>
        <w:rPr>
          <w:b w:val="0"/>
          <w:bCs w:val="0"/>
        </w:rPr>
      </w:r>
      <w:bookmarkStart w:name="1、合并资产负债表" w:id="85"/>
      <w:bookmarkEnd w:id="85"/>
      <w:r>
        <w:rPr>
          <w:b w:val="0"/>
          <w:bCs w:val="0"/>
        </w:rPr>
      </w:r>
      <w:bookmarkStart w:name="单位：元" w:id="86"/>
      <w:bookmarkEnd w:id="86"/>
      <w:r>
        <w:rPr>
          <w:b w:val="0"/>
          <w:bCs w:val="0"/>
        </w:rPr>
      </w: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9"/>
        <w:jc w:val="left"/>
      </w:pPr>
      <w:r>
        <w:rPr/>
        <w:t>财务附注中报表的单位为：人民币元</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编制单位：云南南天电子信息产业股份有限公司</w:t>
      </w:r>
    </w:p>
    <w:p>
      <w:pPr>
        <w:spacing w:line="240" w:lineRule="auto" w:before="9"/>
        <w:rPr>
          <w:rFonts w:ascii="宋体" w:hAnsi="宋体" w:cs="宋体" w:eastAsia="宋体" w:hint="default"/>
          <w:sz w:val="21"/>
          <w:szCs w:val="21"/>
        </w:rPr>
      </w:pPr>
    </w:p>
    <w:p>
      <w:pPr>
        <w:pStyle w:val="Heading4"/>
        <w:spacing w:line="240" w:lineRule="auto"/>
        <w:ind w:right="99"/>
        <w:jc w:val="left"/>
        <w:rPr>
          <w:b w:val="0"/>
          <w:bCs w:val="0"/>
        </w:rPr>
      </w:pPr>
      <w:r>
        <w:rPr/>
        <w:t>单位：元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489,637,956.11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572,741,635.66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18,175.00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74,239.00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358,911,169.66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428,390,809.84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61,038,680.30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53,874,376.36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1,976,392.28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15,527,347.83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14,219,500.26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399,704,264.75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356,098,820.89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17,604,566.51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508,073.77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1,366,942,160.16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1,427,883,848.06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334,250,930.25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288,236,990.54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27,421,667.01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28,945,315.70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262,894,328.57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273,003,078.45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46,172,636.40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20,255,014.41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113,972,364.53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118,414,457.71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21,918,737.80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18,314,903.32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2,841,196.29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2,668,706.85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13,059,834.99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8,933,826.40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2,245,276.00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824,776,971.84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758,772,293.38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2,191,719,132.00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2,186,656,141.44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106,282,283.79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85,046,960.00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6,900,450.00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316,931,256.36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383,468,742.22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48,381,479.22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88,096,901.78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13,415,964.38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14,923,623.00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31,017,039.89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54,838,696.54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1,069,866.67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2,694,215.01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1,029,837.09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137,139.82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14,549,694.96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13,462,313.86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201,466,666.67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205,443,733.33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839,191,049.03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814,965,815.56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5,370,233.15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25,950,063.37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4,191,280.00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4,317,712.00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40,675,084.33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32,652,324.03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50,236,597.48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62,920,099.40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889,427,646.51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877,885,914.96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231,606,046.00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210,550,951.00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702,876,257.52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718,562,536.52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64,589,952.39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60,525,314.96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293,395,448.24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307,915,904.77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1,292,467,704.15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1,297,554,707.25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9,823,781.34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11,215,519.23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1,302,291,485.49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1,308,770,226.48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2,191,719,132.00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2,186,656,141.44</w:t>
            </w:r>
          </w:p>
        </w:tc>
      </w:tr>
    </w:tbl>
    <w:p>
      <w:pPr>
        <w:spacing w:line="240" w:lineRule="auto" w:before="2"/>
        <w:rPr>
          <w:rFonts w:ascii="Times New Roman" w:hAnsi="Times New Roman" w:cs="Times New Roman" w:eastAsia="Times New Roman" w:hint="default"/>
          <w:sz w:val="23"/>
          <w:szCs w:val="23"/>
        </w:rPr>
      </w:pPr>
    </w:p>
    <w:p>
      <w:pPr>
        <w:pStyle w:val="BodyText"/>
        <w:tabs>
          <w:tab w:pos="3532" w:val="left" w:leader="none"/>
          <w:tab w:pos="7852" w:val="left" w:leader="none"/>
        </w:tabs>
        <w:spacing w:line="240" w:lineRule="auto" w:before="44"/>
        <w:ind w:right="99"/>
        <w:jc w:val="left"/>
      </w:pPr>
      <w:r>
        <w:rPr/>
        <w:t>法定代表人：雷坚</w:t>
        <w:tab/>
        <w:t>主管会计工作负责人：张锦鸿</w:t>
        <w:tab/>
        <w:t>会计机构负责人：唐绯</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2、母公司资产负债表" w:id="87"/>
      <w:bookmarkEnd w:id="87"/>
      <w:r>
        <w:rPr>
          <w:b w:val="0"/>
          <w:bCs w:val="0"/>
        </w:rPr>
      </w:r>
      <w:bookmarkStart w:name="单位：元" w:id="88"/>
      <w:bookmarkEnd w:id="8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编制单位：云南南天电子信息产业股份有限公司</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244,317,665.21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281,027,948.06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514,187,434.17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530,555,180.41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39,734,778.06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41,232,664.12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1,976,392.28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14,308,179.79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17,885,370.04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162,832,008.35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131,973,397.16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12,669,381.08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988,049,446.66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1,004,650,952.07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657,185,414.06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612,966,839.82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4,226,741.69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4,688,969.14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206,964,477.82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213,342,951.42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45,815,636.40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19,457,014.41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86,957,621.94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85,939,341.42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7,214,661.61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3,395,976.07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1,008,364,553.52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939,791,092.28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1,996,414,000.18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1,944,442,044.35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96,282,283.79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77,620,960.00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6,900,450.00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197,767,054.86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252,804,878.37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24,520,281.09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58,568,497.36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3,653,977.49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3,823,522.13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4,414,844.88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21,116,604.52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1,069,866.67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2,694,215.01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11,405,436.83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9,412,749.52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201,466,666.67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205,443,733.33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638,201,372.28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598,764,650.24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5,370,233.15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25,950,063.37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4,191,280.00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4,317,712.00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29,781,970.23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25,711,588.43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39,343,483.38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55,979,363.80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677,544,855.66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654,744,014.04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231,606,046.00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210,550,951.00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756,615,010.19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772,301,289.19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69,569,728.04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65,505,090.61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4"/>
        <w:gridCol w:w="3302"/>
        <w:gridCol w:w="3302"/>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bookmarkStart w:name="3、合并利润表" w:id="89"/>
            <w:bookmarkEnd w:id="89"/>
            <w:r>
              <w:rPr/>
            </w:r>
            <w:bookmarkStart w:name="单位：元" w:id="90"/>
            <w:bookmarkEnd w:id="90"/>
            <w:r>
              <w:rPr/>
            </w: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261,078,360.29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241,340,699.51</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1,318,869,144.52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1,289,698,030.31</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1,996,414,000.18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1,944,442,044.35</w:t>
            </w:r>
          </w:p>
        </w:tc>
      </w:tr>
    </w:tbl>
    <w:p>
      <w:pPr>
        <w:spacing w:line="240" w:lineRule="auto" w:before="2"/>
        <w:rPr>
          <w:rFonts w:ascii="Times New Roman" w:hAnsi="Times New Roman" w:cs="Times New Roman" w:eastAsia="Times New Roman" w:hint="default"/>
          <w:sz w:val="23"/>
          <w:szCs w:val="23"/>
        </w:rPr>
      </w:pPr>
    </w:p>
    <w:p>
      <w:pPr>
        <w:pStyle w:val="BodyText"/>
        <w:tabs>
          <w:tab w:pos="3532" w:val="left" w:leader="none"/>
          <w:tab w:pos="7852" w:val="left" w:leader="none"/>
        </w:tabs>
        <w:spacing w:line="240" w:lineRule="auto" w:before="44"/>
        <w:ind w:right="99"/>
        <w:jc w:val="left"/>
      </w:pPr>
      <w:r>
        <w:rPr/>
        <w:t>法定代表人：雷坚</w:t>
        <w:tab/>
        <w:t>主管会计工作负责人：张锦鸿</w:t>
        <w:tab/>
        <w:t>会计机构负责人：唐绯</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编制单位：云南南天电子信息产业股份有限公司</w:t>
      </w:r>
    </w:p>
    <w:p>
      <w:pPr>
        <w:spacing w:line="240" w:lineRule="auto" w:before="9"/>
        <w:rPr>
          <w:rFonts w:ascii="宋体" w:hAnsi="宋体" w:cs="宋体" w:eastAsia="宋体" w:hint="default"/>
          <w:sz w:val="21"/>
          <w:szCs w:val="21"/>
        </w:rPr>
      </w:pPr>
    </w:p>
    <w:p>
      <w:pPr>
        <w:pStyle w:val="Heading4"/>
        <w:spacing w:line="240" w:lineRule="auto"/>
        <w:ind w:right="99"/>
        <w:jc w:val="left"/>
        <w:rPr>
          <w:b w:val="0"/>
          <w:bCs w:val="0"/>
        </w:rPr>
      </w:pPr>
      <w:r>
        <w:rPr/>
        <w:t>单位：元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1,826,566,611.11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2,656,849,321.37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1,826,566,611.11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2,656,849,321.37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1,865,135,763.43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2,634,364,225.37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1,416,519,647.64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2,183,203,805.49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15,090,799.07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24,827,718.28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120,214,416.11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137,464,783.03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265,420,459.66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246,350,759.06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25,900,797.36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29,979,203.32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21,989,643.59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12,537,956.19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31,436.00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-47,451.00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r>
        <w:rPr/>
        <w:pict>
          <v:shape style="position:absolute;margin-left:199.199997pt;margin-top:179.400024pt;width:170.65pt;height:19.8pt;mso-position-horizontal-relative:page;mso-position-vertical-relative:page;z-index:-908008"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199.199997pt;margin-top:331.200012pt;width:170.65pt;height:19.8pt;mso-position-horizontal-relative:page;mso-position-vertical-relative:page;z-index:-907984"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205.199997pt;margin-top:179.400024pt;width:164.65pt;height:19.8pt;mso-position-horizontal-relative:page;mso-position-vertical-relative:page;z-index:-907960" coordorigin="4104,3588" coordsize="3293,396">
            <v:shape style="position:absolute;left:4104;top:3588;width:3293;height:396" coordorigin="4104,3588" coordsize="3293,396" path="m4104,3588l4104,3984,7397,3984,7397,3588,4104,3588xe" filled="true" fillcolor="#ffffff" stroked="false">
              <v:path arrowok="t"/>
              <v:fill type="solid"/>
            </v:shape>
            <w10:wrap type="none"/>
          </v:group>
        </w:pict>
      </w:r>
      <w:r>
        <w:rPr/>
        <w:pict>
          <v:group style="position:absolute;margin-left:205.199997pt;margin-top:331.200012pt;width:164.65pt;height:19.8pt;mso-position-horizontal-relative:page;mso-position-vertical-relative:page;z-index:-907936" coordorigin="4104,6624" coordsize="3293,396">
            <v:shape style="position:absolute;left:4104;top:6624;width:3293;height:396" coordorigin="4104,6624" coordsize="3293,396" path="m4104,6624l4104,7020,7397,7020,7397,6624,4104,6624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bookmarkStart w:name="4、母公司利润表" w:id="91"/>
            <w:bookmarkEnd w:id="91"/>
            <w:r>
              <w:rPr/>
            </w:r>
            <w:bookmarkStart w:name="单位：元" w:id="92"/>
            <w:bookmarkEnd w:id="92"/>
            <w:r>
              <w:rPr/>
            </w:r>
            <w:r>
              <w:rPr>
                <w:rFonts w:ascii="宋体" w:hAnsi="宋体" w:cs="宋体" w:eastAsia="宋体" w:hint="default"/>
                <w:sz w:val="18"/>
                <w:szCs w:val="18"/>
              </w:rPr>
              <w:t>投资收益（损失以“－”</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22,110,060.74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76,601,805.91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15,476,098.64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12,956,817.51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-16,427,655.58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99,039,450.91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24,295,067.41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33,279,787.79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767,083.83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2,128,592.60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410,137.95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269,332.08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7,100,328.00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130,190,646.10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1,008,266.70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17,678,761.79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6,092,061.30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112,511,884.31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6,388,256.96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94,308,795.43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-296,195.66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18,203,088.88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0.4072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0.0276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0.4057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-229,895.62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-3,877,453.92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5,862,165.68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108,634,430.39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6,158,361.34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90,916,974.82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-296,195.66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17,717,455.57</w:t>
            </w:r>
          </w:p>
        </w:tc>
      </w:tr>
    </w:tbl>
    <w:p>
      <w:pPr>
        <w:pStyle w:val="BodyText"/>
        <w:spacing w:line="240" w:lineRule="auto" w:before="51"/>
        <w:ind w:right="99"/>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32" w:val="left" w:leader="none"/>
          <w:tab w:pos="7852" w:val="left" w:leader="none"/>
        </w:tabs>
        <w:spacing w:line="240" w:lineRule="auto" w:before="141"/>
        <w:ind w:right="99"/>
        <w:jc w:val="left"/>
      </w:pPr>
      <w:r>
        <w:rPr/>
        <w:t>法定代表人：雷坚</w:t>
        <w:tab/>
        <w:t>主管会计工作负责人：张锦鸿</w:t>
        <w:tab/>
        <w:t>会计机构负责人：唐绯</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编制单位：云南南天电子信息产业股份有限公司</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单位：元</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r>
        <w:rPr/>
        <w:pict>
          <v:shape style="position:absolute;margin-left:199.080002pt;margin-top:320.160004pt;width:170.8pt;height:19.8pt;mso-position-horizontal-relative:page;mso-position-vertical-relative:page;z-index:-907912"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199.080002pt;margin-top:456.360016pt;width:170.8pt;height:19.8pt;mso-position-horizontal-relative:page;mso-position-vertical-relative:page;z-index:-907888"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05.080002pt;margin-top:320.160004pt;width:164.8pt;height:19.8pt;mso-position-horizontal-relative:page;mso-position-vertical-relative:page;z-index:-907864" coordorigin="4102,6403" coordsize="3296,396">
            <v:shape style="position:absolute;left:4102;top:6403;width:3296;height:396" coordorigin="4102,6403" coordsize="3296,396" path="m4102,6403l4102,6799,7397,6799,7397,6403,4102,6403xe" filled="true" fillcolor="#ffffff" stroked="false">
              <v:path arrowok="t"/>
              <v:fill type="solid"/>
            </v:shape>
            <w10:wrap type="none"/>
          </v:group>
        </w:pict>
      </w:r>
      <w:r>
        <w:rPr/>
        <w:pict>
          <v:group style="position:absolute;margin-left:205.080002pt;margin-top:456.360016pt;width:164.8pt;height:19.8pt;mso-position-horizontal-relative:page;mso-position-vertical-relative:page;z-index:-907840" coordorigin="4102,9127" coordsize="3296,396">
            <v:shape style="position:absolute;left:4102;top:9127;width:3296;height:396" coordorigin="4102,9127" coordsize="3296,396" path="m4102,9127l4102,9523,7397,9523,7397,9127,4102,9127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5、合并现金流量表" w:id="93"/>
            <w:bookmarkEnd w:id="93"/>
            <w:r>
              <w:rPr/>
            </w:r>
            <w:bookmarkStart w:name="单位：元" w:id="94"/>
            <w:bookmarkEnd w:id="94"/>
            <w:r>
              <w:rPr/>
            </w: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1,137,820,486.61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1,044,686,884.38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1,006,687,521.14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905,539,496.93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6,863,585.60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6,604,590.71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39,749,698.30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45,833,998.33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64,867,526.70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69,893,682.89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24,112,440.88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10,659,604.73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15,749,170.40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-943,354.06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45,102,970.24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48,482,192.84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16,345,776.43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22,742,509.06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24,893,513.83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55,581,057.69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14,429,997.97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18,112,616.27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284,170.58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135,705.06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244,975.41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32,406.01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39,039,341.22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73,557,968.90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-1,607,033.05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3,760,853.26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40,646,374.27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69,797,115.64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0.3014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0.1753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0.3002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-229,895.62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-1,099,132.11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40,416,478.65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68,697,983.53</w:t>
            </w:r>
          </w:p>
        </w:tc>
      </w:tr>
    </w:tbl>
    <w:p>
      <w:pPr>
        <w:spacing w:line="240" w:lineRule="auto" w:before="5"/>
        <w:rPr>
          <w:rFonts w:ascii="Microsoft JhengHei" w:hAnsi="Microsoft JhengHei" w:cs="Microsoft JhengHei" w:eastAsia="Microsoft JhengHei" w:hint="default"/>
          <w:b/>
          <w:bCs/>
          <w:sz w:val="15"/>
          <w:szCs w:val="15"/>
        </w:rPr>
      </w:pPr>
    </w:p>
    <w:p>
      <w:pPr>
        <w:pStyle w:val="BodyText"/>
        <w:tabs>
          <w:tab w:pos="3532" w:val="left" w:leader="none"/>
          <w:tab w:pos="7852" w:val="left" w:leader="none"/>
        </w:tabs>
        <w:spacing w:line="240" w:lineRule="auto" w:before="44"/>
        <w:ind w:right="99"/>
        <w:jc w:val="left"/>
      </w:pPr>
      <w:r>
        <w:rPr/>
        <w:t>法定代表人：雷坚</w:t>
        <w:tab/>
        <w:t>主管会计工作负责人：张锦鸿</w:t>
        <w:tab/>
        <w:t>会计机构负责人：唐绯</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编制单位：云南南天电子信息产业股份有限公司</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footerReference w:type="default" r:id="rId22"/>
          <w:pgSz w:w="11910" w:h="16840"/>
          <w:pgMar w:footer="979" w:header="745" w:top="1060" w:bottom="1160" w:left="1020" w:right="102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2,106,428,793.10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2,553,139,920.11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4,682,106.39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24,206,316.05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27,685,970.97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53,199,161.69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2,138,796,870.46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2,630,545,397.85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1,511,963,395.91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1,872,048,074.27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379,350,254.31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331,371,436.08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90,376,887.27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98,779,721.16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178,077,276.55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194,151,677.80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2,159,767,814.04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2,496,350,909.31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-20,970,943.58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134,194,488.54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50,099.60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261,610.00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8,832,029.21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26,550,574.46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224,128.91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63,302.24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9,106,257.72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27,775,486.70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75,323,698.01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100,735,465.48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358,800.00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224,947,319.14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96,323,698.01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326,041,584.62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-87,217,440.29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-298,266,097.92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347,243,462.36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347,243,462.36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911,700,000.00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287,328,566.26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660,022,866.14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42,650,619.94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34,540,680.81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189,130.98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226,147.37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1,212,704.29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242,552.00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331,191,890.49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694,806,098.95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16,051,571.87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216,893,901.05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-78,565.45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-346,666.70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-92,215,377.45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52,475,624.97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567,083,656.89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514,608,031.92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474,868,279.44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567,083,656.89</w:t>
            </w:r>
          </w:p>
        </w:tc>
      </w:tr>
    </w:tbl>
    <w:p>
      <w:pPr>
        <w:spacing w:line="240" w:lineRule="auto" w:before="2"/>
        <w:rPr>
          <w:rFonts w:ascii="Times New Roman" w:hAnsi="Times New Roman" w:cs="Times New Roman" w:eastAsia="Times New Roman" w:hint="default"/>
          <w:sz w:val="23"/>
          <w:szCs w:val="23"/>
        </w:rPr>
      </w:pPr>
    </w:p>
    <w:p>
      <w:pPr>
        <w:pStyle w:val="BodyText"/>
        <w:tabs>
          <w:tab w:pos="3532" w:val="left" w:leader="none"/>
          <w:tab w:pos="7852" w:val="left" w:leader="none"/>
        </w:tabs>
        <w:spacing w:line="240" w:lineRule="auto" w:before="44"/>
        <w:ind w:right="99"/>
        <w:jc w:val="left"/>
      </w:pPr>
      <w:r>
        <w:rPr/>
        <w:t>法定代表人：雷坚</w:t>
        <w:tab/>
        <w:t>主管会计工作负责人：张锦鸿</w:t>
        <w:tab/>
        <w:t>会计机构负责人：唐绯</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6、母公司现金流量表" w:id="95"/>
      <w:bookmarkEnd w:id="95"/>
      <w:r>
        <w:rPr>
          <w:b w:val="0"/>
          <w:bCs w:val="0"/>
        </w:rPr>
      </w:r>
      <w:bookmarkStart w:name="单位：元" w:id="96"/>
      <w:bookmarkEnd w:id="9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编制单位：云南南天电子信息产业股份有限公司</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1,120,604,119.24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989,696,453.44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4,315,792.47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21,081,190.67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26,967,790.44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13,648,976.26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1,151,887,702.15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1,024,426,620.37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1,040,390,158.96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842,865,478.01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43,065,288.73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47,849,214.64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35,015,428.53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30,916,633.31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39,228,157.69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14,697,021.94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1,157,699,033.91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936,328,347.90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-5,811,331.76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88,098,272.47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31,303,857.78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26,309,955.47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4,729.91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31,852.99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31,308,587.69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26,341,808.46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60,961,896.69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37,599,953.02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81,961,896.69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37,599,953.02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-50,653,309.00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-11,258,144.56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bookmarkStart w:name="7、合并所有者权益变动表" w:id="97"/>
            <w:bookmarkEnd w:id="97"/>
            <w:r>
              <w:rPr/>
            </w:r>
            <w:bookmarkStart w:name="单位：元" w:id="98"/>
            <w:bookmarkEnd w:id="98"/>
            <w:r>
              <w:rPr/>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337,243,462.36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437,200,000.00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337,243,462.36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280,328,566.26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443,576,565.58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41,507,046.71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22,915,009.35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1,212,704.29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323,048,317.26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466,491,574.93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14,195,145.10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-29,291,574.93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-78,211.25</w:t>
            </w:r>
            <w:r>
              <w:rPr>
                <w:rFonts w:ascii="Times New Roman"/>
                <w:spacing w:val="-1"/>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-333,225.93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-42,347,706.91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47,215,327.05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278,079,734.22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230,864,407.17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235,732,027.31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278,079,734.22</w:t>
            </w:r>
          </w:p>
        </w:tc>
      </w:tr>
    </w:tbl>
    <w:p>
      <w:pPr>
        <w:spacing w:line="240" w:lineRule="auto" w:before="5"/>
        <w:rPr>
          <w:rFonts w:ascii="Microsoft JhengHei" w:hAnsi="Microsoft JhengHei" w:cs="Microsoft JhengHei" w:eastAsia="Microsoft JhengHei" w:hint="default"/>
          <w:b/>
          <w:bCs/>
          <w:sz w:val="15"/>
          <w:szCs w:val="15"/>
        </w:rPr>
      </w:pPr>
    </w:p>
    <w:p>
      <w:pPr>
        <w:pStyle w:val="BodyText"/>
        <w:tabs>
          <w:tab w:pos="3532" w:val="left" w:leader="none"/>
          <w:tab w:pos="7852" w:val="left" w:leader="none"/>
        </w:tabs>
        <w:spacing w:line="240" w:lineRule="auto" w:before="44"/>
        <w:ind w:right="99"/>
        <w:jc w:val="left"/>
      </w:pPr>
      <w:r>
        <w:rPr/>
        <w:t>法定代表人：雷坚</w:t>
        <w:tab/>
        <w:t>主管会计工作负责人：张锦鸿</w:t>
        <w:tab/>
        <w:t>会计机构负责人：唐绯</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60" w:lineRule="auto"/>
        <w:ind w:right="5954"/>
        <w:jc w:val="left"/>
      </w:pPr>
      <w:r>
        <w:rPr/>
        <w:t>编制单位：云南南天电子信息产业股份有限公司 本期金额</w:t>
      </w:r>
    </w:p>
    <w:p>
      <w:pPr>
        <w:spacing w:line="240" w:lineRule="auto" w:before="0"/>
        <w:rPr>
          <w:rFonts w:ascii="宋体" w:hAnsi="宋体" w:cs="宋体" w:eastAsia="宋体" w:hint="default"/>
          <w:sz w:val="15"/>
          <w:szCs w:val="15"/>
        </w:rPr>
      </w:pPr>
    </w:p>
    <w:p>
      <w:pPr>
        <w:pStyle w:val="Heading4"/>
        <w:spacing w:line="240" w:lineRule="auto"/>
        <w:ind w:right="99"/>
        <w:jc w:val="left"/>
        <w:rPr>
          <w:b w:val="0"/>
          <w:bCs w:val="0"/>
        </w:rPr>
      </w:pPr>
      <w:r>
        <w:rPr/>
        <w:t>单位：元</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1" w:hRule="exact"/>
        </w:trPr>
        <w:tc>
          <w:tcPr>
            <w:tcW w:w="2366"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316" w:lineRule="auto"/>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7" w:hRule="exact"/>
        </w:trPr>
        <w:tc>
          <w:tcPr>
            <w:tcW w:w="236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210,550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,951.00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718,562,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536.52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60,525,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314.96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307,915,</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904.77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11,215,51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1,308,770,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226.48</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210,550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,951.00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718,562,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536.52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60,525,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314.96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307,915,</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904.77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11,215,51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1,308,770,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226.48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21,055,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095.00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-15,686,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279.00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4,258,3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56.34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-14,714,</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175.44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-1,391,73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7.89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-6,478,740.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6,388,25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6.96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6,092,061.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-229,89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5.62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-229,89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5.62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6,388,25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6.96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5,862,165.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5,598,71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1.62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5,598,711.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-4,353,2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99.50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-4,353,299.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9,952,01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1.12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9,952,011.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4,258,3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56.34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-21,102,</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432.40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-1,095,54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-17,939,61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8.29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4,258,3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56.34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-4,258,3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56.34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-16,844,</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076.06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-1,095,54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-17,939,61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8.29</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21,055,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095.00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-21,055,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095.00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21,055,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095.00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-21,055,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095.00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231,606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,046.00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702,876,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257.52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64,783,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671.30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293,201,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729.33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9,823,781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1,302,291,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485.49</w:t>
            </w:r>
          </w:p>
        </w:tc>
      </w:tr>
    </w:tbl>
    <w:p>
      <w:pPr>
        <w:pStyle w:val="BodyText"/>
        <w:spacing w:line="240" w:lineRule="auto" w:before="51"/>
        <w:ind w:right="99"/>
        <w:jc w:val="left"/>
      </w:pPr>
      <w:r>
        <w:rPr/>
        <w:t>上年金额</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单位：元" w:id="99"/>
      <w:bookmarkEnd w:id="99"/>
      <w:r>
        <w:rPr>
          <w:b w:val="0"/>
          <w:bCs w:val="0"/>
        </w:rPr>
      </w:r>
      <w:r>
        <w:rPr/>
        <w:t>单位：元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1" w:hRule="exact"/>
        </w:trPr>
        <w:tc>
          <w:tcPr>
            <w:tcW w:w="2366"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316" w:lineRule="auto"/>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7" w:hRule="exact"/>
        </w:trPr>
        <w:tc>
          <w:tcPr>
            <w:tcW w:w="236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210,550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,951.00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712,837,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912.83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612,928.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53,545,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603.40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231,083,</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721.84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96,865,27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1,304,270,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539.04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210,550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,951.00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712,837,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912.83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612,928.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53,545,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603.40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231,083,</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721.84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96,865,27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1,304,270,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539.04</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5,724,62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3.69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6,979,71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76,832,1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82.93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-85,649,7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58.74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4,499,687.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94,308,7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95.43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18,203,08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8.88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112,511,88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4.31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-3,391,8</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20.61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-3,877,453.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-3,391,8</w:t>
            </w:r>
          </w:p>
          <w:p>
            <w:pPr>
              <w:pStyle w:val="TableParagraph"/>
              <w:spacing w:line="240" w:lineRule="auto" w:before="107"/>
              <w:ind w:left="229" w:right="0"/>
              <w:jc w:val="center"/>
              <w:rPr>
                <w:rFonts w:ascii="Times New Roman" w:hAnsi="Times New Roman" w:cs="Times New Roman" w:eastAsia="Times New Roman" w:hint="default"/>
                <w:sz w:val="18"/>
                <w:szCs w:val="18"/>
              </w:rPr>
            </w:pPr>
            <w:r>
              <w:rPr>
                <w:rFonts w:ascii="Times New Roman"/>
                <w:sz w:val="18"/>
              </w:rPr>
              <w:t>20.61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94,308,7</w:t>
            </w:r>
          </w:p>
          <w:p>
            <w:pPr>
              <w:pStyle w:val="TableParagraph"/>
              <w:spacing w:line="240" w:lineRule="auto" w:before="107"/>
              <w:ind w:left="247" w:right="0"/>
              <w:jc w:val="left"/>
              <w:rPr>
                <w:rFonts w:ascii="Times New Roman" w:hAnsi="Times New Roman" w:cs="Times New Roman" w:eastAsia="Times New Roman" w:hint="default"/>
                <w:sz w:val="18"/>
                <w:szCs w:val="18"/>
              </w:rPr>
            </w:pPr>
            <w:r>
              <w:rPr>
                <w:rFonts w:ascii="Times New Roman"/>
                <w:sz w:val="18"/>
              </w:rPr>
              <w:t>95.43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17,717,45</w:t>
            </w:r>
          </w:p>
          <w:p>
            <w:pPr>
              <w:pStyle w:val="TableParagraph"/>
              <w:spacing w:line="240" w:lineRule="auto" w:before="107"/>
              <w:ind w:left="470" w:right="0"/>
              <w:jc w:val="left"/>
              <w:rPr>
                <w:rFonts w:ascii="Times New Roman" w:hAnsi="Times New Roman" w:cs="Times New Roman" w:eastAsia="Times New Roman" w:hint="default"/>
                <w:sz w:val="18"/>
                <w:szCs w:val="18"/>
              </w:rPr>
            </w:pPr>
            <w:r>
              <w:rPr>
                <w:rFonts w:ascii="Times New Roman"/>
                <w:sz w:val="18"/>
              </w:rPr>
              <w:t>5.57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108,634,43</w:t>
            </w:r>
          </w:p>
          <w:p>
            <w:pPr>
              <w:pStyle w:val="TableParagraph"/>
              <w:spacing w:line="240" w:lineRule="auto" w:before="107"/>
              <w:ind w:left="547" w:right="0"/>
              <w:jc w:val="left"/>
              <w:rPr>
                <w:rFonts w:ascii="Times New Roman" w:hAnsi="Times New Roman" w:cs="Times New Roman" w:eastAsia="Times New Roman" w:hint="default"/>
                <w:sz w:val="18"/>
                <w:szCs w:val="18"/>
              </w:rPr>
            </w:pPr>
            <w:r>
              <w:rPr>
                <w:rFonts w:ascii="Times New Roman"/>
                <w:sz w:val="18"/>
              </w:rPr>
              <w:t>0.39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9,116,44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4.30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-103,072,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560.41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-93,343,18</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8.11</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182,500,0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182,500,00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3,385,56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7.50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3,385,567.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5,730,87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-285,572,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560.41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-279,228,7</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55.61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6,979,71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-17,476,</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612.50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-10,791,55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4.84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6,979,71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-6,979,7</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11.56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-10,496,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6" w:right="0"/>
              <w:jc w:val="left"/>
              <w:rPr>
                <w:rFonts w:ascii="Times New Roman" w:hAnsi="Times New Roman" w:cs="Times New Roman" w:eastAsia="Times New Roman" w:hint="default"/>
                <w:sz w:val="18"/>
                <w:szCs w:val="18"/>
              </w:rPr>
            </w:pPr>
            <w:r>
              <w:rPr>
                <w:rFonts w:ascii="Times New Roman"/>
                <w:sz w:val="18"/>
              </w:rPr>
              <w:t>-294,653.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left"/>
              <w:rPr>
                <w:rFonts w:ascii="Times New Roman" w:hAnsi="Times New Roman" w:cs="Times New Roman" w:eastAsia="Times New Roman" w:hint="default"/>
                <w:sz w:val="18"/>
                <w:szCs w:val="18"/>
              </w:rPr>
            </w:pPr>
            <w:r>
              <w:rPr>
                <w:rFonts w:ascii="Times New Roman"/>
                <w:sz w:val="18"/>
              </w:rPr>
              <w:t>-10,791,55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36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18"/>
                <w:szCs w:val="18"/>
              </w:rPr>
            </w:pPr>
            <w:bookmarkStart w:name="8、母公司所有者权益变动表" w:id="100"/>
            <w:bookmarkEnd w:id="100"/>
            <w:r>
              <w:rPr/>
            </w:r>
            <w:bookmarkStart w:name="单位：元" w:id="101"/>
            <w:bookmarkEnd w:id="101"/>
            <w:r>
              <w:rPr/>
            </w:r>
            <w:r>
              <w:rPr>
                <w:rFonts w:ascii="宋体" w:hAnsi="宋体" w:cs="宋体" w:eastAsia="宋体" w:hint="default"/>
                <w:sz w:val="18"/>
                <w:szCs w:val="18"/>
              </w:rPr>
              <w:t>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8" w:right="0"/>
              <w:jc w:val="left"/>
              <w:rPr>
                <w:rFonts w:ascii="Times New Roman" w:hAnsi="Times New Roman" w:cs="Times New Roman" w:eastAsia="Times New Roman" w:hint="default"/>
                <w:sz w:val="18"/>
                <w:szCs w:val="18"/>
              </w:rPr>
            </w:pPr>
            <w:r>
              <w:rPr>
                <w:rFonts w:ascii="Times New Roman"/>
                <w:sz w:val="18"/>
              </w:rPr>
              <w:t>900.94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47" w:right="0"/>
              <w:jc w:val="left"/>
              <w:rPr>
                <w:rFonts w:ascii="Times New Roman" w:hAnsi="Times New Roman" w:cs="Times New Roman" w:eastAsia="Times New Roman" w:hint="default"/>
                <w:sz w:val="18"/>
                <w:szCs w:val="18"/>
              </w:rPr>
            </w:pPr>
            <w:r>
              <w:rPr>
                <w:rFonts w:ascii="Times New Roman"/>
                <w:sz w:val="18"/>
              </w:rPr>
              <w:t>4.84</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210,550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,951.00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718,562,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536.52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60,525,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314.96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307,915,</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904.77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11,215,51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1,308,770,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226.48</w:t>
            </w:r>
          </w:p>
        </w:tc>
      </w:tr>
    </w:tbl>
    <w:p>
      <w:pPr>
        <w:spacing w:line="240" w:lineRule="auto" w:before="5"/>
        <w:rPr>
          <w:rFonts w:ascii="Microsoft JhengHei" w:hAnsi="Microsoft JhengHei" w:cs="Microsoft JhengHei" w:eastAsia="Microsoft JhengHei" w:hint="default"/>
          <w:b/>
          <w:bCs/>
          <w:sz w:val="15"/>
          <w:szCs w:val="15"/>
        </w:rPr>
      </w:pPr>
    </w:p>
    <w:p>
      <w:pPr>
        <w:pStyle w:val="BodyText"/>
        <w:tabs>
          <w:tab w:pos="3532" w:val="left" w:leader="none"/>
          <w:tab w:pos="7852" w:val="left" w:leader="none"/>
        </w:tabs>
        <w:spacing w:line="240" w:lineRule="auto" w:before="44"/>
        <w:ind w:right="99"/>
        <w:jc w:val="left"/>
      </w:pPr>
      <w:r>
        <w:rPr/>
        <w:t>法定代表人：雷坚</w:t>
        <w:tab/>
        <w:t>主管会计工作负责人：张锦鸿</w:t>
        <w:tab/>
        <w:t>会计机构负责人：唐绯</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57" w:lineRule="auto"/>
        <w:ind w:right="5954"/>
        <w:jc w:val="left"/>
      </w:pPr>
      <w:r>
        <w:rPr/>
        <w:t>编制单位：云南南天电子信息产业股份有限公司 本期金额</w:t>
      </w:r>
    </w:p>
    <w:p>
      <w:pPr>
        <w:spacing w:line="240" w:lineRule="auto" w:before="2"/>
        <w:rPr>
          <w:rFonts w:ascii="宋体" w:hAnsi="宋体" w:cs="宋体" w:eastAsia="宋体" w:hint="default"/>
          <w:sz w:val="15"/>
          <w:szCs w:val="15"/>
        </w:rPr>
      </w:pPr>
    </w:p>
    <w:p>
      <w:pPr>
        <w:pStyle w:val="Heading4"/>
        <w:spacing w:line="240" w:lineRule="auto"/>
        <w:ind w:right="99"/>
        <w:jc w:val="left"/>
        <w:rPr>
          <w:b w:val="0"/>
          <w:bCs w:val="0"/>
        </w:rPr>
      </w:pPr>
      <w:r>
        <w:rPr/>
        <w:t>单位：元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477"/>
        <w:gridCol w:w="886"/>
        <w:gridCol w:w="883"/>
        <w:gridCol w:w="886"/>
        <w:gridCol w:w="886"/>
        <w:gridCol w:w="886"/>
        <w:gridCol w:w="888"/>
        <w:gridCol w:w="886"/>
        <w:gridCol w:w="890"/>
      </w:tblGrid>
      <w:tr>
        <w:trPr>
          <w:trHeight w:val="401" w:hRule="exact"/>
        </w:trPr>
        <w:tc>
          <w:tcPr>
            <w:tcW w:w="24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5" w:hRule="exact"/>
        </w:trPr>
        <w:tc>
          <w:tcPr>
            <w:tcW w:w="2477"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8" w:right="77"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210,550,95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772,301,28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65,505,090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241,340,69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1,289,698,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030.31</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210,550,95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772,301,28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65,505,090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241,340,69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1,289,698,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030.31</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21,055,095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-15,686,27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4,064,637.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19,737,660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29,171,114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40,646,374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40,646,374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r>
        <w:rPr/>
        <w:pict>
          <v:shape style="position:absolute;margin-left:174.600006pt;margin-top:472.080017pt;width:49.95pt;height:35.4pt;mso-position-horizontal-relative:page;mso-position-vertical-relative:page;z-index:-907744" type="#_x0000_t202" filled="false" stroked="false">
            <v:textbox inset="0,0,0,0">
              <w:txbxContent>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w:t>
                  </w:r>
                </w:p>
              </w:txbxContent>
            </v:textbox>
            <w10:wrap type="none"/>
          </v:shape>
        </w:pict>
      </w:r>
      <w:r>
        <w:rPr/>
        <w:pict>
          <v:shape style="position:absolute;margin-left:174.600006pt;margin-top:507.720001pt;width:49.95pt;height:19.8pt;mso-position-horizontal-relative:page;mso-position-vertical-relative:page;z-index:-907720"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80.599991pt;margin-top:472.080017pt;width:43.95pt;height:55.45pt;mso-position-horizontal-relative:page;mso-position-vertical-relative:page;z-index:-907696" coordorigin="3612,9442" coordsize="879,1109">
            <v:group style="position:absolute;left:3612;top:9442;width:879;height:708" coordorigin="3612,9442" coordsize="879,708">
              <v:shape style="position:absolute;left:3612;top:9442;width:879;height:708" coordorigin="3612,9442" coordsize="879,708" path="m3612,9442l3612,10150,4490,10150,4490,9442,3612,9442xe" filled="true" fillcolor="#ffffff" stroked="false">
                <v:path arrowok="t"/>
                <v:fill type="solid"/>
              </v:shape>
            </v:group>
            <v:group style="position:absolute;left:3612;top:10154;width:879;height:396" coordorigin="3612,10154" coordsize="879,396">
              <v:shape style="position:absolute;left:3612;top:10154;width:879;height:396" coordorigin="3612,10154" coordsize="879,396" path="m3612,10154l3612,10550,4490,10550,4490,10154,3612,10154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2477"/>
        <w:gridCol w:w="886"/>
        <w:gridCol w:w="883"/>
        <w:gridCol w:w="886"/>
        <w:gridCol w:w="886"/>
        <w:gridCol w:w="886"/>
        <w:gridCol w:w="888"/>
        <w:gridCol w:w="886"/>
        <w:gridCol w:w="890"/>
      </w:tblGrid>
      <w:tr>
        <w:trPr>
          <w:trHeight w:val="36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bookmarkStart w:name="单位：元" w:id="102"/>
            <w:bookmarkEnd w:id="102"/>
            <w:r>
              <w:rPr/>
            </w:r>
            <w:r>
              <w:rPr>
                <w:rFonts w:ascii="Times New Roman"/>
                <w:spacing w:val="-1"/>
                <w:sz w:val="18"/>
              </w:rPr>
              <w:t>.27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.27</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-229,895.6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-229,895.6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-229,895.6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40,646,374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40,416,478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5,598,711.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5,598,711.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-4,353,299.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-4,353,299.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9,952,011.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9,952,011.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4,064,637.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-20,908,71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-16,844,07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6.06</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4,064,637.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-16,844,07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6.06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-16,844,07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6.06</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21,055,095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21,055,095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231,606,04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756,615,01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69,569,728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261,078,36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1,318,869,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144.52</w:t>
            </w:r>
          </w:p>
        </w:tc>
      </w:tr>
    </w:tbl>
    <w:p>
      <w:pPr>
        <w:pStyle w:val="BodyText"/>
        <w:spacing w:line="240" w:lineRule="auto" w:before="51"/>
        <w:ind w:right="99"/>
        <w:jc w:val="left"/>
      </w:pPr>
      <w:r>
        <w:rPr/>
        <w:t>上年金额</w:t>
      </w:r>
    </w:p>
    <w:p>
      <w:pPr>
        <w:spacing w:line="240" w:lineRule="auto" w:before="9"/>
        <w:rPr>
          <w:rFonts w:ascii="宋体" w:hAnsi="宋体" w:cs="宋体" w:eastAsia="宋体" w:hint="default"/>
          <w:sz w:val="21"/>
          <w:szCs w:val="21"/>
        </w:rPr>
      </w:pPr>
    </w:p>
    <w:p>
      <w:pPr>
        <w:pStyle w:val="Heading4"/>
        <w:spacing w:line="240" w:lineRule="auto"/>
        <w:ind w:right="99"/>
        <w:jc w:val="left"/>
        <w:rPr>
          <w:b w:val="0"/>
          <w:bCs w:val="0"/>
        </w:rPr>
      </w:pPr>
      <w:r>
        <w:rPr/>
        <w:t>单位：元</w:t>
      </w:r>
      <w:r>
        <w:rPr>
          <w:b w:val="0"/>
          <w:bCs w:val="0"/>
        </w:rPr>
      </w:r>
    </w:p>
    <w:p>
      <w:pPr>
        <w:spacing w:line="240" w:lineRule="auto" w:before="10"/>
        <w:rPr>
          <w:rFonts w:ascii="Microsoft JhengHei" w:hAnsi="Microsoft JhengHei" w:cs="Microsoft JhengHei" w:eastAsia="Microsoft JhengHei" w:hint="default"/>
          <w:b/>
          <w:bCs/>
          <w:sz w:val="18"/>
          <w:szCs w:val="18"/>
        </w:rPr>
      </w:pPr>
    </w:p>
    <w:p>
      <w:pPr>
        <w:spacing w:line="417" w:lineRule="exact"/>
        <w:ind w:left="10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79.4pt;height:20.9pt;mso-position-horizontal-relative:char;mso-position-vertical-relative:line" coordorigin="0,0" coordsize="9588,418">
            <v:group style="position:absolute;left:12;top:14;width:2492;height:396" coordorigin="12,14" coordsize="2492,396">
              <v:shape style="position:absolute;left:12;top:14;width:2492;height:396" coordorigin="12,14" coordsize="2492,396" path="m12,14l12,410,2503,410,2503,14,12,14xe" filled="true" fillcolor="#d3d3d3" stroked="false">
                <v:path arrowok="t"/>
                <v:fill type="solid"/>
              </v:shape>
            </v:group>
            <v:group style="position:absolute;left:2508;top:14;width:7068;height:396" coordorigin="2508,14" coordsize="7068,396">
              <v:shape style="position:absolute;left:2508;top:14;width:7068;height:396" coordorigin="2508,14" coordsize="7068,396" path="m2508,14l2508,410,9576,410,9576,14,2508,14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3;width:9579;height:2" coordorigin="5,413" coordsize="9579,2">
              <v:shape style="position:absolute;left:5;top:413;width:9579;height:2" coordorigin="5,413" coordsize="9579,0" path="m5,413l9583,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2506;top:5;width:2;height:404" coordorigin="2506,5" coordsize="2,404">
              <v:shape style="position:absolute;left:2506;top:5;width:2;height:404" coordorigin="2506,5" coordsize="0,404" path="m2506,5l2506,408e" filled="false" stroked="true" strokeweight=".48pt" strokecolor="#000000">
                <v:path arrowok="t"/>
              </v:shape>
            </v:group>
            <v:group style="position:absolute;left:9578;top:5;width:2;height:404" coordorigin="9578,5" coordsize="2,404">
              <v:shape style="position:absolute;left:9578;top:5;width:2;height:404" coordorigin="9578,5" coordsize="0,404" path="m9578,5l9578,408e" filled="false" stroked="true" strokeweight=".48pt" strokecolor="#000000">
                <v:path arrowok="t"/>
              </v:shape>
              <v:shape style="position:absolute;left:10;top:10;width:2496;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681;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txbxContent>
                </v:textbox>
                <w10:wrap type="none"/>
              </v:shape>
            </v:group>
          </v:group>
        </w:pict>
      </w:r>
      <w:r>
        <w:rPr>
          <w:rFonts w:ascii="Microsoft JhengHei" w:hAnsi="Microsoft JhengHei" w:cs="Microsoft JhengHei" w:eastAsia="Microsoft JhengHei" w:hint="default"/>
          <w:position w:val="-7"/>
          <w:sz w:val="20"/>
          <w:szCs w:val="20"/>
        </w:rPr>
      </w:r>
    </w:p>
    <w:p>
      <w:pPr>
        <w:spacing w:after="0" w:line="417" w:lineRule="exact"/>
        <w:rPr>
          <w:rFonts w:ascii="Microsoft JhengHei" w:hAnsi="Microsoft JhengHei" w:cs="Microsoft JhengHei" w:eastAsia="Microsoft JhengHei" w:hint="default"/>
          <w:sz w:val="20"/>
          <w:szCs w:val="20"/>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75.559998pt;margin-top:677.160034pt;width:49.95pt;height:19.8pt;mso-position-horizontal-relative:page;mso-position-vertical-relative:page;z-index:-907672"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175.559998pt;margin-top:697.320007pt;width:49.95pt;height:19.8pt;mso-position-horizontal-relative:page;mso-position-vertical-relative:page;z-index:-907648"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81.559998pt;margin-top:677.160034pt;width:43.95pt;height:40pt;mso-position-horizontal-relative:page;mso-position-vertical-relative:page;z-index:-907624" coordorigin="3631,13543" coordsize="879,800">
            <v:group style="position:absolute;left:3631;top:13543;width:879;height:396" coordorigin="3631,13543" coordsize="879,396">
              <v:shape style="position:absolute;left:3631;top:13543;width:879;height:396" coordorigin="3631,13543" coordsize="879,396" path="m3631,13543l3631,13939,4510,13939,4510,13543,3631,13543xe" filled="true" fillcolor="#ffffff" stroked="false">
                <v:path arrowok="t"/>
                <v:fill type="solid"/>
              </v:shape>
            </v:group>
            <v:group style="position:absolute;left:3631;top:13946;width:879;height:396" coordorigin="3631,13946" coordsize="879,396">
              <v:shape style="position:absolute;left:3631;top:13946;width:879;height:396" coordorigin="3631,13946" coordsize="879,396" path="m3631,13946l3631,14342,4510,14342,4510,13946,3631,1394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496"/>
        <w:gridCol w:w="886"/>
        <w:gridCol w:w="883"/>
        <w:gridCol w:w="886"/>
        <w:gridCol w:w="883"/>
        <w:gridCol w:w="886"/>
        <w:gridCol w:w="883"/>
        <w:gridCol w:w="883"/>
        <w:gridCol w:w="883"/>
      </w:tblGrid>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4" w:right="-49"/>
              <w:jc w:val="left"/>
              <w:rPr>
                <w:rFonts w:ascii="宋体" w:hAnsi="宋体" w:cs="宋体" w:eastAsia="宋体" w:hint="default"/>
                <w:sz w:val="18"/>
                <w:szCs w:val="18"/>
              </w:rPr>
            </w:pPr>
            <w:r>
              <w:rPr>
                <w:rFonts w:ascii="宋体" w:hAnsi="宋体" w:cs="宋体" w:eastAsia="宋体" w:hint="default"/>
                <w:sz w:val="18"/>
                <w:szCs w:val="18"/>
              </w:rPr>
              <w:t>（或股本）</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348"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68" w:right="7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210,550,95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716,531,36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58,525,379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189,050,84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1,174,658,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536.24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210,550,95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716,531,36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3.42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58,525,379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189,050,84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1,174,658,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536.24</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55,769,925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6,979,711.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52,289,856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115,039,49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4.07</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69,797,115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69,797,115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.64</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-1,099,132.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11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-1,099,132.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11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69,797,115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68,697,983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.53</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56,869,057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56,869,057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3,385,567.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50</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53,483,490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53,483,490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.38</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6,979,711.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-17,507,25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8.90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-10,527,54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7.34</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6,979,711.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-6,979,711.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-10,527,54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7.34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-10,527,54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7.34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496"/>
        <w:gridCol w:w="883"/>
        <w:gridCol w:w="886"/>
        <w:gridCol w:w="886"/>
        <w:gridCol w:w="883"/>
        <w:gridCol w:w="886"/>
        <w:gridCol w:w="883"/>
        <w:gridCol w:w="883"/>
        <w:gridCol w:w="883"/>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三、公司基本情况" w:id="103"/>
            <w:bookmarkEnd w:id="103"/>
            <w:r>
              <w:rPr/>
            </w: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210,550,95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772,301,28</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9.19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65,505,090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.61</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241,340,69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1,289,698,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030.31</w:t>
            </w:r>
          </w:p>
        </w:tc>
      </w:tr>
    </w:tbl>
    <w:p>
      <w:pPr>
        <w:spacing w:line="240" w:lineRule="auto" w:before="2"/>
        <w:rPr>
          <w:rFonts w:ascii="Times New Roman" w:hAnsi="Times New Roman" w:cs="Times New Roman" w:eastAsia="Times New Roman" w:hint="default"/>
          <w:sz w:val="23"/>
          <w:szCs w:val="23"/>
        </w:rPr>
      </w:pPr>
    </w:p>
    <w:p>
      <w:pPr>
        <w:pStyle w:val="BodyText"/>
        <w:tabs>
          <w:tab w:pos="3532" w:val="left" w:leader="none"/>
          <w:tab w:pos="7852" w:val="left" w:leader="none"/>
        </w:tabs>
        <w:spacing w:line="240" w:lineRule="auto" w:before="44"/>
        <w:ind w:right="99"/>
        <w:jc w:val="left"/>
      </w:pPr>
      <w:r>
        <w:rPr/>
        <w:t>法定代表人：雷坚</w:t>
        <w:tab/>
        <w:t>主管会计工作负责人：张锦鸿</w:t>
        <w:tab/>
        <w:t>会计机构负责人：唐绯</w:t>
      </w:r>
    </w:p>
    <w:p>
      <w:pPr>
        <w:spacing w:line="240" w:lineRule="auto" w:before="5"/>
        <w:rPr>
          <w:rFonts w:ascii="宋体" w:hAnsi="宋体" w:cs="宋体" w:eastAsia="宋体" w:hint="default"/>
          <w:sz w:val="19"/>
          <w:szCs w:val="19"/>
        </w:rPr>
      </w:pPr>
    </w:p>
    <w:p>
      <w:pPr>
        <w:pStyle w:val="Heading2"/>
        <w:spacing w:line="240" w:lineRule="auto"/>
        <w:ind w:right="99"/>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7" w:lineRule="auto"/>
        <w:ind w:right="106" w:firstLine="482"/>
        <w:jc w:val="both"/>
      </w:pPr>
      <w:r>
        <w:rPr>
          <w:spacing w:val="-3"/>
          <w:w w:val="99"/>
        </w:rPr>
        <w:t>云南南天电子信息产业股份有限公司（以下简称</w:t>
      </w:r>
      <w:r>
        <w:rPr>
          <w:rFonts w:ascii="Times New Roman" w:hAnsi="Times New Roman" w:cs="Times New Roman" w:eastAsia="Times New Roman" w:hint="default"/>
          <w:spacing w:val="-3"/>
          <w:w w:val="99"/>
        </w:rPr>
        <w:t>“</w:t>
      </w:r>
      <w:r>
        <w:rPr>
          <w:spacing w:val="-3"/>
          <w:w w:val="99"/>
        </w:rPr>
        <w:t>公司</w:t>
      </w:r>
      <w:r>
        <w:rPr>
          <w:rFonts w:ascii="Times New Roman" w:hAnsi="Times New Roman" w:cs="Times New Roman" w:eastAsia="Times New Roman" w:hint="default"/>
          <w:spacing w:val="-3"/>
          <w:w w:val="99"/>
        </w:rPr>
        <w:t>”</w:t>
      </w:r>
      <w:r>
        <w:rPr>
          <w:spacing w:val="-3"/>
          <w:w w:val="99"/>
        </w:rPr>
        <w:t>或</w:t>
      </w:r>
      <w:r>
        <w:rPr>
          <w:rFonts w:ascii="Times New Roman" w:hAnsi="Times New Roman" w:cs="Times New Roman" w:eastAsia="Times New Roman" w:hint="default"/>
          <w:spacing w:val="-3"/>
          <w:w w:val="99"/>
        </w:rPr>
        <w:t>“</w:t>
      </w:r>
      <w:r>
        <w:rPr>
          <w:spacing w:val="-3"/>
          <w:w w:val="99"/>
        </w:rPr>
        <w:t>本公司</w:t>
      </w:r>
      <w:r>
        <w:rPr>
          <w:rFonts w:ascii="Times New Roman" w:hAnsi="Times New Roman" w:cs="Times New Roman" w:eastAsia="Times New Roman" w:hint="default"/>
          <w:spacing w:val="-3"/>
          <w:w w:val="99"/>
        </w:rPr>
        <w:t>”</w:t>
      </w:r>
      <w:r>
        <w:rPr>
          <w:spacing w:val="-3"/>
          <w:w w:val="99"/>
        </w:rPr>
        <w:t>）是经云南省人民政府云政复（</w:t>
      </w:r>
      <w:r>
        <w:rPr>
          <w:rFonts w:ascii="Times New Roman" w:hAnsi="Times New Roman" w:cs="Times New Roman" w:eastAsia="Times New Roman" w:hint="default"/>
          <w:spacing w:val="-3"/>
          <w:w w:val="99"/>
        </w:rPr>
        <w:t>1998</w:t>
      </w:r>
      <w:r>
        <w:rPr>
          <w:spacing w:val="-3"/>
          <w:w w:val="99"/>
        </w:rPr>
        <w:t>）</w:t>
      </w:r>
      <w:r>
        <w:rPr>
          <w:rFonts w:ascii="Times New Roman" w:hAnsi="Times New Roman" w:cs="Times New Roman" w:eastAsia="Times New Roman" w:hint="default"/>
          <w:spacing w:val="-3"/>
          <w:w w:val="99"/>
        </w:rPr>
        <w:t>118</w:t>
      </w:r>
      <w:r>
        <w:rPr>
          <w:spacing w:val="-3"/>
          <w:w w:val="99"/>
        </w:rPr>
        <w:t>号文批准，</w:t>
      </w:r>
      <w:r>
        <w:rPr>
          <w:w w:val="50"/>
        </w:rPr>
        <w:t> </w:t>
      </w:r>
      <w:r>
        <w:rPr>
          <w:w w:val="95"/>
        </w:rPr>
        <w:t>由南天电子信息产业集团公司、珠海南方集团有限公司、云南医药工业股份有限公司（原云南省医药医疗器械工业公司）、</w:t>
      </w:r>
      <w:r>
        <w:rPr>
          <w:spacing w:val="63"/>
          <w:w w:val="95"/>
        </w:rPr>
        <w:t> </w:t>
      </w:r>
      <w:r>
        <w:rPr>
          <w:spacing w:val="63"/>
          <w:w w:val="95"/>
        </w:rPr>
      </w:r>
      <w:r>
        <w:rPr>
          <w:spacing w:val="-2"/>
        </w:rPr>
        <w:t>裴海平、李宏坤、周永泰、丁柏林共同发起设立的股份有限公司，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日在云南省工商局登记注册，企业法人营业</w:t>
      </w:r>
      <w:r>
        <w:rPr>
          <w:spacing w:val="-60"/>
        </w:rPr>
        <w:t> </w:t>
      </w:r>
      <w:r>
        <w:rPr>
          <w:spacing w:val="-60"/>
        </w:rPr>
      </w:r>
      <w:r>
        <w:rPr/>
        <w:t>执照注册号为</w:t>
      </w:r>
      <w:r>
        <w:rPr>
          <w:rFonts w:ascii="Times New Roman" w:hAnsi="Times New Roman" w:cs="Times New Roman" w:eastAsia="Times New Roman" w:hint="default"/>
        </w:rPr>
        <w:t>530000000014595</w:t>
      </w:r>
      <w:r>
        <w:rPr/>
        <w:t>，现法定代表人：雷坚。</w:t>
      </w:r>
    </w:p>
    <w:p>
      <w:pPr>
        <w:pStyle w:val="BodyText"/>
        <w:spacing w:line="300" w:lineRule="auto" w:before="7"/>
        <w:ind w:right="112" w:firstLine="482"/>
        <w:jc w:val="both"/>
      </w:pPr>
      <w:r>
        <w:rPr>
          <w:spacing w:val="-1"/>
        </w:rPr>
        <w:t>经中国证券监督管理委员会批准，本公司于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18</w:t>
      </w:r>
      <w:r>
        <w:rPr>
          <w:spacing w:val="-1"/>
        </w:rPr>
        <w:t>日以网上定价方式向社会公开发行人民币普通股</w:t>
      </w:r>
      <w:r>
        <w:rPr>
          <w:rFonts w:ascii="Times New Roman" w:hAnsi="Times New Roman" w:cs="Times New Roman" w:eastAsia="Times New Roman" w:hint="default"/>
          <w:spacing w:val="-1"/>
        </w:rPr>
        <w:t>4,000</w:t>
      </w:r>
      <w:r>
        <w:rPr>
          <w:spacing w:val="-1"/>
        </w:rPr>
        <w:t>万股</w:t>
      </w:r>
      <w:r>
        <w:rPr>
          <w:rFonts w:ascii="Times New Roman" w:hAnsi="Times New Roman" w:cs="Times New Roman" w:eastAsia="Times New Roman" w:hint="default"/>
          <w:spacing w:val="-1"/>
        </w:rPr>
        <w:t>,</w:t>
      </w:r>
      <w:r>
        <w:rPr>
          <w:spacing w:val="-1"/>
        </w:rPr>
        <w:t>股</w:t>
      </w:r>
      <w:r>
        <w:rPr/>
        <w:t> 本总额增至</w:t>
      </w:r>
      <w:r>
        <w:rPr>
          <w:rFonts w:ascii="Times New Roman" w:hAnsi="Times New Roman" w:cs="Times New Roman" w:eastAsia="Times New Roman" w:hint="default"/>
        </w:rPr>
        <w:t>140,000,551.00</w:t>
      </w:r>
      <w:r>
        <w:rPr/>
        <w:t>元，并于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日在深圳证券交易所上市交易。</w:t>
      </w:r>
    </w:p>
    <w:p>
      <w:pPr>
        <w:pStyle w:val="BodyText"/>
        <w:spacing w:line="300" w:lineRule="auto" w:before="13"/>
        <w:ind w:right="115" w:firstLine="482"/>
        <w:jc w:val="both"/>
      </w:pPr>
      <w:r>
        <w:rPr>
          <w:rFonts w:ascii="Times New Roman" w:hAnsi="Times New Roman" w:cs="Times New Roman" w:eastAsia="Times New Roman" w:hint="default"/>
          <w:spacing w:val="-1"/>
          <w:w w:val="95"/>
        </w:rPr>
        <w:t>2006</w:t>
      </w:r>
      <w:r>
        <w:rPr>
          <w:spacing w:val="-1"/>
          <w:w w:val="95"/>
        </w:rPr>
        <w:t>年</w:t>
      </w:r>
      <w:r>
        <w:rPr>
          <w:rFonts w:ascii="Times New Roman" w:hAnsi="Times New Roman" w:cs="Times New Roman" w:eastAsia="Times New Roman" w:hint="default"/>
          <w:spacing w:val="-1"/>
          <w:w w:val="95"/>
        </w:rPr>
        <w:t>8</w:t>
      </w:r>
      <w:r>
        <w:rPr>
          <w:spacing w:val="-1"/>
          <w:w w:val="95"/>
        </w:rPr>
        <w:t>月</w:t>
      </w:r>
      <w:r>
        <w:rPr>
          <w:rFonts w:ascii="Times New Roman" w:hAnsi="Times New Roman" w:cs="Times New Roman" w:eastAsia="Times New Roman" w:hint="default"/>
          <w:spacing w:val="-1"/>
          <w:w w:val="95"/>
        </w:rPr>
        <w:t>7</w:t>
      </w:r>
      <w:r>
        <w:rPr>
          <w:spacing w:val="-1"/>
          <w:w w:val="95"/>
        </w:rPr>
        <w:t>日，本公司实施股权分置改革，以当时的流通股本</w:t>
      </w:r>
      <w:r>
        <w:rPr>
          <w:rFonts w:ascii="Times New Roman" w:hAnsi="Times New Roman" w:cs="Times New Roman" w:eastAsia="Times New Roman" w:hint="default"/>
          <w:spacing w:val="-1"/>
          <w:w w:val="95"/>
        </w:rPr>
        <w:t>4,000</w:t>
      </w:r>
      <w:r>
        <w:rPr>
          <w:spacing w:val="-1"/>
          <w:w w:val="95"/>
        </w:rPr>
        <w:t>万股为基数，向当时的全体流通股股东转增股本，</w:t>
      </w:r>
      <w:r>
        <w:rPr>
          <w:w w:val="62"/>
        </w:rPr>
        <w:t> </w:t>
      </w:r>
      <w:r>
        <w:rPr/>
        <w:t>流通股股东持有每</w:t>
      </w:r>
      <w:r>
        <w:rPr>
          <w:rFonts w:ascii="Times New Roman" w:hAnsi="Times New Roman" w:cs="Times New Roman" w:eastAsia="Times New Roman" w:hint="default"/>
        </w:rPr>
        <w:t>10</w:t>
      </w:r>
      <w:r>
        <w:rPr/>
        <w:t>股流通股获得转增股份</w:t>
      </w:r>
      <w:r>
        <w:rPr>
          <w:rFonts w:ascii="Times New Roman" w:hAnsi="Times New Roman" w:cs="Times New Roman" w:eastAsia="Times New Roman" w:hint="default"/>
        </w:rPr>
        <w:t>5.1376</w:t>
      </w:r>
      <w:r>
        <w:rPr/>
        <w:t>股，共计转增</w:t>
      </w:r>
      <w:r>
        <w:rPr>
          <w:rFonts w:ascii="Times New Roman" w:hAnsi="Times New Roman" w:cs="Times New Roman" w:eastAsia="Times New Roman" w:hint="default"/>
        </w:rPr>
        <w:t>20,550,399</w:t>
      </w:r>
      <w:r>
        <w:rPr/>
        <w:t>股。</w:t>
      </w:r>
    </w:p>
    <w:p>
      <w:pPr>
        <w:pStyle w:val="BodyText"/>
        <w:spacing w:line="300" w:lineRule="auto" w:before="13"/>
        <w:ind w:right="112" w:firstLine="482"/>
        <w:jc w:val="both"/>
      </w:pPr>
      <w:r>
        <w:rPr/>
        <w:t>经中国证券监督管理委员会证监许可</w:t>
      </w:r>
      <w:r>
        <w:rPr>
          <w:rFonts w:ascii="Times New Roman" w:hAnsi="Times New Roman" w:cs="Times New Roman" w:eastAsia="Times New Roman" w:hint="default"/>
        </w:rPr>
        <w:t>[2008]492</w:t>
      </w:r>
      <w:r>
        <w:rPr/>
        <w:t>号文核准，公司于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日以非公开发行股票的方式向</w:t>
      </w:r>
      <w:r>
        <w:rPr>
          <w:rFonts w:ascii="Times New Roman" w:hAnsi="Times New Roman" w:cs="Times New Roman" w:eastAsia="Times New Roman" w:hint="default"/>
        </w:rPr>
        <w:t>10</w:t>
      </w:r>
      <w:r>
        <w:rPr/>
        <w:t>家特定 投资者发行了</w:t>
      </w:r>
      <w:r>
        <w:rPr>
          <w:rFonts w:ascii="Times New Roman" w:hAnsi="Times New Roman" w:cs="Times New Roman" w:eastAsia="Times New Roman" w:hint="default"/>
        </w:rPr>
        <w:t>5,000</w:t>
      </w:r>
      <w:r>
        <w:rPr/>
        <w:t>万股人民币普通股（</w:t>
      </w:r>
      <w:r>
        <w:rPr>
          <w:rFonts w:ascii="Times New Roman" w:hAnsi="Times New Roman" w:cs="Times New Roman" w:eastAsia="Times New Roman" w:hint="default"/>
        </w:rPr>
        <w:t>A</w:t>
      </w:r>
      <w:r>
        <w:rPr/>
        <w:t>股）。</w:t>
      </w:r>
    </w:p>
    <w:p>
      <w:pPr>
        <w:pStyle w:val="BodyText"/>
        <w:spacing w:line="300" w:lineRule="auto" w:before="13"/>
        <w:ind w:right="109" w:firstLine="602"/>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日，本公司召开的</w:t>
      </w:r>
      <w:r>
        <w:rPr>
          <w:rFonts w:ascii="Times New Roman" w:hAnsi="Times New Roman" w:cs="Times New Roman" w:eastAsia="Times New Roman" w:hint="default"/>
          <w:spacing w:val="-2"/>
        </w:rPr>
        <w:t>2011</w:t>
      </w:r>
      <w:r>
        <w:rPr>
          <w:spacing w:val="-2"/>
        </w:rPr>
        <w:t>年度股东大会审议通过</w:t>
      </w:r>
      <w:r>
        <w:rPr>
          <w:rFonts w:ascii="Times New Roman" w:hAnsi="Times New Roman" w:cs="Times New Roman" w:eastAsia="Times New Roman" w:hint="default"/>
          <w:spacing w:val="-2"/>
        </w:rPr>
        <w:t>2011</w:t>
      </w:r>
      <w:r>
        <w:rPr>
          <w:spacing w:val="-2"/>
        </w:rPr>
        <w:t>年度权益分派方案为：以公司现有总股本</w:t>
      </w:r>
      <w:r>
        <w:rPr>
          <w:rFonts w:ascii="Times New Roman" w:hAnsi="Times New Roman" w:cs="Times New Roman" w:eastAsia="Times New Roman" w:hint="default"/>
          <w:spacing w:val="-2"/>
        </w:rPr>
        <w:t>210,550,951</w:t>
      </w:r>
      <w:r>
        <w:rPr>
          <w:rFonts w:ascii="Times New Roman" w:hAnsi="Times New Roman" w:cs="Times New Roman" w:eastAsia="Times New Roman" w:hint="default"/>
        </w:rPr>
        <w:t> </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0.80</w:t>
      </w:r>
      <w:r>
        <w:rPr>
          <w:spacing w:val="-1"/>
        </w:rPr>
        <w:t>元（含税）。同时进行资本公积转增股本，以公司现有总股本</w:t>
      </w:r>
      <w:r>
        <w:rPr>
          <w:rFonts w:ascii="Times New Roman" w:hAnsi="Times New Roman" w:cs="Times New Roman" w:eastAsia="Times New Roman" w:hint="default"/>
          <w:spacing w:val="-1"/>
        </w:rPr>
        <w:t>210,550,951</w:t>
      </w:r>
      <w:r>
        <w:rPr>
          <w:spacing w:val="-1"/>
        </w:rPr>
        <w:t>股</w:t>
      </w:r>
      <w:r>
        <w:rPr>
          <w:spacing w:val="-71"/>
        </w:rPr>
        <w:t> </w:t>
      </w:r>
      <w:r>
        <w:rPr>
          <w:spacing w:val="-2"/>
        </w:rPr>
        <w:t>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w:t>
      </w:r>
      <w:r>
        <w:rPr>
          <w:spacing w:val="-2"/>
        </w:rPr>
        <w:t>股，合计转增股本</w:t>
      </w:r>
      <w:r>
        <w:rPr>
          <w:rFonts w:ascii="Times New Roman" w:hAnsi="Times New Roman" w:cs="Times New Roman" w:eastAsia="Times New Roman" w:hint="default"/>
          <w:spacing w:val="-2"/>
        </w:rPr>
        <w:t>21,055,095</w:t>
      </w:r>
      <w:r>
        <w:rPr>
          <w:spacing w:val="-2"/>
        </w:rPr>
        <w:t>股，转增后公司总股本增加至</w:t>
      </w:r>
      <w:r>
        <w:rPr>
          <w:rFonts w:ascii="Times New Roman" w:hAnsi="Times New Roman" w:cs="Times New Roman" w:eastAsia="Times New Roman" w:hint="default"/>
          <w:spacing w:val="-2"/>
        </w:rPr>
        <w:t>231,606,046</w:t>
      </w:r>
      <w:r>
        <w:rPr>
          <w:spacing w:val="-2"/>
        </w:rPr>
        <w:t>股。已经中瑞岳华会</w:t>
      </w:r>
      <w:r>
        <w:rPr>
          <w:spacing w:val="-49"/>
        </w:rPr>
        <w:t> </w:t>
      </w:r>
      <w:r>
        <w:rPr>
          <w:spacing w:val="-49"/>
        </w:rPr>
      </w:r>
      <w:r>
        <w:rPr/>
        <w:t>计师事务所（特殊普通合伙）审验，并于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日出具中瑞岳华验字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0149</w:t>
      </w:r>
      <w:r>
        <w:rPr/>
        <w:t>号验资报告。</w:t>
      </w:r>
    </w:p>
    <w:p>
      <w:pPr>
        <w:pStyle w:val="BodyText"/>
        <w:spacing w:line="300" w:lineRule="auto" w:before="13"/>
        <w:ind w:right="104" w:firstLine="482"/>
        <w:jc w:val="left"/>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日，本公司股份总额为</w:t>
      </w:r>
      <w:r>
        <w:rPr>
          <w:rFonts w:ascii="Times New Roman" w:hAnsi="Times New Roman" w:cs="Times New Roman" w:eastAsia="Times New Roman" w:hint="default"/>
          <w:spacing w:val="-1"/>
        </w:rPr>
        <w:t>231,606,046</w:t>
      </w:r>
      <w:r>
        <w:rPr>
          <w:spacing w:val="-1"/>
        </w:rPr>
        <w:t>股。本公司的控制股东为南天电子信息产业集团公司，其持有本</w:t>
      </w:r>
      <w:r>
        <w:rPr/>
        <w:t> </w:t>
      </w:r>
      <w:r>
        <w:rPr>
          <w:spacing w:val="-1"/>
        </w:rPr>
        <w:t>公司股份</w:t>
      </w:r>
      <w:r>
        <w:rPr>
          <w:rFonts w:ascii="Times New Roman" w:hAnsi="Times New Roman" w:cs="Times New Roman" w:eastAsia="Times New Roman" w:hint="default"/>
          <w:spacing w:val="-1"/>
        </w:rPr>
        <w:t>65,638,720</w:t>
      </w:r>
      <w:r>
        <w:rPr>
          <w:spacing w:val="-1"/>
        </w:rPr>
        <w:t>股，占本公司总股本的</w:t>
      </w:r>
      <w:r>
        <w:rPr>
          <w:rFonts w:ascii="Times New Roman" w:hAnsi="Times New Roman" w:cs="Times New Roman" w:eastAsia="Times New Roman" w:hint="default"/>
          <w:spacing w:val="-1"/>
        </w:rPr>
        <w:t>28.34%</w:t>
      </w:r>
      <w:r>
        <w:rPr>
          <w:spacing w:val="-1"/>
        </w:rPr>
        <w:t>。云南省工业投资控股集团有限责任公司是南天电子信息产业集团公司及</w:t>
      </w:r>
      <w:r>
        <w:rPr>
          <w:spacing w:val="-42"/>
        </w:rPr>
        <w:t> </w:t>
      </w:r>
      <w:r>
        <w:rPr>
          <w:spacing w:val="-42"/>
        </w:rPr>
      </w:r>
      <w:r>
        <w:rPr/>
        <w:t>云南医药工业股份有限公司的控股股东，云南省工业投资控股集团有限责任公司直接持有本公司股份</w:t>
      </w:r>
      <w:r>
        <w:rPr>
          <w:rFonts w:ascii="Times New Roman" w:hAnsi="Times New Roman" w:cs="Times New Roman" w:eastAsia="Times New Roman" w:hint="default"/>
        </w:rPr>
        <w:t>16,500,000</w:t>
      </w:r>
      <w:r>
        <w:rPr/>
        <w:t>股，占本公 司总股本的</w:t>
      </w:r>
      <w:r>
        <w:rPr>
          <w:rFonts w:ascii="Times New Roman" w:hAnsi="Times New Roman" w:cs="Times New Roman" w:eastAsia="Times New Roman" w:hint="default"/>
        </w:rPr>
        <w:t>7.12%</w:t>
      </w:r>
      <w:r>
        <w:rPr/>
        <w:t>；云南医药工业股份有限公司直接持有本公司股份</w:t>
      </w:r>
      <w:r>
        <w:rPr>
          <w:rFonts w:ascii="Times New Roman" w:hAnsi="Times New Roman" w:cs="Times New Roman" w:eastAsia="Times New Roman" w:hint="default"/>
        </w:rPr>
        <w:t>674,221</w:t>
      </w:r>
      <w:r>
        <w:rPr/>
        <w:t>股，占本公司总股本的</w:t>
      </w:r>
      <w:r>
        <w:rPr>
          <w:rFonts w:ascii="Times New Roman" w:hAnsi="Times New Roman" w:cs="Times New Roman" w:eastAsia="Times New Roman" w:hint="default"/>
        </w:rPr>
        <w:t>0.29%</w:t>
      </w:r>
      <w:r>
        <w:rPr/>
        <w:t>。云南省国有资产 监督管理委员会持有云南省工业投资控股集团有限责任公司</w:t>
      </w:r>
      <w:r>
        <w:rPr>
          <w:rFonts w:ascii="Times New Roman" w:hAnsi="Times New Roman" w:cs="Times New Roman" w:eastAsia="Times New Roman" w:hint="default"/>
        </w:rPr>
        <w:t>81.67%</w:t>
      </w:r>
      <w:r>
        <w:rPr/>
        <w:t>的股份，云南省国有资产监督管理委员会间接持有本公 司股份</w:t>
      </w:r>
      <w:r>
        <w:rPr>
          <w:rFonts w:ascii="Times New Roman" w:hAnsi="Times New Roman" w:cs="Times New Roman" w:eastAsia="Times New Roman" w:hint="default"/>
        </w:rPr>
        <w:t>82,812,941</w:t>
      </w:r>
      <w:r>
        <w:rPr/>
        <w:t>股，占本公司总股本的</w:t>
      </w:r>
      <w:r>
        <w:rPr>
          <w:rFonts w:ascii="Times New Roman" w:hAnsi="Times New Roman" w:cs="Times New Roman" w:eastAsia="Times New Roman" w:hint="default"/>
        </w:rPr>
        <w:t>35.76%</w:t>
      </w:r>
      <w:r>
        <w:rPr/>
        <w:t>。</w:t>
      </w:r>
    </w:p>
    <w:p>
      <w:pPr>
        <w:pStyle w:val="BodyText"/>
        <w:spacing w:line="316" w:lineRule="auto" w:before="13"/>
        <w:ind w:right="109" w:firstLine="482"/>
        <w:jc w:val="both"/>
      </w:pPr>
      <w:r>
        <w:rPr>
          <w:spacing w:val="-1"/>
        </w:rPr>
        <w:t>公司所属行业为：电子信息行业。本公司及子公司主要业务包括：开发、生产、销售计算机软硬件、外围设备、金融</w:t>
      </w:r>
      <w:r>
        <w:rPr/>
        <w:t> </w:t>
      </w:r>
      <w:r>
        <w:rPr>
          <w:spacing w:val="-2"/>
        </w:rPr>
        <w:t>专用设备、智能机电产品（含国产汽车不含小轿车）；承接网络工程、信息系统工程（不含管理项目）、技术服务及技术咨</w:t>
      </w:r>
      <w:r>
        <w:rPr>
          <w:spacing w:val="-62"/>
        </w:rPr>
        <w:t> </w:t>
      </w:r>
      <w:r>
        <w:rPr>
          <w:spacing w:val="-62"/>
        </w:rPr>
      </w:r>
      <w:r>
        <w:rPr>
          <w:spacing w:val="-2"/>
        </w:rPr>
        <w:t>询；自产产品的安装调试维修（以上项目可按经贸部核定的经营范围开展进出口业务）；经营生产所需的原辅材料、仪器仪</w:t>
      </w:r>
      <w:r>
        <w:rPr>
          <w:spacing w:val="-65"/>
        </w:rPr>
        <w:t> </w:t>
      </w:r>
      <w:r>
        <w:rPr>
          <w:spacing w:val="-65"/>
        </w:rPr>
      </w:r>
      <w:r>
        <w:rPr/>
        <w:t>表、机械设备、零配件及技术的进出口业务；经营进料加工和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w:t>
      </w:r>
    </w:p>
    <w:p>
      <w:pPr>
        <w:pStyle w:val="BodyText"/>
        <w:spacing w:line="248" w:lineRule="exact"/>
        <w:ind w:left="595" w:right="0"/>
        <w:jc w:val="left"/>
      </w:pPr>
      <w:r>
        <w:rPr/>
        <w:t>公司主要产品有银行系统用的开放式系统小型机、金融终端系统、网络产品、专业存折打印机、自动柜员机（</w:t>
      </w:r>
      <w:r>
        <w:rPr>
          <w:rFonts w:ascii="Times New Roman" w:hAnsi="Times New Roman" w:cs="Times New Roman" w:eastAsia="Times New Roman" w:hint="default"/>
        </w:rPr>
        <w:t>ATM</w:t>
      </w:r>
      <w:r>
        <w:rPr/>
        <w:t>）</w:t>
      </w:r>
    </w:p>
    <w:p>
      <w:pPr>
        <w:pStyle w:val="BodyText"/>
        <w:spacing w:line="240" w:lineRule="auto" w:before="63"/>
        <w:ind w:right="99"/>
        <w:jc w:val="left"/>
      </w:pPr>
      <w:r>
        <w:rPr/>
        <w:t>等。</w:t>
      </w:r>
    </w:p>
    <w:p>
      <w:pPr>
        <w:pStyle w:val="BodyText"/>
        <w:spacing w:line="314" w:lineRule="auto" w:before="76"/>
        <w:ind w:left="513" w:right="4293"/>
        <w:jc w:val="left"/>
      </w:pPr>
      <w:r>
        <w:rPr/>
        <w:t>公司注册地：云南省昆明市高新技术产业开发区软件园创新大厦 组织形式：股份有限公司 总部地址：云南省昆明市环城东路</w:t>
      </w:r>
      <w:r>
        <w:rPr>
          <w:rFonts w:ascii="Times New Roman" w:hAnsi="Times New Roman" w:cs="Times New Roman" w:eastAsia="Times New Roman" w:hint="default"/>
        </w:rPr>
        <w:t>455</w:t>
      </w:r>
      <w:r>
        <w:rPr/>
        <w:t>号 控股股东名称：南天电子信息产业集团公司 公司的最终控制方：云南省人民政府国有资产监督管理委员会。 本财务报表经本公司董事会于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日决议批准报出。</w:t>
      </w:r>
    </w:p>
    <w:p>
      <w:pPr>
        <w:spacing w:after="0" w:line="314" w:lineRule="auto"/>
        <w:jc w:val="left"/>
        <w:sectPr>
          <w:footerReference w:type="default" r:id="rId23"/>
          <w:pgSz w:w="11910" w:h="16840"/>
          <w:pgMar w:footer="979" w:header="745" w:top="1060" w:bottom="1160" w:left="1020" w:right="1020"/>
          <w:pgNumType w:start="60"/>
        </w:sectPr>
      </w:pPr>
    </w:p>
    <w:p>
      <w:pPr>
        <w:spacing w:line="240" w:lineRule="auto" w:before="8"/>
        <w:rPr>
          <w:rFonts w:ascii="宋体" w:hAnsi="宋体" w:cs="宋体" w:eastAsia="宋体" w:hint="default"/>
          <w:sz w:val="23"/>
          <w:szCs w:val="23"/>
        </w:rPr>
      </w:pPr>
    </w:p>
    <w:p>
      <w:pPr>
        <w:pStyle w:val="Heading2"/>
        <w:spacing w:line="367" w:lineRule="exact"/>
        <w:ind w:right="94"/>
        <w:jc w:val="left"/>
        <w:rPr>
          <w:b w:val="0"/>
          <w:bCs w:val="0"/>
        </w:rPr>
      </w:pPr>
      <w:bookmarkStart w:name="四、公司主要会计政策、会计估计和前期差错" w:id="104"/>
      <w:bookmarkEnd w:id="104"/>
      <w:r>
        <w:rPr>
          <w:b w:val="0"/>
          <w:bCs w:val="0"/>
        </w:rPr>
      </w:r>
      <w:bookmarkStart w:name="1、财务报表的编制基础" w:id="105"/>
      <w:bookmarkEnd w:id="105"/>
      <w:r>
        <w:rPr>
          <w:b w:val="0"/>
          <w:bCs w:val="0"/>
        </w:rPr>
      </w:r>
      <w:bookmarkStart w:name="2、遵循企业会计准则的声明" w:id="106"/>
      <w:bookmarkEnd w:id="106"/>
      <w:r>
        <w:rPr>
          <w:b w:val="0"/>
          <w:bCs w:val="0"/>
        </w:rPr>
      </w:r>
      <w:bookmarkStart w:name="3、会计期间" w:id="107"/>
      <w:bookmarkEnd w:id="107"/>
      <w:r>
        <w:rPr>
          <w:b w:val="0"/>
          <w:bCs w:val="0"/>
        </w:rPr>
      </w:r>
      <w:bookmarkStart w:name="4、记账本位币" w:id="108"/>
      <w:bookmarkEnd w:id="108"/>
      <w:r>
        <w:rPr>
          <w:b w:val="0"/>
          <w:bCs w:val="0"/>
        </w:rPr>
      </w:r>
      <w:bookmarkStart w:name="5、同一控制下和非同一控制下企业合并的会计处理方法" w:id="109"/>
      <w:bookmarkEnd w:id="109"/>
      <w:r>
        <w:rPr>
          <w:b w:val="0"/>
          <w:bCs w:val="0"/>
        </w:rPr>
      </w:r>
      <w:bookmarkStart w:name="（1）同一控制下企业合并" w:id="110"/>
      <w:bookmarkEnd w:id="110"/>
      <w:r>
        <w:rPr>
          <w:b w:val="0"/>
          <w:bCs w:val="0"/>
        </w:rPr>
      </w:r>
      <w:bookmarkStart w:name="（2）非同一控制下的企业合并" w:id="111"/>
      <w:bookmarkEnd w:id="111"/>
      <w:r>
        <w:rPr>
          <w:b w:val="0"/>
          <w:bCs w:val="0"/>
        </w:rPr>
      </w:r>
      <w:r>
        <w:rPr/>
        <w:t>四、公司主要会计政策、会计估计和前期差错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94"/>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00" w:lineRule="auto"/>
        <w:ind w:right="190" w:firstLine="362"/>
        <w:jc w:val="both"/>
      </w:pPr>
      <w:r>
        <w:rPr/>
        <w:t>本公司财务报表以持续经营假设为基础编制，根据实际发生的交易和事项，按照财政部于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 </w:t>
      </w:r>
      <w:r>
        <w:rPr>
          <w:spacing w:val="-2"/>
        </w:rPr>
        <w:t>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项具体会计准则、其后颁布的企业会计准则应用指南、企业会计准则解释及其他相关规定（以</w:t>
      </w:r>
      <w:r>
        <w:rPr>
          <w:spacing w:val="-63"/>
        </w:rPr>
        <w:t> </w:t>
      </w:r>
      <w:r>
        <w:rPr>
          <w:spacing w:val="-63"/>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r>
        <w:rPr>
          <w:spacing w:val="-41"/>
        </w:rPr>
        <w:t> </w:t>
      </w:r>
      <w:r>
        <w:rPr/>
        <w:t>般规定》（</w:t>
      </w:r>
      <w:r>
        <w:rPr>
          <w:rFonts w:ascii="Times New Roman" w:hAnsi="Times New Roman" w:cs="Times New Roman" w:eastAsia="Times New Roman" w:hint="default"/>
        </w:rPr>
        <w:t>2010</w:t>
      </w:r>
      <w:r>
        <w:rPr/>
        <w:t>年修订）的披露规定编制。</w:t>
      </w:r>
    </w:p>
    <w:p>
      <w:pPr>
        <w:pStyle w:val="BodyText"/>
        <w:spacing w:line="316" w:lineRule="auto" w:before="13"/>
        <w:ind w:left="107" w:right="157" w:firstLine="357"/>
        <w:jc w:val="both"/>
        <w:rPr>
          <w:rFonts w:ascii="宋体" w:hAnsi="宋体" w:cs="宋体" w:eastAsia="宋体" w:hint="default"/>
        </w:rPr>
      </w:pPr>
      <w:r>
        <w:rPr>
          <w:rFonts w:ascii="宋体" w:hAnsi="宋体" w:cs="宋体" w:eastAsia="宋体" w:hint="default"/>
          <w:spacing w:val="-7"/>
        </w:rPr>
        <w:t>根据企业会计准则的相关规定，本公司会计核算以权责发生制为基础。除某些金融工具外，本财务报表均以历史成本为</w:t>
      </w:r>
      <w:r>
        <w:rPr>
          <w:rFonts w:ascii="宋体" w:hAnsi="宋体" w:cs="宋体" w:eastAsia="宋体" w:hint="default"/>
          <w:w w:val="99"/>
        </w:rPr>
        <w:t> </w:t>
      </w:r>
      <w:r>
        <w:rPr>
          <w:rFonts w:ascii="宋体" w:hAnsi="宋体" w:cs="宋体" w:eastAsia="宋体" w:hint="default"/>
        </w:rPr>
        <w:t>计量基础。</w:t>
      </w:r>
    </w:p>
    <w:p>
      <w:pPr>
        <w:spacing w:line="240" w:lineRule="auto" w:before="7"/>
        <w:rPr>
          <w:rFonts w:ascii="宋体" w:hAnsi="宋体" w:cs="宋体" w:eastAsia="宋体" w:hint="default"/>
          <w:sz w:val="17"/>
          <w:szCs w:val="17"/>
        </w:rPr>
      </w:pPr>
    </w:p>
    <w:p>
      <w:pPr>
        <w:pStyle w:val="Heading4"/>
        <w:spacing w:line="240" w:lineRule="auto"/>
        <w:ind w:left="119" w:right="94"/>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00" w:lineRule="auto"/>
        <w:ind w:right="101" w:firstLine="362"/>
        <w:jc w:val="both"/>
      </w:pPr>
      <w:r>
        <w:rPr/>
        <w:t>本公司编制的财务报表符合企业会计准则的要求，真实、完整地反映了本公司及子公司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 </w:t>
      </w:r>
      <w:r>
        <w:rPr>
          <w:rFonts w:ascii="Times New Roman" w:hAnsi="Times New Roman" w:cs="Times New Roman" w:eastAsia="Times New Roman" w:hint="default"/>
          <w:spacing w:val="-2"/>
        </w:rPr>
        <w:t>2012</w:t>
      </w:r>
      <w:r>
        <w:rPr>
          <w:spacing w:val="-2"/>
        </w:rPr>
        <w:t>年度的经营成果和现金流量等有关信息。此外，本公司及子公司的财务报表在所有重大方面符合中国证券监督管理委员</w:t>
      </w:r>
      <w:r>
        <w:rPr>
          <w:spacing w:val="-62"/>
        </w:rPr>
        <w:t> </w:t>
      </w:r>
      <w:r>
        <w:rPr>
          <w:spacing w:val="-62"/>
        </w:rPr>
      </w:r>
      <w:r>
        <w:rPr>
          <w:spacing w:val="-3"/>
        </w:rPr>
        <w:t>会</w:t>
      </w:r>
      <w:r>
        <w:rPr>
          <w:rFonts w:ascii="Times New Roman" w:hAnsi="Times New Roman" w:cs="Times New Roman" w:eastAsia="Times New Roman" w:hint="default"/>
          <w:spacing w:val="-3"/>
        </w:rPr>
        <w:t>2010</w:t>
      </w:r>
      <w:r>
        <w:rPr>
          <w:spacing w:val="-3"/>
        </w:rPr>
        <w:t>年修订的《公开发行证券的公司信息披露编报规则第</w:t>
      </w:r>
      <w:r>
        <w:rPr>
          <w:rFonts w:ascii="Times New Roman" w:hAnsi="Times New Roman" w:cs="Times New Roman" w:eastAsia="Times New Roman" w:hint="default"/>
          <w:spacing w:val="-3"/>
        </w:rPr>
        <w:t>15</w:t>
      </w:r>
      <w:r>
        <w:rPr>
          <w:spacing w:val="-3"/>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4"/>
        <w:spacing w:line="240" w:lineRule="auto"/>
        <w:ind w:left="119" w:right="94"/>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91" w:firstLine="362"/>
        <w:jc w:val="both"/>
      </w:pPr>
      <w:r>
        <w:rPr>
          <w:w w:val="95"/>
        </w:rPr>
        <w:t>本公司的会计期间分为年度和中期，会计中期指短于一个完整的会计年度的报告期间。本公司会计年度采用公历年度，</w:t>
      </w:r>
      <w:r>
        <w:rPr>
          <w:spacing w:val="-63"/>
          <w:w w:val="95"/>
        </w:rPr>
        <w:t> </w:t>
      </w:r>
      <w:r>
        <w:rPr>
          <w:spacing w:val="-63"/>
          <w:w w:val="95"/>
        </w:rPr>
      </w:r>
      <w:r>
        <w:rPr/>
        <w:t>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4"/>
        <w:ind w:left="119"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92" w:firstLine="362"/>
        <w:jc w:val="both"/>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7"/>
        <w:rPr>
          <w:rFonts w:ascii="宋体" w:hAnsi="宋体" w:cs="宋体" w:eastAsia="宋体" w:hint="default"/>
          <w:sz w:val="17"/>
          <w:szCs w:val="17"/>
        </w:rPr>
      </w:pPr>
    </w:p>
    <w:p>
      <w:pPr>
        <w:pStyle w:val="Heading4"/>
        <w:spacing w:line="240" w:lineRule="auto"/>
        <w:ind w:left="119"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）同一控制下企业合并</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89" w:firstLine="316"/>
        <w:jc w:val="both"/>
      </w:pPr>
      <w:r>
        <w:rPr>
          <w:spacing w:val="-1"/>
        </w:rPr>
        <w:t>参与合并的企业在合并前后均受同一方或相同的多方最终控制，且该控制并非暂时性的，为同一控制下的企业合并。同</w:t>
      </w:r>
      <w:r>
        <w:rPr/>
        <w:t> </w:t>
      </w:r>
      <w:r>
        <w:rPr>
          <w:spacing w:val="-4"/>
          <w:w w:val="95"/>
        </w:rPr>
        <w:t>一控制下的企业合并，在合并日取得对其他参与合并企业控制权的一方为合并方，参与合并的其他企业为被合并方。合并日，</w:t>
      </w:r>
      <w:r>
        <w:rPr>
          <w:spacing w:val="43"/>
          <w:w w:val="95"/>
        </w:rPr>
        <w:t> </w:t>
      </w:r>
      <w:r>
        <w:rPr>
          <w:spacing w:val="43"/>
          <w:w w:val="95"/>
        </w:rPr>
      </w:r>
      <w:r>
        <w:rPr/>
        <w:t>是指合并方实际取得对被合并方控制权的日期。</w:t>
      </w:r>
    </w:p>
    <w:p>
      <w:pPr>
        <w:pStyle w:val="BodyText"/>
        <w:spacing w:line="316" w:lineRule="auto" w:before="19"/>
        <w:ind w:right="108" w:firstLine="316"/>
        <w:jc w:val="both"/>
      </w:pPr>
      <w:r>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BodyText"/>
        <w:spacing w:line="240" w:lineRule="auto" w:before="19"/>
        <w:ind w:left="429" w:right="94"/>
        <w:jc w:val="left"/>
      </w:pPr>
      <w:r>
        <w:rPr/>
        <w:t>合并方为进行企业合并发生的各项直接费用，于发生时计入当期损益。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94"/>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429" w:right="94"/>
        <w:jc w:val="left"/>
      </w:pPr>
      <w:r>
        <w:rPr/>
        <w:t>参与合并的企业在合并前后不受同一方或相同的多方最终控制的，为非同一控制下的企业合并。非同一控制下的企业合</w:t>
      </w:r>
    </w:p>
    <w:p>
      <w:pPr>
        <w:spacing w:after="0" w:line="240" w:lineRule="auto"/>
        <w:jc w:val="left"/>
        <w:sectPr>
          <w:pgSz w:w="11910" w:h="16840"/>
          <w:pgMar w:header="745" w:footer="979"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jc w:val="both"/>
      </w:pPr>
      <w:bookmarkStart w:name="6、合并财务报表的编制方法" w:id="112"/>
      <w:bookmarkEnd w:id="112"/>
      <w:r>
        <w:rPr/>
      </w:r>
      <w:bookmarkStart w:name="（1）合并财务报表的编制方法" w:id="113"/>
      <w:bookmarkEnd w:id="113"/>
      <w:r>
        <w:rPr/>
      </w: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4" w:lineRule="auto" w:before="19"/>
        <w:ind w:right="190" w:firstLine="316"/>
        <w:jc w:val="both"/>
      </w:pPr>
      <w:r>
        <w:rPr>
          <w:spacing w:val="-1"/>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3"/>
        </w:rPr>
        <w:t> </w:t>
      </w:r>
      <w:r>
        <w:rPr>
          <w:spacing w:val="-63"/>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4"/>
        </w:rPr>
        <w:t> </w:t>
      </w:r>
      <w:r>
        <w:rPr>
          <w:spacing w:val="-2"/>
        </w:rPr>
        <w:t>步证据而需要调整或有对价的，相应调整合并商誉。通过多次交换交易分步实现的企业合并，在本公司合并财务报表中，对</w:t>
      </w:r>
      <w:r>
        <w:rPr>
          <w:spacing w:val="-64"/>
        </w:rPr>
        <w:t> </w:t>
      </w:r>
      <w:r>
        <w:rPr>
          <w:spacing w:val="-64"/>
        </w:rPr>
      </w:r>
      <w:r>
        <w:rPr>
          <w:spacing w:val="-2"/>
        </w:rPr>
        <w:t>于购买日之前持有的被购买方的股权，按照该股权在购买日的公允价值进行重新计量，公允价值与其账面价值的差额计入购</w:t>
      </w:r>
      <w:r>
        <w:rPr>
          <w:spacing w:val="-64"/>
        </w:rPr>
        <w:t> </w:t>
      </w:r>
      <w:r>
        <w:rPr>
          <w:spacing w:val="-64"/>
        </w:rPr>
      </w:r>
      <w:r>
        <w:rPr>
          <w:spacing w:val="-2"/>
        </w:rPr>
        <w:t>买日所属当期投资收益，同时将与购买日之前持有的被购买方的股权相关的其他综合收益转为当期投资收益，合并成本为购</w:t>
      </w:r>
      <w:r>
        <w:rPr>
          <w:spacing w:val="-65"/>
        </w:rPr>
        <w:t> </w:t>
      </w:r>
      <w:r>
        <w:rPr>
          <w:spacing w:val="-65"/>
        </w:rPr>
      </w:r>
      <w:r>
        <w:rPr/>
        <w:t>买日之前持有的被购买方的股权在购买日的公允价值与购买日增持的被购买方股权在购买日的公允价值之和。</w:t>
      </w:r>
    </w:p>
    <w:p>
      <w:pPr>
        <w:pStyle w:val="BodyText"/>
        <w:spacing w:line="316" w:lineRule="auto" w:before="20"/>
        <w:ind w:right="190" w:firstLine="316"/>
        <w:jc w:val="both"/>
      </w:pPr>
      <w:r>
        <w:rPr>
          <w:spacing w:val="-1"/>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4"/>
        </w:rPr>
        <w:t> </w:t>
      </w:r>
      <w:r>
        <w:rPr>
          <w:spacing w:val="-64"/>
        </w:rPr>
      </w:r>
      <w:r>
        <w:rPr>
          <w:spacing w:val="-2"/>
        </w:rPr>
        <w:t>的，首先对取得的被购买方各项可辨认资产、负债及或有负债的公允价值以及合并成本的计量进行复核，复核后合并成本仍</w:t>
      </w:r>
      <w:r>
        <w:rPr>
          <w:spacing w:val="-63"/>
        </w:rPr>
        <w:t> </w:t>
      </w:r>
      <w:r>
        <w:rPr>
          <w:spacing w:val="-63"/>
        </w:rPr>
      </w:r>
      <w:r>
        <w:rPr/>
        <w:t>小于合并中取得的被购买方可辨认净资产公允价值份额的，其差额计入当期损益。</w:t>
      </w:r>
    </w:p>
    <w:p>
      <w:pPr>
        <w:pStyle w:val="BodyText"/>
        <w:spacing w:line="312" w:lineRule="auto" w:before="19"/>
        <w:ind w:right="190" w:firstLine="316"/>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spacing w:val="-1"/>
        </w:rPr>
        <w:t>个</w:t>
      </w:r>
      <w:r>
        <w:rPr/>
        <w:t> </w:t>
      </w:r>
      <w:r>
        <w:rPr>
          <w:spacing w:val="-2"/>
        </w:rPr>
        <w:t>月内，如取得新的或进一步的信息表明购买日的相关情况已经存在，预期被购买方在购买日可抵扣暂时性差异带来的经济利</w:t>
      </w:r>
      <w:r>
        <w:rPr>
          <w:spacing w:val="-65"/>
        </w:rPr>
        <w:t> </w:t>
      </w:r>
      <w:r>
        <w:rPr>
          <w:spacing w:val="-65"/>
        </w:rPr>
      </w:r>
      <w:r>
        <w:rPr>
          <w:spacing w:val="-2"/>
        </w:rPr>
        <w:t>益能够实现的，则确认相关的递延所得税资产，同时减少商誉，商誉不足冲减的，差额部分确认为当期损益；除上述情况以</w:t>
      </w:r>
      <w:r>
        <w:rPr>
          <w:spacing w:val="-64"/>
        </w:rPr>
        <w:t> </w:t>
      </w:r>
      <w:r>
        <w:rPr>
          <w:spacing w:val="-64"/>
        </w:rPr>
      </w:r>
      <w:r>
        <w:rPr/>
        <w:t>外，确认与企业合并相关的递延所得税资产的，计入当期损益。</w:t>
      </w:r>
    </w:p>
    <w:p>
      <w:pPr>
        <w:spacing w:line="240" w:lineRule="auto" w:before="8"/>
        <w:rPr>
          <w:rFonts w:ascii="宋体" w:hAnsi="宋体" w:cs="宋体" w:eastAsia="宋体" w:hint="default"/>
          <w:sz w:val="17"/>
          <w:szCs w:val="17"/>
        </w:rPr>
      </w:pPr>
    </w:p>
    <w:p>
      <w:pPr>
        <w:pStyle w:val="Heading4"/>
        <w:spacing w:line="240" w:lineRule="auto"/>
        <w:ind w:left="119"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475" w:right="94"/>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合并财务报表的合并范围以控制为基础予以确定。控制是指本公司能够决定被投资单位的财务和经营政策</w:t>
      </w:r>
      <w:r>
        <w:rPr>
          <w:rFonts w:ascii="Times New Roman" w:hAnsi="Times New Roman" w:cs="Times New Roman" w:eastAsia="Times New Roman" w:hint="default"/>
        </w:rPr>
        <w:t>,</w:t>
      </w:r>
      <w:r>
        <w:rPr/>
        <w:t>并能据以从</w:t>
      </w:r>
    </w:p>
    <w:p>
      <w:pPr>
        <w:pStyle w:val="BodyText"/>
        <w:spacing w:line="240" w:lineRule="auto" w:before="13"/>
        <w:ind w:right="0"/>
        <w:jc w:val="both"/>
      </w:pPr>
      <w:r>
        <w:rPr/>
        <w:t>被投资单位的经营活动中获取利益的权力。合并范围包括本公司及全部子公司。子公司，是指被本公司控制的企业或主体。</w:t>
      </w:r>
    </w:p>
    <w:p>
      <w:pPr>
        <w:pStyle w:val="BodyText"/>
        <w:spacing w:line="302" w:lineRule="auto" w:before="76"/>
        <w:ind w:left="535" w:right="211" w:hanging="6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29"/>
        <w:ind w:right="190"/>
        <w:jc w:val="both"/>
      </w:pPr>
      <w:r>
        <w:rPr>
          <w:spacing w:val="-2"/>
        </w:rPr>
        <w:t>起停止纳入合并范围。对于处置的子公司，处置日前的经营成果和现金流量已经适当地包括在合并利润表和合并现金流量表</w:t>
      </w:r>
      <w:r>
        <w:rPr>
          <w:spacing w:val="-65"/>
        </w:rPr>
        <w:t> </w:t>
      </w:r>
      <w:r>
        <w:rPr>
          <w:spacing w:val="-65"/>
        </w:rPr>
      </w: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r>
        <w:rPr>
          <w:spacing w:val="-65"/>
        </w:rPr>
        <w:t> </w:t>
      </w:r>
      <w:r>
        <w:rPr>
          <w:spacing w:val="-65"/>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right="192" w:firstLine="362"/>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5"/>
        </w:rPr>
        <w:t> </w:t>
      </w:r>
      <w:r>
        <w:rPr>
          <w:spacing w:val="-65"/>
        </w:rPr>
      </w:r>
      <w:r>
        <w:rPr/>
        <w:t>报表进行调整。</w:t>
      </w:r>
    </w:p>
    <w:p>
      <w:pPr>
        <w:pStyle w:val="BodyText"/>
        <w:spacing w:line="316" w:lineRule="auto" w:before="19"/>
        <w:ind w:left="475" w:right="94"/>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9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2"/>
        </w:rPr>
        <w:t> </w:t>
      </w:r>
      <w:r>
        <w:rPr/>
        <w:t>股东损益</w:t>
      </w:r>
      <w:r>
        <w:rPr>
          <w:rFonts w:ascii="Times New Roman" w:hAnsi="Times New Roman" w:cs="Times New Roman" w:eastAsia="Times New Roman" w:hint="default"/>
        </w:rPr>
        <w:t>”</w:t>
      </w:r>
      <w:r>
        <w:rPr/>
        <w:t>项目列示。少数股东分担的子公司的亏损超过了少数股东在该子公司期初所有者权益中所享有的份额，冲减少数 股东权益。</w:t>
      </w:r>
    </w:p>
    <w:p>
      <w:pPr>
        <w:pStyle w:val="BodyText"/>
        <w:spacing w:line="316" w:lineRule="auto" w:before="31"/>
        <w:ind w:right="192" w:firstLine="362"/>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p>
    <w:p>
      <w:pPr>
        <w:spacing w:after="0" w:line="316" w:lineRule="auto"/>
        <w:jc w:val="both"/>
        <w:sectPr>
          <w:pgSz w:w="11910" w:h="16840"/>
          <w:pgMar w:header="745" w:footer="979"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184"/>
        <w:jc w:val="left"/>
      </w:pPr>
      <w:bookmarkStart w:name="（2）对同一子公司的股权在连续两个会计年度买入再卖出，或卖出再买入的应披露相关的" w:id="114"/>
      <w:bookmarkEnd w:id="114"/>
      <w:r>
        <w:rPr/>
      </w:r>
      <w:bookmarkStart w:name="7、现金及现金等价物的确定标准" w:id="115"/>
      <w:bookmarkEnd w:id="115"/>
      <w:r>
        <w:rPr/>
      </w:r>
      <w:bookmarkStart w:name="8、外币业务和外币报表折算" w:id="116"/>
      <w:bookmarkEnd w:id="116"/>
      <w:r>
        <w:rPr/>
      </w:r>
      <w:bookmarkStart w:name="（1）外币业务" w:id="117"/>
      <w:bookmarkEnd w:id="117"/>
      <w:r>
        <w:rPr/>
      </w:r>
      <w:bookmarkStart w:name="（2）外币财务报表的折算" w:id="118"/>
      <w:bookmarkEnd w:id="118"/>
      <w:r>
        <w:rPr/>
      </w:r>
      <w:bookmarkStart w:name="9、金融工具" w:id="119"/>
      <w:bookmarkEnd w:id="119"/>
      <w:r>
        <w:rPr/>
      </w:r>
      <w:bookmarkStart w:name="（1）金融工具的分类" w:id="120"/>
      <w:bookmarkEnd w:id="120"/>
      <w:r>
        <w:rPr/>
      </w:r>
      <w:r>
        <w:rPr/>
        <w:t>制权时一并转为当期投资收益。其后，对该部分剩余股权按照《企业会计准则第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 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6"/>
          <w:szCs w:val="16"/>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9" w:right="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 w:firstLine="362"/>
        <w:jc w:val="left"/>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17"/>
          <w:szCs w:val="17"/>
        </w:rPr>
      </w:pPr>
    </w:p>
    <w:p>
      <w:pPr>
        <w:pStyle w:val="Heading4"/>
        <w:spacing w:line="240" w:lineRule="auto"/>
        <w:ind w:left="119" w:right="9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）外币业务</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left="475" w:right="94"/>
        <w:jc w:val="left"/>
      </w:pPr>
      <w:r>
        <w:rPr/>
        <w:t>①外币交易的折算方法 </w:t>
      </w:r>
      <w:r>
        <w:rPr>
          <w:spacing w:val="-4"/>
          <w:w w:val="95"/>
        </w:rPr>
        <w:t>本公司发生的外币交易在初始确认时，按交易日的即期汇率（通常指中国人民银行公布的当日外汇牌价的中间价，下同）</w:t>
      </w:r>
      <w:r>
        <w:rPr>
          <w:spacing w:val="-4"/>
        </w:rPr>
      </w:r>
    </w:p>
    <w:p>
      <w:pPr>
        <w:pStyle w:val="BodyText"/>
        <w:spacing w:line="316" w:lineRule="auto" w:before="19"/>
        <w:ind w:right="94"/>
        <w:jc w:val="left"/>
      </w:pPr>
      <w:r>
        <w:rPr>
          <w:spacing w:val="-2"/>
        </w:rPr>
        <w:t>折算为记账本位币金额，但公司发生的外币兑换业务或涉及外币兑换的交易事项，按照实际采用的汇率折算为记账本位币金</w:t>
      </w:r>
      <w:r>
        <w:rPr>
          <w:spacing w:val="-65"/>
        </w:rPr>
        <w:t> </w:t>
      </w:r>
      <w:r>
        <w:rPr>
          <w:spacing w:val="-65"/>
        </w:rPr>
      </w:r>
      <w:r>
        <w:rPr/>
        <w:t>额。</w:t>
      </w:r>
    </w:p>
    <w:p>
      <w:pPr>
        <w:pStyle w:val="BodyText"/>
        <w:spacing w:line="316" w:lineRule="auto" w:before="19"/>
        <w:ind w:left="429" w:right="189" w:firstLine="45"/>
        <w:jc w:val="left"/>
      </w:pPr>
      <w:r>
        <w:rPr/>
        <w:t>②对于外币货币性项目和外币非货币性项目的折算方法 </w:t>
      </w:r>
      <w:r>
        <w:rPr>
          <w:spacing w:val="-1"/>
        </w:rPr>
        <w:t>资产负债表日，对于外币货币性项目采用资产负债表日即期汇率折算，由此产生的汇兑差额，除：①属于与购建符合资</w:t>
      </w:r>
    </w:p>
    <w:p>
      <w:pPr>
        <w:pStyle w:val="BodyText"/>
        <w:spacing w:line="316" w:lineRule="auto" w:before="19"/>
        <w:ind w:right="94"/>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90" w:firstLine="316"/>
        <w:jc w:val="both"/>
      </w:pPr>
      <w:r>
        <w:rPr>
          <w:spacing w:val="-1"/>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值变动（含汇率变动）处理，计入当期损益或确认为其他综合收益并计入资本公积。</w:t>
      </w:r>
    </w:p>
    <w:p>
      <w:pPr>
        <w:spacing w:line="240" w:lineRule="auto" w:before="4"/>
        <w:rPr>
          <w:rFonts w:ascii="宋体" w:hAnsi="宋体" w:cs="宋体" w:eastAsia="宋体" w:hint="default"/>
          <w:sz w:val="17"/>
          <w:szCs w:val="17"/>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92" w:firstLine="362"/>
        <w:jc w:val="both"/>
      </w:pPr>
      <w:r>
        <w:rPr>
          <w:spacing w:val="-2"/>
        </w:rPr>
        <w:t>编制合并财务报表涉及境外经营的，如有实质上构成对境外经营净投资的外币货币性项目，因汇率变动而产生的汇兑差</w:t>
      </w:r>
      <w:r>
        <w:rPr/>
        <w:t> 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w:t>
      </w:r>
    </w:p>
    <w:p>
      <w:pPr>
        <w:pStyle w:val="BodyText"/>
        <w:spacing w:line="314" w:lineRule="auto"/>
        <w:ind w:right="190" w:firstLine="362"/>
        <w:jc w:val="both"/>
      </w:pPr>
      <w:r>
        <w:rPr>
          <w:spacing w:val="-2"/>
        </w:rPr>
        <w:t>境外经营的外币财务报表按以下方法折算为人民币报表：资产负债表中的资产和负债项目，采用资产负债表日的即期汇</w:t>
      </w:r>
      <w:r>
        <w:rPr/>
        <w:t> </w:t>
      </w:r>
      <w:r>
        <w:rPr>
          <w:spacing w:val="-2"/>
        </w:rPr>
        <w:t>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w:t>
      </w:r>
      <w:r>
        <w:rPr>
          <w:spacing w:val="-41"/>
        </w:rPr>
        <w:t> </w:t>
      </w:r>
      <w:r>
        <w:rPr>
          <w:spacing w:val="-41"/>
        </w:rPr>
      </w:r>
      <w:r>
        <w:rPr>
          <w:spacing w:val="-2"/>
        </w:rPr>
        <w:t>用交易发生日的即期汇率折算。年初未分配利润为上一年折算后的年末未分配利润；年末未分配利润按折算后的利润分配各</w:t>
      </w:r>
      <w:r>
        <w:rPr>
          <w:spacing w:val="-65"/>
        </w:rPr>
        <w:t> </w:t>
      </w:r>
      <w:r>
        <w:rPr>
          <w:spacing w:val="-65"/>
        </w:rPr>
      </w:r>
      <w:r>
        <w:rPr>
          <w:spacing w:val="-2"/>
        </w:rPr>
        <w:t>项目计算列示；折算后资产类项目与负债类项目和所有者权益类项目合计数的差额，作为外币报表折算差额，确认为其他综</w:t>
      </w:r>
      <w:r>
        <w:rPr>
          <w:spacing w:val="-63"/>
        </w:rPr>
        <w:t> </w:t>
      </w:r>
      <w:r>
        <w:rPr>
          <w:spacing w:val="-63"/>
        </w:rPr>
      </w:r>
      <w:r>
        <w:rPr>
          <w:spacing w:val="-2"/>
        </w:rPr>
        <w:t>合收益并在资产负债表中股东权益项目下单独列示。处置境外经营并丧失控制权时，将资产负债表中所有者权益项目下列示</w:t>
      </w:r>
      <w:r>
        <w:rPr>
          <w:spacing w:val="-65"/>
        </w:rPr>
        <w:t> </w:t>
      </w:r>
      <w:r>
        <w:rPr>
          <w:spacing w:val="-65"/>
        </w:rPr>
      </w:r>
      <w:r>
        <w:rPr/>
        <w:t>的、与该境外经营相关的外币报表折算差额，全部或按处置该境外经营的比例转入处置当期损益。</w:t>
      </w:r>
    </w:p>
    <w:p>
      <w:pPr>
        <w:pStyle w:val="BodyText"/>
        <w:spacing w:line="316" w:lineRule="auto" w:before="20"/>
        <w:ind w:left="475" w:right="94"/>
        <w:jc w:val="left"/>
      </w:pPr>
      <w:r>
        <w:rPr>
          <w:spacing w:val="-4"/>
        </w:rPr>
        <w:t>外币现金流量采用现金流量发生日的即期汇率折算。汇率变动对现金的影响额作为调节项目，在现金流量表中单独列报。</w:t>
      </w:r>
      <w:r>
        <w:rPr>
          <w:spacing w:val="-52"/>
        </w:rPr>
        <w:t> </w:t>
      </w:r>
      <w:r>
        <w:rPr>
          <w:spacing w:val="-52"/>
        </w:rPr>
      </w:r>
      <w:r>
        <w:rPr/>
        <w:t>年初数和上年实际数按照上年财务报表折算后的数额列示。</w:t>
      </w:r>
    </w:p>
    <w:p>
      <w:pPr>
        <w:spacing w:line="240" w:lineRule="auto" w:before="7"/>
        <w:rPr>
          <w:rFonts w:ascii="宋体" w:hAnsi="宋体" w:cs="宋体" w:eastAsia="宋体" w:hint="default"/>
          <w:sz w:val="17"/>
          <w:szCs w:val="17"/>
        </w:rPr>
      </w:pPr>
    </w:p>
    <w:p>
      <w:pPr>
        <w:pStyle w:val="Heading4"/>
        <w:spacing w:line="240" w:lineRule="auto"/>
        <w:ind w:left="119" w:right="9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）金融工具的分类</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91" w:firstLine="362"/>
        <w:jc w:val="both"/>
      </w:pPr>
      <w:r>
        <w:rPr>
          <w:spacing w:val="-2"/>
        </w:rPr>
        <w:t>以常规方式买卖金融资产，按交易日进行会计确认和终止确认。金融资产在初始确认时划分为以公允价值计量且其变动</w:t>
      </w:r>
      <w:r>
        <w:rPr/>
        <w:t> </w:t>
      </w:r>
      <w:r>
        <w:rPr>
          <w:spacing w:val="-4"/>
          <w:w w:val="95"/>
        </w:rPr>
        <w:t>计入当期损益的金融资产、持有至到期投资、贷款和应收款项以及可供出售金融资产。初始确认金融资产，以公允价值计量。</w:t>
      </w:r>
      <w:r>
        <w:rPr>
          <w:spacing w:val="-4"/>
        </w:rPr>
      </w:r>
    </w:p>
    <w:p>
      <w:pPr>
        <w:spacing w:after="0" w:line="316" w:lineRule="auto"/>
        <w:jc w:val="both"/>
        <w:sectPr>
          <w:pgSz w:w="11910" w:h="16840"/>
          <w:pgMar w:header="745" w:footer="979"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99"/>
        <w:jc w:val="left"/>
      </w:pPr>
      <w:bookmarkStart w:name="（2）金融工具的确认依据和计量方法" w:id="121"/>
      <w:bookmarkEnd w:id="121"/>
      <w:r>
        <w:rPr/>
      </w:r>
      <w:bookmarkStart w:name="（3）金融资产转移的确认依据和计量方法" w:id="122"/>
      <w:bookmarkEnd w:id="122"/>
      <w:r>
        <w:rPr/>
      </w:r>
      <w:r>
        <w:rPr>
          <w:spacing w:val="-2"/>
        </w:rPr>
        <w:t>对于以公允价值计量且其变动计入当期损益的金融资产，相关的交易费用直接计入当期损益，对于其他类别的金融资产，相</w:t>
      </w:r>
      <w:r>
        <w:rPr>
          <w:spacing w:val="-64"/>
        </w:rPr>
        <w:t> </w:t>
      </w:r>
      <w:r>
        <w:rPr>
          <w:spacing w:val="-64"/>
        </w:rPr>
      </w:r>
      <w:r>
        <w:rPr/>
        <w:t>关交易费用计入初始确认金额。</w:t>
      </w:r>
    </w:p>
    <w:p>
      <w:pPr>
        <w:spacing w:line="240" w:lineRule="auto" w:before="4"/>
        <w:rPr>
          <w:rFonts w:ascii="宋体" w:hAnsi="宋体" w:cs="宋体" w:eastAsia="宋体" w:hint="default"/>
          <w:sz w:val="17"/>
          <w:szCs w:val="17"/>
        </w:rPr>
      </w:pPr>
    </w:p>
    <w:p>
      <w:pPr>
        <w:pStyle w:val="Heading4"/>
        <w:spacing w:line="240" w:lineRule="auto"/>
        <w:ind w:right="99"/>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left="475" w:right="99"/>
        <w:jc w:val="left"/>
      </w:pPr>
      <w:r>
        <w:rPr/>
        <w:t>①以公允价值计量且其变动计入当期损益的金融资产 </w:t>
      </w:r>
      <w:r>
        <w:rPr>
          <w:spacing w:val="-2"/>
        </w:rPr>
        <w:t>包括交易性金融资产和指定为以公允价值计量且其变动计入当期损益的金融资产。本公司以公允价值计量且其变动计入</w:t>
      </w:r>
    </w:p>
    <w:p>
      <w:pPr>
        <w:pStyle w:val="BodyText"/>
        <w:spacing w:line="316" w:lineRule="auto" w:before="19"/>
        <w:ind w:left="475" w:right="99" w:hanging="363"/>
        <w:jc w:val="left"/>
      </w:pPr>
      <w:r>
        <w:rPr/>
        <w:t>当期损益的金融资产均为交易性金融资产。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取得该金融资产的目的，主要是为了近期内出售或回购；</w:t>
      </w:r>
      <w:r>
        <w:rPr>
          <w:rFonts w:ascii="Times New Roman" w:hAnsi="Times New Roman" w:cs="Times New Roman" w:eastAsia="Times New Roman" w:hint="default"/>
          <w:spacing w:val="-2"/>
        </w:rPr>
        <w:t>B.</w:t>
      </w:r>
      <w:r>
        <w:rPr>
          <w:spacing w:val="-2"/>
        </w:rPr>
        <w:t>属于</w:t>
      </w:r>
    </w:p>
    <w:p>
      <w:pPr>
        <w:pStyle w:val="BodyText"/>
        <w:spacing w:line="309" w:lineRule="auto"/>
        <w:ind w:right="112"/>
        <w:jc w:val="both"/>
      </w:pPr>
      <w:r>
        <w:rPr>
          <w:spacing w:val="-2"/>
        </w:rPr>
        <w:t>进行集中管理的可辨认金融工具组合的一部分，且有客观证据表明本公司近期采用短期获利方式对该组合进行管理；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w:t>
      </w:r>
      <w:r>
        <w:rPr>
          <w:spacing w:val="-49"/>
        </w:rPr>
        <w:t> </w:t>
      </w:r>
      <w:r>
        <w:rPr>
          <w:spacing w:val="-2"/>
        </w:rPr>
        <w:t>衍生工具，但是，被指定且为有效套期工具的衍生工具、属于财务担保合同的衍生工具、与在活跃市场中没有报价且其公允</w:t>
      </w:r>
      <w:r>
        <w:rPr>
          <w:spacing w:val="-66"/>
        </w:rPr>
        <w:t> </w:t>
      </w:r>
      <w:r>
        <w:rPr>
          <w:spacing w:val="-66"/>
        </w:rPr>
      </w:r>
      <w:r>
        <w:rPr/>
        <w:t>价值不能可靠计量的权益工具投资挂钩并须通过交付该权益工具结算的衍生工具除外。</w:t>
      </w:r>
    </w:p>
    <w:p>
      <w:pPr>
        <w:pStyle w:val="BodyText"/>
        <w:spacing w:line="316" w:lineRule="auto" w:before="24"/>
        <w:ind w:right="112" w:firstLine="362"/>
        <w:jc w:val="both"/>
      </w:pPr>
      <w:r>
        <w:rPr>
          <w:spacing w:val="-2"/>
        </w:rPr>
        <w:t>交易性金融资产采用公允价值进行后续计量，公允价值变动形成的利得或损失以及与该金融资产相关的股利和利息收入</w:t>
      </w:r>
      <w:r>
        <w:rPr/>
        <w:t> 计入当期损益。</w:t>
      </w:r>
    </w:p>
    <w:p>
      <w:pPr>
        <w:pStyle w:val="BodyText"/>
        <w:spacing w:line="316" w:lineRule="auto" w:before="19"/>
        <w:ind w:left="475" w:right="99"/>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99"/>
        <w:jc w:val="left"/>
      </w:pPr>
      <w:r>
        <w:rPr/>
        <w:t>当期损益。</w:t>
      </w:r>
    </w:p>
    <w:p>
      <w:pPr>
        <w:pStyle w:val="BodyText"/>
        <w:spacing w:line="316" w:lineRule="auto" w:before="76"/>
        <w:ind w:right="112" w:firstLine="362"/>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2" w:firstLine="362"/>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475" w:right="99"/>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475" w:right="99" w:hanging="363"/>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99"/>
        <w:jc w:val="left"/>
      </w:pPr>
      <w:r>
        <w:rPr/>
        <w:t>当期损益。</w:t>
      </w:r>
    </w:p>
    <w:p>
      <w:pPr>
        <w:pStyle w:val="BodyText"/>
        <w:spacing w:line="316" w:lineRule="auto" w:before="76"/>
        <w:ind w:left="475" w:right="99"/>
        <w:jc w:val="left"/>
      </w:pPr>
      <w:r>
        <w:rPr/>
        <w:t>④可供出售金融资产 </w:t>
      </w:r>
      <w:r>
        <w:rPr>
          <w:w w:val="95"/>
        </w:rPr>
        <w:t>包括初始确认时即被指定为可供出售的非衍生金融资产，以及除了以公允价值计量且其变动计入当期损益的金融资产、</w:t>
      </w:r>
      <w:r>
        <w:rPr/>
      </w:r>
    </w:p>
    <w:p>
      <w:pPr>
        <w:pStyle w:val="BodyText"/>
        <w:spacing w:line="316" w:lineRule="auto" w:before="19"/>
        <w:ind w:left="475" w:right="99" w:hanging="363"/>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before="19"/>
        <w:ind w:right="99"/>
        <w:jc w:val="left"/>
      </w:pPr>
      <w:r>
        <w:rPr>
          <w:spacing w:val="-2"/>
        </w:rPr>
        <w:t>摊余成本相关的汇兑差额计入当期损益外，确认为其他综合收益并计入资本公积，在该金融资产终止确认时转出，计入当期</w:t>
      </w:r>
      <w:r>
        <w:rPr>
          <w:spacing w:val="-65"/>
        </w:rPr>
        <w:t> </w:t>
      </w:r>
      <w:r>
        <w:rPr>
          <w:spacing w:val="-65"/>
        </w:rPr>
      </w:r>
      <w:r>
        <w:rPr/>
        <w:t>损益。</w:t>
      </w:r>
    </w:p>
    <w:p>
      <w:pPr>
        <w:pStyle w:val="BodyText"/>
        <w:spacing w:line="240" w:lineRule="auto" w:before="19"/>
        <w:ind w:left="475" w:right="99"/>
        <w:jc w:val="left"/>
      </w:pPr>
      <w:r>
        <w:rPr/>
        <w:t>可供出售金融资产持有期间取得的利息及被投资单位宣告发放的现金股利，计入投资收益。</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满足下列条件之一的金融资产，予以终止确认：①收取该金融资产现金流量的合同权利终止；②该金融资产已转移，且</w:t>
      </w:r>
      <w:r>
        <w:rPr/>
        <w:t> </w:t>
      </w:r>
      <w:r>
        <w:rPr>
          <w:spacing w:val="-2"/>
        </w:rPr>
        <w:t>将金融资产所有权上几乎所有的风险和报酬转移给转入方；③该金融资产已转移，虽然企业既没有转移也没有保留金融资产</w:t>
      </w:r>
      <w:r>
        <w:rPr>
          <w:spacing w:val="-65"/>
        </w:rPr>
        <w:t> </w:t>
      </w:r>
      <w:r>
        <w:rPr>
          <w:spacing w:val="-65"/>
        </w:rPr>
      </w:r>
      <w:r>
        <w:rPr/>
        <w:t>所有权上几乎所有的风险和报酬，但是放弃了对该金融资产控制。</w:t>
      </w:r>
    </w:p>
    <w:p>
      <w:pPr>
        <w:pStyle w:val="BodyText"/>
        <w:spacing w:line="316" w:lineRule="auto" w:before="19"/>
        <w:ind w:right="112" w:firstLine="362"/>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5"/>
        </w:rPr>
        <w:t> </w:t>
      </w:r>
      <w:r>
        <w:rPr>
          <w:spacing w:val="-65"/>
        </w:rPr>
      </w:r>
      <w:r>
        <w:rPr/>
        <w:t>值变动使企业面临的风险水平。</w:t>
      </w:r>
    </w:p>
    <w:p>
      <w:pPr>
        <w:spacing w:after="0" w:line="316" w:lineRule="auto"/>
        <w:jc w:val="both"/>
        <w:sectPr>
          <w:footerReference w:type="default" r:id="rId24"/>
          <w:pgSz w:w="11910" w:h="16840"/>
          <w:pgMar w:footer="979" w:header="745" w:top="1060" w:bottom="1160" w:left="1020" w:right="1020"/>
          <w:pgNumType w:start="64"/>
        </w:sectPr>
      </w:pPr>
    </w:p>
    <w:p>
      <w:pPr>
        <w:spacing w:line="240" w:lineRule="auto" w:before="12"/>
        <w:rPr>
          <w:rFonts w:ascii="宋体" w:hAnsi="宋体" w:cs="宋体" w:eastAsia="宋体" w:hint="default"/>
          <w:sz w:val="25"/>
          <w:szCs w:val="25"/>
        </w:rPr>
      </w:pPr>
    </w:p>
    <w:p>
      <w:pPr>
        <w:pStyle w:val="BodyText"/>
        <w:spacing w:line="316" w:lineRule="auto" w:before="44"/>
        <w:ind w:right="112" w:firstLine="362"/>
        <w:jc w:val="both"/>
      </w:pPr>
      <w:bookmarkStart w:name="（4）金融负债终止确认条件" w:id="123"/>
      <w:bookmarkEnd w:id="123"/>
      <w:r>
        <w:rPr/>
      </w:r>
      <w:bookmarkStart w:name="（5）金融资产和金融负债公允价值的确定方法" w:id="124"/>
      <w:bookmarkEnd w:id="124"/>
      <w:r>
        <w:rPr/>
      </w:r>
      <w:bookmarkStart w:name="（6）金融资产（不含应收款项）减值测试方法、减值准备计提方法" w:id="125"/>
      <w:bookmarkEnd w:id="125"/>
      <w:r>
        <w:rPr/>
      </w:r>
      <w:bookmarkStart w:name="（7）将尚未到期的持有至到期投资重分类为可供出售金融资产的，说明持有意图或能力发" w:id="126"/>
      <w:bookmarkEnd w:id="126"/>
      <w:r>
        <w:rPr/>
      </w:r>
      <w:bookmarkStart w:name="10、应收款项坏账准备的确认标准和计提方法" w:id="127"/>
      <w:bookmarkEnd w:id="127"/>
      <w:r>
        <w:rPr/>
      </w: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12" w:firstLine="362"/>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spacing w:line="240" w:lineRule="auto" w:before="4"/>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）金融资产和金融负债公允价值的确定方法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2" w:firstLine="362"/>
        <w:jc w:val="both"/>
      </w:pPr>
      <w:r>
        <w:rPr>
          <w:spacing w:val="-2"/>
        </w:rPr>
        <w:t>公允价值，指在公平交易中，熟悉情况的交易双方自愿进行资产交换或债务清偿的金额。金融工具存在活跃市场的，本</w:t>
      </w:r>
      <w:r>
        <w:rPr/>
        <w:t> </w:t>
      </w:r>
      <w:r>
        <w:rPr>
          <w:spacing w:val="-2"/>
        </w:rPr>
        <w:t>公司采用活跃市场中的报价确定其公允价值。活跃市场中的报价是指易于定期从交易所、经纪商、行业协会、定价服务机构</w:t>
      </w:r>
      <w:r>
        <w:rPr>
          <w:spacing w:val="-66"/>
        </w:rPr>
        <w:t> </w:t>
      </w:r>
      <w:r>
        <w:rPr>
          <w:spacing w:val="-66"/>
        </w:rPr>
      </w:r>
      <w:r>
        <w:rPr>
          <w:spacing w:val="-2"/>
        </w:rPr>
        <w:t>等获得的价格，且代表了在公平交易中实际发生的市场交易的价格。金融工具不存在活跃市场的，本公司采用估值技术确定</w:t>
      </w:r>
      <w:r>
        <w:rPr>
          <w:spacing w:val="-65"/>
        </w:rPr>
        <w:t> </w:t>
      </w:r>
      <w:r>
        <w:rPr>
          <w:spacing w:val="-65"/>
        </w:rPr>
      </w:r>
      <w:r>
        <w:rPr>
          <w:spacing w:val="-2"/>
        </w:rPr>
        <w:t>其公允价值。估值技术包括参考熟悉情况并自愿交易的各方最近进行的市场交易中使用的价格、参照实质上相同的其他金融</w:t>
      </w:r>
      <w:r>
        <w:rPr>
          <w:spacing w:val="-64"/>
        </w:rPr>
        <w:t> </w:t>
      </w:r>
      <w:r>
        <w:rPr>
          <w:spacing w:val="-64"/>
        </w:rPr>
      </w:r>
      <w:r>
        <w:rPr/>
        <w:t>工具当前的公允价值、现金流量折现法和期权定价模型等。</w:t>
      </w:r>
    </w:p>
    <w:p>
      <w:pPr>
        <w:spacing w:line="240" w:lineRule="auto" w:before="2"/>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除了以公允价值计量且其变动计入当期损益的金融资产外，本公司在每个资产负债表日对其他金融资产的账面价值进行</w:t>
      </w:r>
      <w:r>
        <w:rPr/>
        <w:t> 检查，有客观证据表明金融资产发生减值的，计提减值准备。</w:t>
      </w:r>
    </w:p>
    <w:p>
      <w:pPr>
        <w:pStyle w:val="BodyText"/>
        <w:spacing w:line="316" w:lineRule="auto" w:before="19"/>
        <w:ind w:right="112" w:firstLine="362"/>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5"/>
        </w:rPr>
        <w:t> </w:t>
      </w:r>
      <w:r>
        <w:rPr>
          <w:spacing w:val="-65"/>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475" w:right="99"/>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2"/>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475" w:right="99"/>
        <w:jc w:val="left"/>
      </w:pPr>
      <w:r>
        <w:rPr/>
        <w:t>②可供出售金融资产减值 </w:t>
      </w:r>
      <w:r>
        <w:rPr>
          <w:spacing w:val="-2"/>
        </w:rPr>
        <w:t>可供出售金融资产发生减值时，将原计入资本公积的因公允价值下降形成的累计损失予以转出并计入当期损益，该转出</w:t>
      </w:r>
    </w:p>
    <w:p>
      <w:pPr>
        <w:pStyle w:val="BodyText"/>
        <w:spacing w:line="316" w:lineRule="auto" w:before="19"/>
        <w:ind w:left="475" w:right="99" w:hanging="363"/>
        <w:jc w:val="left"/>
      </w:pP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99"/>
        <w:jc w:val="left"/>
      </w:pPr>
      <w:r>
        <w:rPr>
          <w:spacing w:val="-2"/>
        </w:rPr>
        <w:t>的减值损失予以转回，可供出售权益工具投资的减值损失转回确认为其他综合收益，可供出售债务工具的减值损失转回计入</w:t>
      </w:r>
      <w:r>
        <w:rPr>
          <w:spacing w:val="-65"/>
        </w:rPr>
        <w:t> </w:t>
      </w:r>
      <w:r>
        <w:rPr>
          <w:spacing w:val="-65"/>
        </w:rPr>
      </w:r>
      <w:r>
        <w:rPr/>
        <w:t>当期损益。</w:t>
      </w:r>
    </w:p>
    <w:p>
      <w:pPr>
        <w:pStyle w:val="BodyText"/>
        <w:spacing w:line="316" w:lineRule="auto" w:before="19"/>
        <w:ind w:right="112" w:firstLine="362"/>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、应收款项坏账准备的确认标准和计提方法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left="475" w:right="99"/>
        <w:jc w:val="left"/>
      </w:pPr>
      <w:r>
        <w:rPr/>
        <w:t>应收款项包括应收账款、其他应收款等。 </w:t>
      </w:r>
      <w:r>
        <w:rPr>
          <w:w w:val="95"/>
        </w:rPr>
        <w:t>本公司在资产负债表日对应收款项账面价值进行检查，对存在下列客观证据表明应收款项发生减值的，计提减值准备：</w:t>
      </w:r>
      <w:r>
        <w:rPr/>
      </w:r>
    </w:p>
    <w:p>
      <w:pPr>
        <w:pStyle w:val="BodyText"/>
        <w:spacing w:line="240" w:lineRule="auto" w:before="19"/>
        <w:ind w:right="0"/>
        <w:jc w:val="both"/>
      </w:pPr>
      <w:r>
        <w:rPr>
          <w:spacing w:val="-2"/>
        </w:rPr>
        <w:t>①债务人发生严重的财务困难；②债务人违反合同条款（如偿付利息或本金发生违约或逾期等）；③债务人很可能倒闭或进</w:t>
      </w:r>
    </w:p>
    <w:p>
      <w:pPr>
        <w:spacing w:after="0" w:line="240" w:lineRule="auto"/>
        <w:jc w:val="both"/>
        <w:sectPr>
          <w:footerReference w:type="default" r:id="rId25"/>
          <w:pgSz w:w="11910" w:h="16840"/>
          <w:pgMar w:footer="979" w:header="745" w:top="1060" w:bottom="1160" w:left="1020" w:right="1020"/>
          <w:pgNumType w:start="65"/>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bookmarkStart w:name="（1）单项金额重大的应收款项坏账准备" w:id="128"/>
      <w:bookmarkEnd w:id="128"/>
      <w:r>
        <w:rPr/>
      </w:r>
      <w:bookmarkStart w:name="（2）按组合计提坏账准备的应收款项" w:id="129"/>
      <w:bookmarkEnd w:id="129"/>
      <w:r>
        <w:rPr/>
      </w:r>
      <w:r>
        <w:rPr/>
        <w:t>行其他财务重组；④其他表明应收款项发生减值的客观依据。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5"/>
        <w:ind w:right="99"/>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5054"/>
        <w:gridCol w:w="4514"/>
      </w:tblGrid>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万元以上的应收款项确认为单 项金额重大的应收款项。</w:t>
            </w:r>
          </w:p>
        </w:tc>
      </w:tr>
      <w:tr>
        <w:trPr>
          <w:trHeight w:val="355" w:hRule="exact"/>
        </w:trPr>
        <w:tc>
          <w:tcPr>
            <w:tcW w:w="5054"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本公司对单项金额重大的应收款项单独进行减值测试，单</w:t>
            </w:r>
          </w:p>
        </w:tc>
      </w:tr>
      <w:tr>
        <w:trPr>
          <w:trHeight w:val="312" w:hRule="exact"/>
        </w:trPr>
        <w:tc>
          <w:tcPr>
            <w:tcW w:w="5054" w:type="dxa"/>
            <w:tcBorders>
              <w:top w:val="nil" w:sz="6" w:space="0" w:color="auto"/>
              <w:left w:val="single" w:sz="4" w:space="0" w:color="000000"/>
              <w:bottom w:val="nil" w:sz="6" w:space="0" w:color="auto"/>
              <w:right w:val="single" w:sz="4" w:space="0" w:color="000000"/>
            </w:tcBorders>
            <w:shd w:val="clear" w:color="auto" w:fill="D3D3D3"/>
          </w:tcPr>
          <w:p>
            <w:pP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独测试未发生减值的金融资产，包括在具有类似信用风险</w:t>
            </w:r>
          </w:p>
        </w:tc>
      </w:tr>
      <w:tr>
        <w:trPr>
          <w:trHeight w:val="312" w:hRule="exact"/>
        </w:trPr>
        <w:tc>
          <w:tcPr>
            <w:tcW w:w="50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特征的金融资产组合中进行减值测试。单项测试已确认减</w:t>
            </w:r>
          </w:p>
        </w:tc>
      </w:tr>
      <w:tr>
        <w:trPr>
          <w:trHeight w:val="312" w:hRule="exact"/>
        </w:trPr>
        <w:tc>
          <w:tcPr>
            <w:tcW w:w="5054" w:type="dxa"/>
            <w:tcBorders>
              <w:top w:val="nil" w:sz="6" w:space="0" w:color="auto"/>
              <w:left w:val="single" w:sz="4" w:space="0" w:color="000000"/>
              <w:bottom w:val="nil" w:sz="6" w:space="0" w:color="auto"/>
              <w:right w:val="single" w:sz="4" w:space="0" w:color="000000"/>
            </w:tcBorders>
            <w:shd w:val="clear" w:color="auto" w:fill="D3D3D3"/>
          </w:tcPr>
          <w:p>
            <w:pPr/>
          </w:p>
        </w:tc>
        <w:tc>
          <w:tcPr>
            <w:tcW w:w="4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值损失的应收款项，不再包括在具有类似信用风险特征的</w:t>
            </w:r>
          </w:p>
        </w:tc>
      </w:tr>
      <w:tr>
        <w:trPr>
          <w:trHeight w:val="357" w:hRule="exact"/>
        </w:trPr>
        <w:tc>
          <w:tcPr>
            <w:tcW w:w="5054"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应收款项组合中进行减值测试。</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）按组合计提坏账准备的应收款项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599"/>
        <w:gridCol w:w="2186"/>
        <w:gridCol w:w="4783"/>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合并范围内的关联方组合</w:t>
            </w:r>
          </w:p>
        </w:tc>
        <w:tc>
          <w:tcPr>
            <w:tcW w:w="2186" w:type="dxa"/>
            <w:tcBorders>
              <w:top w:val="single" w:sz="4" w:space="0" w:color="000000"/>
              <w:left w:val="single" w:sz="4" w:space="0" w:color="000000"/>
              <w:bottom w:val="single" w:sz="4" w:space="0" w:color="000000"/>
              <w:right w:val="single" w:sz="4" w:space="0" w:color="000000"/>
            </w:tcBorders>
          </w:tcPr>
          <w:p>
            <w:pP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以债务人是否为南天信息合并范围内的关联方为信用风险特 征划分组合</w:t>
            </w:r>
          </w:p>
        </w:tc>
      </w:tr>
    </w:tbl>
    <w:p>
      <w:pPr>
        <w:pStyle w:val="BodyText"/>
        <w:spacing w:line="240" w:lineRule="auto" w:before="51"/>
        <w:ind w:right="99"/>
        <w:jc w:val="left"/>
      </w:pPr>
      <w:r>
        <w:rPr/>
        <w:t>组合中，采用账龄分析法计提坏账准备的</w:t>
      </w:r>
    </w:p>
    <w:p>
      <w:pPr>
        <w:pStyle w:val="BodyText"/>
        <w:spacing w:line="240" w:lineRule="auto" w:before="117"/>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99"/>
        <w:gridCol w:w="2976"/>
        <w:gridCol w:w="3994"/>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个月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个月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 </w:t>
            </w:r>
            <w:r>
              <w:rPr>
                <w:rFonts w:ascii="宋体" w:hAnsi="宋体" w:cs="宋体" w:eastAsia="宋体" w:hint="default"/>
                <w:sz w:val="18"/>
                <w:szCs w:val="18"/>
              </w:rPr>
              <w:t>个月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599"/>
        <w:gridCol w:w="2976"/>
        <w:gridCol w:w="3994"/>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3）单项金额虽不重大但单项计提坏账准备的应收账款" w:id="130"/>
            <w:bookmarkEnd w:id="130"/>
            <w:r>
              <w:rPr/>
            </w:r>
            <w:bookmarkStart w:name="11、存货" w:id="131"/>
            <w:bookmarkEnd w:id="131"/>
            <w:r>
              <w:rPr/>
            </w:r>
            <w:bookmarkStart w:name="（1）存货的分类" w:id="132"/>
            <w:bookmarkEnd w:id="132"/>
            <w:r>
              <w:rPr/>
            </w:r>
            <w:bookmarkStart w:name="（2）发出存货的计价方法" w:id="133"/>
            <w:bookmarkEnd w:id="133"/>
            <w:r>
              <w:rPr/>
            </w:r>
            <w:bookmarkStart w:name="（3）存货可变现净值的确定依据及存货跌价准备的计提方法" w:id="134"/>
            <w:bookmarkEnd w:id="134"/>
            <w:r>
              <w:rPr/>
            </w:r>
            <w:bookmarkStart w:name="（4）存货的盘存制度" w:id="135"/>
            <w:bookmarkEnd w:id="135"/>
            <w:r>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94"/>
        <w:jc w:val="left"/>
      </w:pPr>
      <w:r>
        <w:rPr/>
        <w:t>组合中，采用余额百分比法计提坏账准备的</w:t>
      </w:r>
    </w:p>
    <w:p>
      <w:pPr>
        <w:pStyle w:val="BodyText"/>
        <w:spacing w:line="338" w:lineRule="auto" w:before="117"/>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355"/>
        <w:gridCol w:w="6214"/>
      </w:tblGrid>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本公司对于单项金额虽不重大但具备以下特征的应收款项，单独进行减值测试</w:t>
            </w:r>
          </w:p>
        </w:tc>
      </w:tr>
      <w:tr>
        <w:trPr>
          <w:trHeight w:val="1337"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有客观证据表明其发生了减值的，根据其未来现金流量现值低于其账面价值的 差额，确认减值损失，计提坏账准备。这些特征包括与对方存在争议或涉及诉 讼、仲裁的应收款项；已有明显迹象表明债务人很可能无法履行还款义务的应 收款项等。</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存货主要包括原材料、在产品及周转材料、在途物资、库存商品等。</w:t>
      </w:r>
    </w:p>
    <w:p>
      <w:pPr>
        <w:spacing w:line="240" w:lineRule="auto" w:before="12"/>
        <w:rPr>
          <w:rFonts w:ascii="宋体" w:hAnsi="宋体" w:cs="宋体" w:eastAsia="宋体" w:hint="default"/>
          <w:sz w:val="21"/>
          <w:szCs w:val="21"/>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4"/>
        <w:jc w:val="left"/>
      </w:pPr>
      <w:r>
        <w:rPr/>
        <w:t>计价方法：加权平均法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 w:firstLine="362"/>
        <w:jc w:val="left"/>
      </w:pPr>
      <w:r>
        <w:rPr>
          <w:spacing w:val="-2"/>
        </w:rPr>
        <w:t>可变现净值是指在日常活动中，存货的估计售价减去至完工时估计将要发生的成本、估计的销售费用以及相关税费后的</w:t>
      </w:r>
      <w:r>
        <w:rPr/>
        <w:t> 金额。在确定存货的可变现净值时，以取得的确凿证据为基础，同时考虑持有存货的目的以及资产负债表日后事项的影响。</w:t>
      </w:r>
    </w:p>
    <w:p>
      <w:pPr>
        <w:pStyle w:val="BodyText"/>
        <w:spacing w:line="316" w:lineRule="auto" w:before="19"/>
        <w:ind w:left="107" w:right="94" w:firstLine="362"/>
        <w:jc w:val="left"/>
        <w:rPr>
          <w:rFonts w:ascii="宋体" w:hAnsi="宋体" w:cs="宋体" w:eastAsia="宋体" w:hint="default"/>
        </w:rPr>
      </w:pPr>
      <w:r>
        <w:rPr>
          <w:rFonts w:ascii="宋体" w:hAnsi="宋体" w:cs="宋体" w:eastAsia="宋体" w:hint="default"/>
          <w:spacing w:val="-8"/>
        </w:rPr>
        <w:t>在资产负债表日，存货按照成本与可变现净值孰低计量。当其可变现净值低于成本时，提取存货跌价准备。存货跌价准</w:t>
      </w:r>
      <w:r>
        <w:rPr>
          <w:rFonts w:ascii="宋体" w:hAnsi="宋体" w:cs="宋体" w:eastAsia="宋体" w:hint="default"/>
        </w:rPr>
        <w:t> 备通常按单个存货项目的成本高于其可变现净值的差额提取。</w:t>
      </w:r>
    </w:p>
    <w:p>
      <w:pPr>
        <w:pStyle w:val="BodyText"/>
        <w:spacing w:line="316" w:lineRule="auto" w:before="19"/>
        <w:ind w:right="94" w:firstLine="362"/>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line="240" w:lineRule="auto" w:before="7"/>
        <w:rPr>
          <w:rFonts w:ascii="宋体" w:hAnsi="宋体" w:cs="宋体" w:eastAsia="宋体" w:hint="default"/>
          <w:sz w:val="17"/>
          <w:szCs w:val="17"/>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4"/>
        <w:jc w:val="left"/>
      </w:pPr>
      <w:r>
        <w:rPr/>
        <w:t>盘存制度：永续盘存制</w:t>
      </w:r>
    </w:p>
    <w:p>
      <w:pPr>
        <w:spacing w:after="0" w:line="240" w:lineRule="auto"/>
        <w:jc w:val="left"/>
        <w:sectPr>
          <w:pgSz w:w="11910" w:h="16840"/>
          <w:pgMar w:header="745" w:footer="979" w:top="1060" w:bottom="1160" w:left="1020" w:right="94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5）低值易耗品和包装物的摊销方法" w:id="136"/>
      <w:bookmarkEnd w:id="136"/>
      <w:r>
        <w:rPr>
          <w:b w:val="0"/>
          <w:bCs w:val="0"/>
        </w:rPr>
      </w:r>
      <w:bookmarkStart w:name="12、长期股权投资" w:id="137"/>
      <w:bookmarkEnd w:id="137"/>
      <w:r>
        <w:rPr>
          <w:b w:val="0"/>
          <w:bCs w:val="0"/>
        </w:rPr>
      </w:r>
      <w:bookmarkStart w:name="（1）投资成本的确定" w:id="138"/>
      <w:bookmarkEnd w:id="138"/>
      <w:r>
        <w:rPr>
          <w:b w:val="0"/>
          <w:bCs w:val="0"/>
        </w:rPr>
      </w:r>
      <w:bookmarkStart w:name="（2）后续计量及损益确认" w:id="139"/>
      <w:bookmarkEnd w:id="139"/>
      <w:r>
        <w:rPr>
          <w:b w:val="0"/>
          <w:bCs w:val="0"/>
        </w:rPr>
      </w: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60" w:lineRule="auto"/>
        <w:ind w:right="7934"/>
        <w:jc w:val="left"/>
      </w:pPr>
      <w:r>
        <w:rPr/>
        <w:t>低值易耗品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60" w:lineRule="auto"/>
        <w:ind w:right="7934"/>
        <w:jc w:val="left"/>
      </w:pPr>
      <w:r>
        <w:rPr/>
        <w:t>包装物 摊销方法：一次摊销法</w:t>
      </w:r>
    </w:p>
    <w:p>
      <w:pPr>
        <w:spacing w:line="240" w:lineRule="auto" w:before="11"/>
        <w:rPr>
          <w:rFonts w:ascii="宋体" w:hAnsi="宋体" w:cs="宋体" w:eastAsia="宋体" w:hint="default"/>
          <w:sz w:val="14"/>
          <w:szCs w:val="14"/>
        </w:rPr>
      </w:pPr>
    </w:p>
    <w:p>
      <w:pPr>
        <w:pStyle w:val="Heading4"/>
        <w:spacing w:line="240" w:lineRule="auto"/>
        <w:ind w:left="119" w:right="99"/>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）投资成本的确定</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对于企业合并形成的长期股权投资，如为同一控制下的企业合并取得的长期股权投资，在合并日按照取得被合并方所有</w:t>
      </w:r>
      <w:r>
        <w:rPr/>
        <w:t> </w:t>
      </w:r>
      <w:r>
        <w:rPr>
          <w:spacing w:val="-2"/>
        </w:rPr>
        <w:t>者权益账面价值的份额作为初始投资成本。通过非同一控制下的企业合并取得的长期股权投资，企业合并成本包括购买方付</w:t>
      </w:r>
      <w:r>
        <w:rPr>
          <w:spacing w:val="-64"/>
        </w:rPr>
        <w:t> </w:t>
      </w:r>
      <w:r>
        <w:rPr>
          <w:spacing w:val="-64"/>
        </w:rPr>
      </w:r>
      <w:r>
        <w:rPr>
          <w:spacing w:val="-2"/>
        </w:rPr>
        <w:t>出的资产、发生或承担的负债、发行的权益性证券的公允价值之和；购买方为企业合并发生的审计、法律服务、评估咨询等</w:t>
      </w:r>
      <w:r>
        <w:rPr>
          <w:spacing w:val="-65"/>
        </w:rPr>
        <w:t> </w:t>
      </w:r>
      <w:r>
        <w:rPr>
          <w:spacing w:val="-65"/>
        </w:rPr>
      </w:r>
      <w:r>
        <w:rPr>
          <w:spacing w:val="-2"/>
        </w:rPr>
        <w:t>中介费用以及其他相关管理费用，应当于发生时计入当期损益；购买方作为合并对价发行的权益性证券或债务性证券的交易</w:t>
      </w:r>
      <w:r>
        <w:rPr>
          <w:spacing w:val="-65"/>
        </w:rPr>
        <w:t> </w:t>
      </w:r>
      <w:r>
        <w:rPr>
          <w:spacing w:val="-65"/>
        </w:rPr>
      </w:r>
      <w:r>
        <w:rPr/>
        <w:t>费用，应当计入权益性证券或债务性证券的初始确认金额。</w:t>
      </w:r>
      <w:r>
        <w:rPr>
          <w:spacing w:val="8"/>
        </w:rPr>
        <w:t> </w:t>
      </w:r>
      <w:r>
        <w:rPr/>
        <w:t>除企业合并形成的长期股权投资外的其他股权投资，按成本</w:t>
      </w:r>
      <w:r>
        <w:rPr/>
        <w:t> </w:t>
      </w:r>
      <w:r>
        <w:rPr>
          <w:spacing w:val="-2"/>
        </w:rPr>
        <w:t>进行初始计量，该成本视长期股权投资取得方式的不同，分别按照本公司实际支付的现金购买价款、本公司发行的权益性证</w:t>
      </w:r>
      <w:r>
        <w:rPr>
          <w:spacing w:val="-65"/>
        </w:rPr>
        <w:t> </w:t>
      </w:r>
      <w:r>
        <w:rPr>
          <w:spacing w:val="-65"/>
        </w:rPr>
      </w:r>
      <w:r>
        <w:rPr>
          <w:spacing w:val="-2"/>
        </w:rPr>
        <w:t>券的公允价值、投资合同或协议约定的价值、非货币性资产交换交易中换出资产的公允价值或原账面价值、该项长期股权投</w:t>
      </w:r>
      <w:r>
        <w:rPr>
          <w:spacing w:val="-65"/>
        </w:rPr>
        <w:t> </w:t>
      </w:r>
      <w:r>
        <w:rPr>
          <w:spacing w:val="-65"/>
        </w:rPr>
      </w:r>
      <w:r>
        <w:rPr/>
        <w:t>资自身的公允价值等方式确定。与取得长期股权投资直接相关的费用、税金及其他必要支出也计入投资成本。</w:t>
      </w:r>
    </w:p>
    <w:p>
      <w:pPr>
        <w:spacing w:line="240" w:lineRule="auto" w:before="4"/>
        <w:rPr>
          <w:rFonts w:ascii="宋体" w:hAnsi="宋体" w:cs="宋体" w:eastAsia="宋体" w:hint="default"/>
          <w:sz w:val="17"/>
          <w:szCs w:val="17"/>
        </w:rPr>
      </w:pPr>
    </w:p>
    <w:p>
      <w:pPr>
        <w:pStyle w:val="Heading4"/>
        <w:spacing w:line="240" w:lineRule="auto"/>
        <w:ind w:right="99"/>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tabs>
          <w:tab w:pos="1691" w:val="left" w:leader="none"/>
          <w:tab w:pos="3311" w:val="left" w:leader="none"/>
          <w:tab w:pos="4391" w:val="left" w:leader="none"/>
          <w:tab w:pos="5111" w:val="left" w:leader="none"/>
          <w:tab w:pos="5335" w:val="left" w:leader="none"/>
          <w:tab w:pos="5651" w:val="left" w:leader="none"/>
          <w:tab w:pos="7091" w:val="left" w:leader="none"/>
          <w:tab w:pos="7259" w:val="left" w:leader="none"/>
          <w:tab w:pos="7811" w:val="left" w:leader="none"/>
        </w:tabs>
        <w:spacing w:line="316" w:lineRule="auto"/>
        <w:ind w:right="112" w:firstLine="362"/>
        <w:jc w:val="left"/>
      </w:pPr>
      <w:r>
        <w:rPr>
          <w:spacing w:val="-2"/>
        </w:rPr>
        <w:t>对被投资单位不具有共同控制或重大影响并且在活跃市场中没有报价、公允价值不能可靠计量的长期股权投资，采用成</w:t>
      </w:r>
      <w:r>
        <w:rPr/>
        <w:t> </w:t>
      </w:r>
      <w:r>
        <w:rPr>
          <w:spacing w:val="-2"/>
        </w:rPr>
        <w:t>本法核算；对被投资单位具有共同控制或重大影响的长期股权投资，采用权益法核算；对被投资单位不具有控制、共同控制</w:t>
      </w:r>
      <w:r>
        <w:rPr>
          <w:spacing w:val="-66"/>
        </w:rPr>
        <w:t> </w:t>
      </w:r>
      <w:r>
        <w:rPr>
          <w:spacing w:val="-66"/>
        </w:rPr>
      </w:r>
      <w:r>
        <w:rPr>
          <w:spacing w:val="-1"/>
        </w:rPr>
        <w:t>或重大影响并且公允价值能够可靠计量的长期股权投资，作为可供出售金融资产核算。</w:t>
        <w:tab/>
        <w:tab/>
      </w:r>
      <w:r>
        <w:rPr>
          <w:spacing w:val="-3"/>
        </w:rPr>
        <w:t>此外，公司财务报表采用成本法</w:t>
      </w:r>
      <w:r>
        <w:rPr>
          <w:spacing w:val="-77"/>
        </w:rPr>
        <w:t> </w:t>
      </w:r>
      <w:r>
        <w:rPr>
          <w:spacing w:val="-77"/>
        </w:rPr>
      </w:r>
      <w:r>
        <w:rPr/>
        <w:t>核算能够对被投资单位实施控制的长期股权投资。</w:t>
        <w:tab/>
        <w:t>①成本法核算的长期股权投资</w:t>
        <w:tab/>
      </w:r>
      <w:r>
        <w:rPr>
          <w:spacing w:val="-3"/>
        </w:rPr>
        <w:t>采用成本法核算时，长期股权投资</w:t>
      </w:r>
      <w:r>
        <w:rPr>
          <w:spacing w:val="-86"/>
        </w:rPr>
        <w:t> </w:t>
      </w:r>
      <w:r>
        <w:rPr>
          <w:spacing w:val="-86"/>
        </w:rPr>
      </w:r>
      <w:r>
        <w:rPr>
          <w:spacing w:val="-2"/>
        </w:rPr>
        <w:t>按初始投资成本计价，除取得投资时实际支付的价款或者对价中包含的已宣告但尚未发放的现金股利或者利润外，当期投资</w:t>
      </w:r>
      <w:r>
        <w:rPr>
          <w:spacing w:val="-65"/>
        </w:rPr>
        <w:t> </w:t>
      </w:r>
      <w:r>
        <w:rPr>
          <w:spacing w:val="-65"/>
        </w:rPr>
      </w:r>
      <w:r>
        <w:rPr/>
        <w:t>收益按照享有被投资单位宣告发放的现金股利或利润确认。</w:t>
        <w:tab/>
        <w:t>②权益法核算的长期股权投资</w:t>
        <w:tab/>
      </w:r>
      <w:r>
        <w:rPr>
          <w:spacing w:val="-4"/>
        </w:rPr>
        <w:t>采用权益法核算时，长期</w:t>
      </w:r>
      <w:r>
        <w:rPr>
          <w:spacing w:val="-87"/>
        </w:rPr>
        <w:t> </w:t>
      </w:r>
      <w:r>
        <w:rPr>
          <w:spacing w:val="-87"/>
        </w:rPr>
      </w:r>
      <w:r>
        <w:rPr/>
        <w:t>股权投资的初始投资成本大于投资时应享有被投资单位可辨认净资产公允价值份额的，不调整长期股权投资的初始投资成 </w:t>
      </w:r>
      <w:r>
        <w:rPr>
          <w:spacing w:val="-2"/>
        </w:rPr>
        <w:t>本；初始投资成本小于投资时应享有被投资单位可辨认净资产公允价值份额的，其差额计入当期损益，同时调整长期股权投</w:t>
      </w:r>
      <w:r>
        <w:rPr>
          <w:spacing w:val="-65"/>
        </w:rPr>
        <w:t> </w:t>
      </w:r>
      <w:r>
        <w:rPr>
          <w:spacing w:val="-65"/>
        </w:rPr>
      </w:r>
      <w:r>
        <w:rPr>
          <w:spacing w:val="-2"/>
        </w:rPr>
        <w:t>资的成本。采用权益法核算时，当期投资损益为应享有或应分担的被投资单位当年实现的净损益的份额。在确认应享有被投</w:t>
      </w:r>
      <w:r>
        <w:rPr>
          <w:spacing w:val="-65"/>
        </w:rPr>
        <w:t> </w:t>
      </w:r>
      <w:r>
        <w:rPr>
          <w:spacing w:val="-65"/>
        </w:rPr>
      </w:r>
      <w:r>
        <w:rPr>
          <w:spacing w:val="-2"/>
        </w:rPr>
        <w:t>资单位净损益的份额时，以取得投资时被投资单位各项可辨认资产等的公允价值为基础，并按照本公司的会计政策及会计期</w:t>
      </w:r>
      <w:r>
        <w:rPr>
          <w:spacing w:val="-65"/>
        </w:rPr>
        <w:t> </w:t>
      </w:r>
      <w:r>
        <w:rPr>
          <w:spacing w:val="-65"/>
        </w:rPr>
      </w:r>
      <w:r>
        <w:rPr>
          <w:spacing w:val="-2"/>
        </w:rPr>
        <w:t>间，对被投资单位的净利润进行调整后确认。对于本公司与联营企业及合营之间发生的未实现内部交易损益，按照持股比例</w:t>
      </w:r>
      <w:r>
        <w:rPr>
          <w:spacing w:val="-65"/>
        </w:rPr>
        <w:t> </w:t>
      </w:r>
      <w:r>
        <w:rPr>
          <w:spacing w:val="-65"/>
        </w:rPr>
      </w:r>
      <w:r>
        <w:rPr>
          <w:spacing w:val="-2"/>
        </w:rPr>
        <w:t>计算属于本公司的部分予以抵销，在此基础上确认投资损益。但本公司与被投资单位发生的未实现内部交易损失，按照《企</w:t>
      </w:r>
      <w:r>
        <w:rPr>
          <w:spacing w:val="-66"/>
        </w:rPr>
        <w:t> </w:t>
      </w:r>
      <w:r>
        <w:rPr>
          <w:spacing w:val="-66"/>
        </w:rPr>
      </w:r>
      <w:r>
        <w:rPr/>
        <w:t>业会计准则第</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2"/>
        </w:rPr>
        <w:t>号</w:t>
      </w:r>
      <w:r>
        <w:rPr>
          <w:rFonts w:ascii="Times New Roman" w:hAnsi="Times New Roman" w:cs="Times New Roman" w:eastAsia="Times New Roman" w:hint="default"/>
          <w:spacing w:val="-2"/>
        </w:rPr>
        <w:t>——</w:t>
      </w:r>
      <w:r>
        <w:rPr>
          <w:spacing w:val="-2"/>
        </w:rPr>
        <w:t>资产减值》等规定属于所转让资产减值损失的，不予以抵销。对被投资单位的其他综合收益，相应调</w:t>
      </w:r>
      <w:r>
        <w:rPr/>
        <w:t> 整长期股权投资的账面价值确认为其他综合收益并计入资本公积。</w:t>
        <w:tab/>
        <w:t>在确认应分担被投资单位发生的净亏损时，以长期股 </w:t>
      </w:r>
      <w:r>
        <w:rPr>
          <w:spacing w:val="-2"/>
        </w:rPr>
        <w:t>权投资的账面价值和其他实质上构成对被投资单位净投资的长期权益减记至零为限。此外，如本公司对被投资单位负有承担</w:t>
      </w:r>
      <w:r>
        <w:rPr>
          <w:spacing w:val="-64"/>
        </w:rPr>
        <w:t> </w:t>
      </w:r>
      <w:r>
        <w:rPr>
          <w:spacing w:val="-64"/>
        </w:rPr>
      </w:r>
      <w:r>
        <w:rPr>
          <w:spacing w:val="-2"/>
        </w:rPr>
        <w:t>额外损失的义务，则按预计承担的义务确认预计负债，计入当期投资损失。被投资单位以后期间实现净利润的，本公司在收</w:t>
      </w:r>
      <w:r>
        <w:rPr>
          <w:spacing w:val="-66"/>
        </w:rPr>
        <w:t> </w:t>
      </w:r>
      <w:r>
        <w:rPr>
          <w:spacing w:val="-66"/>
        </w:rPr>
      </w:r>
      <w:r>
        <w:rPr/>
        <w:t>益分享额弥补未确认的亏损分担额后，恢复确认收益分享额。</w:t>
        <w:tab/>
        <w:tab/>
        <w:t>对于本公司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日首次执行新会计准则之前已 </w:t>
      </w:r>
      <w:r>
        <w:rPr>
          <w:spacing w:val="-2"/>
        </w:rPr>
        <w:t>经持有的对联营企业和合营企业的长期股权投资，如存在与该投资相关的股权投资借方差额，按原剩余期限直线摊销的金额</w:t>
      </w:r>
      <w:r>
        <w:rPr>
          <w:spacing w:val="-64"/>
        </w:rPr>
        <w:t> </w:t>
      </w:r>
      <w:r>
        <w:rPr>
          <w:spacing w:val="-64"/>
        </w:rPr>
      </w:r>
      <w:r>
        <w:rPr/>
        <w:t>计入当期损益。</w:t>
        <w:tab/>
        <w:t>③收购少数股权</w:t>
        <w:tab/>
      </w:r>
      <w:r>
        <w:rPr>
          <w:spacing w:val="-2"/>
        </w:rPr>
        <w:t>在编制合并财务报表时，因购买少数股权新增的长期股权投资与按照新增持股比例</w:t>
      </w:r>
      <w:r>
        <w:rPr>
          <w:spacing w:val="-59"/>
        </w:rPr>
        <w:t> </w:t>
      </w:r>
      <w:r>
        <w:rPr>
          <w:spacing w:val="-59"/>
        </w:rPr>
      </w:r>
      <w:r>
        <w:rPr>
          <w:spacing w:val="-2"/>
        </w:rPr>
        <w:t>计算应享有子公司自购买日（或合并日）开始持续计算的净资产份额之间的差额，调整资本公积，资本公积不足冲减的，调</w:t>
      </w:r>
    </w:p>
    <w:p>
      <w:pPr>
        <w:spacing w:after="0" w:line="316"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14" w:lineRule="auto" w:before="44"/>
        <w:ind w:right="192"/>
        <w:jc w:val="both"/>
      </w:pPr>
      <w:bookmarkStart w:name="（3）确定对被投资单位具有共同控制、重大影响的依据" w:id="140"/>
      <w:bookmarkEnd w:id="140"/>
      <w:r>
        <w:rPr/>
      </w:r>
      <w:bookmarkStart w:name="（4）减值测试方法及减值准备计提方法" w:id="141"/>
      <w:bookmarkEnd w:id="141"/>
      <w:r>
        <w:rPr/>
      </w:r>
      <w:bookmarkStart w:name="13、投资性房地产" w:id="142"/>
      <w:bookmarkEnd w:id="142"/>
      <w:r>
        <w:rPr/>
      </w:r>
      <w:bookmarkStart w:name="14、固定资产" w:id="143"/>
      <w:bookmarkEnd w:id="143"/>
      <w:r>
        <w:rPr/>
      </w:r>
      <w:bookmarkStart w:name="（1）固定资产确认条件" w:id="144"/>
      <w:bookmarkEnd w:id="144"/>
      <w:r>
        <w:rPr/>
      </w:r>
      <w:r>
        <w:rPr/>
        <w:t>整留存收益。 ④处置长期股权投资</w:t>
      </w:r>
      <w:r>
        <w:rPr>
          <w:spacing w:val="8"/>
        </w:rPr>
        <w:t> </w:t>
      </w:r>
      <w:r>
        <w:rPr/>
        <w:t>在合并财务报表中，母公司在不丧失控制权的情况下部分处置对子公司的长期股</w:t>
      </w:r>
      <w:r>
        <w:rPr/>
        <w:t> </w:t>
      </w:r>
      <w:r>
        <w:rPr>
          <w:spacing w:val="-2"/>
        </w:rPr>
        <w:t>权投资，处置价款与处置长期股权投资相对应享有子公司净资产的差额计入所有者权益；母公司部分处置对子公司的长期股</w:t>
      </w:r>
      <w:r>
        <w:rPr>
          <w:spacing w:val="-65"/>
        </w:rPr>
        <w:t> </w:t>
      </w:r>
      <w:r>
        <w:rPr>
          <w:spacing w:val="-65"/>
        </w:rPr>
      </w:r>
      <w:r>
        <w:rPr>
          <w:spacing w:val="-5"/>
        </w:rPr>
        <w:t>权投资导致丧失对子公司控制权的，按本附注四、</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w:t>
      </w:r>
      <w:r>
        <w:rPr>
          <w:spacing w:val="-5"/>
        </w:rPr>
        <w:t>）“合并财务报表编制的方法”中所述的相关会计政策处理。</w:t>
      </w:r>
      <w:r>
        <w:rPr>
          <w:spacing w:val="88"/>
        </w:rPr>
        <w:t> </w:t>
      </w:r>
      <w:r>
        <w:rPr/>
        <w:t>其</w:t>
      </w:r>
      <w:r>
        <w:rPr/>
        <w:t> </w:t>
      </w:r>
      <w:r>
        <w:rPr>
          <w:spacing w:val="-2"/>
        </w:rPr>
        <w:t>他情形下的长期股权投资处置，对于处置的股权，其账面价值与实际取得价款的差额，计入当期损益；采用权益法核算的长</w:t>
      </w:r>
      <w:r>
        <w:rPr>
          <w:spacing w:val="-66"/>
        </w:rPr>
        <w:t> </w:t>
      </w:r>
      <w:r>
        <w:rPr>
          <w:spacing w:val="-66"/>
        </w:rPr>
      </w:r>
      <w:r>
        <w:rPr>
          <w:spacing w:val="-2"/>
        </w:rPr>
        <w:t>期股权投资，在处置时将原计入所有者权益的其他综合收益部分按相应的比例转入当期损益。对于剩余股权，按其账面价值</w:t>
      </w:r>
      <w:r>
        <w:rPr>
          <w:spacing w:val="-65"/>
        </w:rPr>
        <w:t> </w:t>
      </w:r>
      <w:r>
        <w:rPr>
          <w:spacing w:val="-65"/>
        </w:rPr>
      </w:r>
      <w:r>
        <w:rPr>
          <w:spacing w:val="-2"/>
        </w:rPr>
        <w:t>确认为长期股权投资或其他相关金融资产，并按前述长期股权投资或金融资产的会计政策进行后续计量。涉及对剩余股权由</w:t>
      </w:r>
      <w:r>
        <w:rPr>
          <w:spacing w:val="-64"/>
        </w:rPr>
        <w:t> </w:t>
      </w:r>
      <w:r>
        <w:rPr>
          <w:spacing w:val="-64"/>
        </w:rPr>
      </w:r>
      <w:r>
        <w:rPr/>
        <w:t>成本法转为权益法核算的，按相关规定进行追溯调整。</w:t>
      </w:r>
    </w:p>
    <w:p>
      <w:pPr>
        <w:spacing w:line="240" w:lineRule="auto" w:before="6"/>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94" w:firstLine="362"/>
        <w:jc w:val="left"/>
      </w:pPr>
      <w:r>
        <w:rPr>
          <w:spacing w:val="-2"/>
        </w:rPr>
        <w:t>控制是指有权决定一个企业的财务和经营政策，并能据以从该企业的经营活动中获取利益。共同控制是指按照合同约定</w:t>
      </w:r>
      <w:r>
        <w:rPr/>
        <w:t> </w:t>
      </w:r>
      <w:r>
        <w:rPr>
          <w:w w:val="95"/>
        </w:rPr>
        <w:t>对某项经济活动所共有的控制，仅在与该项经济活动相关的重要财务和经营决策需要分享控制权的投资方一致同意时存在。</w:t>
      </w:r>
      <w:r>
        <w:rPr>
          <w:spacing w:val="63"/>
          <w:w w:val="95"/>
        </w:rPr>
        <w:t> </w:t>
      </w:r>
      <w:r>
        <w:rPr>
          <w:spacing w:val="63"/>
          <w:w w:val="95"/>
        </w:rPr>
      </w:r>
      <w:r>
        <w:rPr/>
        <w:t>重大影响是指对一个企业的财务和经营政策有参与决策的权力，但并不能够控制或者与其他方一起共同控制这些政策的制</w:t>
      </w:r>
      <w:r>
        <w:rPr/>
        <w:t> </w:t>
      </w:r>
      <w:r>
        <w:rPr>
          <w:w w:val="95"/>
        </w:rPr>
        <w:t>定。在确定能否对被投资单位实施控制或施加重大影响时，已考虑投资企业和其他持有的被投资单位当期可转换公司债券、</w:t>
      </w:r>
      <w:r>
        <w:rPr>
          <w:spacing w:val="63"/>
          <w:w w:val="95"/>
        </w:rPr>
        <w:t> </w:t>
      </w:r>
      <w:r>
        <w:rPr>
          <w:spacing w:val="63"/>
          <w:w w:val="95"/>
        </w:rPr>
      </w:r>
      <w:r>
        <w:rPr/>
        <w:t>当期可执行认股权证等潜在表决权因素。</w:t>
      </w: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4" w:lineRule="auto"/>
        <w:ind w:right="94" w:firstLine="362"/>
        <w:jc w:val="left"/>
      </w:pPr>
      <w:r>
        <w:rPr>
          <w:spacing w:val="-2"/>
        </w:rPr>
        <w:t>本公司在每一个资产负债表日检查长期股权投资是否存在可能发生减值的迹象。如果该资产存在减值迹象，则估计其可</w:t>
      </w:r>
      <w:r>
        <w:rPr/>
        <w:t> 收回金额。如果资产的可收回金额低于其账面价值，按其差额计提资产减值准备，并计入当期损益。</w:t>
      </w:r>
    </w:p>
    <w:p>
      <w:pPr>
        <w:pStyle w:val="BodyText"/>
        <w:spacing w:line="240" w:lineRule="auto" w:before="20"/>
        <w:ind w:left="475" w:right="94"/>
        <w:jc w:val="left"/>
      </w:pPr>
      <w:r>
        <w:rPr/>
        <w:t>长期股权投资的减值损失一经确认，在以后会计期间不予转回。</w:t>
      </w:r>
    </w:p>
    <w:p>
      <w:pPr>
        <w:spacing w:line="240" w:lineRule="auto" w:before="12"/>
        <w:rPr>
          <w:rFonts w:ascii="宋体" w:hAnsi="宋体" w:cs="宋体" w:eastAsia="宋体" w:hint="default"/>
          <w:sz w:val="21"/>
          <w:szCs w:val="21"/>
        </w:rPr>
      </w:pPr>
    </w:p>
    <w:p>
      <w:pPr>
        <w:pStyle w:val="Heading4"/>
        <w:spacing w:line="240" w:lineRule="auto"/>
        <w:ind w:left="119"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08" w:firstLine="362"/>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转让的土地使用权、已出租的建筑物等。投资性房地产按成本进行初始计量。与投资性房地产有关的后续支出，如果与该资</w:t>
      </w:r>
      <w:r>
        <w:rPr>
          <w:spacing w:val="-66"/>
        </w:rPr>
        <w:t> </w:t>
      </w:r>
      <w:r>
        <w:rPr>
          <w:spacing w:val="-66"/>
        </w:rPr>
      </w:r>
      <w:r>
        <w:rPr/>
        <w:t>产有关的经济利益很可能流入且其成本能可靠地计量，则计入投资性房地产成本。其他后续支出，在发生时计入当期损益。</w:t>
      </w:r>
    </w:p>
    <w:p>
      <w:pPr>
        <w:pStyle w:val="BodyText"/>
        <w:spacing w:line="309" w:lineRule="auto" w:before="19"/>
        <w:ind w:left="475" w:right="94"/>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17“</w:t>
      </w:r>
      <w:r>
        <w:rPr/>
        <w:t>非流动非金融资产减值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94"/>
        <w:jc w:val="left"/>
      </w:pPr>
      <w:r>
        <w:rPr/>
        <w:t>值。</w:t>
      </w:r>
    </w:p>
    <w:p>
      <w:pPr>
        <w:pStyle w:val="BodyText"/>
        <w:spacing w:line="240" w:lineRule="auto" w:before="76"/>
        <w:ind w:left="475" w:right="0"/>
        <w:jc w:val="left"/>
      </w:pPr>
      <w:r>
        <w:rPr/>
        <w:t>投资性房地产的用途改变为自用时，自改变之日起，将该投资性房地产转换为固定资产或无形资产。自用房地产的用途</w:t>
      </w:r>
    </w:p>
    <w:p>
      <w:pPr>
        <w:pStyle w:val="BodyText"/>
        <w:spacing w:line="316" w:lineRule="auto" w:before="76"/>
        <w:ind w:right="190"/>
        <w:jc w:val="both"/>
      </w:pPr>
      <w:r>
        <w:rPr>
          <w:spacing w:val="-2"/>
        </w:rPr>
        <w:t>改变为赚取租金或资本增值时，自改变之日起，将固定资产或无形资产转换为投资性房地产。发生转换时，转换为采用成本</w:t>
      </w:r>
      <w:r>
        <w:rPr>
          <w:spacing w:val="-64"/>
        </w:rPr>
        <w:t> </w:t>
      </w:r>
      <w:r>
        <w:rPr>
          <w:spacing w:val="-64"/>
        </w:rPr>
      </w:r>
      <w:r>
        <w:rPr>
          <w:w w:val="95"/>
        </w:rPr>
        <w:t>模式计量的投资性房地产的，以转换前的账面价值作为转换后的入账价值；转换为以公允价值模式计量的投资性房地产的，</w:t>
      </w:r>
      <w:r>
        <w:rPr>
          <w:spacing w:val="63"/>
          <w:w w:val="95"/>
        </w:rPr>
        <w:t> </w:t>
      </w:r>
      <w:r>
        <w:rPr>
          <w:spacing w:val="63"/>
          <w:w w:val="95"/>
        </w:rPr>
      </w:r>
      <w:r>
        <w:rPr/>
        <w:t>以转换日的公允价值作为转换后的入账价值。</w:t>
      </w:r>
    </w:p>
    <w:p>
      <w:pPr>
        <w:pStyle w:val="BodyText"/>
        <w:spacing w:line="316" w:lineRule="auto" w:before="19"/>
        <w:ind w:right="94" w:firstLine="362"/>
        <w:jc w:val="left"/>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7"/>
        <w:rPr>
          <w:rFonts w:ascii="宋体" w:hAnsi="宋体" w:cs="宋体" w:eastAsia="宋体" w:hint="default"/>
          <w:sz w:val="17"/>
          <w:szCs w:val="17"/>
        </w:rPr>
      </w:pPr>
    </w:p>
    <w:p>
      <w:pPr>
        <w:pStyle w:val="Heading4"/>
        <w:spacing w:line="240" w:lineRule="auto"/>
        <w:ind w:left="119"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）固定资产确认条件</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475" w:right="94"/>
        <w:jc w:val="left"/>
      </w:pPr>
      <w:r>
        <w:rPr/>
        <w:t>固定资产是指为生产商品、提供劳务、出租或经营管理而持有的，使用寿命超过一个会计年度的有形资产。</w:t>
      </w:r>
    </w:p>
    <w:p>
      <w:pPr>
        <w:spacing w:after="0" w:line="240" w:lineRule="auto"/>
        <w:jc w:val="left"/>
        <w:sectPr>
          <w:pgSz w:w="11910" w:h="16840"/>
          <w:pgMar w:header="745" w:footer="979" w:top="1060" w:bottom="1160" w:left="1020" w:right="940"/>
        </w:sectPr>
      </w:pPr>
    </w:p>
    <w:p>
      <w:pPr>
        <w:spacing w:line="240" w:lineRule="auto" w:before="10"/>
        <w:rPr>
          <w:rFonts w:ascii="宋体" w:hAnsi="宋体" w:cs="宋体" w:eastAsia="宋体" w:hint="default"/>
          <w:sz w:val="24"/>
          <w:szCs w:val="24"/>
        </w:rPr>
      </w:pPr>
    </w:p>
    <w:p>
      <w:pPr>
        <w:pStyle w:val="Heading4"/>
        <w:spacing w:line="333" w:lineRule="exact"/>
        <w:ind w:right="94"/>
        <w:jc w:val="left"/>
        <w:rPr>
          <w:b w:val="0"/>
          <w:bCs w:val="0"/>
        </w:rPr>
      </w:pPr>
      <w:bookmarkStart w:name="（2）融资租入固定资产的认定依据、计价方法" w:id="145"/>
      <w:bookmarkEnd w:id="145"/>
      <w:r>
        <w:rPr>
          <w:b w:val="0"/>
          <w:bCs w:val="0"/>
        </w:rPr>
      </w:r>
      <w:bookmarkStart w:name="（3）各类固定资产的折旧方法" w:id="146"/>
      <w:bookmarkEnd w:id="146"/>
      <w:r>
        <w:rPr>
          <w:b w:val="0"/>
          <w:bCs w:val="0"/>
        </w:rPr>
      </w:r>
      <w:bookmarkStart w:name="（4）固定资产的减值测试方法、减值准备计提方法" w:id="147"/>
      <w:bookmarkEnd w:id="147"/>
      <w:r>
        <w:rPr>
          <w:b w:val="0"/>
          <w:bCs w:val="0"/>
        </w:rPr>
      </w:r>
      <w:bookmarkStart w:name="（5）其他说明" w:id="148"/>
      <w:bookmarkEnd w:id="148"/>
      <w:r>
        <w:rPr>
          <w:b w:val="0"/>
          <w:bCs w:val="0"/>
        </w:rPr>
      </w:r>
      <w:bookmarkStart w:name="15、在建工程" w:id="149"/>
      <w:bookmarkEnd w:id="149"/>
      <w:r>
        <w:rPr>
          <w:b w:val="0"/>
          <w:bCs w:val="0"/>
        </w:rPr>
      </w:r>
      <w:bookmarkStart w:name="（1）在建工程的类别" w:id="150"/>
      <w:bookmarkEnd w:id="150"/>
      <w:r>
        <w:rPr>
          <w:b w:val="0"/>
          <w:bCs w:val="0"/>
        </w:rPr>
      </w:r>
      <w:bookmarkStart w:name="（2）在建工程结转为固定资产的标准和时点" w:id="151"/>
      <w:bookmarkEnd w:id="151"/>
      <w:r>
        <w:rPr>
          <w:b w:val="0"/>
          <w:bCs w:val="0"/>
        </w:rPr>
      </w: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92" w:firstLine="362"/>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7"/>
        <w:rPr>
          <w:rFonts w:ascii="宋体" w:hAnsi="宋体" w:cs="宋体" w:eastAsia="宋体" w:hint="default"/>
          <w:sz w:val="17"/>
          <w:szCs w:val="17"/>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2" w:firstLine="362"/>
        <w:jc w:val="both"/>
      </w:pPr>
      <w:r>
        <w:rPr>
          <w:spacing w:val="-2"/>
        </w:rPr>
        <w:t>固定资产按成本并考虑预计弃置费用因素的影响进行初始计量。固定资产从达到预定可使用状态的次月起，采用年限平</w:t>
      </w:r>
      <w:r>
        <w:rPr/>
        <w:t> 均法在使用寿命内计提折旧。各类固定资产的使用寿命、预计净残值和年折旧率如下：</w:t>
      </w:r>
    </w:p>
    <w:tbl>
      <w:tblPr>
        <w:tblW w:w="0" w:type="auto"/>
        <w:jc w:val="left"/>
        <w:tblInd w:w="105" w:type="dxa"/>
        <w:tblLayout w:type="fixed"/>
        <w:tblCellMar>
          <w:top w:w="0" w:type="dxa"/>
          <w:left w:w="0" w:type="dxa"/>
          <w:bottom w:w="0" w:type="dxa"/>
          <w:right w:w="0" w:type="dxa"/>
        </w:tblCellMar>
        <w:tblLook w:val="01E0"/>
      </w:tblPr>
      <w:tblGrid>
        <w:gridCol w:w="2146"/>
        <w:gridCol w:w="2143"/>
        <w:gridCol w:w="2052"/>
        <w:gridCol w:w="2393"/>
      </w:tblGrid>
      <w:tr>
        <w:trPr>
          <w:trHeight w:val="353" w:hRule="exact"/>
        </w:trPr>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20—40</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2.25—4.75</w:t>
            </w:r>
          </w:p>
        </w:tc>
      </w:tr>
      <w:tr>
        <w:trPr>
          <w:trHeight w:val="362" w:hRule="exact"/>
        </w:trPr>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10—12</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7.50—9.50</w:t>
            </w:r>
          </w:p>
        </w:tc>
      </w:tr>
      <w:tr>
        <w:trPr>
          <w:trHeight w:val="362" w:hRule="exact"/>
        </w:trPr>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5—6</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15.00—19.00</w:t>
            </w:r>
          </w:p>
        </w:tc>
      </w:tr>
      <w:tr>
        <w:trPr>
          <w:trHeight w:val="360" w:hRule="exact"/>
        </w:trPr>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9.00—19.00</w:t>
            </w:r>
          </w:p>
        </w:tc>
      </w:tr>
      <w:tr>
        <w:trPr>
          <w:trHeight w:val="362" w:hRule="exact"/>
        </w:trPr>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5</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p>
        </w:tc>
        <w:tc>
          <w:tcPr>
            <w:tcW w:w="23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18.00—19.00</w:t>
            </w:r>
          </w:p>
        </w:tc>
      </w:tr>
    </w:tbl>
    <w:p>
      <w:pPr>
        <w:pStyle w:val="BodyText"/>
        <w:spacing w:line="316" w:lineRule="auto" w:before="23"/>
        <w:ind w:right="94" w:firstLine="362"/>
        <w:jc w:val="left"/>
      </w:pPr>
      <w:r>
        <w:rPr>
          <w:spacing w:val="-2"/>
        </w:rPr>
        <w:t>预计净残值是指假定固定资产预计使用寿命已满并处于使用寿命终了时的预期状态，本公司目前从该项资产处置中获得</w:t>
      </w:r>
      <w:r>
        <w:rPr/>
        <w:t> 的扣除预计处置费用后的金额。</w:t>
      </w: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518"/>
        <w:gridCol w:w="2105"/>
        <w:gridCol w:w="2220"/>
        <w:gridCol w:w="2726"/>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333" w:lineRule="exact"/>
        <w:ind w:right="9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475" w:right="94"/>
        <w:jc w:val="left"/>
      </w:pPr>
      <w:r>
        <w:rPr/>
        <w:t>固定资产的减值测试方法和减值准备计提方法详见附注四</w:t>
      </w:r>
      <w:r>
        <w:rPr>
          <w:rFonts w:ascii="Times New Roman" w:hAnsi="Times New Roman" w:cs="Times New Roman" w:eastAsia="Times New Roman" w:hint="default"/>
        </w:rPr>
        <w:t>“</w:t>
      </w:r>
      <w:r>
        <w:rPr/>
        <w:t>非流动非金融资产减值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0"/>
          <w:szCs w:val="20"/>
        </w:rPr>
      </w:pPr>
    </w:p>
    <w:p>
      <w:pPr>
        <w:pStyle w:val="Heading4"/>
        <w:spacing w:line="240" w:lineRule="auto"/>
        <w:ind w:right="94"/>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94" w:firstLine="362"/>
        <w:jc w:val="left"/>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316" w:lineRule="auto" w:before="19"/>
        <w:ind w:left="475" w:right="94"/>
        <w:jc w:val="left"/>
      </w:pPr>
      <w:r>
        <w:rPr/>
        <w:t>固定资产出售、转让、报废或毁损的处置收入扣除其账面价值和相关税费后的差额计入当期损益。 </w:t>
      </w:r>
      <w:r>
        <w:rPr>
          <w:spacing w:val="-4"/>
        </w:rPr>
        <w:t>本公司至少于年度终了对固定资产的使用寿命、预计净残值和折旧方法进行复核，如发生改变则作为会计估计变更处理。</w:t>
      </w:r>
    </w:p>
    <w:p>
      <w:pPr>
        <w:spacing w:line="240" w:lineRule="auto" w:before="7"/>
        <w:rPr>
          <w:rFonts w:ascii="宋体" w:hAnsi="宋体" w:cs="宋体" w:eastAsia="宋体" w:hint="default"/>
          <w:sz w:val="17"/>
          <w:szCs w:val="17"/>
        </w:rPr>
      </w:pPr>
    </w:p>
    <w:p>
      <w:pPr>
        <w:pStyle w:val="Heading4"/>
        <w:spacing w:line="240" w:lineRule="auto"/>
        <w:ind w:left="119"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）在建工程的类别</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）在建工程结转为固定资产的标准和时点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475" w:right="94"/>
        <w:jc w:val="left"/>
      </w:pPr>
      <w:r>
        <w:rPr/>
        <w:t>在建工程在达到预定可使用状态后结转为固定资产。</w:t>
      </w:r>
    </w:p>
    <w:p>
      <w:pPr>
        <w:spacing w:after="0" w:line="240" w:lineRule="auto"/>
        <w:jc w:val="left"/>
        <w:sectPr>
          <w:footerReference w:type="default" r:id="rId26"/>
          <w:pgSz w:w="11910" w:h="16840"/>
          <w:pgMar w:footer="979" w:header="745" w:top="1060" w:bottom="1160" w:left="1020" w:right="940"/>
          <w:pgNumType w:start="70"/>
        </w:sectPr>
      </w:pPr>
    </w:p>
    <w:p>
      <w:pPr>
        <w:spacing w:line="240" w:lineRule="auto" w:before="10"/>
        <w:rPr>
          <w:rFonts w:ascii="宋体" w:hAnsi="宋体" w:cs="宋体" w:eastAsia="宋体" w:hint="default"/>
          <w:sz w:val="24"/>
          <w:szCs w:val="24"/>
        </w:rPr>
      </w:pPr>
    </w:p>
    <w:p>
      <w:pPr>
        <w:pStyle w:val="Heading4"/>
        <w:spacing w:line="333" w:lineRule="exact"/>
        <w:ind w:left="472" w:right="0"/>
        <w:jc w:val="left"/>
        <w:rPr>
          <w:b w:val="0"/>
          <w:bCs w:val="0"/>
        </w:rPr>
      </w:pPr>
      <w:bookmarkStart w:name="（3）在建工程的减值测试方法、减值准备计提方法" w:id="152"/>
      <w:bookmarkEnd w:id="152"/>
      <w:r>
        <w:rPr>
          <w:b w:val="0"/>
          <w:bCs w:val="0"/>
        </w:rPr>
      </w:r>
      <w:bookmarkStart w:name="16、借款费用" w:id="153"/>
      <w:bookmarkEnd w:id="153"/>
      <w:r>
        <w:rPr>
          <w:b w:val="0"/>
          <w:bCs w:val="0"/>
        </w:rPr>
      </w:r>
      <w:bookmarkStart w:name="（1）借款费用资本化的确认原则" w:id="154"/>
      <w:bookmarkEnd w:id="154"/>
      <w:r>
        <w:rPr>
          <w:b w:val="0"/>
          <w:bCs w:val="0"/>
        </w:rPr>
      </w:r>
      <w:bookmarkStart w:name="（2）借款费用资本化期间" w:id="155"/>
      <w:bookmarkEnd w:id="155"/>
      <w:r>
        <w:rPr>
          <w:b w:val="0"/>
          <w:bCs w:val="0"/>
        </w:rPr>
      </w:r>
      <w:bookmarkStart w:name="（3）暂停资本化期间" w:id="156"/>
      <w:bookmarkEnd w:id="156"/>
      <w:r>
        <w:rPr>
          <w:b w:val="0"/>
          <w:bCs w:val="0"/>
        </w:rPr>
      </w:r>
      <w:bookmarkStart w:name="（4）借款费用资本化金额的计算方法" w:id="157"/>
      <w:bookmarkEnd w:id="157"/>
      <w:r>
        <w:rPr>
          <w:b w:val="0"/>
          <w:bCs w:val="0"/>
        </w:rPr>
      </w:r>
      <w:bookmarkStart w:name="17、无形资产" w:id="158"/>
      <w:bookmarkEnd w:id="158"/>
      <w:r>
        <w:rPr>
          <w:b w:val="0"/>
          <w:bCs w:val="0"/>
        </w:rPr>
      </w:r>
      <w:bookmarkStart w:name="（1）无形资产的计价方法" w:id="159"/>
      <w:bookmarkEnd w:id="159"/>
      <w:r>
        <w:rPr>
          <w:b w:val="0"/>
          <w:bCs w:val="0"/>
        </w:rPr>
      </w:r>
      <w:bookmarkStart w:name="（2）使用寿命有限的无形资产的使用寿命估计情况" w:id="160"/>
      <w:bookmarkEnd w:id="160"/>
      <w:r>
        <w:rPr>
          <w:b w:val="0"/>
          <w:bCs w:val="0"/>
        </w:rPr>
      </w: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2"/>
        <w:rPr>
          <w:rFonts w:ascii="Microsoft JhengHei" w:hAnsi="Microsoft JhengHei" w:cs="Microsoft JhengHei" w:eastAsia="Microsoft JhengHei" w:hint="default"/>
          <w:b/>
          <w:bCs/>
          <w:sz w:val="16"/>
          <w:szCs w:val="16"/>
        </w:rPr>
      </w:pPr>
    </w:p>
    <w:p>
      <w:pPr>
        <w:tabs>
          <w:tab w:pos="955" w:val="left" w:leader="none"/>
        </w:tabs>
        <w:spacing w:before="0"/>
        <w:ind w:left="115" w:right="0" w:firstLine="0"/>
        <w:jc w:val="left"/>
        <w:rPr>
          <w:rFonts w:ascii="宋体" w:hAnsi="宋体" w:cs="宋体" w:eastAsia="宋体" w:hint="default"/>
          <w:sz w:val="24"/>
          <w:szCs w:val="24"/>
        </w:rPr>
      </w:pPr>
      <w:r>
        <w:rPr>
          <w:rFonts w:ascii="宋体" w:hAnsi="宋体" w:cs="宋体" w:eastAsia="宋体" w:hint="default"/>
          <w:sz w:val="24"/>
          <w:szCs w:val="24"/>
        </w:rPr>
        <w:t>3</w:t>
        <w:tab/>
        <w:t>在建工程的减值测试方法和减值准备计提方法详见附注四</w:t>
      </w:r>
      <w:r>
        <w:rPr>
          <w:rFonts w:ascii="Times New Roman" w:hAnsi="Times New Roman" w:cs="Times New Roman" w:eastAsia="Times New Roman" w:hint="default"/>
          <w:sz w:val="24"/>
          <w:szCs w:val="24"/>
        </w:rPr>
        <w:t>“</w:t>
      </w:r>
      <w:r>
        <w:rPr>
          <w:rFonts w:ascii="宋体" w:hAnsi="宋体" w:cs="宋体" w:eastAsia="宋体" w:hint="default"/>
          <w:sz w:val="24"/>
          <w:szCs w:val="24"/>
        </w:rPr>
        <w:t>非流动非金融资产减值</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4"/>
        <w:spacing w:line="240" w:lineRule="auto"/>
        <w:ind w:left="479"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47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835" w:right="0"/>
        <w:jc w:val="left"/>
      </w:pPr>
      <w:r>
        <w:rPr/>
        <w:t>借款费用包括借款利息、折价或溢价的摊销、辅助费用以及因外币借款而发生的汇兑差额等。</w:t>
      </w:r>
    </w:p>
    <w:p>
      <w:pPr>
        <w:spacing w:line="240" w:lineRule="auto" w:before="12"/>
        <w:rPr>
          <w:rFonts w:ascii="宋体" w:hAnsi="宋体" w:cs="宋体" w:eastAsia="宋体" w:hint="default"/>
          <w:sz w:val="21"/>
          <w:szCs w:val="21"/>
        </w:rPr>
      </w:pPr>
    </w:p>
    <w:p>
      <w:pPr>
        <w:pStyle w:val="Heading4"/>
        <w:spacing w:line="240" w:lineRule="auto"/>
        <w:ind w:left="472"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left="472" w:right="112" w:firstLine="362"/>
        <w:jc w:val="both"/>
      </w:pPr>
      <w:r>
        <w:rPr>
          <w:spacing w:val="-2"/>
        </w:rPr>
        <w:t>可直接归属于符合资本化条件的资产的购建或者生产的借款费用，在资产支出已经发生、借款费用已经发生、为使资产</w:t>
      </w:r>
      <w:r>
        <w:rPr/>
        <w:t> </w:t>
      </w:r>
      <w:r>
        <w:rPr>
          <w:spacing w:val="-2"/>
        </w:rPr>
        <w:t>达到预定可使用或可销售状态所必要的购建或生产活动已经开始时，开始资本化；构建或者生产的符合资本化条件的资产达</w:t>
      </w:r>
      <w:r>
        <w:rPr>
          <w:spacing w:val="-65"/>
        </w:rPr>
        <w:t> </w:t>
      </w:r>
      <w:r>
        <w:rPr>
          <w:spacing w:val="-65"/>
        </w:rPr>
      </w:r>
      <w:r>
        <w:rPr/>
        <w:t>到预定可使用状态或者可销售状态时，停止资本化。其余借款费用在发生当期确认为费用。</w:t>
      </w:r>
    </w:p>
    <w:p>
      <w:pPr>
        <w:spacing w:line="240" w:lineRule="auto" w:before="4"/>
        <w:rPr>
          <w:rFonts w:ascii="宋体" w:hAnsi="宋体" w:cs="宋体" w:eastAsia="宋体" w:hint="default"/>
          <w:sz w:val="17"/>
          <w:szCs w:val="17"/>
        </w:rPr>
      </w:pPr>
    </w:p>
    <w:p>
      <w:pPr>
        <w:pStyle w:val="Heading4"/>
        <w:spacing w:line="240" w:lineRule="auto"/>
        <w:ind w:left="472"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00" w:lineRule="auto"/>
        <w:ind w:left="472" w:right="115" w:firstLine="362"/>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4"/>
        <w:spacing w:line="240" w:lineRule="auto"/>
        <w:ind w:left="472"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left="472" w:right="112" w:firstLine="362"/>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240" w:lineRule="auto" w:before="19"/>
        <w:ind w:left="835" w:right="0"/>
        <w:jc w:val="left"/>
      </w:pPr>
      <w:r>
        <w:rPr/>
        <w:t>资本化期间内，外币专门借款的汇兑差额全部予以资本化；外币一般借款的汇兑差额计入当期损益。</w:t>
      </w:r>
    </w:p>
    <w:p>
      <w:pPr>
        <w:spacing w:line="240" w:lineRule="auto" w:before="9"/>
        <w:rPr>
          <w:rFonts w:ascii="宋体" w:hAnsi="宋体" w:cs="宋体" w:eastAsia="宋体" w:hint="default"/>
          <w:sz w:val="21"/>
          <w:szCs w:val="21"/>
        </w:rPr>
      </w:pPr>
    </w:p>
    <w:p>
      <w:pPr>
        <w:pStyle w:val="Heading4"/>
        <w:spacing w:line="240" w:lineRule="auto"/>
        <w:ind w:left="479"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47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）无形资产的计价方法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left="835" w:right="0"/>
        <w:jc w:val="left"/>
      </w:pPr>
      <w:r>
        <w:rPr/>
        <w:t>无形资产是指本公司拥有或者控制的没有实物形态的可辨认非货币性资产。 </w:t>
      </w:r>
      <w:r>
        <w:rPr>
          <w:spacing w:val="-4"/>
          <w:w w:val="99"/>
        </w:rPr>
        <w:t>无形资产按成本进行初始计量。与无形资产有关的支出，如果相关的经济利益很可能流入本公司且其成本能可靠地计量，</w:t>
      </w:r>
      <w:r>
        <w:rPr>
          <w:spacing w:val="-4"/>
        </w:rPr>
      </w:r>
    </w:p>
    <w:p>
      <w:pPr>
        <w:pStyle w:val="BodyText"/>
        <w:spacing w:line="316" w:lineRule="auto" w:before="19"/>
        <w:ind w:left="835" w:right="0" w:hanging="363"/>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left="472" w:right="0"/>
        <w:jc w:val="left"/>
      </w:pPr>
      <w:r>
        <w:rPr>
          <w:spacing w:val="-2"/>
        </w:rPr>
        <w:t>别作为无形资产和固定资产核算。如为外购的房屋及建筑物，则将有关价款在土地使用权和建筑物之间进行分配，难以合理</w:t>
      </w:r>
      <w:r>
        <w:rPr>
          <w:spacing w:val="-65"/>
        </w:rPr>
        <w:t> </w:t>
      </w:r>
      <w:r>
        <w:rPr>
          <w:spacing w:val="-65"/>
        </w:rPr>
      </w:r>
      <w:r>
        <w:rPr/>
        <w:t>分配的，全部作为固定资产处理。</w:t>
      </w:r>
    </w:p>
    <w:p>
      <w:pPr>
        <w:spacing w:line="240" w:lineRule="auto" w:before="4"/>
        <w:rPr>
          <w:rFonts w:ascii="宋体" w:hAnsi="宋体" w:cs="宋体" w:eastAsia="宋体" w:hint="default"/>
          <w:sz w:val="17"/>
          <w:szCs w:val="17"/>
        </w:rPr>
      </w:pPr>
    </w:p>
    <w:p>
      <w:pPr>
        <w:pStyle w:val="Heading4"/>
        <w:spacing w:line="240" w:lineRule="auto"/>
        <w:ind w:left="472"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835" w:right="0"/>
        <w:jc w:val="left"/>
      </w:pPr>
      <w:r>
        <w:rPr/>
        <w:t>使用寿命有限的无形资产自可供使用时</w:t>
      </w:r>
      <w:r>
        <w:rPr>
          <w:spacing w:val="-3"/>
        </w:rPr>
        <w:t>起</w:t>
      </w:r>
      <w:r>
        <w:rPr>
          <w:spacing w:val="-82"/>
        </w:rPr>
        <w:t>，</w:t>
      </w:r>
      <w:r>
        <w:rPr/>
        <w:t>对其原值减去预计净残值和已计提的减值准备累计金额在其预计使用寿命内</w:t>
      </w:r>
    </w:p>
    <w:p>
      <w:pPr>
        <w:spacing w:after="0" w:line="240" w:lineRule="auto"/>
        <w:jc w:val="left"/>
        <w:sectPr>
          <w:pgSz w:w="11910" w:h="16840"/>
          <w:pgMar w:header="745" w:footer="979" w:top="1060" w:bottom="1160" w:left="660" w:right="1020"/>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bookmarkStart w:name="（3）使用寿命不确定的无形资产的判断依据" w:id="161"/>
      <w:bookmarkEnd w:id="161"/>
      <w:r>
        <w:rPr/>
      </w:r>
      <w:bookmarkStart w:name="（4）无形资产减值准备的计提" w:id="162"/>
      <w:bookmarkEnd w:id="162"/>
      <w:r>
        <w:rPr/>
      </w:r>
      <w:bookmarkStart w:name="（5）划分公司内部研究开发项目的研究阶段和开发阶段具体标准" w:id="163"/>
      <w:bookmarkEnd w:id="163"/>
      <w:r>
        <w:rPr/>
      </w:r>
      <w:bookmarkStart w:name="18、长期待摊费用" w:id="164"/>
      <w:bookmarkEnd w:id="164"/>
      <w:r>
        <w:rPr/>
      </w:r>
      <w:bookmarkStart w:name="19、预计负债" w:id="165"/>
      <w:bookmarkEnd w:id="165"/>
      <w:r>
        <w:rPr/>
      </w:r>
      <w:bookmarkStart w:name="（1）预计负债的确认标准" w:id="166"/>
      <w:bookmarkEnd w:id="166"/>
      <w:r>
        <w:rPr/>
      </w:r>
      <w:r>
        <w:rPr/>
        <w:t>采用直线法分期平均摊销。使用寿命不确定的无形资产不予摊销。</w:t>
      </w: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280"/>
        <w:gridCol w:w="2215"/>
        <w:gridCol w:w="5074"/>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5"/>
        <w:rPr>
          <w:rFonts w:ascii="宋体" w:hAnsi="宋体" w:cs="宋体" w:eastAsia="宋体" w:hint="default"/>
          <w:sz w:val="19"/>
          <w:szCs w:val="19"/>
        </w:rPr>
      </w:pPr>
    </w:p>
    <w:p>
      <w:pPr>
        <w:pStyle w:val="Heading4"/>
        <w:spacing w:line="333" w:lineRule="exact"/>
        <w:ind w:right="99"/>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4"/>
        <w:rPr>
          <w:rFonts w:ascii="宋体" w:hAnsi="宋体" w:cs="宋体" w:eastAsia="宋体" w:hint="default"/>
          <w:sz w:val="17"/>
          <w:szCs w:val="17"/>
        </w:rPr>
      </w:pPr>
    </w:p>
    <w:p>
      <w:pPr>
        <w:pStyle w:val="Heading4"/>
        <w:spacing w:line="240" w:lineRule="auto"/>
        <w:ind w:right="99"/>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475" w:right="99"/>
        <w:jc w:val="left"/>
      </w:pPr>
      <w:r>
        <w:rPr/>
        <w:t>无形资产的减值测试方法和减值准备计提方法详见附注四</w:t>
      </w:r>
      <w:r>
        <w:rPr>
          <w:rFonts w:ascii="Times New Roman" w:hAnsi="Times New Roman" w:cs="Times New Roman" w:eastAsia="Times New Roman" w:hint="default"/>
        </w:rPr>
        <w:t>“</w:t>
      </w:r>
      <w:r>
        <w:rPr/>
        <w:t>非流动非金融资产减值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4"/>
        <w:spacing w:line="240" w:lineRule="auto"/>
        <w:ind w:right="99"/>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left="475" w:right="731"/>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475" w:right="99"/>
        <w:jc w:val="left"/>
      </w:pPr>
      <w:r>
        <w:rPr/>
        <w:t>①完成该无形资产以使其能够使用或出售在技术上具有可行性；</w:t>
      </w:r>
    </w:p>
    <w:p>
      <w:pPr>
        <w:pStyle w:val="BodyText"/>
        <w:spacing w:line="240" w:lineRule="auto" w:before="76"/>
        <w:ind w:left="475" w:right="99"/>
        <w:jc w:val="left"/>
      </w:pPr>
      <w:r>
        <w:rPr/>
        <w:t>②具有完成该无形资产并使用或出售的意图；</w:t>
      </w:r>
    </w:p>
    <w:p>
      <w:pPr>
        <w:pStyle w:val="BodyText"/>
        <w:spacing w:line="316" w:lineRule="auto" w:before="76"/>
        <w:ind w:right="99" w:firstLine="362"/>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475" w:right="99"/>
        <w:jc w:val="left"/>
      </w:pPr>
      <w:r>
        <w:rPr/>
        <w:t>④有足够的技术、财务资源和其他资源支持，以完成该无形资产的开发，并有能力使用或出售该无形资产；</w:t>
      </w:r>
    </w:p>
    <w:p>
      <w:pPr>
        <w:pStyle w:val="BodyText"/>
        <w:spacing w:line="316" w:lineRule="auto" w:before="76"/>
        <w:ind w:left="475" w:right="2891"/>
        <w:jc w:val="left"/>
      </w:pPr>
      <w:r>
        <w:rPr/>
        <w:t>⑤归属于该无形资产开发阶段的支出能够可靠地计量。 无法区分研究阶段支出和开发阶段支出的，将发生的研发支出全部计入当期损益。</w:t>
      </w:r>
    </w:p>
    <w:p>
      <w:pPr>
        <w:spacing w:line="240" w:lineRule="auto" w:before="4"/>
        <w:rPr>
          <w:rFonts w:ascii="宋体" w:hAnsi="宋体" w:cs="宋体" w:eastAsia="宋体" w:hint="default"/>
          <w:sz w:val="17"/>
          <w:szCs w:val="17"/>
        </w:rPr>
      </w:pPr>
    </w:p>
    <w:p>
      <w:pPr>
        <w:pStyle w:val="Heading4"/>
        <w:spacing w:line="240" w:lineRule="auto"/>
        <w:ind w:left="119" w:right="99"/>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99" w:firstLine="362"/>
        <w:jc w:val="left"/>
      </w:pPr>
      <w:r>
        <w:rPr>
          <w:spacing w:val="-2"/>
        </w:rPr>
        <w:t>长期待摊费用为已经发生但应由报告期和以后各期负担的分摊期限在一年以上的各项费用。长期待摊费用在预计受益期</w:t>
      </w:r>
      <w:r>
        <w:rPr/>
        <w:t> 间按直线法摊销。</w:t>
      </w:r>
    </w:p>
    <w:p>
      <w:pPr>
        <w:spacing w:line="240" w:lineRule="auto" w:before="7"/>
        <w:rPr>
          <w:rFonts w:ascii="宋体" w:hAnsi="宋体" w:cs="宋体" w:eastAsia="宋体" w:hint="default"/>
          <w:sz w:val="17"/>
          <w:szCs w:val="17"/>
        </w:rPr>
      </w:pPr>
    </w:p>
    <w:p>
      <w:pPr>
        <w:pStyle w:val="Heading4"/>
        <w:spacing w:line="240" w:lineRule="auto"/>
        <w:ind w:left="119" w:right="99"/>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）预计负债的确认标准</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00" w:lineRule="auto"/>
        <w:ind w:right="99" w:firstLine="362"/>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spacing w:after="0" w:line="30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20、股份支付及权益工具" w:id="167"/>
      <w:bookmarkEnd w:id="167"/>
      <w:r>
        <w:rPr>
          <w:b w:val="0"/>
          <w:bCs w:val="0"/>
        </w:rPr>
      </w:r>
      <w:bookmarkStart w:name="（1）股份支付的种类" w:id="168"/>
      <w:bookmarkEnd w:id="168"/>
      <w:r>
        <w:rPr>
          <w:b w:val="0"/>
          <w:bCs w:val="0"/>
        </w:rPr>
      </w:r>
      <w:bookmarkStart w:name="（2）权益工具公允价值的确定方法" w:id="169"/>
      <w:bookmarkEnd w:id="169"/>
      <w:r>
        <w:rPr>
          <w:b w:val="0"/>
          <w:bCs w:val="0"/>
        </w:rPr>
      </w:r>
      <w:bookmarkStart w:name="（3）确认可行权权益工具最佳估计的依据" w:id="170"/>
      <w:bookmarkEnd w:id="170"/>
      <w:r>
        <w:rPr>
          <w:b w:val="0"/>
          <w:bCs w:val="0"/>
        </w:rPr>
      </w:r>
      <w:bookmarkStart w:name="（4）实施、修改、终止股份支付计划的相关会计处理" w:id="171"/>
      <w:bookmarkEnd w:id="171"/>
      <w:r>
        <w:rPr>
          <w:b w:val="0"/>
          <w:bCs w:val="0"/>
        </w:rPr>
      </w:r>
      <w:bookmarkStart w:name="21、收入" w:id="172"/>
      <w:bookmarkEnd w:id="172"/>
      <w:r>
        <w:rPr>
          <w:b w:val="0"/>
          <w:bCs w:val="0"/>
        </w:rPr>
      </w:r>
      <w:bookmarkStart w:name="（1）销售商品收入确认时间的具体判断标准" w:id="173"/>
      <w:bookmarkEnd w:id="173"/>
      <w:r>
        <w:rPr>
          <w:b w:val="0"/>
          <w:bCs w:val="0"/>
        </w:rPr>
      </w:r>
      <w:r>
        <w:rPr>
          <w:rFonts w:ascii="Times New Roman" w:hAnsi="Times New Roman" w:cs="Times New Roman" w:eastAsia="Times New Roman" w:hint="default"/>
        </w:rPr>
        <w:t>20</w:t>
      </w:r>
      <w:r>
        <w:rPr/>
        <w:t>、股份支付及权益工具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）股份支付的种类</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股份支付是为了获取职工或其他方提供服务而授予权益工具或者承担以权益工具为基础确定的负债的交易。公司股份支</w:t>
      </w:r>
      <w:r>
        <w:rPr/>
        <w:t> 付为以权益结算的股份支付。</w:t>
      </w:r>
    </w:p>
    <w:p>
      <w:pPr>
        <w:pStyle w:val="BodyText"/>
        <w:spacing w:line="316" w:lineRule="auto" w:before="57"/>
        <w:ind w:right="112" w:firstLine="362"/>
        <w:jc w:val="both"/>
      </w:pPr>
      <w:r>
        <w:rPr>
          <w:spacing w:val="-2"/>
        </w:rPr>
        <w:t>用以换取职工提供的服务的权益结算的股份支付，以授予职工权益工具在授予日的公允价值计量。该公允价值的金额在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r>
        <w:rPr>
          <w:spacing w:val="-65"/>
        </w:rPr>
        <w:t> </w:t>
      </w:r>
      <w:r>
        <w:rPr>
          <w:spacing w:val="-65"/>
        </w:rPr>
      </w:r>
      <w:r>
        <w:rPr/>
        <w:t>线法计算计入相关成本或费用，在授予日计入相关成本或费用，相应增加资本公积。</w:t>
      </w:r>
    </w:p>
    <w:p>
      <w:pPr>
        <w:pStyle w:val="BodyText"/>
        <w:spacing w:line="316" w:lineRule="auto" w:before="59"/>
        <w:ind w:right="112" w:firstLine="362"/>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5"/>
        </w:rPr>
        <w:t> </w:t>
      </w:r>
      <w:r>
        <w:rPr>
          <w:spacing w:val="-65"/>
        </w:rPr>
      </w:r>
      <w:r>
        <w:rPr/>
        <w:t>日的公允价值计量，计入相关成本或费用，相应增加所有者权益。</w:t>
      </w:r>
    </w:p>
    <w:p>
      <w:pPr>
        <w:spacing w:line="240" w:lineRule="auto" w:before="4"/>
        <w:rPr>
          <w:rFonts w:ascii="宋体" w:hAnsi="宋体" w:cs="宋体" w:eastAsia="宋体" w:hint="default"/>
          <w:sz w:val="17"/>
          <w:szCs w:val="17"/>
        </w:rPr>
      </w:pPr>
    </w:p>
    <w:p>
      <w:pPr>
        <w:pStyle w:val="Heading4"/>
        <w:spacing w:line="240" w:lineRule="auto"/>
        <w:ind w:right="99"/>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left="475" w:right="99"/>
        <w:jc w:val="left"/>
      </w:pPr>
      <w:r>
        <w:rPr/>
        <w:t>本公司授予的股份期权采用采用</w:t>
      </w:r>
      <w:r>
        <w:rPr>
          <w:rFonts w:ascii="Times New Roman" w:hAnsi="Times New Roman" w:cs="Times New Roman" w:eastAsia="Times New Roman" w:hint="default"/>
        </w:rPr>
        <w:t>B-S</w:t>
      </w:r>
      <w:r>
        <w:rPr/>
        <w:t>模型（布莱克</w:t>
      </w:r>
      <w:r>
        <w:rPr>
          <w:rFonts w:ascii="Times New Roman" w:hAnsi="Times New Roman" w:cs="Times New Roman" w:eastAsia="Times New Roman" w:hint="default"/>
        </w:rPr>
        <w:t>--</w:t>
      </w:r>
      <w:r>
        <w:rPr/>
        <w:t>斯科尔斯期权定价模型），具体参见附注九。</w:t>
      </w:r>
    </w:p>
    <w:p>
      <w:pPr>
        <w:spacing w:line="240" w:lineRule="auto" w:before="11"/>
        <w:rPr>
          <w:rFonts w:ascii="宋体" w:hAnsi="宋体" w:cs="宋体" w:eastAsia="宋体" w:hint="default"/>
          <w:sz w:val="20"/>
          <w:szCs w:val="20"/>
        </w:rPr>
      </w:pPr>
    </w:p>
    <w:p>
      <w:pPr>
        <w:pStyle w:val="Heading4"/>
        <w:spacing w:line="240" w:lineRule="auto"/>
        <w:ind w:right="99"/>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在等待期内的每个资产负债表日，根据最新取得的可行权职工人数变动等后续信息做出最佳估计，修正预计可行权的权</w:t>
      </w:r>
      <w:r>
        <w:rPr/>
        <w:t> 益工具数量。</w:t>
      </w:r>
    </w:p>
    <w:p>
      <w:pPr>
        <w:spacing w:line="240" w:lineRule="auto" w:before="7"/>
        <w:rPr>
          <w:rFonts w:ascii="宋体" w:hAnsi="宋体" w:cs="宋体" w:eastAsia="宋体" w:hint="default"/>
          <w:sz w:val="17"/>
          <w:szCs w:val="17"/>
        </w:rPr>
      </w:pPr>
    </w:p>
    <w:p>
      <w:pPr>
        <w:pStyle w:val="Heading4"/>
        <w:spacing w:line="240" w:lineRule="auto"/>
        <w:ind w:right="99"/>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2" w:firstLine="362"/>
        <w:jc w:val="both"/>
      </w:pPr>
      <w:r>
        <w:rPr>
          <w:spacing w:val="-2"/>
        </w:rPr>
        <w:t>本公司对股份支付计划进行修改时，若修改增加了所授予权益工具的公允价值，按照权益工具公允价值的增加相应确认</w:t>
      </w:r>
      <w:r>
        <w:rPr/>
        <w:t> </w:t>
      </w: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5"/>
        </w:rPr>
        <w:t> </w:t>
      </w:r>
      <w:r>
        <w:rPr>
          <w:spacing w:val="-65"/>
        </w:rPr>
      </w:r>
      <w:r>
        <w:rPr/>
        <w:t>取消了部分或全部已授予的权益工具。</w:t>
      </w:r>
    </w:p>
    <w:p>
      <w:pPr>
        <w:pStyle w:val="BodyText"/>
        <w:spacing w:line="316" w:lineRule="auto" w:before="17"/>
        <w:ind w:right="112" w:firstLine="362"/>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5"/>
        </w:rPr>
        <w:t> </w:t>
      </w:r>
      <w:r>
        <w:rPr>
          <w:spacing w:val="-65"/>
        </w:rPr>
      </w:r>
      <w:r>
        <w:rPr/>
        <w:t>将其作为授予权益工具的取消处理。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4"/>
        <w:ind w:left="119" w:right="99"/>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）销售商品收入确认时间的具体判断标准</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在已将商品所有权上的主要风险和报酬转移给买方，既没有保留通常与所有权相联系的继续管理权，也没有对已售商品</w:t>
      </w:r>
      <w:r>
        <w:rPr/>
        <w:t> </w:t>
      </w:r>
      <w:r>
        <w:rPr>
          <w:spacing w:val="-2"/>
        </w:rPr>
        <w:t>实施有效控制，收入的金额能够可靠地计量，相关的经济利益很可能流入企业，相关的已发生或将发生的成本能够可靠地计</w:t>
      </w:r>
      <w:r>
        <w:rPr>
          <w:spacing w:val="-65"/>
        </w:rPr>
        <w:t> </w:t>
      </w:r>
      <w:r>
        <w:rPr>
          <w:spacing w:val="-65"/>
        </w:rPr>
      </w:r>
      <w:r>
        <w:rPr/>
        <w:t>量时，确认商品销售收入的实现。</w:t>
      </w:r>
    </w:p>
    <w:p>
      <w:pPr>
        <w:pStyle w:val="BodyText"/>
        <w:spacing w:line="316" w:lineRule="auto" w:before="57"/>
        <w:ind w:right="112" w:firstLine="362"/>
        <w:jc w:val="both"/>
      </w:pPr>
      <w:r>
        <w:rPr>
          <w:spacing w:val="-2"/>
        </w:rPr>
        <w:t>金融硬件产品：公司与客户签订销售合同后，公司组织生产并发货，于客户开箱验收后（此时与产品所有权相关的风险</w:t>
      </w:r>
      <w:r>
        <w:rPr/>
        <w:t> </w:t>
      </w:r>
      <w:r>
        <w:rPr>
          <w:spacing w:val="-5"/>
        </w:rPr>
        <w:t>已转移给客户），双方结算后确认收入。</w:t>
      </w:r>
    </w:p>
    <w:p>
      <w:pPr>
        <w:pStyle w:val="BodyText"/>
        <w:spacing w:line="240" w:lineRule="auto" w:before="59"/>
        <w:ind w:left="475" w:right="0"/>
        <w:jc w:val="left"/>
      </w:pPr>
      <w:r>
        <w:rPr>
          <w:spacing w:val="-2"/>
        </w:rPr>
        <w:t>系统集成：按照项目需求采购系统设备，硬件设备直接由厂商发送到客户，由客户验货并签收，公司集成人员按合同要</w:t>
      </w:r>
    </w:p>
    <w:p>
      <w:pPr>
        <w:spacing w:after="0" w:line="240"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99"/>
        <w:jc w:val="left"/>
      </w:pPr>
      <w:bookmarkStart w:name="（2）确认提供劳务收入的依据" w:id="174"/>
      <w:bookmarkEnd w:id="174"/>
      <w:r>
        <w:rPr/>
      </w:r>
      <w:bookmarkStart w:name="22、政府补助" w:id="175"/>
      <w:bookmarkEnd w:id="175"/>
      <w:r>
        <w:rPr/>
      </w:r>
      <w:bookmarkStart w:name="（1）类型" w:id="176"/>
      <w:bookmarkEnd w:id="176"/>
      <w:r>
        <w:rPr/>
      </w:r>
      <w:bookmarkStart w:name="（2）会计处理方法" w:id="177"/>
      <w:bookmarkEnd w:id="177"/>
      <w:r>
        <w:rPr/>
      </w:r>
      <w:bookmarkStart w:name="23、递延所得税资产和递延所得税负债" w:id="178"/>
      <w:bookmarkEnd w:id="178"/>
      <w:r>
        <w:rPr/>
      </w:r>
      <w:bookmarkStart w:name="（1）确认递延所得税资产的依据" w:id="179"/>
      <w:bookmarkEnd w:id="179"/>
      <w:r>
        <w:rPr/>
      </w:r>
      <w:r>
        <w:rPr/>
        <w:t>求调试安装设备，客户验收后，与设备所有权相关的风险已转移给客户，并确认收入。</w:t>
      </w:r>
    </w:p>
    <w:p>
      <w:pPr>
        <w:spacing w:line="240" w:lineRule="auto" w:before="9"/>
        <w:rPr>
          <w:rFonts w:ascii="宋体" w:hAnsi="宋体" w:cs="宋体" w:eastAsia="宋体" w:hint="default"/>
          <w:sz w:val="21"/>
          <w:szCs w:val="21"/>
        </w:rPr>
      </w:pPr>
    </w:p>
    <w:p>
      <w:pPr>
        <w:pStyle w:val="Heading4"/>
        <w:spacing w:line="240" w:lineRule="auto"/>
        <w:ind w:right="99"/>
        <w:jc w:val="left"/>
        <w:rPr>
          <w:b w:val="0"/>
          <w:bCs w:val="0"/>
        </w:rPr>
      </w:pPr>
      <w:r>
        <w:rPr/>
        <w:t>（</w:t>
      </w:r>
      <w:r>
        <w:rPr>
          <w:rFonts w:ascii="Times New Roman" w:hAnsi="Times New Roman" w:cs="Times New Roman" w:eastAsia="Times New Roman" w:hint="default"/>
        </w:rPr>
        <w:t>2</w:t>
      </w:r>
      <w:r>
        <w:rPr/>
        <w:t>）确认提供劳务收入的依据</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在提供劳务交易的结果能够可靠估计的情况下，于资产负债表日按照完工百分比法确认提供的劳务收入。劳务交易的完</w:t>
      </w:r>
      <w:r>
        <w:rPr/>
        <w:t> 工进度按已经提供的劳务占应提供劳务总量的比例确定。</w:t>
      </w:r>
    </w:p>
    <w:p>
      <w:pPr>
        <w:pStyle w:val="BodyText"/>
        <w:spacing w:line="240" w:lineRule="auto" w:before="19"/>
        <w:ind w:left="475" w:right="99"/>
        <w:jc w:val="left"/>
      </w:pPr>
      <w:r>
        <w:rPr>
          <w:w w:val="95"/>
        </w:rPr>
        <w:t>提供劳务交易的结果能够可靠估计是指同时满足：①收入的金额能够可靠地计量；②相关的经济利益很可能流入企业；</w:t>
      </w:r>
      <w:r>
        <w:rPr/>
      </w:r>
    </w:p>
    <w:p>
      <w:pPr>
        <w:pStyle w:val="BodyText"/>
        <w:spacing w:line="316" w:lineRule="auto" w:before="76"/>
        <w:ind w:left="475" w:right="99" w:hanging="363"/>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475" w:right="99" w:hanging="363"/>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99"/>
        <w:jc w:val="left"/>
      </w:pPr>
      <w:r>
        <w:rPr>
          <w:spacing w:val="-2"/>
        </w:rPr>
        <w:t>的，将销售商品部分和提供劳务部分分别处理；如销售商品部分和提供劳务部分不能够区分，或虽能区分但不能够单独计量</w:t>
      </w:r>
      <w:r>
        <w:rPr>
          <w:spacing w:val="-65"/>
        </w:rPr>
        <w:t> </w:t>
      </w:r>
      <w:r>
        <w:rPr>
          <w:spacing w:val="-65"/>
        </w:rPr>
      </w:r>
      <w:r>
        <w:rPr/>
        <w:t>的，将该合同全部作为销售商品处理。</w:t>
      </w:r>
    </w:p>
    <w:p>
      <w:pPr>
        <w:pStyle w:val="BodyText"/>
        <w:spacing w:line="316" w:lineRule="auto" w:before="19"/>
        <w:ind w:right="2112" w:firstLine="422"/>
        <w:jc w:val="left"/>
      </w:pPr>
      <w:r>
        <w:rPr/>
        <w:t>软件开发：根据与公司签订的合同，项目组开始实施，按照合同条款和实施进度确认收入。 服务业务：根据与公司签订的合同，项目组提供技术服务，按照服务的期限分期确认收入。</w:t>
      </w:r>
    </w:p>
    <w:p>
      <w:pPr>
        <w:spacing w:line="240" w:lineRule="auto" w:before="7"/>
        <w:rPr>
          <w:rFonts w:ascii="宋体" w:hAnsi="宋体" w:cs="宋体" w:eastAsia="宋体" w:hint="default"/>
          <w:sz w:val="17"/>
          <w:szCs w:val="17"/>
        </w:rPr>
      </w:pPr>
    </w:p>
    <w:p>
      <w:pPr>
        <w:pStyle w:val="Heading4"/>
        <w:spacing w:line="240" w:lineRule="auto"/>
        <w:ind w:left="119" w:right="99"/>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政府补助是指本公司从政府无偿取得货币性资产和非货币性资产，不包括政府作为所有者投入的资本。政府补助分为与</w:t>
      </w:r>
      <w:r>
        <w:rPr/>
        <w:t> 资产相关的政府补助和与收益相关的政府补助。</w:t>
      </w:r>
    </w:p>
    <w:p>
      <w:pPr>
        <w:spacing w:line="240" w:lineRule="auto" w:before="4"/>
        <w:rPr>
          <w:rFonts w:ascii="宋体" w:hAnsi="宋体" w:cs="宋体" w:eastAsia="宋体" w:hint="default"/>
          <w:sz w:val="17"/>
          <w:szCs w:val="17"/>
        </w:rPr>
      </w:pPr>
    </w:p>
    <w:p>
      <w:pPr>
        <w:pStyle w:val="Heading4"/>
        <w:spacing w:line="240" w:lineRule="auto"/>
        <w:ind w:right="99"/>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right="99" w:firstLine="362"/>
        <w:jc w:val="left"/>
      </w:pPr>
      <w:r>
        <w:rPr>
          <w:spacing w:val="-4"/>
          <w:w w:val="95"/>
        </w:rPr>
        <w:t>与资产相关的政府补助，确认为递延收益，并在相关资产的使用寿命内平均分配计入当期损益。与收益相关的政府补助，</w:t>
      </w:r>
      <w:r>
        <w:rPr>
          <w:spacing w:val="-23"/>
          <w:w w:val="95"/>
        </w:rPr>
        <w:t> </w:t>
      </w:r>
      <w:r>
        <w:rPr>
          <w:spacing w:val="-23"/>
          <w:w w:val="95"/>
        </w:rPr>
      </w:r>
      <w:r>
        <w:rPr>
          <w:spacing w:val="-2"/>
        </w:rPr>
        <w:t>用于补偿以后期间的相关费用和损失的，确认为递延收益，并在确认相关费用的期间计入当期损益；用于补偿已经发生的相</w:t>
      </w:r>
      <w:r>
        <w:rPr>
          <w:spacing w:val="-65"/>
        </w:rPr>
        <w:t> </w:t>
      </w:r>
      <w:r>
        <w:rPr>
          <w:spacing w:val="-65"/>
        </w:rPr>
      </w:r>
      <w:r>
        <w:rPr/>
        <w:t>关费用和损失的，直接计入当期损益。 </w:t>
      </w:r>
      <w:r>
        <w:rPr>
          <w:spacing w:val="-2"/>
        </w:rPr>
        <w:t>已确认的政府补助需要返还时，存在相关递延收益余额的，冲减相关递延收益账面余额，超出部分计入当期损益；不存在相</w:t>
      </w:r>
      <w:r>
        <w:rPr>
          <w:spacing w:val="-64"/>
        </w:rPr>
        <w:t> </w:t>
      </w:r>
      <w:r>
        <w:rPr>
          <w:spacing w:val="-64"/>
        </w:rPr>
      </w:r>
      <w:r>
        <w:rPr/>
        <w:t>关递延收益的，直接计入当期损益。</w:t>
      </w:r>
    </w:p>
    <w:p>
      <w:pPr>
        <w:spacing w:line="240" w:lineRule="auto" w:before="4"/>
        <w:rPr>
          <w:rFonts w:ascii="宋体" w:hAnsi="宋体" w:cs="宋体" w:eastAsia="宋体" w:hint="default"/>
          <w:sz w:val="17"/>
          <w:szCs w:val="17"/>
        </w:rPr>
      </w:pPr>
    </w:p>
    <w:p>
      <w:pPr>
        <w:pStyle w:val="Heading4"/>
        <w:spacing w:line="240" w:lineRule="auto"/>
        <w:ind w:left="119" w:right="99"/>
        <w:jc w:val="left"/>
        <w:rPr>
          <w:b w:val="0"/>
          <w:bCs w:val="0"/>
        </w:rPr>
      </w:pPr>
      <w:r>
        <w:rPr>
          <w:rFonts w:ascii="Times New Roman" w:hAnsi="Times New Roman" w:cs="Times New Roman" w:eastAsia="Times New Roman" w:hint="default"/>
        </w:rPr>
        <w:t>23</w:t>
      </w:r>
      <w:r>
        <w:rPr/>
        <w:t>、递延所得税资产和递延所得税负债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）确认递延所得税资产的依据</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57"/>
        <w:ind w:right="112" w:firstLine="362"/>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5"/>
        </w:rPr>
        <w:t> </w:t>
      </w:r>
      <w:r>
        <w:rPr>
          <w:spacing w:val="-65"/>
        </w:rPr>
      </w:r>
      <w:r>
        <w:rPr/>
        <w:t>得税负债。</w:t>
      </w:r>
    </w:p>
    <w:p>
      <w:pPr>
        <w:spacing w:after="0" w:line="316" w:lineRule="auto"/>
        <w:jc w:val="both"/>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before="44"/>
        <w:ind w:right="112" w:firstLine="362"/>
        <w:jc w:val="both"/>
      </w:pPr>
      <w:bookmarkStart w:name="24、经营租赁、融资租赁" w:id="180"/>
      <w:bookmarkEnd w:id="180"/>
      <w:r>
        <w:rPr/>
      </w:r>
      <w:bookmarkStart w:name="（1）经营租赁会计处理" w:id="181"/>
      <w:bookmarkEnd w:id="181"/>
      <w:r>
        <w:rPr/>
      </w:r>
      <w:bookmarkStart w:name="（2）融资租赁会计处理" w:id="182"/>
      <w:bookmarkEnd w:id="182"/>
      <w:r>
        <w:rPr/>
      </w:r>
      <w:bookmarkStart w:name="（3）售后租回的会计处理" w:id="183"/>
      <w:bookmarkEnd w:id="183"/>
      <w:r>
        <w:rPr/>
      </w:r>
      <w:bookmarkStart w:name="25、主要会计政策、会计估计的变更" w:id="184"/>
      <w:bookmarkEnd w:id="184"/>
      <w:r>
        <w:rPr/>
      </w: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5"/>
        </w:rPr>
        <w:t> </w:t>
      </w:r>
      <w:r>
        <w:rPr>
          <w:spacing w:val="-65"/>
        </w:rPr>
      </w:r>
      <w:r>
        <w:rPr/>
        <w:t>额为限，确认其他可抵扣暂时性差异产生的递延所得税资产。</w:t>
      </w:r>
    </w:p>
    <w:p>
      <w:pPr>
        <w:pStyle w:val="BodyText"/>
        <w:spacing w:line="316" w:lineRule="auto" w:before="57"/>
        <w:ind w:right="112" w:firstLine="362"/>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59"/>
        <w:ind w:right="112" w:firstLine="362"/>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59"/>
        <w:ind w:right="112" w:firstLine="362"/>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line="240" w:lineRule="auto" w:before="4"/>
        <w:rPr>
          <w:rFonts w:ascii="宋体" w:hAnsi="宋体" w:cs="宋体" w:eastAsia="宋体" w:hint="default"/>
          <w:sz w:val="17"/>
          <w:szCs w:val="17"/>
        </w:rPr>
      </w:pPr>
    </w:p>
    <w:p>
      <w:pPr>
        <w:pStyle w:val="Heading4"/>
        <w:spacing w:line="240" w:lineRule="auto"/>
        <w:ind w:left="119" w:right="0"/>
        <w:jc w:val="both"/>
        <w:rPr>
          <w:b w:val="0"/>
          <w:bCs w:val="0"/>
        </w:rPr>
      </w:pPr>
      <w:r>
        <w:rPr>
          <w:rFonts w:ascii="Times New Roman" w:hAnsi="Times New Roman" w:cs="Times New Roman" w:eastAsia="Times New Roman" w:hint="default"/>
        </w:rPr>
        <w:t>24</w:t>
      </w:r>
      <w:r>
        <w:rPr/>
        <w:t>、经营租赁、融资租赁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）经营租赁会计处理</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）融资租赁会计处理</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112" w:firstLine="362"/>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475" w:right="99"/>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both"/>
      </w:pPr>
      <w:r>
        <w:rPr/>
        <w:t>租金于实际发生时计入当期损益。</w:t>
      </w:r>
    </w:p>
    <w:p>
      <w:pPr>
        <w:pStyle w:val="BodyText"/>
        <w:spacing w:line="300" w:lineRule="auto" w:before="76"/>
        <w:ind w:left="475" w:right="191"/>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99"/>
        <w:jc w:val="left"/>
      </w:pPr>
      <w:r>
        <w:rPr>
          <w:spacing w:val="-2"/>
        </w:rPr>
        <w:t>化，在整个租赁期间内按照与确认租金收入相同的基础分期计入当期损益；其他金额较小的初始直接费用于发生时计入当期</w:t>
      </w:r>
      <w:r>
        <w:rPr>
          <w:spacing w:val="-65"/>
        </w:rPr>
        <w:t> </w:t>
      </w:r>
      <w:r>
        <w:rPr>
          <w:spacing w:val="-65"/>
        </w:rPr>
      </w:r>
      <w:r>
        <w:rPr/>
        <w:t>损益。或有租金于实际发生时计入当期损益。</w:t>
      </w:r>
    </w:p>
    <w:p>
      <w:pPr>
        <w:pStyle w:val="BodyText"/>
        <w:spacing w:line="300" w:lineRule="auto" w:before="19"/>
        <w:ind w:left="475" w:right="99"/>
        <w:jc w:val="left"/>
      </w:pPr>
      <w:r>
        <w:rPr/>
        <w:t>（</w:t>
      </w:r>
      <w:r>
        <w:rPr>
          <w:rFonts w:ascii="Times New Roman" w:hAnsi="Times New Roman" w:cs="Times New Roman" w:eastAsia="Times New Roman" w:hint="default"/>
        </w:rPr>
        <w:t>3</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111"/>
        <w:jc w:val="both"/>
      </w:pPr>
      <w:r>
        <w:rPr>
          <w:spacing w:val="-4"/>
          <w:w w:val="95"/>
        </w:rPr>
        <w:t>最低租赁付款额作为长期应付款的入账价值，其差额作为未确认融资费用。此外，在租赁谈判和签订租赁合同过程中发生的，</w:t>
      </w:r>
      <w:r>
        <w:rPr>
          <w:spacing w:val="41"/>
          <w:w w:val="95"/>
        </w:rPr>
        <w:t> </w:t>
      </w:r>
      <w:r>
        <w:rPr>
          <w:spacing w:val="41"/>
          <w:w w:val="95"/>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475" w:right="99"/>
        <w:jc w:val="left"/>
      </w:pPr>
      <w:r>
        <w:rPr/>
        <w:t>未确认融资费用在租赁期内采用实际利率法计算确认当期的融资费用。或有租金于实际发生时计入当期损益。</w:t>
      </w:r>
    </w:p>
    <w:p>
      <w:pPr>
        <w:pStyle w:val="BodyText"/>
        <w:spacing w:line="300" w:lineRule="auto" w:before="76"/>
        <w:ind w:left="475" w:right="99"/>
        <w:jc w:val="left"/>
      </w:pPr>
      <w:r>
        <w:rPr/>
        <w:t>（</w:t>
      </w:r>
      <w:r>
        <w:rPr>
          <w:rFonts w:ascii="Times New Roman" w:hAnsi="Times New Roman" w:cs="Times New Roman" w:eastAsia="Times New Roman" w:hint="default"/>
        </w:rPr>
        <w:t>4</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99"/>
        <w:jc w:val="left"/>
      </w:pPr>
      <w:r>
        <w:rPr>
          <w:spacing w:val="-2"/>
        </w:rPr>
        <w:t>余值；将最低租赁收款额、初始直接费用及未担保余值之和与其现值之和的差额确认为未实现融资收益。应收融资租赁款扣</w:t>
      </w:r>
      <w:r>
        <w:rPr>
          <w:spacing w:val="-65"/>
        </w:rPr>
        <w:t> </w:t>
      </w:r>
      <w:r>
        <w:rPr>
          <w:spacing w:val="-65"/>
        </w:rPr>
      </w:r>
      <w:r>
        <w:rPr/>
        <w:t>除未实现融资收益后的余额分别长期债权和一年内到期的长期债权列示。</w:t>
      </w:r>
    </w:p>
    <w:p>
      <w:pPr>
        <w:pStyle w:val="BodyText"/>
        <w:spacing w:line="240" w:lineRule="auto" w:before="19"/>
        <w:ind w:left="475" w:right="99"/>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9"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、主要会计政策、会计估计的变更</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0"/>
        <w:jc w:val="both"/>
      </w:pPr>
      <w:r>
        <w:rPr/>
        <w:t>本报告期主要会计政策、会计估计是否变更</w:t>
      </w:r>
    </w:p>
    <w:p>
      <w:pPr>
        <w:spacing w:after="0" w:line="240" w:lineRule="auto"/>
        <w:jc w:val="both"/>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bookmarkStart w:name="（1）会计政策变更" w:id="185"/>
      <w:bookmarkEnd w:id="185"/>
      <w:r>
        <w:rPr/>
      </w:r>
      <w:bookmarkStart w:name="（2）会计估计变更" w:id="186"/>
      <w:bookmarkEnd w:id="186"/>
      <w:r>
        <w:rPr/>
      </w:r>
      <w:bookmarkStart w:name="26、其他主要会计政策、会计估计和财务报表编制方法" w:id="187"/>
      <w:bookmarkEnd w:id="187"/>
      <w:r>
        <w:rPr/>
      </w:r>
      <w:bookmarkStart w:name="五、税项" w:id="188"/>
      <w:bookmarkEnd w:id="188"/>
      <w:r>
        <w:rPr/>
      </w:r>
      <w:bookmarkStart w:name="1、公司主要税种和税率" w:id="189"/>
      <w:bookmarkEnd w:id="189"/>
      <w:r>
        <w:rPr/>
      </w:r>
      <w:bookmarkStart w:name="2、税收优惠及批文" w:id="190"/>
      <w:bookmarkEnd w:id="190"/>
      <w:r>
        <w:rPr/>
      </w:r>
      <w:r>
        <w:rPr/>
        <w:t>□ 是 √ 否</w:t>
      </w:r>
    </w:p>
    <w:p>
      <w:pPr>
        <w:spacing w:line="240" w:lineRule="auto" w:before="9"/>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0"/>
        <w:jc w:val="both"/>
      </w:pPr>
      <w:r>
        <w:rPr/>
        <w:t>本报告期主要会计政策是否变更</w:t>
      </w:r>
    </w:p>
    <w:p>
      <w:pPr>
        <w:pStyle w:val="BodyText"/>
        <w:spacing w:line="240" w:lineRule="auto" w:before="117"/>
        <w:ind w:right="0"/>
        <w:jc w:val="both"/>
      </w:pPr>
      <w:r>
        <w:rPr/>
        <w:t>□ 是 √ 否</w:t>
      </w:r>
    </w:p>
    <w:p>
      <w:pPr>
        <w:spacing w:line="240" w:lineRule="auto" w:before="9"/>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0"/>
        <w:jc w:val="both"/>
      </w:pPr>
      <w:r>
        <w:rPr/>
        <w:t>本报告期主要会计估计是否变更</w:t>
      </w:r>
    </w:p>
    <w:p>
      <w:pPr>
        <w:pStyle w:val="BodyText"/>
        <w:spacing w:line="240" w:lineRule="auto" w:before="117"/>
        <w:ind w:right="0"/>
        <w:jc w:val="both"/>
      </w:pPr>
      <w:r>
        <w:rPr/>
        <w:t>□ 是 √ 否</w:t>
      </w:r>
    </w:p>
    <w:p>
      <w:pPr>
        <w:spacing w:line="240" w:lineRule="auto" w:before="9"/>
        <w:rPr>
          <w:rFonts w:ascii="宋体" w:hAnsi="宋体" w:cs="宋体" w:eastAsia="宋体" w:hint="default"/>
          <w:sz w:val="21"/>
          <w:szCs w:val="21"/>
        </w:rPr>
      </w:pPr>
    </w:p>
    <w:p>
      <w:pPr>
        <w:pStyle w:val="Heading4"/>
        <w:spacing w:line="240" w:lineRule="auto"/>
        <w:ind w:left="119" w:right="0"/>
        <w:jc w:val="both"/>
        <w:rPr>
          <w:b w:val="0"/>
          <w:bCs w:val="0"/>
        </w:rPr>
      </w:pPr>
      <w:r>
        <w:rPr>
          <w:rFonts w:ascii="Times New Roman" w:hAnsi="Times New Roman" w:cs="Times New Roman" w:eastAsia="Times New Roman" w:hint="default"/>
        </w:rPr>
        <w:t>26</w:t>
      </w:r>
      <w:r>
        <w:rPr/>
        <w:t>、其他主要会计政策、会计估计和财务报表编制方法</w:t>
      </w:r>
      <w:r>
        <w:rPr>
          <w:b w:val="0"/>
          <w:bCs w:val="0"/>
        </w:rPr>
      </w:r>
    </w:p>
    <w:p>
      <w:pPr>
        <w:spacing w:line="240" w:lineRule="auto" w:before="3"/>
        <w:rPr>
          <w:rFonts w:ascii="Microsoft JhengHei" w:hAnsi="Microsoft JhengHei" w:cs="Microsoft JhengHei" w:eastAsia="Microsoft JhengHei" w:hint="default"/>
          <w:b/>
          <w:bCs/>
          <w:sz w:val="16"/>
          <w:szCs w:val="16"/>
        </w:rPr>
      </w:pPr>
    </w:p>
    <w:p>
      <w:pPr>
        <w:pStyle w:val="BodyText"/>
        <w:spacing w:line="283" w:lineRule="auto"/>
        <w:ind w:left="475" w:right="99"/>
        <w:jc w:val="left"/>
      </w:pPr>
      <w:r>
        <w:rPr>
          <w:rFonts w:ascii="Microsoft JhengHei" w:hAnsi="Microsoft JhengHei" w:cs="Microsoft JhengHei" w:eastAsia="Microsoft JhengHei" w:hint="default"/>
          <w:b/>
          <w:bCs/>
        </w:rPr>
        <w:t>重大会计判断和估计 </w:t>
      </w:r>
      <w:r>
        <w:rPr>
          <w:spacing w:val="-2"/>
        </w:rPr>
        <w:t>本公司在运用会计政策过程中，由于经营活动内在的不确定性，本公司需要对无法准确计量的报表项目的账面价值进行</w:t>
      </w:r>
    </w:p>
    <w:p>
      <w:pPr>
        <w:pStyle w:val="BodyText"/>
        <w:spacing w:line="316" w:lineRule="auto" w:before="44"/>
        <w:ind w:right="110"/>
        <w:jc w:val="both"/>
      </w:pPr>
      <w:r>
        <w:rPr>
          <w:w w:val="95"/>
        </w:rPr>
        <w:t>判断、估计和假设。这些判断、估计和假设是基于本公司管理层过去的历史经验，并在考虑其他相关因素的基础上做出的。</w:t>
      </w:r>
      <w:r>
        <w:rPr>
          <w:spacing w:val="63"/>
          <w:w w:val="95"/>
        </w:rPr>
        <w:t> </w:t>
      </w:r>
      <w:r>
        <w:rPr>
          <w:spacing w:val="63"/>
          <w:w w:val="95"/>
        </w:rPr>
      </w:r>
      <w:r>
        <w:rPr>
          <w:spacing w:val="-2"/>
        </w:rPr>
        <w:t>这些判断、估计和假设会影响收入、费用、资产和负债的报告金额以及资产负债表日或有负债的披露。然而，这些估计的不</w:t>
      </w:r>
      <w:r>
        <w:rPr>
          <w:spacing w:val="-63"/>
        </w:rPr>
        <w:t> </w:t>
      </w:r>
      <w:r>
        <w:rPr>
          <w:spacing w:val="-63"/>
        </w:rPr>
      </w:r>
      <w:r>
        <w:rPr/>
        <w:t>确定性所导致的结果可能造成对未来受影响的资产或负债的账面金额进行重大调整。</w:t>
      </w:r>
    </w:p>
    <w:p>
      <w:pPr>
        <w:pStyle w:val="BodyText"/>
        <w:spacing w:line="316" w:lineRule="auto" w:before="19"/>
        <w:ind w:right="99" w:firstLine="362"/>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spacing w:line="240" w:lineRule="auto" w:before="11"/>
        <w:rPr>
          <w:rFonts w:ascii="宋体" w:hAnsi="宋体" w:cs="宋体" w:eastAsia="宋体" w:hint="default"/>
          <w:sz w:val="14"/>
          <w:szCs w:val="14"/>
        </w:rPr>
      </w:pPr>
    </w:p>
    <w:p>
      <w:pPr>
        <w:pStyle w:val="Heading2"/>
        <w:spacing w:line="240" w:lineRule="auto"/>
        <w:ind w:right="0"/>
        <w:jc w:val="both"/>
        <w:rPr>
          <w:b w:val="0"/>
          <w:bCs w:val="0"/>
        </w:rPr>
      </w:pPr>
      <w:r>
        <w:rPr/>
        <w:t>五、税项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119" w:right="0"/>
        <w:jc w:val="both"/>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516"/>
        <w:gridCol w:w="3026"/>
        <w:gridCol w:w="3024"/>
      </w:tblGrid>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7"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纳税人销售货物或者应税劳务的销售 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的税率计算销项 </w:t>
            </w:r>
            <w:r>
              <w:rPr>
                <w:rFonts w:ascii="宋体" w:hAnsi="宋体" w:cs="宋体" w:eastAsia="宋体" w:hint="default"/>
                <w:spacing w:val="-6"/>
                <w:sz w:val="18"/>
                <w:szCs w:val="18"/>
              </w:rPr>
              <w:t>税，并按扣除当期允许抵扣的进项税额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后的差额计缴增值税。</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p>
        </w:tc>
      </w:tr>
    </w:tbl>
    <w:p>
      <w:pPr>
        <w:pStyle w:val="BodyText"/>
        <w:spacing w:line="240" w:lineRule="auto" w:before="51"/>
        <w:ind w:right="99"/>
        <w:jc w:val="left"/>
      </w:pPr>
      <w:r>
        <w:rPr/>
        <w:t>各分公司、分厂执行的所得税税率</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BodyText"/>
        <w:spacing w:line="300" w:lineRule="auto"/>
        <w:ind w:right="111" w:firstLine="362"/>
        <w:jc w:val="both"/>
      </w:pPr>
      <w:r>
        <w:rPr>
          <w:spacing w:val="-1"/>
        </w:rPr>
        <w:t>本公司企业所得税享受西部大开发税收优惠政策，自</w:t>
      </w:r>
      <w:r>
        <w:rPr>
          <w:rFonts w:ascii="Times New Roman" w:hAnsi="Times New Roman" w:cs="Times New Roman" w:eastAsia="Times New Roman" w:hint="default"/>
          <w:spacing w:val="-1"/>
        </w:rPr>
        <w:t>2003</w:t>
      </w:r>
      <w:r>
        <w:rPr>
          <w:spacing w:val="-1"/>
        </w:rPr>
        <w:t>年度起在西部大开发企业所得税收优惠政策执行期内减按</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t>的税率计算缴纳所得税。</w:t>
      </w:r>
    </w:p>
    <w:p>
      <w:pPr>
        <w:pStyle w:val="BodyText"/>
        <w:spacing w:line="309" w:lineRule="auto" w:before="31"/>
        <w:ind w:right="110" w:firstLine="362"/>
        <w:jc w:val="both"/>
      </w:pPr>
      <w:r>
        <w:rPr>
          <w:spacing w:val="-2"/>
        </w:rPr>
        <w:t>北京南天软件有限公司获得北京市科学技术委员会、北京市财政局、北京市国家税务局、北京市地方税务局高新技术企</w:t>
      </w:r>
      <w:r>
        <w:rPr/>
        <w:t> 业认证，根据《中华人民共和国企业所得税法》（中华人民共和国主席令第</w:t>
      </w:r>
      <w:r>
        <w:rPr>
          <w:rFonts w:ascii="Times New Roman" w:hAnsi="Times New Roman" w:cs="Times New Roman" w:eastAsia="Times New Roman" w:hint="default"/>
        </w:rPr>
        <w:t>63</w:t>
      </w:r>
      <w:r>
        <w:rPr/>
        <w:t>号）文件第二十八条的规定：</w:t>
      </w:r>
      <w:r>
        <w:rPr>
          <w:rFonts w:ascii="Times New Roman" w:hAnsi="Times New Roman" w:cs="Times New Roman" w:eastAsia="Times New Roman" w:hint="default"/>
        </w:rPr>
        <w:t>“</w:t>
      </w:r>
      <w:r>
        <w:rPr/>
        <w:t>国家需要重点</w:t>
      </w:r>
      <w:r>
        <w:rPr>
          <w:spacing w:val="-73"/>
        </w:rPr>
        <w:t> </w:t>
      </w:r>
      <w:r>
        <w:rPr/>
        <w:t>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公司执行</w:t>
      </w:r>
      <w:r>
        <w:rPr>
          <w:rFonts w:ascii="Times New Roman" w:hAnsi="Times New Roman" w:cs="Times New Roman" w:eastAsia="Times New Roman" w:hint="default"/>
        </w:rPr>
        <w:t>15%</w:t>
      </w:r>
      <w:r>
        <w:rPr/>
        <w:t>所得税税率优惠政策。</w:t>
      </w:r>
    </w:p>
    <w:p>
      <w:pPr>
        <w:pStyle w:val="BodyText"/>
        <w:spacing w:line="240" w:lineRule="auto" w:before="5"/>
        <w:ind w:left="475" w:right="0"/>
        <w:jc w:val="left"/>
      </w:pPr>
      <w:r>
        <w:rPr>
          <w:spacing w:val="-2"/>
        </w:rPr>
        <w:t>北京南天信息工程有限公司获得北京市科学技术委员会、北京市财政局、北京市国家税务局、北京市地方税务局高新技</w:t>
      </w:r>
    </w:p>
    <w:p>
      <w:pPr>
        <w:spacing w:after="0" w:line="240"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bookmarkStart w:name="六、企业合并及合并财务报表" w:id="191"/>
      <w:bookmarkEnd w:id="191"/>
      <w:r>
        <w:rPr/>
      </w:r>
      <w:bookmarkStart w:name="1、子公司情况" w:id="192"/>
      <w:bookmarkEnd w:id="192"/>
      <w:r>
        <w:rPr/>
      </w:r>
      <w:bookmarkStart w:name="（1）通过设立或投资等方式取得的子公司" w:id="193"/>
      <w:bookmarkEnd w:id="193"/>
      <w:r>
        <w:rPr/>
      </w:r>
      <w:bookmarkStart w:name="单位：万元" w:id="194"/>
      <w:bookmarkEnd w:id="194"/>
      <w:r>
        <w:rPr/>
      </w:r>
      <w:r>
        <w:rPr/>
        <w:t>术企业认证，根据《中华人民共和国企业所得税法》（中华人民共和国主席令第</w:t>
      </w:r>
      <w:r>
        <w:rPr>
          <w:rFonts w:ascii="Times New Roman" w:hAnsi="Times New Roman" w:cs="Times New Roman" w:eastAsia="Times New Roman" w:hint="default"/>
        </w:rPr>
        <w:t>63</w:t>
      </w:r>
      <w:r>
        <w:rPr/>
        <w:t>号）文件第二十八条的规定：</w:t>
      </w:r>
      <w:r>
        <w:rPr>
          <w:rFonts w:ascii="Times New Roman" w:hAnsi="Times New Roman" w:cs="Times New Roman" w:eastAsia="Times New Roman" w:hint="default"/>
        </w:rPr>
        <w:t>“</w:t>
      </w:r>
      <w:r>
        <w:rPr/>
        <w:t>国家需要</w:t>
      </w:r>
      <w:r>
        <w:rPr>
          <w:spacing w:val="-73"/>
        </w:rPr>
        <w:t> </w:t>
      </w:r>
      <w:r>
        <w:rPr/>
        <w:t>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公司执行</w:t>
      </w:r>
      <w:r>
        <w:rPr>
          <w:rFonts w:ascii="Times New Roman" w:hAnsi="Times New Roman" w:cs="Times New Roman" w:eastAsia="Times New Roman" w:hint="default"/>
        </w:rPr>
        <w:t>15%</w:t>
      </w:r>
      <w:r>
        <w:rPr/>
        <w:t>所得税税率优惠政策。</w:t>
      </w:r>
    </w:p>
    <w:p>
      <w:pPr>
        <w:pStyle w:val="BodyText"/>
        <w:spacing w:line="304" w:lineRule="auto" w:before="13"/>
        <w:ind w:right="126" w:firstLine="362"/>
        <w:jc w:val="both"/>
      </w:pPr>
      <w:r>
        <w:rPr>
          <w:spacing w:val="-2"/>
        </w:rPr>
        <w:t>上海南天电脑系统有限公司根据国家科技部、财政部、国家税务总局颁布的《高新技术企业认定管理办法》（国科发火</w:t>
      </w:r>
      <w:r>
        <w:rPr/>
        <w:t> </w:t>
      </w:r>
      <w:r>
        <w:rPr>
          <w:rFonts w:ascii="Times New Roman" w:hAnsi="Times New Roman" w:cs="Times New Roman" w:eastAsia="Times New Roman" w:hint="default"/>
        </w:rPr>
        <w:t>[2008]172</w:t>
      </w:r>
      <w:r>
        <w:rPr/>
        <w:t>号）、《高新技术企业认定管理工作指引》（国科发火</w:t>
      </w:r>
      <w:r>
        <w:rPr>
          <w:rFonts w:ascii="Times New Roman" w:hAnsi="Times New Roman" w:cs="Times New Roman" w:eastAsia="Times New Roman" w:hint="default"/>
        </w:rPr>
        <w:t>[2008]362</w:t>
      </w:r>
      <w:r>
        <w:rPr/>
        <w:t>号）、《关于高新技术企业更名和复审等有关事</w:t>
      </w:r>
      <w:r>
        <w:rPr>
          <w:spacing w:val="-73"/>
        </w:rPr>
        <w:t> </w:t>
      </w:r>
      <w:r>
        <w:rPr>
          <w:spacing w:val="-2"/>
        </w:rPr>
        <w:t>项的通知》（国科火字（</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123</w:t>
      </w:r>
      <w:r>
        <w:rPr>
          <w:spacing w:val="-2"/>
        </w:rPr>
        <w:t>号）和《上海市高新技术企业认定管理实施办法》（沪科合（</w:t>
      </w:r>
      <w:r>
        <w:rPr>
          <w:rFonts w:ascii="Times New Roman" w:hAnsi="Times New Roman" w:cs="Times New Roman" w:eastAsia="Times New Roman" w:hint="default"/>
          <w:spacing w:val="-2"/>
        </w:rPr>
        <w:t>2008</w:t>
      </w:r>
      <w:r>
        <w:rPr>
          <w:spacing w:val="-2"/>
        </w:rPr>
        <w:t>）第</w:t>
      </w:r>
      <w:r>
        <w:rPr>
          <w:rFonts w:ascii="Times New Roman" w:hAnsi="Times New Roman" w:cs="Times New Roman" w:eastAsia="Times New Roman" w:hint="default"/>
          <w:spacing w:val="-2"/>
        </w:rPr>
        <w:t>025</w:t>
      </w:r>
      <w:r>
        <w:rPr>
          <w:spacing w:val="-2"/>
        </w:rPr>
        <w:t>号）的有关规</w:t>
      </w:r>
      <w:r>
        <w:rPr>
          <w:spacing w:val="-58"/>
        </w:rPr>
        <w:t> </w:t>
      </w:r>
      <w:r>
        <w:rPr>
          <w:spacing w:val="-58"/>
        </w:rPr>
      </w:r>
      <w:r>
        <w:rPr>
          <w:spacing w:val="-4"/>
          <w:w w:val="99"/>
        </w:rPr>
        <w:t>定，公司已经向上海市高新技术企业认定办公室申报作为高新技术企业并获得认证（高新技术企业编号为：</w:t>
      </w:r>
      <w:r>
        <w:rPr>
          <w:rFonts w:ascii="Times New Roman" w:hAnsi="Times New Roman" w:cs="Times New Roman" w:eastAsia="Times New Roman" w:hint="default"/>
          <w:spacing w:val="-4"/>
          <w:w w:val="99"/>
        </w:rPr>
        <w:t>GF201131001293</w:t>
      </w:r>
      <w:r>
        <w:rPr>
          <w:spacing w:val="-4"/>
          <w:w w:val="99"/>
        </w:rPr>
        <w:t>，</w:t>
      </w:r>
      <w:r>
        <w:rPr>
          <w:spacing w:val="-75"/>
          <w:w w:val="99"/>
        </w:rPr>
        <w:t> </w:t>
      </w:r>
      <w:r>
        <w:rPr/>
        <w:t>按照</w:t>
      </w:r>
      <w:r>
        <w:rPr>
          <w:rFonts w:ascii="Times New Roman" w:hAnsi="Times New Roman" w:cs="Times New Roman" w:eastAsia="Times New Roman" w:hint="default"/>
        </w:rPr>
        <w:t>15%</w:t>
      </w:r>
      <w:r>
        <w:rPr/>
        <w:t>的所得税优惠政策计缴企业所得税。</w:t>
      </w:r>
    </w:p>
    <w:p>
      <w:pPr>
        <w:pStyle w:val="BodyText"/>
        <w:spacing w:line="300" w:lineRule="auto" w:before="9"/>
        <w:ind w:right="132" w:firstLine="362"/>
        <w:jc w:val="both"/>
      </w:pPr>
      <w:r>
        <w:rPr>
          <w:spacing w:val="-2"/>
        </w:rPr>
        <w:t>广州南天电脑系统有限公司根据粤科函高字〔</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1437</w:t>
      </w:r>
      <w:r>
        <w:rPr>
          <w:spacing w:val="-2"/>
        </w:rPr>
        <w:t>号文件，</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月被认定为高新技术企业。按</w:t>
      </w:r>
      <w:r>
        <w:rPr>
          <w:rFonts w:ascii="Times New Roman" w:hAnsi="Times New Roman" w:cs="Times New Roman" w:eastAsia="Times New Roman" w:hint="default"/>
          <w:spacing w:val="-2"/>
        </w:rPr>
        <w:t>15%</w:t>
      </w:r>
      <w:r>
        <w:rPr>
          <w:spacing w:val="-2"/>
        </w:rPr>
        <w:t>税率征收</w:t>
      </w:r>
      <w:r>
        <w:rPr/>
        <w:t> 企业所得税。</w:t>
      </w:r>
    </w:p>
    <w:p>
      <w:pPr>
        <w:pStyle w:val="BodyText"/>
        <w:spacing w:line="300" w:lineRule="auto" w:before="31"/>
        <w:ind w:right="111" w:firstLine="362"/>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日，天鸿志（北京）科技有限公司（以下简称</w:t>
      </w:r>
      <w:r>
        <w:rPr>
          <w:rFonts w:ascii="Times New Roman" w:hAnsi="Times New Roman" w:cs="Times New Roman" w:eastAsia="Times New Roman" w:hint="default"/>
        </w:rPr>
        <w:t>“</w:t>
      </w:r>
      <w:r>
        <w:rPr/>
        <w:t>天鸿志</w:t>
      </w:r>
      <w:r>
        <w:rPr>
          <w:rFonts w:ascii="Times New Roman" w:hAnsi="Times New Roman" w:cs="Times New Roman" w:eastAsia="Times New Roman" w:hint="default"/>
        </w:rPr>
        <w:t>”</w:t>
      </w:r>
      <w:r>
        <w:rPr/>
        <w:t>）经北京市朝阳区国家税务局第九税务所备案（朝 </w:t>
      </w:r>
      <w:r>
        <w:rPr>
          <w:spacing w:val="-2"/>
          <w:w w:val="95"/>
        </w:rPr>
        <w:t>国税备减免【</w:t>
      </w:r>
      <w:r>
        <w:rPr>
          <w:rFonts w:ascii="Times New Roman" w:hAnsi="Times New Roman" w:cs="Times New Roman" w:eastAsia="Times New Roman" w:hint="default"/>
          <w:spacing w:val="-2"/>
          <w:w w:val="95"/>
        </w:rPr>
        <w:t>2011</w:t>
      </w:r>
      <w:r>
        <w:rPr>
          <w:spacing w:val="-2"/>
          <w:w w:val="95"/>
        </w:rPr>
        <w:t>】</w:t>
      </w:r>
      <w:r>
        <w:rPr>
          <w:rFonts w:ascii="Times New Roman" w:hAnsi="Times New Roman" w:cs="Times New Roman" w:eastAsia="Times New Roman" w:hint="default"/>
          <w:spacing w:val="-2"/>
          <w:w w:val="95"/>
        </w:rPr>
        <w:t>113000113</w:t>
      </w:r>
      <w:r>
        <w:rPr>
          <w:spacing w:val="-2"/>
          <w:w w:val="95"/>
        </w:rPr>
        <w:t>号），按照《财政部国家税务总局关于企业所得税若干优惠政策的通知》（财税</w:t>
      </w:r>
      <w:r>
        <w:rPr>
          <w:rFonts w:ascii="Times New Roman" w:hAnsi="Times New Roman" w:cs="Times New Roman" w:eastAsia="Times New Roman" w:hint="default"/>
          <w:spacing w:val="-2"/>
          <w:w w:val="95"/>
        </w:rPr>
        <w:t>[2008]1</w:t>
      </w:r>
      <w:r>
        <w:rPr>
          <w:spacing w:val="-2"/>
          <w:w w:val="95"/>
        </w:rPr>
        <w:t>号）：</w:t>
      </w:r>
      <w:r>
        <w:rPr>
          <w:spacing w:val="4"/>
          <w:w w:val="95"/>
        </w:rPr>
        <w:t> </w:t>
      </w:r>
      <w:r>
        <w:rPr>
          <w:spacing w:val="4"/>
          <w:w w:val="95"/>
        </w:rPr>
      </w:r>
      <w:r>
        <w:rPr>
          <w:rFonts w:ascii="Times New Roman" w:hAnsi="Times New Roman" w:cs="Times New Roman" w:eastAsia="Times New Roman" w:hint="default"/>
        </w:rPr>
        <w:t>“</w:t>
      </w:r>
      <w:r>
        <w:rPr/>
        <w:t>我国境内新办软件生产企业经认定后，自获利年度起，第一年和第二年免征企业所得税，第三年至第五年减半征收企业所 得税。</w:t>
      </w:r>
      <w:r>
        <w:rPr>
          <w:rFonts w:ascii="Times New Roman" w:hAnsi="Times New Roman" w:cs="Times New Roman" w:eastAsia="Times New Roman" w:hint="default"/>
        </w:rPr>
        <w:t>”</w:t>
      </w:r>
      <w:r>
        <w:rPr/>
        <w:t>的规定执行所得税汇算清缴。即</w:t>
      </w:r>
      <w:r>
        <w:rPr>
          <w:rFonts w:ascii="Times New Roman" w:hAnsi="Times New Roman" w:cs="Times New Roman" w:eastAsia="Times New Roman" w:hint="default"/>
        </w:rPr>
        <w:t>2010</w:t>
      </w:r>
      <w:r>
        <w:rPr/>
        <w:t>年度至</w:t>
      </w:r>
      <w:r>
        <w:rPr>
          <w:rFonts w:ascii="Times New Roman" w:hAnsi="Times New Roman" w:cs="Times New Roman" w:eastAsia="Times New Roman" w:hint="default"/>
        </w:rPr>
        <w:t>2011</w:t>
      </w:r>
      <w:r>
        <w:rPr/>
        <w:t>年度免征企业所得税，</w:t>
      </w:r>
      <w:r>
        <w:rPr>
          <w:rFonts w:ascii="Times New Roman" w:hAnsi="Times New Roman" w:cs="Times New Roman" w:eastAsia="Times New Roman" w:hint="default"/>
        </w:rPr>
        <w:t>2012</w:t>
      </w:r>
      <w:r>
        <w:rPr/>
        <w:t>年度至</w:t>
      </w:r>
      <w:r>
        <w:rPr>
          <w:rFonts w:ascii="Times New Roman" w:hAnsi="Times New Roman" w:cs="Times New Roman" w:eastAsia="Times New Roman" w:hint="default"/>
        </w:rPr>
        <w:t>2014</w:t>
      </w:r>
      <w:r>
        <w:rPr/>
        <w:t>年度减半征收企业所得税</w:t>
      </w:r>
    </w:p>
    <w:p>
      <w:pPr>
        <w:pStyle w:val="BodyText"/>
        <w:spacing w:line="307" w:lineRule="auto" w:before="13"/>
        <w:ind w:right="123" w:firstLine="362"/>
        <w:jc w:val="both"/>
      </w:pPr>
      <w:r>
        <w:rPr>
          <w:spacing w:val="-2"/>
        </w:rPr>
        <w:t>深圳南天东华科技有限公司根据深圳地方税务局转发财政部《国家税务总局关于贯彻落实国务院关于实施企业所得税过</w:t>
      </w:r>
      <w:r>
        <w:rPr/>
        <w:t> </w:t>
      </w:r>
      <w:r>
        <w:rPr>
          <w:spacing w:val="-5"/>
        </w:rPr>
        <w:t>渡优惠政策有关问题的通知》（深地税发［</w:t>
      </w:r>
      <w:r>
        <w:rPr>
          <w:rFonts w:ascii="Times New Roman" w:hAnsi="Times New Roman" w:cs="Times New Roman" w:eastAsia="Times New Roman" w:hint="default"/>
          <w:spacing w:val="-5"/>
        </w:rPr>
        <w:t>2008</w:t>
      </w:r>
      <w:r>
        <w:rPr>
          <w:spacing w:val="-5"/>
        </w:rPr>
        <w:t>］</w:t>
      </w:r>
      <w:r>
        <w:rPr>
          <w:rFonts w:ascii="Times New Roman" w:hAnsi="Times New Roman" w:cs="Times New Roman" w:eastAsia="Times New Roman" w:hint="default"/>
          <w:spacing w:val="-5"/>
        </w:rPr>
        <w:t>73</w:t>
      </w:r>
      <w:r>
        <w:rPr>
          <w:spacing w:val="-5"/>
        </w:rPr>
        <w:t>号）。对按照国发［</w:t>
      </w:r>
      <w:r>
        <w:rPr>
          <w:rFonts w:ascii="Times New Roman" w:hAnsi="Times New Roman" w:cs="Times New Roman" w:eastAsia="Times New Roman" w:hint="default"/>
          <w:spacing w:val="-5"/>
        </w:rPr>
        <w:t>2007</w:t>
      </w:r>
      <w:r>
        <w:rPr>
          <w:spacing w:val="-5"/>
        </w:rPr>
        <w:t>］</w:t>
      </w:r>
      <w:r>
        <w:rPr>
          <w:rFonts w:ascii="Times New Roman" w:hAnsi="Times New Roman" w:cs="Times New Roman" w:eastAsia="Times New Roman" w:hint="default"/>
          <w:spacing w:val="-5"/>
        </w:rPr>
        <w:t>39</w:t>
      </w:r>
      <w:r>
        <w:rPr>
          <w:spacing w:val="-5"/>
        </w:rPr>
        <w:t>号文件有关规定适用低税率的企业，自</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1"/>
          <w:w w:val="95"/>
        </w:rPr>
        <w:t>年</w:t>
      </w:r>
      <w:r>
        <w:rPr>
          <w:rFonts w:ascii="Times New Roman" w:hAnsi="Times New Roman" w:cs="Times New Roman" w:eastAsia="Times New Roman" w:hint="default"/>
          <w:spacing w:val="-1"/>
          <w:w w:val="95"/>
        </w:rPr>
        <w:t>1</w:t>
      </w:r>
      <w:r>
        <w:rPr>
          <w:spacing w:val="-1"/>
          <w:w w:val="95"/>
        </w:rPr>
        <w:t>月</w:t>
      </w:r>
      <w:r>
        <w:rPr>
          <w:rFonts w:ascii="Times New Roman" w:hAnsi="Times New Roman" w:cs="Times New Roman" w:eastAsia="Times New Roman" w:hint="default"/>
          <w:spacing w:val="-1"/>
          <w:w w:val="95"/>
        </w:rPr>
        <w:t>1</w:t>
      </w:r>
      <w:r>
        <w:rPr>
          <w:spacing w:val="-1"/>
          <w:w w:val="95"/>
        </w:rPr>
        <w:t>日起，在新税法施行后</w:t>
      </w:r>
      <w:r>
        <w:rPr>
          <w:rFonts w:ascii="Times New Roman" w:hAnsi="Times New Roman" w:cs="Times New Roman" w:eastAsia="Times New Roman" w:hint="default"/>
          <w:spacing w:val="-1"/>
          <w:w w:val="95"/>
        </w:rPr>
        <w:t>5</w:t>
      </w:r>
      <w:r>
        <w:rPr>
          <w:spacing w:val="-1"/>
          <w:w w:val="95"/>
        </w:rPr>
        <w:t>年内逐步过渡到法定税率。其中：享受企业所得税</w:t>
      </w:r>
      <w:r>
        <w:rPr>
          <w:rFonts w:ascii="Times New Roman" w:hAnsi="Times New Roman" w:cs="Times New Roman" w:eastAsia="Times New Roman" w:hint="default"/>
          <w:spacing w:val="-1"/>
          <w:w w:val="95"/>
        </w:rPr>
        <w:t>15%</w:t>
      </w:r>
      <w:r>
        <w:rPr>
          <w:spacing w:val="-1"/>
          <w:w w:val="95"/>
        </w:rPr>
        <w:t>税率的企业，</w:t>
      </w:r>
      <w:r>
        <w:rPr>
          <w:rFonts w:ascii="Times New Roman" w:hAnsi="Times New Roman" w:cs="Times New Roman" w:eastAsia="Times New Roman" w:hint="default"/>
          <w:spacing w:val="-1"/>
          <w:w w:val="95"/>
        </w:rPr>
        <w:t>2008</w:t>
      </w:r>
      <w:r>
        <w:rPr>
          <w:spacing w:val="-1"/>
          <w:w w:val="95"/>
        </w:rPr>
        <w:t>年按</w:t>
      </w:r>
      <w:r>
        <w:rPr>
          <w:rFonts w:ascii="Times New Roman" w:hAnsi="Times New Roman" w:cs="Times New Roman" w:eastAsia="Times New Roman" w:hint="default"/>
          <w:spacing w:val="-1"/>
          <w:w w:val="95"/>
        </w:rPr>
        <w:t>18%</w:t>
      </w:r>
      <w:r>
        <w:rPr>
          <w:spacing w:val="-1"/>
          <w:w w:val="95"/>
        </w:rPr>
        <w:t>税率执行，</w:t>
      </w:r>
      <w:r>
        <w:rPr>
          <w:spacing w:val="6"/>
          <w:w w:val="95"/>
        </w:rPr>
        <w:t> </w:t>
      </w:r>
      <w:r>
        <w:rPr>
          <w:spacing w:val="6"/>
          <w:w w:val="95"/>
        </w:rPr>
      </w:r>
      <w:r>
        <w:rPr>
          <w:rFonts w:ascii="Times New Roman" w:hAnsi="Times New Roman" w:cs="Times New Roman" w:eastAsia="Times New Roman" w:hint="default"/>
        </w:rPr>
        <w:t>2009</w:t>
      </w:r>
      <w:r>
        <w:rPr/>
        <w:t>年按</w:t>
      </w:r>
      <w:r>
        <w:rPr>
          <w:rFonts w:ascii="Times New Roman" w:hAnsi="Times New Roman" w:cs="Times New Roman" w:eastAsia="Times New Roman" w:hint="default"/>
        </w:rPr>
        <w:t>20%</w:t>
      </w:r>
      <w:r>
        <w:rPr/>
        <w:t>税率执行，</w:t>
      </w:r>
      <w:r>
        <w:rPr>
          <w:rFonts w:ascii="Times New Roman" w:hAnsi="Times New Roman" w:cs="Times New Roman" w:eastAsia="Times New Roman" w:hint="default"/>
        </w:rPr>
        <w:t>2010</w:t>
      </w:r>
      <w:r>
        <w:rPr/>
        <w:t>年按</w:t>
      </w:r>
      <w:r>
        <w:rPr>
          <w:rFonts w:ascii="Times New Roman" w:hAnsi="Times New Roman" w:cs="Times New Roman" w:eastAsia="Times New Roman" w:hint="default"/>
        </w:rPr>
        <w:t>22%</w:t>
      </w:r>
      <w:r>
        <w:rPr/>
        <w:t>税率执行，</w:t>
      </w:r>
      <w:r>
        <w:rPr>
          <w:rFonts w:ascii="Times New Roman" w:hAnsi="Times New Roman" w:cs="Times New Roman" w:eastAsia="Times New Roman" w:hint="default"/>
        </w:rPr>
        <w:t>2011</w:t>
      </w:r>
      <w:r>
        <w:rPr/>
        <w:t>年按</w:t>
      </w:r>
      <w:r>
        <w:rPr>
          <w:rFonts w:ascii="Times New Roman" w:hAnsi="Times New Roman" w:cs="Times New Roman" w:eastAsia="Times New Roman" w:hint="default"/>
        </w:rPr>
        <w:t>24%</w:t>
      </w:r>
      <w:r>
        <w:rPr/>
        <w:t>税率执行，</w:t>
      </w:r>
      <w:r>
        <w:rPr>
          <w:rFonts w:ascii="Times New Roman" w:hAnsi="Times New Roman" w:cs="Times New Roman" w:eastAsia="Times New Roman" w:hint="default"/>
        </w:rPr>
        <w:t>2012</w:t>
      </w:r>
      <w:r>
        <w:rPr/>
        <w:t>年按</w:t>
      </w:r>
      <w:r>
        <w:rPr>
          <w:rFonts w:ascii="Times New Roman" w:hAnsi="Times New Roman" w:cs="Times New Roman" w:eastAsia="Times New Roman" w:hint="default"/>
        </w:rPr>
        <w:t>25%</w:t>
      </w:r>
      <w:r>
        <w:rPr/>
        <w:t>税率执行。</w:t>
      </w:r>
    </w:p>
    <w:p>
      <w:pPr>
        <w:pStyle w:val="BodyText"/>
        <w:spacing w:line="300" w:lineRule="auto" w:before="7"/>
        <w:ind w:right="0" w:firstLine="362"/>
        <w:jc w:val="left"/>
      </w:pPr>
      <w:r>
        <w:rPr>
          <w:spacing w:val="-2"/>
        </w:rPr>
        <w:t>昆明南天电脑系统有限公司根据财政部海关总署、国家税务总局文件规定：自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日，对设在</w:t>
      </w:r>
      <w:r>
        <w:rPr/>
        <w:t> 西部地区的鼓励类产业企业减按</w:t>
      </w:r>
      <w:r>
        <w:rPr>
          <w:rFonts w:ascii="Times New Roman" w:hAnsi="Times New Roman" w:cs="Times New Roman" w:eastAsia="Times New Roman" w:hint="default"/>
        </w:rPr>
        <w:t>15%</w:t>
      </w:r>
      <w:r>
        <w:rPr/>
        <w:t>的税率征收企业所得税，文件号：财税〔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号和国家税务总局公告</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2"/>
        </w:rPr>
        <w:t>号。云南省商务厅确认昆明南天电脑系统有限公司计算机应用系统开发经营项目符合《鼓励外商投资产业目录》（</w:t>
      </w:r>
      <w:r>
        <w:rPr>
          <w:rFonts w:ascii="Times New Roman" w:hAnsi="Times New Roman" w:cs="Times New Roman" w:eastAsia="Times New Roman" w:hint="default"/>
          <w:spacing w:val="-2"/>
        </w:rPr>
        <w:t>2011</w:t>
      </w:r>
      <w:r>
        <w:rPr>
          <w:spacing w:val="-2"/>
        </w:rPr>
        <w:t>年修</w:t>
      </w:r>
      <w:r>
        <w:rPr>
          <w:spacing w:val="-61"/>
        </w:rPr>
        <w:t> </w:t>
      </w:r>
      <w:r>
        <w:rPr/>
        <w:t>订）第三类</w:t>
      </w:r>
      <w:r>
        <w:rPr>
          <w:rFonts w:ascii="Times New Roman" w:hAnsi="Times New Roman" w:cs="Times New Roman" w:eastAsia="Times New Roman" w:hint="default"/>
        </w:rPr>
        <w:t>“</w:t>
      </w:r>
      <w:r>
        <w:rPr/>
        <w:t>制造业</w:t>
      </w:r>
      <w:r>
        <w:rPr>
          <w:rFonts w:ascii="Times New Roman" w:hAnsi="Times New Roman" w:cs="Times New Roman" w:eastAsia="Times New Roman" w:hint="default"/>
        </w:rPr>
        <w:t>”</w:t>
      </w:r>
      <w:r>
        <w:rPr/>
        <w:t>第二十一项</w:t>
      </w:r>
      <w:r>
        <w:rPr>
          <w:rFonts w:ascii="Times New Roman" w:hAnsi="Times New Roman" w:cs="Times New Roman" w:eastAsia="Times New Roman" w:hint="default"/>
        </w:rPr>
        <w:t>“</w:t>
      </w:r>
      <w:r>
        <w:rPr/>
        <w:t>通信设备、计算机及其他电子设备制造业</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11</w:t>
      </w:r>
      <w:r>
        <w:rPr/>
        <w:t>款</w:t>
      </w:r>
      <w:r>
        <w:rPr>
          <w:rFonts w:ascii="Times New Roman" w:hAnsi="Times New Roman" w:cs="Times New Roman" w:eastAsia="Times New Roman" w:hint="default"/>
        </w:rPr>
        <w:t>“</w:t>
      </w:r>
      <w:r>
        <w:rPr/>
        <w:t>计算机辅助设计（三维</w:t>
      </w:r>
      <w:r>
        <w:rPr>
          <w:rFonts w:ascii="Times New Roman" w:hAnsi="Times New Roman" w:cs="Times New Roman" w:eastAsia="Times New Roman" w:hint="default"/>
        </w:rPr>
        <w:t>CAD</w:t>
      </w:r>
      <w:r>
        <w:rPr/>
        <w:t>）、辅助测</w:t>
      </w:r>
      <w:r>
        <w:rPr>
          <w:spacing w:val="-55"/>
        </w:rPr>
        <w:t> </w:t>
      </w:r>
      <w:r>
        <w:rPr>
          <w:spacing w:val="-1"/>
        </w:rPr>
        <w:t>试（</w:t>
      </w:r>
      <w:r>
        <w:rPr>
          <w:rFonts w:ascii="Times New Roman" w:hAnsi="Times New Roman" w:cs="Times New Roman" w:eastAsia="Times New Roman" w:hint="default"/>
          <w:spacing w:val="-1"/>
        </w:rPr>
        <w:t>CAT</w:t>
      </w:r>
      <w:r>
        <w:rPr>
          <w:spacing w:val="-1"/>
        </w:rPr>
        <w:t>）、辅助制造（</w:t>
      </w:r>
      <w:r>
        <w:rPr>
          <w:rFonts w:ascii="Times New Roman" w:hAnsi="Times New Roman" w:cs="Times New Roman" w:eastAsia="Times New Roman" w:hint="default"/>
          <w:spacing w:val="-1"/>
        </w:rPr>
        <w:t>CAM</w:t>
      </w:r>
      <w:r>
        <w:rPr>
          <w:spacing w:val="-1"/>
        </w:rPr>
        <w:t>）、辅助工程（</w:t>
      </w:r>
      <w:r>
        <w:rPr>
          <w:rFonts w:ascii="Times New Roman" w:hAnsi="Times New Roman" w:cs="Times New Roman" w:eastAsia="Times New Roman" w:hint="default"/>
          <w:spacing w:val="-1"/>
        </w:rPr>
        <w:t>CAE</w:t>
      </w:r>
      <w:r>
        <w:rPr>
          <w:spacing w:val="-1"/>
        </w:rPr>
        <w:t>）系统及其他计算机应用系统制造</w:t>
      </w:r>
      <w:r>
        <w:rPr>
          <w:rFonts w:ascii="Times New Roman" w:hAnsi="Times New Roman" w:cs="Times New Roman" w:eastAsia="Times New Roman" w:hint="default"/>
          <w:spacing w:val="-1"/>
        </w:rPr>
        <w:t>”</w:t>
      </w:r>
      <w:r>
        <w:rPr>
          <w:spacing w:val="-1"/>
        </w:rPr>
        <w:t>、第</w:t>
      </w:r>
      <w:r>
        <w:rPr>
          <w:rFonts w:ascii="Times New Roman" w:hAnsi="Times New Roman" w:cs="Times New Roman" w:eastAsia="Times New Roman" w:hint="default"/>
          <w:spacing w:val="-1"/>
        </w:rPr>
        <w:t>12</w:t>
      </w:r>
      <w:r>
        <w:rPr>
          <w:spacing w:val="-1"/>
        </w:rPr>
        <w:t>款</w:t>
      </w:r>
      <w:r>
        <w:rPr>
          <w:rFonts w:ascii="Times New Roman" w:hAnsi="Times New Roman" w:cs="Times New Roman" w:eastAsia="Times New Roman" w:hint="default"/>
          <w:spacing w:val="-1"/>
        </w:rPr>
        <w:t>“</w:t>
      </w:r>
      <w:r>
        <w:rPr>
          <w:spacing w:val="-1"/>
        </w:rPr>
        <w:t>软件产品开发、生产</w:t>
      </w:r>
      <w:r>
        <w:rPr>
          <w:rFonts w:ascii="Times New Roman" w:hAnsi="Times New Roman" w:cs="Times New Roman" w:eastAsia="Times New Roman" w:hint="default"/>
          <w:spacing w:val="-1"/>
        </w:rPr>
        <w:t>”</w:t>
      </w:r>
      <w:r>
        <w:rPr>
          <w:spacing w:val="-1"/>
        </w:rPr>
        <w:t>，确</w:t>
      </w:r>
      <w:r>
        <w:rPr>
          <w:spacing w:val="-43"/>
        </w:rPr>
        <w:t> </w:t>
      </w:r>
      <w:r>
        <w:rPr>
          <w:spacing w:val="-43"/>
        </w:rPr>
      </w:r>
      <w:r>
        <w:rPr/>
        <w:t>认本公司为外商投资鼓励类项目，文件号：云商资〔</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135</w:t>
      </w:r>
      <w:r>
        <w:rPr/>
        <w:t>号。 云南南天信息设备有限公司根据云国税函【</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167</w:t>
      </w:r>
      <w:r>
        <w:rPr/>
        <w:t>号文件，自</w:t>
      </w:r>
      <w:r>
        <w:rPr>
          <w:rFonts w:ascii="Times New Roman" w:hAnsi="Times New Roman" w:cs="Times New Roman" w:eastAsia="Times New Roman" w:hint="default"/>
        </w:rPr>
        <w:t>2007</w:t>
      </w:r>
      <w:r>
        <w:rPr/>
        <w:t>年度起在西部大开发企业所得税优惠政策执行期内减 按</w:t>
      </w:r>
      <w:r>
        <w:rPr>
          <w:rFonts w:ascii="Times New Roman" w:hAnsi="Times New Roman" w:cs="Times New Roman" w:eastAsia="Times New Roman" w:hint="default"/>
        </w:rPr>
        <w:t>15%</w:t>
      </w:r>
      <w:r>
        <w:rPr/>
        <w:t>的税率计算缴纳企业所得税。</w:t>
      </w:r>
    </w:p>
    <w:p>
      <w:pPr>
        <w:spacing w:line="240" w:lineRule="auto" w:before="5"/>
        <w:rPr>
          <w:rFonts w:ascii="宋体" w:hAnsi="宋体" w:cs="宋体" w:eastAsia="宋体" w:hint="default"/>
          <w:sz w:val="14"/>
          <w:szCs w:val="14"/>
        </w:rPr>
      </w:pPr>
    </w:p>
    <w:p>
      <w:pPr>
        <w:pStyle w:val="Heading2"/>
        <w:spacing w:line="240" w:lineRule="auto"/>
        <w:ind w:right="0"/>
        <w:jc w:val="left"/>
        <w:rPr>
          <w:b w:val="0"/>
          <w:bCs w:val="0"/>
        </w:rPr>
      </w:pPr>
      <w:r>
        <w:rPr/>
        <w:t>六、企业合并及合并财务报表</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586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）通过设立或投资等方式取得的子公司</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4"/>
        <w:gridCol w:w="682"/>
        <w:gridCol w:w="684"/>
        <w:gridCol w:w="682"/>
        <w:gridCol w:w="684"/>
        <w:gridCol w:w="682"/>
        <w:gridCol w:w="684"/>
        <w:gridCol w:w="684"/>
        <w:gridCol w:w="682"/>
      </w:tblGrid>
      <w:tr>
        <w:trPr>
          <w:trHeight w:val="358" w:hRule="exact"/>
        </w:trPr>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79"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1248"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158" w:right="67"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156" w:right="65"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77"/>
              <w:ind w:left="64"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3"/>
              <w:ind w:left="67" w:right="65"/>
              <w:jc w:val="both"/>
              <w:rPr>
                <w:rFonts w:ascii="宋体" w:hAnsi="宋体" w:cs="宋体" w:eastAsia="宋体" w:hint="default"/>
                <w:sz w:val="18"/>
                <w:szCs w:val="18"/>
              </w:rPr>
            </w:pPr>
            <w:r>
              <w:rPr>
                <w:rFonts w:ascii="宋体" w:hAnsi="宋体" w:cs="宋体" w:eastAsia="宋体" w:hint="default"/>
                <w:sz w:val="18"/>
                <w:szCs w:val="18"/>
              </w:rPr>
              <w:t>子公司 净投资 的其他 项目余</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77"/>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3"/>
              <w:ind w:left="67" w:right="65"/>
              <w:jc w:val="both"/>
              <w:rPr>
                <w:rFonts w:ascii="宋体" w:hAnsi="宋体" w:cs="宋体" w:eastAsia="宋体" w:hint="default"/>
                <w:sz w:val="18"/>
                <w:szCs w:val="18"/>
              </w:rPr>
            </w:pPr>
            <w:r>
              <w:rPr>
                <w:rFonts w:ascii="宋体" w:hAnsi="宋体" w:cs="宋体" w:eastAsia="宋体" w:hint="default"/>
                <w:sz w:val="18"/>
                <w:szCs w:val="18"/>
              </w:rPr>
              <w:t>中用于 冲减少 数股东 损益的</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left="67" w:right="0"/>
              <w:jc w:val="both"/>
              <w:rPr>
                <w:rFonts w:ascii="宋体" w:hAnsi="宋体" w:cs="宋体" w:eastAsia="宋体" w:hint="default"/>
                <w:sz w:val="18"/>
                <w:szCs w:val="18"/>
              </w:rPr>
            </w:pPr>
            <w:r>
              <w:rPr>
                <w:rFonts w:ascii="宋体" w:hAnsi="宋体" w:cs="宋体" w:eastAsia="宋体" w:hint="default"/>
                <w:sz w:val="18"/>
                <w:szCs w:val="18"/>
              </w:rPr>
              <w:t>冲减子</w:t>
            </w:r>
          </w:p>
          <w:p>
            <w:pPr>
              <w:pStyle w:val="TableParagraph"/>
              <w:spacing w:line="316" w:lineRule="auto" w:before="76"/>
              <w:ind w:left="67" w:right="62"/>
              <w:jc w:val="both"/>
              <w:rPr>
                <w:rFonts w:ascii="宋体" w:hAnsi="宋体" w:cs="宋体" w:eastAsia="宋体" w:hint="default"/>
                <w:sz w:val="18"/>
                <w:szCs w:val="18"/>
              </w:rPr>
            </w:pPr>
            <w:r>
              <w:rPr>
                <w:rFonts w:ascii="宋体" w:hAnsi="宋体" w:cs="宋体" w:eastAsia="宋体" w:hint="default"/>
                <w:sz w:val="18"/>
                <w:szCs w:val="18"/>
              </w:rPr>
              <w:t>公司少 数股东 分担的</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245"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7" w:hRule="exact"/>
        </w:trPr>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少数股</w:t>
            </w:r>
          </w:p>
        </w:tc>
      </w:tr>
    </w:tbl>
    <w:p>
      <w:pPr>
        <w:spacing w:after="0" w:line="240" w:lineRule="auto"/>
        <w:jc w:val="center"/>
        <w:rPr>
          <w:rFonts w:ascii="宋体" w:hAnsi="宋体" w:cs="宋体" w:eastAsia="宋体" w:hint="default"/>
          <w:sz w:val="18"/>
          <w:szCs w:val="18"/>
        </w:rPr>
        <w:sectPr>
          <w:pgSz w:w="11910" w:h="16840"/>
          <w:pgMar w:header="745" w:footer="979" w:top="1060" w:bottom="1160" w:left="1020" w:right="10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4"/>
        <w:gridCol w:w="682"/>
        <w:gridCol w:w="684"/>
        <w:gridCol w:w="682"/>
        <w:gridCol w:w="684"/>
        <w:gridCol w:w="682"/>
        <w:gridCol w:w="684"/>
        <w:gridCol w:w="684"/>
        <w:gridCol w:w="682"/>
      </w:tblGrid>
      <w:tr>
        <w:trPr>
          <w:trHeight w:val="317" w:hRule="exact"/>
        </w:trPr>
        <w:tc>
          <w:tcPr>
            <w:tcW w:w="686"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6"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6"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生产计</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件及硬</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7"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IC</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07"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卡及磁</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卡应用</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承接计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算机应</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用系统</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工程和</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629"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0"/>
              <w:jc w:val="left"/>
              <w:rPr>
                <w:rFonts w:ascii="宋体" w:hAnsi="宋体" w:cs="宋体" w:eastAsia="宋体" w:hint="default"/>
                <w:sz w:val="18"/>
                <w:szCs w:val="18"/>
              </w:rPr>
            </w:pPr>
            <w:r>
              <w:rPr>
                <w:rFonts w:ascii="宋体" w:hAnsi="宋体" w:cs="宋体" w:eastAsia="宋体" w:hint="default"/>
                <w:sz w:val="18"/>
                <w:szCs w:val="18"/>
              </w:rPr>
              <w:t>天信息 工程有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2,756.1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系统集 成；销</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2,740.7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07"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售自产</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自产产</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品的安</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装、调</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试、维</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修及技</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8"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0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广州南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销售计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62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10"/>
              <w:jc w:val="left"/>
              <w:rPr>
                <w:rFonts w:ascii="宋体" w:hAnsi="宋体" w:cs="宋体" w:eastAsia="宋体" w:hint="default"/>
                <w:sz w:val="18"/>
                <w:szCs w:val="18"/>
              </w:rPr>
            </w:pPr>
            <w:r>
              <w:rPr>
                <w:rFonts w:ascii="宋体" w:hAnsi="宋体" w:cs="宋体" w:eastAsia="宋体" w:hint="default"/>
                <w:sz w:val="18"/>
                <w:szCs w:val="18"/>
              </w:rPr>
              <w:t>天电脑 系统有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Times New Roman"/>
                <w:sz w:val="18"/>
              </w:rPr>
              <w:t>8,923.0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08"/>
              <w:jc w:val="left"/>
              <w:rPr>
                <w:rFonts w:ascii="宋体" w:hAnsi="宋体" w:cs="宋体" w:eastAsia="宋体" w:hint="default"/>
                <w:sz w:val="18"/>
                <w:szCs w:val="18"/>
              </w:rPr>
            </w:pPr>
            <w:r>
              <w:rPr>
                <w:rFonts w:ascii="宋体" w:hAnsi="宋体" w:cs="宋体" w:eastAsia="宋体" w:hint="default"/>
                <w:sz w:val="18"/>
                <w:szCs w:val="18"/>
              </w:rPr>
              <w:t>算机产 品、计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10,647.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596.03</w:t>
            </w: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2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算机应</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用系</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统、应</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用软件</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4"/>
        <w:gridCol w:w="682"/>
        <w:gridCol w:w="684"/>
        <w:gridCol w:w="682"/>
        <w:gridCol w:w="684"/>
        <w:gridCol w:w="682"/>
        <w:gridCol w:w="684"/>
        <w:gridCol w:w="684"/>
        <w:gridCol w:w="682"/>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和系统</w:t>
            </w: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软件及</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维修服</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及外</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设，系</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成、网</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156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上海南 天电脑 系统有 限公司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10,209.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络技 术、通 讯技术 领域内 的科技</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10,644.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发、转</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让、服</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8"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件、硬</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武汉南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件、外</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62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0"/>
              <w:jc w:val="left"/>
              <w:rPr>
                <w:rFonts w:ascii="宋体" w:hAnsi="宋体" w:cs="宋体" w:eastAsia="宋体" w:hint="default"/>
                <w:sz w:val="18"/>
                <w:szCs w:val="18"/>
              </w:rPr>
            </w:pPr>
            <w:r>
              <w:rPr>
                <w:rFonts w:ascii="宋体" w:hAnsi="宋体" w:cs="宋体" w:eastAsia="宋体" w:hint="default"/>
                <w:sz w:val="18"/>
                <w:szCs w:val="18"/>
              </w:rPr>
              <w:t>天电脑 系统有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193.95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部设备 及职能</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244.96</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机电产</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息工程</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承包、</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技术咨</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询服务</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0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西安南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62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10"/>
              <w:jc w:val="left"/>
              <w:rPr>
                <w:rFonts w:ascii="宋体" w:hAnsi="宋体" w:cs="宋体" w:eastAsia="宋体" w:hint="default"/>
                <w:sz w:val="18"/>
                <w:szCs w:val="18"/>
              </w:rPr>
            </w:pPr>
            <w:r>
              <w:rPr>
                <w:rFonts w:ascii="宋体" w:hAnsi="宋体" w:cs="宋体" w:eastAsia="宋体" w:hint="default"/>
                <w:sz w:val="18"/>
                <w:szCs w:val="18"/>
              </w:rPr>
              <w:t>天电脑 系统有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312.15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08"/>
              <w:jc w:val="left"/>
              <w:rPr>
                <w:rFonts w:ascii="宋体" w:hAnsi="宋体" w:cs="宋体" w:eastAsia="宋体" w:hint="default"/>
                <w:sz w:val="18"/>
                <w:szCs w:val="18"/>
              </w:rPr>
            </w:pPr>
            <w:r>
              <w:rPr>
                <w:rFonts w:ascii="宋体" w:hAnsi="宋体" w:cs="宋体" w:eastAsia="宋体" w:hint="default"/>
                <w:sz w:val="18"/>
                <w:szCs w:val="18"/>
              </w:rPr>
              <w:t>件、硬 件、外</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227.90</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-224.06</w:t>
            </w: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2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设及职</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能机电</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承包信</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4"/>
        <w:gridCol w:w="682"/>
        <w:gridCol w:w="684"/>
        <w:gridCol w:w="682"/>
        <w:gridCol w:w="684"/>
        <w:gridCol w:w="682"/>
        <w:gridCol w:w="684"/>
        <w:gridCol w:w="684"/>
        <w:gridCol w:w="682"/>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息工</w:t>
            </w: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程、技</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及技术</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生产和</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销售电</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子计算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昆明南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机系列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62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0"/>
              <w:jc w:val="left"/>
              <w:rPr>
                <w:rFonts w:ascii="宋体" w:hAnsi="宋体" w:cs="宋体" w:eastAsia="宋体" w:hint="default"/>
                <w:sz w:val="18"/>
                <w:szCs w:val="18"/>
              </w:rPr>
            </w:pPr>
            <w:r>
              <w:rPr>
                <w:rFonts w:ascii="宋体" w:hAnsi="宋体" w:cs="宋体" w:eastAsia="宋体" w:hint="default"/>
                <w:sz w:val="18"/>
                <w:szCs w:val="18"/>
              </w:rPr>
              <w:t>天电脑 系统有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产品， 提供相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281.69</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255.22</w:t>
            </w: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应的售</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后服务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和技术</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8"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生产经</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6"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IC</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08"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卡、磁</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卡读写</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156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深圳南 天东华 科技有 限公司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847.77</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器、金 融专用 设备计 算机应 用软件</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1,060.6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355.19</w:t>
            </w: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及相关</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的技术</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咨询服</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法律、</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法规未</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批的，</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629"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0"/>
              <w:jc w:val="left"/>
              <w:rPr>
                <w:rFonts w:ascii="宋体" w:hAnsi="宋体" w:cs="宋体" w:eastAsia="宋体" w:hint="default"/>
                <w:sz w:val="18"/>
                <w:szCs w:val="18"/>
              </w:rPr>
            </w:pPr>
            <w:r>
              <w:rPr>
                <w:rFonts w:ascii="宋体" w:hAnsi="宋体" w:cs="宋体" w:eastAsia="宋体" w:hint="default"/>
                <w:sz w:val="18"/>
                <w:szCs w:val="18"/>
              </w:rPr>
              <w:t>天软件 有限公</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企业自 主选择</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6,070.0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07"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经营项</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目，开</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展经营</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1361"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云南南 天信息 设备有</w:t>
            </w:r>
          </w:p>
          <w:p>
            <w:pPr>
              <w:pStyle w:val="TableParagraph"/>
              <w:spacing w:line="240" w:lineRule="auto" w:before="16"/>
              <w:ind w:left="24" w:right="0"/>
              <w:jc w:val="both"/>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开发、 生产销 售计算 机软硬</w:t>
            </w: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249"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件、外</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979" w:header="745" w:top="1060" w:bottom="1160" w:left="1020" w:right="102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686"/>
        <w:gridCol w:w="682"/>
        <w:gridCol w:w="684"/>
        <w:gridCol w:w="682"/>
        <w:gridCol w:w="684"/>
        <w:gridCol w:w="684"/>
        <w:gridCol w:w="682"/>
        <w:gridCol w:w="684"/>
        <w:gridCol w:w="682"/>
        <w:gridCol w:w="684"/>
        <w:gridCol w:w="682"/>
        <w:gridCol w:w="684"/>
        <w:gridCol w:w="684"/>
        <w:gridCol w:w="682"/>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围设</w:t>
            </w: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备、金</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融专用</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职能机</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电设</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备、系</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成、网</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络设</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备、信</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息产</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品；承</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接网络</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信息系</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统工</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程、技</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及技术</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355"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及信息</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化应用</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0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重庆南</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外围设</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936"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10"/>
              <w:jc w:val="both"/>
              <w:rPr>
                <w:rFonts w:ascii="宋体" w:hAnsi="宋体" w:cs="宋体" w:eastAsia="宋体" w:hint="default"/>
                <w:sz w:val="18"/>
                <w:szCs w:val="18"/>
              </w:rPr>
            </w:pPr>
            <w:r>
              <w:rPr>
                <w:rFonts w:ascii="宋体" w:hAnsi="宋体" w:cs="宋体" w:eastAsia="宋体" w:hint="default"/>
                <w:sz w:val="18"/>
                <w:szCs w:val="18"/>
              </w:rPr>
              <w:t>天数据 资讯服 务有限</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07"/>
              <w:jc w:val="left"/>
              <w:rPr>
                <w:rFonts w:ascii="宋体" w:hAnsi="宋体" w:cs="宋体" w:eastAsia="宋体" w:hint="default"/>
                <w:sz w:val="18"/>
                <w:szCs w:val="18"/>
              </w:rPr>
            </w:pPr>
            <w:r>
              <w:rPr>
                <w:rFonts w:ascii="宋体" w:hAnsi="宋体" w:cs="宋体" w:eastAsia="宋体" w:hint="default"/>
                <w:sz w:val="18"/>
                <w:szCs w:val="18"/>
              </w:rPr>
              <w:t>直接控 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07"/>
              <w:jc w:val="left"/>
              <w:rPr>
                <w:rFonts w:ascii="宋体" w:hAnsi="宋体" w:cs="宋体" w:eastAsia="宋体" w:hint="default"/>
                <w:sz w:val="18"/>
                <w:szCs w:val="18"/>
              </w:rPr>
            </w:pPr>
            <w:r>
              <w:rPr>
                <w:rFonts w:ascii="宋体" w:hAnsi="宋体" w:cs="宋体" w:eastAsia="宋体" w:hint="default"/>
                <w:sz w:val="18"/>
                <w:szCs w:val="18"/>
              </w:rPr>
              <w:t>信息产 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08"/>
              <w:jc w:val="left"/>
              <w:rPr>
                <w:rFonts w:ascii="宋体" w:hAnsi="宋体" w:cs="宋体" w:eastAsia="宋体" w:hint="default"/>
                <w:sz w:val="18"/>
                <w:szCs w:val="18"/>
              </w:rPr>
            </w:pPr>
            <w:r>
              <w:rPr>
                <w:rFonts w:ascii="宋体" w:hAnsi="宋体" w:cs="宋体" w:eastAsia="宋体" w:hint="default"/>
                <w:sz w:val="18"/>
                <w:szCs w:val="18"/>
              </w:rPr>
              <w:t>备、智 能终 端、机</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2"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2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电产</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品，互</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联网及</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移动互</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联网信</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息化系</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成、技</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29"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务、技</w:t>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4"/>
        <w:gridCol w:w="682"/>
      </w:tblGrid>
      <w:tr>
        <w:trPr>
          <w:trHeight w:val="317"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2、合并范围发生变更的说明" w:id="195"/>
            <w:bookmarkEnd w:id="195"/>
            <w:r>
              <w:rPr/>
            </w:r>
            <w:bookmarkStart w:name="3、报告期内发生的同一控制下企业合并" w:id="196"/>
            <w:bookmarkEnd w:id="196"/>
            <w:r>
              <w:rPr/>
            </w:r>
            <w:bookmarkStart w:name="单位：元" w:id="197"/>
            <w:bookmarkEnd w:id="197"/>
            <w:r>
              <w:rPr/>
            </w:r>
            <w:r>
              <w:rPr>
                <w:rFonts w:ascii="宋体" w:hAnsi="宋体" w:cs="宋体" w:eastAsia="宋体" w:hint="default"/>
                <w:sz w:val="18"/>
                <w:szCs w:val="18"/>
              </w:rPr>
              <w:t>术咨</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询、自</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产产品</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的安</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装、调</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试、维</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修、系</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r>
      <w:tr>
        <w:trPr>
          <w:trHeight w:val="357"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9"/>
        <w:jc w:val="left"/>
      </w:pPr>
      <w:r>
        <w:rPr/>
        <w:t>通过设立或投资等方式取得的子公司的其他说明</w:t>
      </w:r>
    </w:p>
    <w:p>
      <w:pPr>
        <w:pStyle w:val="BodyText"/>
        <w:spacing w:line="300" w:lineRule="auto" w:before="117"/>
        <w:ind w:right="99"/>
        <w:jc w:val="left"/>
      </w:pPr>
      <w:r>
        <w:rPr>
          <w:spacing w:val="-1"/>
        </w:rPr>
        <w:t>注：广州南天电脑系统有限公司持有天鸿志（北京）科技有限公司</w:t>
      </w:r>
      <w:r>
        <w:rPr>
          <w:rFonts w:ascii="Times New Roman" w:hAnsi="Times New Roman" w:cs="Times New Roman" w:eastAsia="Times New Roman" w:hint="default"/>
          <w:spacing w:val="-1"/>
        </w:rPr>
        <w:t>70%</w:t>
      </w:r>
      <w:r>
        <w:rPr>
          <w:spacing w:val="-1"/>
        </w:rPr>
        <w:t>的股权，持有成都南天佳信信息技术有限公司</w:t>
      </w:r>
      <w:r>
        <w:rPr>
          <w:rFonts w:ascii="Times New Roman" w:hAnsi="Times New Roman" w:cs="Times New Roman" w:eastAsia="Times New Roman" w:hint="default"/>
          <w:spacing w:val="-1"/>
        </w:rPr>
        <w:t>61%</w:t>
      </w:r>
      <w:r>
        <w:rPr>
          <w:spacing w:val="-1"/>
        </w:rPr>
        <w:t>的</w:t>
      </w:r>
      <w:r>
        <w:rPr>
          <w:spacing w:val="-61"/>
        </w:rPr>
        <w:t> </w:t>
      </w:r>
      <w:r>
        <w:rPr/>
        <w:t>股权，归属于少数股东的权益合计为</w:t>
      </w:r>
      <w:r>
        <w:rPr>
          <w:rFonts w:ascii="Times New Roman" w:hAnsi="Times New Roman" w:cs="Times New Roman" w:eastAsia="Times New Roman" w:hint="default"/>
        </w:rPr>
        <w:t>596.03</w:t>
      </w:r>
      <w:r>
        <w:rPr/>
        <w:t>万元。</w:t>
      </w:r>
    </w:p>
    <w:p>
      <w:pPr>
        <w:spacing w:line="240" w:lineRule="auto" w:before="1"/>
        <w:rPr>
          <w:rFonts w:ascii="宋体" w:hAnsi="宋体" w:cs="宋体" w:eastAsia="宋体" w:hint="default"/>
          <w:sz w:val="17"/>
          <w:szCs w:val="17"/>
        </w:rPr>
      </w:pPr>
    </w:p>
    <w:p>
      <w:pPr>
        <w:pStyle w:val="Heading4"/>
        <w:spacing w:line="240" w:lineRule="auto"/>
        <w:ind w:left="119" w:right="99"/>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left="475" w:right="99" w:hanging="363"/>
        <w:jc w:val="left"/>
      </w:pPr>
      <w:r>
        <w:rPr/>
        <w:t>合并报表范围发生变更说明 根据公司董事会关于北京南天信息工程有限公司吸收合并北京南天宏远科技有限公司的公告及北京南天信息工程有限</w:t>
      </w:r>
    </w:p>
    <w:p>
      <w:pPr>
        <w:pStyle w:val="BodyText"/>
        <w:spacing w:line="236" w:lineRule="exact"/>
        <w:ind w:right="99"/>
        <w:jc w:val="left"/>
        <w:rPr>
          <w:rFonts w:ascii="Times New Roman" w:hAnsi="Times New Roman" w:cs="Times New Roman" w:eastAsia="Times New Roman" w:hint="default"/>
        </w:rPr>
      </w:pPr>
      <w:r>
        <w:rPr>
          <w:spacing w:val="-2"/>
        </w:rPr>
        <w:t>公司吸收合并北京宏远科技有限公司协议，北京南天信息工程有限公司吸收合并北京宏远科技有限公司，吸收合并日为</w:t>
      </w:r>
      <w:r>
        <w:rPr>
          <w:rFonts w:ascii="Times New Roman" w:hAnsi="Times New Roman" w:cs="Times New Roman" w:eastAsia="Times New Roman" w:hint="default"/>
          <w:spacing w:val="-2"/>
        </w:rPr>
        <w:t>2012</w:t>
      </w:r>
    </w:p>
    <w:p>
      <w:pPr>
        <w:pStyle w:val="BodyText"/>
        <w:spacing w:line="240" w:lineRule="auto" w:before="63"/>
        <w:ind w:right="99"/>
        <w:jc w:val="left"/>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99"/>
        <w:jc w:val="left"/>
      </w:pPr>
      <w:r>
        <w:rPr/>
        <w:t>□ 适用 √ 不适用</w:t>
      </w:r>
    </w:p>
    <w:p>
      <w:pPr>
        <w:spacing w:line="240" w:lineRule="auto" w:before="9"/>
        <w:rPr>
          <w:rFonts w:ascii="宋体" w:hAnsi="宋体" w:cs="宋体" w:eastAsia="宋体" w:hint="default"/>
          <w:sz w:val="21"/>
          <w:szCs w:val="21"/>
        </w:rPr>
      </w:pPr>
    </w:p>
    <w:p>
      <w:pPr>
        <w:pStyle w:val="Heading4"/>
        <w:spacing w:line="403" w:lineRule="auto"/>
        <w:ind w:right="5774" w:firstLine="6"/>
        <w:jc w:val="left"/>
        <w:rPr>
          <w:b w:val="0"/>
          <w:bCs w:val="0"/>
        </w:rPr>
      </w:pPr>
      <w:r>
        <w:rPr>
          <w:rFonts w:ascii="Times New Roman" w:hAnsi="Times New Roman" w:cs="Times New Roman" w:eastAsia="Times New Roman" w:hint="default"/>
          <w:w w:val="95"/>
        </w:rPr>
        <w:t>3</w:t>
      </w:r>
      <w:r>
        <w:rPr>
          <w:w w:val="95"/>
        </w:rPr>
        <w:t>、报告期内发生的同一控制下企业合并</w:t>
      </w:r>
      <w:r>
        <w:rPr>
          <w:spacing w:val="17"/>
          <w:w w:val="95"/>
        </w:rPr>
        <w:t> </w:t>
      </w:r>
      <w:r>
        <w:rPr>
          <w:spacing w:val="17"/>
          <w:w w:val="95"/>
        </w:rPr>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795"/>
        <w:gridCol w:w="1555"/>
        <w:gridCol w:w="1555"/>
        <w:gridCol w:w="1553"/>
        <w:gridCol w:w="1555"/>
        <w:gridCol w:w="1555"/>
      </w:tblGrid>
      <w:tr>
        <w:trPr>
          <w:trHeight w:val="713" w:hRule="exact"/>
        </w:trPr>
        <w:tc>
          <w:tcPr>
            <w:tcW w:w="1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358" w:hRule="exact"/>
        </w:trPr>
        <w:tc>
          <w:tcPr>
            <w:tcW w:w="1795" w:type="dxa"/>
            <w:tcBorders>
              <w:top w:val="single" w:sz="4" w:space="0" w:color="000000"/>
              <w:left w:val="single" w:sz="4" w:space="0" w:color="000000"/>
              <w:bottom w:val="nil" w:sz="6" w:space="0" w:color="auto"/>
              <w:right w:val="single" w:sz="4" w:space="0" w:color="000000"/>
            </w:tcBorders>
          </w:tcPr>
          <w:p>
            <w:pPr/>
          </w:p>
        </w:tc>
        <w:tc>
          <w:tcPr>
            <w:tcW w:w="15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北京南天信息工程</w:t>
            </w:r>
          </w:p>
        </w:tc>
        <w:tc>
          <w:tcPr>
            <w:tcW w:w="1555" w:type="dxa"/>
            <w:tcBorders>
              <w:top w:val="single" w:sz="4" w:space="0" w:color="000000"/>
              <w:left w:val="single" w:sz="4" w:space="0" w:color="000000"/>
              <w:bottom w:val="nil" w:sz="6" w:space="0" w:color="auto"/>
              <w:right w:val="single" w:sz="4" w:space="0" w:color="000000"/>
            </w:tcBorders>
          </w:tcPr>
          <w:p>
            <w:pPr/>
          </w:p>
        </w:tc>
        <w:tc>
          <w:tcPr>
            <w:tcW w:w="1553" w:type="dxa"/>
            <w:vMerge w:val="restart"/>
            <w:tcBorders>
              <w:top w:val="single" w:sz="4" w:space="0" w:color="000000"/>
              <w:left w:val="single" w:sz="4" w:space="0" w:color="000000"/>
              <w:right w:val="single" w:sz="4" w:space="0" w:color="000000"/>
            </w:tcBorders>
          </w:tcPr>
          <w:p>
            <w:pPr/>
          </w:p>
        </w:tc>
        <w:tc>
          <w:tcPr>
            <w:tcW w:w="1555" w:type="dxa"/>
            <w:vMerge w:val="restart"/>
            <w:tcBorders>
              <w:top w:val="single" w:sz="4" w:space="0" w:color="000000"/>
              <w:left w:val="single" w:sz="4" w:space="0" w:color="000000"/>
              <w:right w:val="single" w:sz="4" w:space="0" w:color="000000"/>
            </w:tcBorders>
          </w:tcPr>
          <w:p>
            <w:pPr/>
          </w:p>
        </w:tc>
        <w:tc>
          <w:tcPr>
            <w:tcW w:w="1555" w:type="dxa"/>
            <w:vMerge w:val="restart"/>
            <w:tcBorders>
              <w:top w:val="single" w:sz="4" w:space="0" w:color="000000"/>
              <w:left w:val="single" w:sz="4" w:space="0" w:color="000000"/>
              <w:right w:val="single" w:sz="4" w:space="0" w:color="000000"/>
            </w:tcBorders>
          </w:tcPr>
          <w:p>
            <w:pPr/>
          </w:p>
        </w:tc>
      </w:tr>
      <w:tr>
        <w:trPr>
          <w:trHeight w:val="312" w:hRule="exact"/>
        </w:trPr>
        <w:tc>
          <w:tcPr>
            <w:tcW w:w="1795"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有限公司与北京南</w:t>
            </w:r>
          </w:p>
        </w:tc>
        <w:tc>
          <w:tcPr>
            <w:tcW w:w="1555" w:type="dxa"/>
            <w:tcBorders>
              <w:top w:val="nil" w:sz="6" w:space="0" w:color="auto"/>
              <w:left w:val="single" w:sz="4" w:space="0" w:color="000000"/>
              <w:bottom w:val="nil" w:sz="6" w:space="0" w:color="auto"/>
              <w:right w:val="single" w:sz="4" w:space="0" w:color="000000"/>
            </w:tcBorders>
          </w:tcPr>
          <w:p>
            <w:pPr/>
          </w:p>
        </w:tc>
        <w:tc>
          <w:tcPr>
            <w:tcW w:w="1553"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r>
      <w:tr>
        <w:trPr>
          <w:trHeight w:val="312" w:hRule="exact"/>
        </w:trPr>
        <w:tc>
          <w:tcPr>
            <w:tcW w:w="1795"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天宏远科技有限公</w:t>
            </w:r>
          </w:p>
        </w:tc>
        <w:tc>
          <w:tcPr>
            <w:tcW w:w="1555" w:type="dxa"/>
            <w:tcBorders>
              <w:top w:val="nil" w:sz="6" w:space="0" w:color="auto"/>
              <w:left w:val="single" w:sz="4" w:space="0" w:color="000000"/>
              <w:bottom w:val="nil" w:sz="6" w:space="0" w:color="auto"/>
              <w:right w:val="single" w:sz="4" w:space="0" w:color="000000"/>
            </w:tcBorders>
          </w:tcPr>
          <w:p>
            <w:pPr/>
          </w:p>
        </w:tc>
        <w:tc>
          <w:tcPr>
            <w:tcW w:w="1553"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r>
      <w:tr>
        <w:trPr>
          <w:trHeight w:val="624"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39"/>
              <w:jc w:val="left"/>
              <w:rPr>
                <w:rFonts w:ascii="宋体" w:hAnsi="宋体" w:cs="宋体" w:eastAsia="宋体" w:hint="default"/>
                <w:sz w:val="18"/>
                <w:szCs w:val="18"/>
              </w:rPr>
            </w:pPr>
            <w:r>
              <w:rPr>
                <w:rFonts w:ascii="宋体" w:hAnsi="宋体" w:cs="宋体" w:eastAsia="宋体" w:hint="default"/>
                <w:sz w:val="18"/>
                <w:szCs w:val="18"/>
              </w:rPr>
              <w:t>北京南天宏远科技有 限公司</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9"/>
              <w:jc w:val="left"/>
              <w:rPr>
                <w:rFonts w:ascii="宋体" w:hAnsi="宋体" w:cs="宋体" w:eastAsia="宋体" w:hint="default"/>
                <w:sz w:val="18"/>
                <w:szCs w:val="18"/>
              </w:rPr>
            </w:pPr>
            <w:r>
              <w:rPr>
                <w:rFonts w:ascii="宋体" w:hAnsi="宋体" w:cs="宋体" w:eastAsia="宋体" w:hint="default"/>
                <w:sz w:val="18"/>
                <w:szCs w:val="18"/>
              </w:rPr>
              <w:t>司均属于本公司的 控股子公司，按照</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53"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r>
      <w:tr>
        <w:trPr>
          <w:trHeight w:val="312" w:hRule="exact"/>
        </w:trPr>
        <w:tc>
          <w:tcPr>
            <w:tcW w:w="1795"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《企业会计准则</w:t>
            </w:r>
          </w:p>
        </w:tc>
        <w:tc>
          <w:tcPr>
            <w:tcW w:w="1555" w:type="dxa"/>
            <w:tcBorders>
              <w:top w:val="nil" w:sz="6" w:space="0" w:color="auto"/>
              <w:left w:val="single" w:sz="4" w:space="0" w:color="000000"/>
              <w:bottom w:val="nil" w:sz="6" w:space="0" w:color="auto"/>
              <w:right w:val="single" w:sz="4" w:space="0" w:color="000000"/>
            </w:tcBorders>
          </w:tcPr>
          <w:p>
            <w:pPr/>
          </w:p>
        </w:tc>
        <w:tc>
          <w:tcPr>
            <w:tcW w:w="1553"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r>
      <w:tr>
        <w:trPr>
          <w:trHeight w:val="317" w:hRule="exact"/>
        </w:trPr>
        <w:tc>
          <w:tcPr>
            <w:tcW w:w="1795"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企业合并》的</w:t>
            </w:r>
          </w:p>
        </w:tc>
        <w:tc>
          <w:tcPr>
            <w:tcW w:w="1555" w:type="dxa"/>
            <w:tcBorders>
              <w:top w:val="nil" w:sz="6" w:space="0" w:color="auto"/>
              <w:left w:val="single" w:sz="4" w:space="0" w:color="000000"/>
              <w:bottom w:val="nil" w:sz="6" w:space="0" w:color="auto"/>
              <w:right w:val="single" w:sz="4" w:space="0" w:color="000000"/>
            </w:tcBorders>
          </w:tcPr>
          <w:p>
            <w:pPr/>
          </w:p>
        </w:tc>
        <w:tc>
          <w:tcPr>
            <w:tcW w:w="1553"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c>
          <w:tcPr>
            <w:tcW w:w="1555" w:type="dxa"/>
            <w:vMerge/>
            <w:tcBorders>
              <w:left w:val="single" w:sz="4" w:space="0" w:color="000000"/>
              <w:right w:val="single" w:sz="4" w:space="0" w:color="000000"/>
            </w:tcBorders>
          </w:tcPr>
          <w:p>
            <w:pPr/>
          </w:p>
        </w:tc>
      </w:tr>
      <w:tr>
        <w:trPr>
          <w:trHeight w:val="353" w:hRule="exact"/>
        </w:trPr>
        <w:tc>
          <w:tcPr>
            <w:tcW w:w="1795" w:type="dxa"/>
            <w:tcBorders>
              <w:top w:val="nil" w:sz="6" w:space="0" w:color="auto"/>
              <w:left w:val="single" w:sz="4" w:space="0" w:color="000000"/>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相关规定执行</w:t>
            </w:r>
          </w:p>
        </w:tc>
        <w:tc>
          <w:tcPr>
            <w:tcW w:w="1555" w:type="dxa"/>
            <w:tcBorders>
              <w:top w:val="nil" w:sz="6" w:space="0" w:color="auto"/>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9"/>
        <w:jc w:val="left"/>
      </w:pPr>
      <w:r>
        <w:rPr/>
        <w:t>同一控制下企业合并的其他说明</w:t>
      </w:r>
    </w:p>
    <w:p>
      <w:pPr>
        <w:spacing w:after="0" w:line="240" w:lineRule="auto"/>
        <w:jc w:val="left"/>
        <w:sectPr>
          <w:pgSz w:w="11910" w:h="16840"/>
          <w:pgMar w:header="745" w:footer="979" w:top="1060" w:bottom="1160" w:left="1020" w:right="1020"/>
        </w:sectPr>
      </w:pPr>
    </w:p>
    <w:p>
      <w:pPr>
        <w:spacing w:line="240" w:lineRule="auto" w:before="8"/>
        <w:rPr>
          <w:rFonts w:ascii="宋体" w:hAnsi="宋体" w:cs="宋体" w:eastAsia="宋体" w:hint="default"/>
          <w:sz w:val="23"/>
          <w:szCs w:val="23"/>
        </w:rPr>
      </w:pPr>
    </w:p>
    <w:p>
      <w:pPr>
        <w:pStyle w:val="Heading2"/>
        <w:spacing w:line="367" w:lineRule="exact"/>
        <w:ind w:right="99"/>
        <w:jc w:val="left"/>
        <w:rPr>
          <w:b w:val="0"/>
          <w:bCs w:val="0"/>
        </w:rPr>
      </w:pPr>
      <w:bookmarkStart w:name="七、合并财务报表主要项目注释" w:id="198"/>
      <w:bookmarkEnd w:id="198"/>
      <w:r>
        <w:rPr>
          <w:b w:val="0"/>
          <w:bCs w:val="0"/>
        </w:rPr>
      </w:r>
      <w:bookmarkStart w:name="1、货币资金" w:id="199"/>
      <w:bookmarkEnd w:id="199"/>
      <w:r>
        <w:rPr>
          <w:b w:val="0"/>
          <w:bCs w:val="0"/>
        </w:rPr>
      </w:r>
      <w:bookmarkStart w:name="单位：元" w:id="200"/>
      <w:bookmarkEnd w:id="200"/>
      <w:r>
        <w:rPr>
          <w:b w:val="0"/>
          <w:bCs w:val="0"/>
        </w:rPr>
      </w:r>
      <w:bookmarkStart w:name="2、交易性金融资产" w:id="201"/>
      <w:bookmarkEnd w:id="201"/>
      <w:r>
        <w:rPr>
          <w:b w:val="0"/>
          <w:bCs w:val="0"/>
        </w:rPr>
      </w:r>
      <w:bookmarkStart w:name="（1）交易性金融资产" w:id="202"/>
      <w:bookmarkEnd w:id="202"/>
      <w:r>
        <w:rPr>
          <w:b w:val="0"/>
          <w:bCs w:val="0"/>
        </w:rPr>
      </w:r>
      <w:bookmarkStart w:name="3、应收票据" w:id="203"/>
      <w:bookmarkEnd w:id="203"/>
      <w:r>
        <w:rPr>
          <w:b w:val="0"/>
          <w:bCs w:val="0"/>
        </w:rPr>
      </w:r>
      <w:bookmarkStart w:name="（1）应收票据的分类" w:id="204"/>
      <w:bookmarkEnd w:id="204"/>
      <w:r>
        <w:rPr>
          <w:b w:val="0"/>
          <w:bCs w:val="0"/>
        </w:rPr>
      </w:r>
      <w:r>
        <w:rPr/>
        <w:t>七、合并财务报表主要项目注释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400" w:lineRule="auto"/>
        <w:ind w:right="8114" w:firstLine="6"/>
        <w:jc w:val="left"/>
        <w:rPr>
          <w:b w:val="0"/>
          <w:bCs w:val="0"/>
        </w:rPr>
      </w:pPr>
      <w:r>
        <w:rPr>
          <w:rFonts w:ascii="Times New Roman" w:hAnsi="Times New Roman" w:cs="Times New Roman" w:eastAsia="Times New Roman" w:hint="default"/>
          <w:w w:val="95"/>
        </w:rPr>
        <w:t>1</w:t>
      </w:r>
      <w:r>
        <w:rPr>
          <w:w w:val="95"/>
        </w:rPr>
        <w:t>、货币资金</w:t>
      </w:r>
      <w:r>
        <w:rPr>
          <w:spacing w:val="-7"/>
          <w:w w:val="95"/>
        </w:rPr>
        <w:t> </w:t>
      </w:r>
      <w:r>
        <w:rPr>
          <w:spacing w:val="-7"/>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999"/>
        <w:gridCol w:w="1327"/>
        <w:gridCol w:w="929"/>
        <w:gridCol w:w="1462"/>
        <w:gridCol w:w="1330"/>
        <w:gridCol w:w="929"/>
        <w:gridCol w:w="1594"/>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86,570.26</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182,845.02</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86,570.26</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182,845.02</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464,527,871.49</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562,127,096.84</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453,420,850.77</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551,954,403.02</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533.72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1,168,290.30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947,132.94</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1,767,001.36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11,106,487.00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1,464,165.58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9,225,560.88</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25,023,514.36</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10,431,693.80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25,023,514.36</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10,431,693.80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489,637,956.11</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572,741,635.66</w:t>
            </w:r>
          </w:p>
        </w:tc>
      </w:tr>
    </w:tbl>
    <w:p>
      <w:pPr>
        <w:pStyle w:val="BodyText"/>
        <w:spacing w:line="360" w:lineRule="auto" w:before="51"/>
        <w:ind w:left="475" w:right="99" w:hanging="363"/>
        <w:jc w:val="left"/>
      </w:pPr>
      <w:r>
        <w:rPr/>
        <w:t>如有因抵押、质押或冻结等对使用有限制、存放在境外、有潜在回收风险的款项应单独说明 </w:t>
      </w:r>
      <w:r>
        <w:rPr>
          <w:spacing w:val="-1"/>
        </w:rPr>
        <w:t>注：年末货币资金中</w:t>
      </w:r>
      <w:r>
        <w:rPr>
          <w:rFonts w:ascii="Times New Roman" w:hAnsi="Times New Roman" w:cs="Times New Roman" w:eastAsia="Times New Roman" w:hint="default"/>
          <w:spacing w:val="-1"/>
        </w:rPr>
        <w:t>14,769,676.67</w:t>
      </w:r>
      <w:r>
        <w:rPr>
          <w:spacing w:val="-1"/>
        </w:rPr>
        <w:t>元使用受到限制，其中</w:t>
      </w:r>
      <w:r>
        <w:rPr>
          <w:rFonts w:ascii="Times New Roman" w:hAnsi="Times New Roman" w:cs="Times New Roman" w:eastAsia="Times New Roman" w:hint="default"/>
          <w:spacing w:val="-1"/>
        </w:rPr>
        <w:t>10,769,676.67</w:t>
      </w:r>
      <w:r>
        <w:rPr>
          <w:spacing w:val="-1"/>
        </w:rPr>
        <w:t>元为保函保证金，</w:t>
      </w:r>
      <w:r>
        <w:rPr>
          <w:rFonts w:ascii="Times New Roman" w:hAnsi="Times New Roman" w:cs="Times New Roman" w:eastAsia="Times New Roman" w:hint="default"/>
          <w:spacing w:val="-1"/>
        </w:rPr>
        <w:t>4,000,000.00</w:t>
      </w:r>
      <w:r>
        <w:rPr>
          <w:spacing w:val="-1"/>
        </w:rPr>
        <w:t>元为银行承兑汇票</w:t>
      </w:r>
    </w:p>
    <w:p>
      <w:pPr>
        <w:pStyle w:val="BodyText"/>
        <w:spacing w:line="212" w:lineRule="exact"/>
        <w:ind w:right="99"/>
        <w:jc w:val="left"/>
      </w:pPr>
      <w:r>
        <w:rPr/>
        <w:t>保证金；年初货币资金中</w:t>
      </w:r>
      <w:r>
        <w:rPr>
          <w:rFonts w:ascii="Times New Roman" w:hAnsi="Times New Roman" w:cs="Times New Roman" w:eastAsia="Times New Roman" w:hint="default"/>
        </w:rPr>
        <w:t>5,657,978.77</w:t>
      </w:r>
      <w:r>
        <w:rPr/>
        <w:t>元</w:t>
      </w:r>
      <w:r>
        <w:rPr>
          <w:rFonts w:ascii="Times New Roman" w:hAnsi="Times New Roman" w:cs="Times New Roman" w:eastAsia="Times New Roman" w:hint="default"/>
        </w:rPr>
        <w:t>(</w:t>
      </w:r>
      <w:r>
        <w:rPr/>
        <w:t>银行保函保证金</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使用受到限制，已从现金及现金等价物中扣除。</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4"/>
        <w:spacing w:line="240" w:lineRule="auto"/>
        <w:ind w:left="119" w:right="99"/>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3" w:lineRule="auto" w:before="0"/>
        <w:ind w:left="112" w:right="77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）交易性金融资产</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258"/>
        <w:gridCol w:w="2654"/>
        <w:gridCol w:w="2657"/>
      </w:tblGrid>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4"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18,175.00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74,239.00</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18,175.00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74,239.00</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77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）应收票据的分类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989"/>
        <w:gridCol w:w="2657"/>
        <w:gridCol w:w="2921"/>
      </w:tblGrid>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8" w:right="0"/>
              <w:jc w:val="left"/>
              <w:rPr>
                <w:rFonts w:ascii="Times New Roman" w:hAnsi="Times New Roman" w:cs="Times New Roman" w:eastAsia="Times New Roman" w:hint="default"/>
                <w:sz w:val="18"/>
                <w:szCs w:val="18"/>
              </w:rPr>
            </w:pPr>
            <w:r>
              <w:rPr>
                <w:rFonts w:ascii="Times New Roman"/>
                <w:sz w:val="18"/>
              </w:rPr>
              <w:t>24,500,000.00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3989"/>
        <w:gridCol w:w="2657"/>
        <w:gridCol w:w="2921"/>
      </w:tblGrid>
      <w:tr>
        <w:trPr>
          <w:trHeight w:val="401"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4、应收股利" w:id="205"/>
            <w:bookmarkEnd w:id="205"/>
            <w:r>
              <w:rPr/>
            </w:r>
            <w:bookmarkStart w:name="单位：元" w:id="206"/>
            <w:bookmarkEnd w:id="206"/>
            <w:r>
              <w:rPr/>
            </w:r>
            <w:bookmarkStart w:name="5、应收账款" w:id="207"/>
            <w:bookmarkEnd w:id="207"/>
            <w:r>
              <w:rPr/>
            </w:r>
            <w:bookmarkStart w:name="（1）应收账款按种类披露" w:id="208"/>
            <w:bookmarkEnd w:id="208"/>
            <w:r>
              <w:rPr/>
            </w: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8" w:right="0"/>
              <w:jc w:val="left"/>
              <w:rPr>
                <w:rFonts w:ascii="Times New Roman" w:hAnsi="Times New Roman" w:cs="Times New Roman" w:eastAsia="Times New Roman" w:hint="default"/>
                <w:sz w:val="18"/>
                <w:szCs w:val="18"/>
              </w:rPr>
            </w:pPr>
            <w:r>
              <w:rPr>
                <w:rFonts w:ascii="Times New Roman"/>
                <w:sz w:val="18"/>
              </w:rPr>
              <w:t>24,500,000.00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、应收股利</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440"/>
        <w:gridCol w:w="1339"/>
        <w:gridCol w:w="1339"/>
        <w:gridCol w:w="1433"/>
        <w:gridCol w:w="1339"/>
        <w:gridCol w:w="1337"/>
        <w:gridCol w:w="1339"/>
      </w:tblGrid>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96" w:right="31"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账龄一年以上的 应收股利</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1,976,392.28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1,976,392.28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云南医药工业股 份有限公司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1,976,392.28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1,976,392.28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2" w:right="0"/>
              <w:jc w:val="left"/>
              <w:rPr>
                <w:rFonts w:ascii="Times New Roman" w:hAnsi="Times New Roman" w:cs="Times New Roman" w:eastAsia="Times New Roman" w:hint="default"/>
                <w:sz w:val="18"/>
                <w:szCs w:val="18"/>
              </w:rPr>
            </w:pPr>
            <w:r>
              <w:rPr>
                <w:rFonts w:ascii="Times New Roman"/>
                <w:sz w:val="18"/>
              </w:rPr>
              <w:t>1,976,392.28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1,976,392.28</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
        <w:jc w:val="left"/>
      </w:pPr>
      <w:r>
        <w:rPr/>
        <w:t>说明</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73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）应收账款按种类披露</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2002"/>
        <w:gridCol w:w="929"/>
        <w:gridCol w:w="929"/>
        <w:gridCol w:w="929"/>
        <w:gridCol w:w="929"/>
        <w:gridCol w:w="797"/>
        <w:gridCol w:w="929"/>
        <w:gridCol w:w="1063"/>
        <w:gridCol w:w="1066"/>
      </w:tblGrid>
      <w:tr>
        <w:trPr>
          <w:trHeight w:val="403" w:hRule="exact"/>
        </w:trPr>
        <w:tc>
          <w:tcPr>
            <w:tcW w:w="20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Microsoft JhengHei" w:hAnsi="Microsoft JhengHei" w:cs="Microsoft JhengHei" w:eastAsia="Microsoft JhengHei"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2"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2"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383,176,78</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24,265,615.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446,061,6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17,670,882.6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3.96%</w:t>
            </w:r>
          </w:p>
        </w:tc>
      </w:tr>
      <w:tr>
        <w:trPr>
          <w:trHeight w:val="713"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383,176,78</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24,265,615.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446,061,6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17,670,882.6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3.96%</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383,176,78</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5.10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24,265,615.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446,061,6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17,670,882.6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774"/>
        <w:jc w:val="left"/>
      </w:pPr>
      <w:r>
        <w:rPr/>
        <w:t>应收账款种类的说明 期末单项金额重大并单项计提坏账准备的应收账款</w:t>
      </w:r>
    </w:p>
    <w:p>
      <w:pPr>
        <w:pStyle w:val="BodyText"/>
        <w:spacing w:line="360" w:lineRule="auto" w:before="29"/>
        <w:ind w:right="5954"/>
        <w:jc w:val="left"/>
      </w:pPr>
      <w:r>
        <w:rPr/>
        <w:t>□ 适用 √ 不适用 组合中，按账龄分析法计提坏账准备的应收账款</w:t>
      </w:r>
    </w:p>
    <w:p>
      <w:pPr>
        <w:pStyle w:val="BodyText"/>
        <w:spacing w:line="240" w:lineRule="auto" w:before="25"/>
        <w:ind w:right="99"/>
        <w:jc w:val="left"/>
      </w:pPr>
      <w:r>
        <w:rPr/>
        <w:t>√ 适用 □ 不适用</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单位：元" w:id="209"/>
      <w:bookmarkEnd w:id="209"/>
      <w:r>
        <w:rPr>
          <w:b w:val="0"/>
          <w:bCs w:val="0"/>
        </w:rPr>
      </w:r>
      <w:bookmarkStart w:name="（2）本报告期实际核销的应收账款情况" w:id="210"/>
      <w:bookmarkEnd w:id="210"/>
      <w:r>
        <w:rPr>
          <w:b w:val="0"/>
          <w:bCs w:val="0"/>
        </w:rPr>
      </w: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466"/>
        <w:gridCol w:w="1594"/>
        <w:gridCol w:w="929"/>
        <w:gridCol w:w="1728"/>
        <w:gridCol w:w="1462"/>
        <w:gridCol w:w="929"/>
        <w:gridCol w:w="1459"/>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7"/>
              <w:ind w:right="0"/>
              <w:jc w:val="left"/>
              <w:rPr>
                <w:rFonts w:ascii="Microsoft JhengHei" w:hAnsi="Microsoft JhengHei" w:cs="Microsoft JhengHei" w:eastAsia="Microsoft JhengHei"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146,236,095.42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38.16%</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260,829,102.10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90,600,676.16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906,006.76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69,001,511.89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690,015.12</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23,672,794.27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473,455.88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36,999,177.25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739,983.55</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16,385,604.66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491,568.14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13,663,523.38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409,905.70</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14,955,036.09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747,751.81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4,056,949.29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202,847.46</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291,850,206.60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76.16%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2,618,782.59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384,550,263.91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2,042,751.83</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50,316,958.36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4,189,995.17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30,919,059.91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2,776,620.54</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18,363,982.88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3,672,796.58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12,915,873.72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2,583,174.75</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8,567,414.23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2,570,224.28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7,088,997.45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2,126,699.24</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4,774,010.34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1,909,604.13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4,076,435.35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1,630,574.14</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9,304,212.69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9,304,212.69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6,511,062.13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6,511,062.13</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383,176,785.10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24,265,615.44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446,061,692.47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17,670,882.63</w:t>
            </w:r>
          </w:p>
        </w:tc>
      </w:tr>
    </w:tbl>
    <w:p>
      <w:pPr>
        <w:pStyle w:val="BodyText"/>
        <w:spacing w:line="240" w:lineRule="auto" w:before="49"/>
        <w:ind w:right="99"/>
        <w:jc w:val="left"/>
      </w:pPr>
      <w:r>
        <w:rPr/>
        <w:t>组合中，采用余额百分比法计提坏账准备的应收账款</w:t>
      </w:r>
    </w:p>
    <w:p>
      <w:pPr>
        <w:pStyle w:val="BodyText"/>
        <w:spacing w:line="360" w:lineRule="auto" w:before="117"/>
        <w:ind w:right="5954"/>
        <w:jc w:val="left"/>
      </w:pPr>
      <w:r>
        <w:rPr/>
        <w:t>□ 适用 √ 不适用 组合中，采用其他方法计提坏账准备的应收账款</w:t>
      </w:r>
    </w:p>
    <w:p>
      <w:pPr>
        <w:pStyle w:val="BodyText"/>
        <w:spacing w:line="360" w:lineRule="auto" w:before="25"/>
        <w:ind w:right="5414"/>
        <w:jc w:val="left"/>
      </w:pPr>
      <w:r>
        <w:rPr/>
        <w:t>□ 适用 √ 不适用 期末单项金额虽不重大但单项计提坏账准备的应收账款</w:t>
      </w:r>
    </w:p>
    <w:p>
      <w:pPr>
        <w:pStyle w:val="BodyText"/>
        <w:spacing w:line="240" w:lineRule="auto" w:before="27"/>
        <w:ind w:right="99"/>
        <w:jc w:val="left"/>
      </w:pPr>
      <w:r>
        <w:rPr/>
        <w:t>□ 适用 √ 不适用</w:t>
      </w:r>
    </w:p>
    <w:p>
      <w:pPr>
        <w:spacing w:line="240" w:lineRule="auto" w:before="9"/>
        <w:rPr>
          <w:rFonts w:ascii="宋体" w:hAnsi="宋体" w:cs="宋体" w:eastAsia="宋体" w:hint="default"/>
          <w:sz w:val="21"/>
          <w:szCs w:val="21"/>
        </w:rPr>
      </w:pPr>
    </w:p>
    <w:p>
      <w:pPr>
        <w:pStyle w:val="Heading4"/>
        <w:spacing w:line="403" w:lineRule="auto"/>
        <w:ind w:right="6059"/>
        <w:jc w:val="left"/>
        <w:rPr>
          <w:b w:val="0"/>
          <w:bCs w:val="0"/>
        </w:rPr>
      </w:pPr>
      <w:r>
        <w:rPr/>
        <w:t>（</w:t>
      </w:r>
      <w:r>
        <w:rPr>
          <w:rFonts w:ascii="Times New Roman" w:hAnsi="Times New Roman" w:cs="Times New Roman" w:eastAsia="Times New Roman" w:hint="default"/>
        </w:rPr>
        <w:t>2</w:t>
      </w:r>
      <w:r>
        <w:rPr/>
        <w:t>）本报告期实际核销的应收账款情况</w:t>
      </w:r>
      <w:r>
        <w:rPr>
          <w:w w:val="99"/>
        </w:rPr>
        <w:t> </w:t>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596"/>
        <w:gridCol w:w="1594"/>
        <w:gridCol w:w="1596"/>
        <w:gridCol w:w="1594"/>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中国农业银行河北 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维修款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大连得实科技公司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河南诚信有限公司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山东省农村信用社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3）应收账款中金额前五名单位情况" w:id="211"/>
            <w:bookmarkEnd w:id="211"/>
            <w:r>
              <w:rPr/>
            </w:r>
            <w:bookmarkStart w:name="单位：元" w:id="212"/>
            <w:bookmarkEnd w:id="212"/>
            <w:r>
              <w:rPr/>
            </w:r>
            <w:r>
              <w:rPr>
                <w:rFonts w:ascii="宋体" w:hAnsi="宋体" w:cs="宋体" w:eastAsia="宋体" w:hint="default"/>
                <w:sz w:val="18"/>
                <w:szCs w:val="18"/>
              </w:rPr>
              <w:t>山西同胜金卡公司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河南电力研究所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内蒙金铭公司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青岛怡和公司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293,120.00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中国建设银行河北 省分行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深圳辰通智能公司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深圳辰通智能公司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0"/>
                <w:sz w:val="18"/>
                <w:szCs w:val="18"/>
              </w:rPr>
              <w:t>客户经办人变更，对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长沙依科信息技术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10"/>
                <w:sz w:val="18"/>
                <w:szCs w:val="18"/>
              </w:rPr>
              <w:t>客户经办人变更，对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上海浦东发展银行 嘉兴支行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10"/>
                <w:sz w:val="18"/>
                <w:szCs w:val="18"/>
              </w:rPr>
              <w:t>客户经办人变更，对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响水县邮政局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10"/>
                <w:sz w:val="18"/>
                <w:szCs w:val="18"/>
              </w:rPr>
              <w:t>客户经办人变更，对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10"/>
                <w:sz w:val="18"/>
                <w:szCs w:val="18"/>
              </w:rPr>
              <w:t>客户经办人变更，对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中国工商银行鹰潭 市分行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货款及维修费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90,384.70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10"/>
                <w:sz w:val="18"/>
                <w:szCs w:val="18"/>
              </w:rPr>
              <w:t>客户经办人变更，对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1,102,833.70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应收账款核销说明</w:t>
      </w:r>
    </w:p>
    <w:p>
      <w:pPr>
        <w:spacing w:line="240" w:lineRule="auto" w:before="12"/>
        <w:rPr>
          <w:rFonts w:ascii="宋体" w:hAnsi="宋体" w:cs="宋体" w:eastAsia="宋体" w:hint="default"/>
          <w:sz w:val="21"/>
          <w:szCs w:val="21"/>
        </w:rPr>
      </w:pPr>
    </w:p>
    <w:p>
      <w:pPr>
        <w:pStyle w:val="Heading4"/>
        <w:spacing w:line="400" w:lineRule="auto"/>
        <w:ind w:right="6269"/>
        <w:jc w:val="left"/>
        <w:rPr>
          <w:b w:val="0"/>
          <w:bCs w:val="0"/>
        </w:rPr>
      </w:pPr>
      <w:r>
        <w:rPr/>
        <w:t>（</w:t>
      </w:r>
      <w:r>
        <w:rPr>
          <w:rFonts w:ascii="Times New Roman" w:hAnsi="Times New Roman" w:cs="Times New Roman" w:eastAsia="Times New Roman" w:hint="default"/>
        </w:rPr>
        <w:t>3</w:t>
      </w:r>
      <w:r>
        <w:rPr/>
        <w:t>）应收账款中金额前五名单位情况</w:t>
      </w:r>
      <w:r>
        <w:rPr>
          <w:w w:val="99"/>
        </w:rPr>
        <w:t> </w:t>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52,265,785.31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8,089,501.53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2.11%</w:t>
            </w: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广东省建设银行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6,187,413.00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4,177,713.00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4 </w:t>
            </w:r>
            <w:r>
              <w:rPr>
                <w:rFonts w:ascii="宋体" w:hAnsi="宋体" w:cs="宋体" w:eastAsia="宋体" w:hint="default"/>
                <w:sz w:val="18"/>
                <w:szCs w:val="18"/>
              </w:rPr>
              <w:t>年以上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2,009,700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广东省农业银行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4,507,088.00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4,506,338.00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中国银行股份有限公司 天津市分行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4,484,677.72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75,534,465.56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1"/>
        <w:rPr>
          <w:rFonts w:ascii="Microsoft JhengHei" w:hAnsi="Microsoft JhengHei" w:cs="Microsoft JhengHei" w:eastAsia="Microsoft JhengHei" w:hint="default"/>
          <w:b/>
          <w:bCs/>
          <w:sz w:val="18"/>
          <w:szCs w:val="18"/>
        </w:rPr>
      </w:pPr>
    </w:p>
    <w:p>
      <w:pPr>
        <w:spacing w:line="333" w:lineRule="exact" w:before="0"/>
        <w:ind w:left="112" w:right="99" w:firstLine="0"/>
        <w:jc w:val="left"/>
        <w:rPr>
          <w:rFonts w:ascii="Microsoft JhengHei" w:hAnsi="Microsoft JhengHei" w:cs="Microsoft JhengHei" w:eastAsia="Microsoft JhengHei" w:hint="default"/>
          <w:sz w:val="21"/>
          <w:szCs w:val="21"/>
        </w:rPr>
      </w:pPr>
      <w:bookmarkStart w:name="（4）应收关联方账款情况" w:id="213"/>
      <w:bookmarkEnd w:id="213"/>
      <w:r>
        <w:rPr/>
      </w:r>
      <w:bookmarkStart w:name="单位：元" w:id="214"/>
      <w:bookmarkEnd w:id="214"/>
      <w:r>
        <w:rPr/>
      </w:r>
      <w:bookmarkStart w:name="6、其他应收款" w:id="215"/>
      <w:bookmarkEnd w:id="215"/>
      <w:r>
        <w:rPr/>
      </w:r>
      <w:bookmarkStart w:name="（1）其他应收款按种类披露" w:id="216"/>
      <w:bookmarkEnd w:id="216"/>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）应收关联方账款情况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受同一企业控制</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1,246,017.87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479,194.49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1,725,212.36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line="403" w:lineRule="auto" w:before="0"/>
        <w:ind w:left="112" w:right="710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）其他应收款按种类披露</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903"/>
        <w:gridCol w:w="1057"/>
        <w:gridCol w:w="792"/>
        <w:gridCol w:w="1057"/>
        <w:gridCol w:w="794"/>
        <w:gridCol w:w="1058"/>
        <w:gridCol w:w="926"/>
        <w:gridCol w:w="1190"/>
        <w:gridCol w:w="790"/>
      </w:tblGrid>
      <w:tr>
        <w:trPr>
          <w:trHeight w:val="403" w:hRule="exact"/>
        </w:trPr>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Microsoft JhengHei" w:hAnsi="Microsoft JhengHei" w:cs="Microsoft JhengHei" w:eastAsia="Microsoft JhengHei"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3" w:type="dxa"/>
            <w:vMerge/>
            <w:tcBorders>
              <w:left w:val="single" w:sz="4" w:space="0" w:color="000000"/>
              <w:right w:val="single" w:sz="4" w:space="0" w:color="000000"/>
            </w:tcBorders>
            <w:shd w:val="clear" w:color="auto" w:fill="D3D3D3"/>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3" w:type="dxa"/>
            <w:vMerge/>
            <w:tcBorders>
              <w:left w:val="single" w:sz="4" w:space="0" w:color="000000"/>
              <w:bottom w:val="single" w:sz="4" w:space="0" w:color="000000"/>
              <w:right w:val="single" w:sz="4" w:space="0" w:color="000000"/>
            </w:tcBorders>
            <w:shd w:val="clear" w:color="auto" w:fill="D3D3D3"/>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17,802,432.1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2,275,084.34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15,961,613.7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1,742,113.50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10.91%</w:t>
            </w:r>
          </w:p>
        </w:tc>
      </w:tr>
      <w:tr>
        <w:trPr>
          <w:trHeight w:val="71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17,802,432.1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2,275,084.34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15,961,613.7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1,742,113.50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10.91%</w:t>
            </w:r>
          </w:p>
        </w:tc>
      </w:tr>
      <w:tr>
        <w:trPr>
          <w:trHeight w:val="715"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17,802,432.1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2,275,084.34</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15,961,613.7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1,742,113.50</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594"/>
        <w:jc w:val="left"/>
      </w:pPr>
      <w:r>
        <w:rPr/>
        <w:t>其他应收款种类的说明 期末单项金额重大并单项计提坏账准备的其他应收款</w:t>
      </w:r>
    </w:p>
    <w:p>
      <w:pPr>
        <w:pStyle w:val="BodyText"/>
        <w:spacing w:line="360" w:lineRule="auto" w:before="29"/>
        <w:ind w:right="5594"/>
        <w:jc w:val="left"/>
      </w:pPr>
      <w:r>
        <w:rPr/>
        <w:t>□ 适用 √ 不适用 组合中，采用账龄分析法计提坏账准备的其他应收款</w:t>
      </w:r>
    </w:p>
    <w:p>
      <w:pPr>
        <w:pStyle w:val="BodyText"/>
        <w:spacing w:line="240" w:lineRule="auto" w:before="25"/>
        <w:ind w:right="99"/>
        <w:jc w:val="left"/>
      </w:pPr>
      <w:r>
        <w:rPr/>
        <w:t>√ 适用 □ 不适用</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848"/>
        <w:gridCol w:w="1841"/>
        <w:gridCol w:w="658"/>
        <w:gridCol w:w="1447"/>
        <w:gridCol w:w="1450"/>
        <w:gridCol w:w="658"/>
        <w:gridCol w:w="1668"/>
      </w:tblGrid>
      <w:tr>
        <w:trPr>
          <w:trHeight w:val="401" w:hRule="exact"/>
        </w:trPr>
        <w:tc>
          <w:tcPr>
            <w:tcW w:w="1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3D3D3"/>
          </w:tcPr>
          <w:p>
            <w:pP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8"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848"/>
        <w:gridCol w:w="1841"/>
        <w:gridCol w:w="658"/>
        <w:gridCol w:w="1447"/>
        <w:gridCol w:w="1450"/>
        <w:gridCol w:w="658"/>
        <w:gridCol w:w="1668"/>
      </w:tblGrid>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2）其他应收款金额前五名单位情况" w:id="217"/>
            <w:bookmarkEnd w:id="217"/>
            <w:r>
              <w:rPr/>
            </w:r>
            <w:bookmarkStart w:name="单位：元" w:id="218"/>
            <w:bookmarkEnd w:id="218"/>
            <w:r>
              <w:rPr/>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4,539,642.76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4,005,769.24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2,801,723.29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28,017.24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2,618,269.02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26,182.69</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1,883,900.88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37,678.02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1,209,979.70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24,199.60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1,643,348.76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49,300.46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1,748,774.96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52,463.25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696,500.56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34,825.03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509,127.57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25,456.37</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11,565,116.25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64.96%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149,820.75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10,091,920.49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63.23%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128,301.91</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2,283,559.42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201,281.97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2,504,825.43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225,057.29</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926,981.51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185,396.31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1,813,376.01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362,675.20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1,617,389.44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485,216.83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362,031.32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107,979.40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260,028.45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104,011.38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452,268.01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180,907.20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1,149,357.10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1,149,357.10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737,192.50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737,192.50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17,802,432.17</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2,275,084.34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15,961,613.76</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1,742,113.50</w:t>
            </w:r>
          </w:p>
        </w:tc>
      </w:tr>
    </w:tbl>
    <w:p>
      <w:pPr>
        <w:pStyle w:val="BodyText"/>
        <w:spacing w:line="240" w:lineRule="auto" w:before="51"/>
        <w:ind w:right="99"/>
        <w:jc w:val="left"/>
      </w:pPr>
      <w:r>
        <w:rPr/>
        <w:t>组合中，采用余额百分比法计提坏账准备的其他应收款</w:t>
      </w:r>
    </w:p>
    <w:p>
      <w:pPr>
        <w:pStyle w:val="BodyText"/>
        <w:spacing w:line="360" w:lineRule="auto" w:before="115"/>
        <w:ind w:right="5774"/>
        <w:jc w:val="left"/>
      </w:pPr>
      <w:r>
        <w:rPr/>
        <w:t>□ 适用 √ 不适用 组合中，采用其他方法计提坏账准备的其他应收款</w:t>
      </w:r>
    </w:p>
    <w:p>
      <w:pPr>
        <w:pStyle w:val="BodyText"/>
        <w:spacing w:line="360" w:lineRule="auto" w:before="25"/>
        <w:ind w:right="5234"/>
        <w:jc w:val="left"/>
      </w:pPr>
      <w:r>
        <w:rPr/>
        <w:t>□ 适用 √ 不适用 期末单项金额虽不重大但单项计提坏账准备的其他应收款</w:t>
      </w:r>
    </w:p>
    <w:p>
      <w:pPr>
        <w:pStyle w:val="BodyText"/>
        <w:spacing w:line="240" w:lineRule="auto" w:before="27"/>
        <w:ind w:right="99"/>
        <w:jc w:val="left"/>
      </w:pPr>
      <w:r>
        <w:rPr/>
        <w:t>□ 适用 √ 不适用</w:t>
      </w:r>
    </w:p>
    <w:p>
      <w:pPr>
        <w:spacing w:line="240" w:lineRule="auto" w:before="9"/>
        <w:rPr>
          <w:rFonts w:ascii="宋体" w:hAnsi="宋体" w:cs="宋体" w:eastAsia="宋体" w:hint="default"/>
          <w:sz w:val="21"/>
          <w:szCs w:val="21"/>
        </w:rPr>
      </w:pPr>
    </w:p>
    <w:p>
      <w:pPr>
        <w:pStyle w:val="Heading4"/>
        <w:spacing w:line="403" w:lineRule="auto"/>
        <w:ind w:right="6269"/>
        <w:jc w:val="left"/>
        <w:rPr>
          <w:b w:val="0"/>
          <w:bCs w:val="0"/>
        </w:rPr>
      </w:pPr>
      <w:r>
        <w:rPr/>
        <w:t>（</w:t>
      </w:r>
      <w:r>
        <w:rPr>
          <w:rFonts w:ascii="Times New Roman" w:hAnsi="Times New Roman" w:cs="Times New Roman" w:eastAsia="Times New Roman" w:hint="default"/>
        </w:rPr>
        <w:t>2</w:t>
      </w:r>
      <w:r>
        <w:rPr/>
        <w:t>）其他应收款金额前五名单位情况</w:t>
      </w:r>
      <w:r>
        <w:rPr>
          <w:w w:val="99"/>
        </w:rPr>
        <w:t> </w:t>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9"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2,728,577.67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15.33%</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昆明市财政局昆明经济 技术开发区财政分局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1,272,481.63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中国建行银行股份有限 公司湖北省分行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744,110.00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北京金信润天信息技术 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中国农业银行宁波分行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5,360,519.30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1"/>
        <w:rPr>
          <w:rFonts w:ascii="Microsoft JhengHei" w:hAnsi="Microsoft JhengHei" w:cs="Microsoft JhengHei" w:eastAsia="Microsoft JhengHei" w:hint="default"/>
          <w:b/>
          <w:bCs/>
          <w:sz w:val="18"/>
          <w:szCs w:val="18"/>
        </w:rPr>
      </w:pPr>
    </w:p>
    <w:p>
      <w:pPr>
        <w:spacing w:line="333" w:lineRule="exact" w:before="0"/>
        <w:ind w:left="112" w:right="99" w:firstLine="0"/>
        <w:jc w:val="left"/>
        <w:rPr>
          <w:rFonts w:ascii="Microsoft JhengHei" w:hAnsi="Microsoft JhengHei" w:cs="Microsoft JhengHei" w:eastAsia="Microsoft JhengHei" w:hint="default"/>
          <w:sz w:val="21"/>
          <w:szCs w:val="21"/>
        </w:rPr>
      </w:pPr>
      <w:bookmarkStart w:name="（3）其他应收关联方账款情况" w:id="219"/>
      <w:bookmarkEnd w:id="219"/>
      <w:r>
        <w:rPr/>
      </w:r>
      <w:bookmarkStart w:name="单位：元" w:id="220"/>
      <w:bookmarkEnd w:id="220"/>
      <w:r>
        <w:rPr/>
      </w:r>
      <w:bookmarkStart w:name="7、预付款项" w:id="221"/>
      <w:bookmarkEnd w:id="221"/>
      <w:r>
        <w:rPr/>
      </w:r>
      <w:bookmarkStart w:name="（1）预付款项按账龄列示" w:id="222"/>
      <w:bookmarkEnd w:id="222"/>
      <w:r>
        <w:rPr/>
      </w:r>
      <w:bookmarkStart w:name="（2）预付款项金额前五名单位情况" w:id="223"/>
      <w:bookmarkEnd w:id="223"/>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）其他应收关联方账款情况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云南东盟公共物流信息有限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26,634.55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本公司控股股东</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28,636.35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56,350.90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73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202"/>
        <w:gridCol w:w="3187"/>
        <w:gridCol w:w="1063"/>
        <w:gridCol w:w="3053"/>
        <w:gridCol w:w="1063"/>
      </w:tblGrid>
      <w:tr>
        <w:trPr>
          <w:trHeight w:val="401"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54,878,330.02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47,300,924.67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86.17%</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4,572,778.69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5,707,670.03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11.33%</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1,043,496.30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561,552.48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544,075.29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304,229.18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61,038,680.30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53,874,376.36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预付款项账龄的说明</w:t>
      </w:r>
    </w:p>
    <w:p>
      <w:pPr>
        <w:pStyle w:val="BodyText"/>
        <w:spacing w:line="300" w:lineRule="auto" w:before="117"/>
        <w:ind w:right="99"/>
        <w:jc w:val="left"/>
      </w:pPr>
      <w:r>
        <w:rPr>
          <w:spacing w:val="-1"/>
        </w:rPr>
        <w:t>预付账款合计期初合计数</w:t>
      </w:r>
      <w:r>
        <w:rPr>
          <w:rFonts w:ascii="Times New Roman" w:hAnsi="Times New Roman" w:cs="Times New Roman" w:eastAsia="Times New Roman" w:hint="default"/>
          <w:spacing w:val="-1"/>
        </w:rPr>
        <w:t>53,874,376.36</w:t>
      </w:r>
      <w:r>
        <w:rPr>
          <w:spacing w:val="-1"/>
        </w:rPr>
        <w:t>元，已计提坏账准备</w:t>
      </w:r>
      <w:r>
        <w:rPr>
          <w:rFonts w:ascii="Times New Roman" w:hAnsi="Times New Roman" w:cs="Times New Roman" w:eastAsia="Times New Roman" w:hint="default"/>
          <w:spacing w:val="-1"/>
        </w:rPr>
        <w:t>1,020,315.95</w:t>
      </w:r>
      <w:r>
        <w:rPr>
          <w:spacing w:val="-1"/>
        </w:rPr>
        <w:t>元；预付账款期末合计数</w:t>
      </w:r>
      <w:r>
        <w:rPr>
          <w:rFonts w:ascii="Times New Roman" w:hAnsi="Times New Roman" w:cs="Times New Roman" w:eastAsia="Times New Roman" w:hint="default"/>
          <w:spacing w:val="-1"/>
        </w:rPr>
        <w:t>61,038,680.30</w:t>
      </w:r>
      <w:r>
        <w:rPr>
          <w:spacing w:val="-1"/>
        </w:rPr>
        <w:t>元，已计提坏</w:t>
      </w:r>
      <w:r>
        <w:rPr>
          <w:spacing w:val="-73"/>
        </w:rPr>
        <w:t> </w:t>
      </w:r>
      <w:r>
        <w:rPr>
          <w:spacing w:val="-73"/>
        </w:rPr>
      </w:r>
      <w:r>
        <w:rPr/>
        <w:t>账准备</w:t>
      </w:r>
      <w:r>
        <w:rPr>
          <w:rFonts w:ascii="Times New Roman" w:hAnsi="Times New Roman" w:cs="Times New Roman" w:eastAsia="Times New Roman" w:hint="default"/>
        </w:rPr>
        <w:t>1,199,180.60</w:t>
      </w:r>
      <w:r>
        <w:rPr/>
        <w:t>元。</w:t>
      </w:r>
    </w:p>
    <w:p>
      <w:pPr>
        <w:spacing w:line="240" w:lineRule="auto" w:before="11"/>
        <w:rPr>
          <w:rFonts w:ascii="宋体" w:hAnsi="宋体" w:cs="宋体" w:eastAsia="宋体" w:hint="default"/>
          <w:sz w:val="16"/>
          <w:szCs w:val="16"/>
        </w:rPr>
      </w:pPr>
    </w:p>
    <w:p>
      <w:pPr>
        <w:pStyle w:val="Heading4"/>
        <w:spacing w:line="403" w:lineRule="auto"/>
        <w:ind w:right="6479"/>
        <w:jc w:val="left"/>
        <w:rPr>
          <w:b w:val="0"/>
          <w:bCs w:val="0"/>
        </w:rPr>
      </w:pPr>
      <w:r>
        <w:rPr/>
        <w:t>（</w:t>
      </w:r>
      <w:r>
        <w:rPr>
          <w:rFonts w:ascii="Times New Roman" w:hAnsi="Times New Roman" w:cs="Times New Roman" w:eastAsia="Times New Roman" w:hint="default"/>
        </w:rPr>
        <w:t>2</w:t>
      </w:r>
      <w:r>
        <w:rPr/>
        <w:t>）预付款项金额前五名单位情况</w:t>
      </w:r>
      <w:r>
        <w:rPr>
          <w:w w:val="99"/>
        </w:rPr>
        <w:t> </w:t>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华贸广通供应链管理</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24,867,495.02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预付采购货款</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云南省公安厅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3,518,310.00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预付履约保证金</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内蒙古银安科技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本公司的供应商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尚未开具发票</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四川华藤投资有限公司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2,245,276.00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尚未交房</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泉州天和智能电子科技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本公司的供应商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2,032,750.00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36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8、存货" w:id="224"/>
            <w:bookmarkEnd w:id="224"/>
            <w:r>
              <w:rPr/>
            </w:r>
            <w:bookmarkStart w:name="（1）存货分类" w:id="225"/>
            <w:bookmarkEnd w:id="225"/>
            <w:r>
              <w:rPr/>
            </w:r>
            <w:bookmarkStart w:name="单位：元" w:id="226"/>
            <w:bookmarkEnd w:id="226"/>
            <w:r>
              <w:rPr/>
            </w:r>
            <w:bookmarkStart w:name="（2）存货跌价准备" w:id="227"/>
            <w:bookmarkEnd w:id="227"/>
            <w:r>
              <w:rPr/>
            </w:r>
            <w:bookmarkStart w:name="（3）存货跌价准备情况" w:id="228"/>
            <w:bookmarkEnd w:id="228"/>
            <w:r>
              <w:rPr/>
            </w: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35,903,831.02</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预付款项主要单位的说明</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836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）存货分类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2" w:right="0"/>
              <w:jc w:val="left"/>
              <w:rPr>
                <w:rFonts w:ascii="Times New Roman" w:hAnsi="Times New Roman" w:cs="Times New Roman" w:eastAsia="Times New Roman" w:hint="default"/>
                <w:sz w:val="18"/>
                <w:szCs w:val="18"/>
              </w:rPr>
            </w:pPr>
            <w:r>
              <w:rPr>
                <w:rFonts w:ascii="Times New Roman"/>
                <w:sz w:val="18"/>
              </w:rPr>
              <w:t>110,123,544.38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6,768,809.67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103,354,734.71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151,695,732.64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9,155,051.05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142,540,681.59</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197,192,099.93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2,503,115.44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194,688,984.49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171,888,959.96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7,882,273.88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164,006,686.08</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2" w:right="0"/>
              <w:jc w:val="left"/>
              <w:rPr>
                <w:rFonts w:ascii="Times New Roman" w:hAnsi="Times New Roman" w:cs="Times New Roman" w:eastAsia="Times New Roman" w:hint="default"/>
                <w:sz w:val="18"/>
                <w:szCs w:val="18"/>
              </w:rPr>
            </w:pPr>
            <w:r>
              <w:rPr>
                <w:rFonts w:ascii="Times New Roman"/>
                <w:sz w:val="18"/>
              </w:rPr>
              <w:t>110,314,448.40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8,653,902.85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101,660,545.55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57,329,331.23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7,777,878.01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49,551,453.22</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417,630,092.71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17,925,827.96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399,704,264.75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380,914,023.83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24,815,202.94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356,098,820.89</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）存货跌价准备</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738"/>
        <w:gridCol w:w="1615"/>
        <w:gridCol w:w="1615"/>
        <w:gridCol w:w="1414"/>
        <w:gridCol w:w="1430"/>
        <w:gridCol w:w="1757"/>
      </w:tblGrid>
      <w:tr>
        <w:trPr>
          <w:trHeight w:val="401"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9,155,051.05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2,084,462.65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4,470,704.03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6,768,809.67</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7,882,273.88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1,355,342.55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6,734,500.99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2,503,115.44</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7,777,878.01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1,719,961.42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843,936.58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8,653,902.85</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24,815,202.94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5,159,766.62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12,049,141.60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17,925,827.96</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）存货跌价准备情况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1" w:right="108"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8" w:right="108"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账面价值与可变现净值孰低</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账面价值与可变现净值孰低</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账面价值与可变现净值孰低</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
        <w:jc w:val="left"/>
      </w:pPr>
      <w:r>
        <w:rPr/>
        <w:t>存货的说明</w:t>
      </w:r>
    </w:p>
    <w:p>
      <w:pPr>
        <w:spacing w:after="0" w:line="240" w:lineRule="auto"/>
        <w:jc w:val="left"/>
        <w:sectPr>
          <w:footerReference w:type="default" r:id="rId28"/>
          <w:pgSz w:w="11910" w:h="16840"/>
          <w:pgMar w:footer="979" w:header="745" w:top="1060" w:bottom="1160" w:left="1020" w:right="1020"/>
          <w:pgNumType w:start="9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9、其他流动资产" w:id="229"/>
      <w:bookmarkEnd w:id="229"/>
      <w:r>
        <w:rPr>
          <w:b w:val="0"/>
          <w:bCs w:val="0"/>
        </w:rPr>
      </w:r>
      <w:bookmarkStart w:name="单位：元" w:id="230"/>
      <w:bookmarkEnd w:id="230"/>
      <w:r>
        <w:rPr>
          <w:b w:val="0"/>
          <w:bCs w:val="0"/>
        </w:rPr>
      </w:r>
      <w:bookmarkStart w:name="10、对合营企业投资和联营企业投资" w:id="231"/>
      <w:bookmarkEnd w:id="231"/>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456"/>
        <w:gridCol w:w="2923"/>
        <w:gridCol w:w="3190"/>
      </w:tblGrid>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38"/>
              <w:jc w:val="right"/>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4,764,750.49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206,637.48</w:t>
            </w: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170,434.94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301,436.29</w:t>
            </w: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12,669,381.08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38"/>
              <w:jc w:val="righ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17,604,566.51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508,073.77</w:t>
            </w:r>
          </w:p>
        </w:tc>
      </w:tr>
    </w:tbl>
    <w:p>
      <w:pPr>
        <w:pStyle w:val="BodyText"/>
        <w:spacing w:line="240" w:lineRule="auto" w:before="51"/>
        <w:ind w:right="99"/>
        <w:jc w:val="left"/>
      </w:pPr>
      <w:r>
        <w:rPr/>
        <w:t>其他流动资产说明</w:t>
      </w:r>
    </w:p>
    <w:p>
      <w:pPr>
        <w:spacing w:line="240" w:lineRule="auto" w:before="9"/>
        <w:rPr>
          <w:rFonts w:ascii="宋体" w:hAnsi="宋体" w:cs="宋体" w:eastAsia="宋体" w:hint="default"/>
          <w:sz w:val="21"/>
          <w:szCs w:val="21"/>
        </w:rPr>
      </w:pPr>
    </w:p>
    <w:p>
      <w:pPr>
        <w:pStyle w:val="Heading4"/>
        <w:spacing w:line="403" w:lineRule="auto"/>
        <w:ind w:right="5954" w:firstLine="6"/>
        <w:jc w:val="left"/>
        <w:rPr>
          <w:b w:val="0"/>
          <w:bCs w:val="0"/>
        </w:rPr>
      </w:pPr>
      <w:r>
        <w:rPr>
          <w:rFonts w:ascii="Times New Roman" w:hAnsi="Times New Roman" w:cs="Times New Roman" w:eastAsia="Times New Roman" w:hint="default"/>
          <w:w w:val="95"/>
        </w:rPr>
        <w:t>10</w:t>
      </w:r>
      <w:r>
        <w:rPr>
          <w:w w:val="95"/>
        </w:rPr>
        <w:t>、对合营企业投资和联营企业投资</w:t>
      </w:r>
      <w:r>
        <w:rPr>
          <w:spacing w:val="2"/>
          <w:w w:val="95"/>
        </w:rPr>
        <w:t> </w:t>
      </w:r>
      <w:r>
        <w:rPr>
          <w:spacing w:val="2"/>
          <w:w w:val="95"/>
        </w:rPr>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8"/>
        <w:gridCol w:w="1193"/>
        <w:gridCol w:w="1198"/>
        <w:gridCol w:w="1193"/>
        <w:gridCol w:w="1198"/>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504" w:right="50" w:hanging="449"/>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415" w:right="50"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6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6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云南佳程防伪 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98,554,697.25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34,732,984.40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63,821,712.85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20,738,082.65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3,199,938.23</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云南南天信息 软件有限公司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云南医药工业 股份有限公司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1,658,702,687.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987,734,384.77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670,968,302.67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1,628,446,160.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35,662,958.86</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3"/>
              <w:jc w:val="both"/>
              <w:rPr>
                <w:rFonts w:ascii="宋体" w:hAnsi="宋体" w:cs="宋体" w:eastAsia="宋体" w:hint="default"/>
                <w:sz w:val="18"/>
                <w:szCs w:val="18"/>
              </w:rPr>
            </w:pPr>
            <w:r>
              <w:rPr>
                <w:rFonts w:ascii="宋体" w:hAnsi="宋体" w:cs="宋体" w:eastAsia="宋体" w:hint="default"/>
                <w:sz w:val="18"/>
                <w:szCs w:val="18"/>
              </w:rPr>
              <w:t>云南东盟公共 物流信息有限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56,370,392.76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7,628,784.72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48,741,608.04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4,341,947.05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2,574,616.54</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both"/>
              <w:rPr>
                <w:rFonts w:ascii="宋体" w:hAnsi="宋体" w:cs="宋体" w:eastAsia="宋体" w:hint="default"/>
                <w:sz w:val="18"/>
                <w:szCs w:val="18"/>
              </w:rPr>
            </w:pPr>
            <w:r>
              <w:rPr>
                <w:rFonts w:ascii="宋体" w:hAnsi="宋体" w:cs="宋体" w:eastAsia="宋体" w:hint="default"/>
                <w:sz w:val="18"/>
                <w:szCs w:val="18"/>
              </w:rPr>
              <w:t>广州南天佳信 信息工程有限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2,829,139.59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521,191.55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2,307,948.04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3,788,612.34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494.93</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3"/>
              <w:jc w:val="both"/>
              <w:rPr>
                <w:rFonts w:ascii="宋体" w:hAnsi="宋体" w:cs="宋体" w:eastAsia="宋体" w:hint="default"/>
                <w:sz w:val="18"/>
                <w:szCs w:val="18"/>
              </w:rPr>
            </w:pPr>
            <w:r>
              <w:rPr>
                <w:rFonts w:ascii="宋体" w:hAnsi="宋体" w:cs="宋体" w:eastAsia="宋体" w:hint="default"/>
                <w:sz w:val="18"/>
                <w:szCs w:val="18"/>
              </w:rPr>
              <w:t>厦门南天世纪 信息技术有限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287,474.24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287,093.65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1,141.77</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上海致同信息 技术有限公司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9,901,232.01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5,447,799.19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4,453,432.82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20,781,549.49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-523,372.30</w:t>
            </w:r>
          </w:p>
        </w:tc>
      </w:tr>
    </w:tbl>
    <w:p>
      <w:pPr>
        <w:pStyle w:val="BodyText"/>
        <w:spacing w:line="240" w:lineRule="auto" w:before="51"/>
        <w:ind w:right="99"/>
        <w:jc w:val="left"/>
      </w:pPr>
      <w:r>
        <w:rPr/>
        <w:t>合营企业、联营企业的重要会计政策、会计估计与公司的会计政策、会计估计存在重大差异的说明</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11、长期股权投资" w:id="232"/>
      <w:bookmarkEnd w:id="232"/>
      <w:r>
        <w:rPr>
          <w:b w:val="0"/>
          <w:bCs w:val="0"/>
        </w:rPr>
      </w:r>
      <w:bookmarkStart w:name="（1）长期股权投资明细情况" w:id="233"/>
      <w:bookmarkEnd w:id="233"/>
      <w:r>
        <w:rPr>
          <w:b w:val="0"/>
          <w:bCs w:val="0"/>
        </w:rPr>
      </w:r>
      <w:bookmarkStart w:name="单位：元" w:id="234"/>
      <w:bookmarkEnd w:id="234"/>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710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）长期股权投资明细情况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794"/>
        <w:gridCol w:w="799"/>
        <w:gridCol w:w="797"/>
        <w:gridCol w:w="799"/>
        <w:gridCol w:w="797"/>
        <w:gridCol w:w="799"/>
        <w:gridCol w:w="797"/>
        <w:gridCol w:w="799"/>
        <w:gridCol w:w="797"/>
        <w:gridCol w:w="799"/>
        <w:gridCol w:w="797"/>
        <w:gridCol w:w="799"/>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316" w:lineRule="auto"/>
              <w:ind w:left="302" w:right="29"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316" w:lineRule="auto"/>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6"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316"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11,684,35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719,987.6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12,404,34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云南南天 信息软件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814,300.0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云南医药 工业股份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74,981,16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211,287,3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23,415,53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234,702,8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云南东盟</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公共物流 信息有限</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22,082,79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22,082,79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盈富泰克 创业投资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14,783,69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14,783,69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14,783,69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富滇银行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深圳市帕 纳投资有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广州南天</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佳信信息 工程有限</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876,510.3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-184,125.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692,384.4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184,274.4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厦门南天 世纪信息 技术有限</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114,380.7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114,837.4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9"/>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12、投资性房地产" w:id="235"/>
            <w:bookmarkEnd w:id="235"/>
            <w:r>
              <w:rPr/>
            </w:r>
            <w:bookmarkStart w:name="（1）按成本计量的投资性房地产" w:id="236"/>
            <w:bookmarkEnd w:id="236"/>
            <w:r>
              <w:rPr/>
            </w:r>
            <w:bookmarkStart w:name="单位：元" w:id="237"/>
            <w:bookmarkEnd w:id="237"/>
            <w:r>
              <w:rPr/>
            </w:r>
            <w:bookmarkStart w:name="13、固定资产" w:id="238"/>
            <w:bookmarkEnd w:id="238"/>
            <w:r>
              <w:rPr/>
            </w:r>
            <w:bookmarkStart w:name="（1）固定资产情况" w:id="239"/>
            <w:bookmarkEnd w:id="239"/>
            <w:r>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上海致同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1,990,722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-209,348.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1,781,373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172,079,1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60.21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288,832,4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45,825,29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334,657,7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56.34</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6,854,274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668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）按成本计量的投资性房地产</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730"/>
        <w:gridCol w:w="1992"/>
        <w:gridCol w:w="1862"/>
        <w:gridCol w:w="1860"/>
        <w:gridCol w:w="2126"/>
      </w:tblGrid>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40,948,814.61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731,569.89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661,705.84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41,018,678.66</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38,265,299.01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731,569.89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661,705.84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38,335,163.06</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2,683,515.60</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2,683,515.60</w:t>
            </w: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12,003,498.91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1,681,290.78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87,778.04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13,597,011.65</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11,713,241.22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1,615,572.06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87,778.04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13,241,035.24</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290,257.69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65,718.72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355,976.41</w:t>
            </w:r>
          </w:p>
        </w:tc>
      </w:tr>
      <w:tr>
        <w:trPr>
          <w:trHeight w:val="715"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28,945,315.70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-949,720.89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573,927.80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27,421,667.01</w:t>
            </w: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28,945,315.70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-949,720.89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573,927.80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27,421,667.01</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26,552,057.79</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25,094,127.82</w:t>
            </w:r>
          </w:p>
        </w:tc>
      </w:tr>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2,393,257.91</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2,327,539.19</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5359"/>
        <w:gridCol w:w="4210"/>
      </w:tblGrid>
      <w:tr>
        <w:trPr>
          <w:trHeight w:val="403"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1,191,550.22</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2129"/>
        <w:gridCol w:w="1462"/>
        <w:gridCol w:w="2923"/>
        <w:gridCol w:w="1594"/>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2）未办妥产权证书的固定资产情况" w:id="240"/>
            <w:bookmarkEnd w:id="240"/>
            <w:r>
              <w:rPr/>
            </w:r>
            <w:bookmarkStart w:name="14、在建工程" w:id="241"/>
            <w:bookmarkEnd w:id="241"/>
            <w:r>
              <w:rPr/>
            </w:r>
            <w:bookmarkStart w:name="（1）在建工程情况" w:id="242"/>
            <w:bookmarkEnd w:id="242"/>
            <w:r>
              <w:rPr/>
            </w:r>
            <w:bookmarkStart w:name="单位：元" w:id="243"/>
            <w:bookmarkEnd w:id="243"/>
            <w:r>
              <w:rPr/>
            </w: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379,236,077.00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10,339,558.44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8,748,849.99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380,826,785.45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244,638,260.59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661,705.84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731,569.89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244,568,396.54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57,095,996.75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4,335,268.21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71,965.00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61,359,299.96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21,378,403.74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1,934,013.86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1,136,888.00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22,175,529.60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105,595,866.31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87,778.04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19,677,106.23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7,621,619.92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117,739,130.66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35,589,477.31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87,778.04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6,534,478.49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489,740.56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41,721,993.28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31,796,068.93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4,112,101.99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68,366.75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35,839,804.17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13,084,814.49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2,007,437.89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1,070,138.60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14,022,113.78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273,640,210.69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263,087,654.79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209,048,783.28</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202,846,403.26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25,299,927.82</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25,519,495.79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8,293,589.25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8,153,415.82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637,132.24</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193,326.22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273,003,078.45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262,894,328.57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209,048,783.28</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202,846,403.26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25,299,927.82</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25,519,495.79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8,293,589.25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8,153,415.82</w:t>
            </w:r>
          </w:p>
        </w:tc>
      </w:tr>
    </w:tbl>
    <w:p>
      <w:pPr>
        <w:pStyle w:val="BodyText"/>
        <w:spacing w:line="240" w:lineRule="auto" w:before="51"/>
        <w:ind w:right="99"/>
        <w:jc w:val="left"/>
      </w:pPr>
      <w:r>
        <w:rPr/>
        <w:t>本期折旧额</w:t>
      </w:r>
      <w:r>
        <w:rPr>
          <w:spacing w:val="-48"/>
        </w:rPr>
        <w:t> </w:t>
      </w:r>
      <w:r>
        <w:rPr>
          <w:rFonts w:ascii="Times New Roman" w:hAnsi="Times New Roman" w:cs="Times New Roman" w:eastAsia="Times New Roman" w:hint="default"/>
        </w:rPr>
        <w:t>19,677,106.23</w:t>
      </w:r>
      <w:r>
        <w:rPr>
          <w:rFonts w:ascii="Times New Roman" w:hAnsi="Times New Roman" w:cs="Times New Roman" w:eastAsia="Times New Roman" w:hint="default"/>
          <w:spacing w:val="-4"/>
        </w:rPr>
        <w:t> </w:t>
      </w:r>
      <w:r>
        <w:rPr/>
        <w:t>元；本期由在建工程转入固定资产原价为</w:t>
      </w:r>
      <w:r>
        <w:rPr>
          <w:spacing w:val="-48"/>
        </w:rPr>
        <w:t> </w:t>
      </w:r>
      <w:r>
        <w:rPr>
          <w:rFonts w:ascii="Times New Roman" w:hAnsi="Times New Roman" w:cs="Times New Roman" w:eastAsia="Times New Roman" w:hint="default"/>
        </w:rPr>
        <w:t>4,342,000.00</w:t>
      </w:r>
      <w:r>
        <w:rPr>
          <w:rFonts w:ascii="Times New Roman" w:hAnsi="Times New Roman" w:cs="Times New Roman" w:eastAsia="Times New Roman" w:hint="default"/>
          <w:spacing w:val="-6"/>
        </w:rPr>
        <w:t> </w:t>
      </w:r>
      <w:r>
        <w:rPr/>
        <w:t>元。</w:t>
      </w:r>
    </w:p>
    <w:p>
      <w:pPr>
        <w:spacing w:line="240" w:lineRule="auto" w:before="11"/>
        <w:rPr>
          <w:rFonts w:ascii="宋体" w:hAnsi="宋体" w:cs="宋体" w:eastAsia="宋体" w:hint="default"/>
          <w:sz w:val="20"/>
          <w:szCs w:val="20"/>
        </w:rPr>
      </w:pPr>
    </w:p>
    <w:p>
      <w:pPr>
        <w:pStyle w:val="Heading4"/>
        <w:spacing w:line="240" w:lineRule="auto"/>
        <w:ind w:right="99"/>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集资建房，产权不清晰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预计无法办理权证</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信息产业基地一期房产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尚未竣工决算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未知</w:t>
            </w:r>
          </w:p>
        </w:tc>
      </w:tr>
    </w:tbl>
    <w:p>
      <w:pPr>
        <w:pStyle w:val="BodyText"/>
        <w:spacing w:line="240" w:lineRule="auto" w:before="51"/>
        <w:ind w:right="99"/>
        <w:jc w:val="left"/>
      </w:pPr>
      <w:r>
        <w:rPr/>
        <w:t>固定资产说明</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）在建工程情况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2266"/>
        <w:gridCol w:w="1195"/>
        <w:gridCol w:w="1195"/>
        <w:gridCol w:w="1195"/>
        <w:gridCol w:w="1195"/>
        <w:gridCol w:w="1195"/>
        <w:gridCol w:w="1327"/>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信息产业基地二期项目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45,815,636.40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45,815,636.40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19,457,014.41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19,457,014.41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266"/>
        <w:gridCol w:w="1195"/>
        <w:gridCol w:w="1195"/>
        <w:gridCol w:w="1195"/>
        <w:gridCol w:w="1195"/>
        <w:gridCol w:w="1193"/>
        <w:gridCol w:w="1330"/>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2）重大在建工程项目变动情况" w:id="244"/>
            <w:bookmarkEnd w:id="244"/>
            <w:r>
              <w:rPr/>
            </w:r>
            <w:bookmarkStart w:name="单位：元" w:id="245"/>
            <w:bookmarkEnd w:id="245"/>
            <w:r>
              <w:rPr/>
            </w:r>
            <w:bookmarkStart w:name="（3）重大在建工程的工程进度情况" w:id="246"/>
            <w:bookmarkEnd w:id="246"/>
            <w:r>
              <w:rPr/>
            </w:r>
            <w:bookmarkStart w:name="15、无形资产" w:id="247"/>
            <w:bookmarkEnd w:id="247"/>
            <w:r>
              <w:rPr/>
            </w:r>
            <w:bookmarkStart w:name="（1）无形资产情况" w:id="248"/>
            <w:bookmarkEnd w:id="248"/>
            <w:r>
              <w:rPr/>
            </w:r>
            <w:r>
              <w:rPr>
                <w:rFonts w:ascii="宋体" w:hAnsi="宋体" w:cs="宋体" w:eastAsia="宋体" w:hint="default"/>
                <w:sz w:val="18"/>
                <w:szCs w:val="18"/>
              </w:rPr>
              <w:t>信息运维项目场地建设</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南天大厦三楼装修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46,172,636.40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46,172,636.40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20,255,014.41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20,255,014.41</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）重大在建工程项目变动情况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734"/>
        <w:gridCol w:w="737"/>
        <w:gridCol w:w="734"/>
        <w:gridCol w:w="734"/>
        <w:gridCol w:w="734"/>
        <w:gridCol w:w="737"/>
        <w:gridCol w:w="737"/>
        <w:gridCol w:w="734"/>
        <w:gridCol w:w="737"/>
        <w:gridCol w:w="737"/>
        <w:gridCol w:w="734"/>
        <w:gridCol w:w="737"/>
        <w:gridCol w:w="737"/>
      </w:tblGrid>
      <w:tr>
        <w:trPr>
          <w:trHeight w:val="1339"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2"/>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50" w:right="43"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276" w:right="8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8"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58"/>
              <w:jc w:val="left"/>
              <w:rPr>
                <w:rFonts w:ascii="宋体" w:hAnsi="宋体" w:cs="宋体" w:eastAsia="宋体" w:hint="default"/>
                <w:sz w:val="18"/>
                <w:szCs w:val="18"/>
              </w:rPr>
            </w:pPr>
            <w:r>
              <w:rPr>
                <w:rFonts w:ascii="宋体" w:hAnsi="宋体" w:cs="宋体" w:eastAsia="宋体" w:hint="default"/>
                <w:sz w:val="18"/>
                <w:szCs w:val="18"/>
              </w:rPr>
              <w:t>业基地 二期项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2"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2" w:right="0"/>
              <w:jc w:val="left"/>
              <w:rPr>
                <w:rFonts w:ascii="Times New Roman" w:hAnsi="Times New Roman" w:cs="Times New Roman" w:eastAsia="Times New Roman" w:hint="default"/>
                <w:sz w:val="18"/>
                <w:szCs w:val="18"/>
              </w:rPr>
            </w:pPr>
            <w:r>
              <w:rPr>
                <w:rFonts w:ascii="Times New Roman"/>
                <w:sz w:val="18"/>
              </w:rPr>
              <w:t>19,457,0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14.41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2" w:right="0"/>
              <w:jc w:val="left"/>
              <w:rPr>
                <w:rFonts w:ascii="Times New Roman" w:hAnsi="Times New Roman" w:cs="Times New Roman" w:eastAsia="Times New Roman" w:hint="default"/>
                <w:sz w:val="18"/>
                <w:szCs w:val="18"/>
              </w:rPr>
            </w:pPr>
            <w:r>
              <w:rPr>
                <w:rFonts w:ascii="Times New Roman"/>
                <w:sz w:val="18"/>
              </w:rPr>
              <w:t>30,700,6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21.99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4,342,00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45.82%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45%</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45,815,6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36.40</w:t>
            </w:r>
          </w:p>
        </w:tc>
      </w:tr>
      <w:tr>
        <w:trPr>
          <w:trHeight w:val="351"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19,457,0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30,700,6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4,342,00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45,815,6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36.40</w:t>
            </w:r>
          </w:p>
        </w:tc>
      </w:tr>
    </w:tbl>
    <w:p>
      <w:pPr>
        <w:pStyle w:val="BodyText"/>
        <w:spacing w:line="240" w:lineRule="auto" w:before="49"/>
        <w:ind w:right="99"/>
        <w:jc w:val="left"/>
      </w:pPr>
      <w:r>
        <w:rPr/>
        <w:t>在建工程项目变动情况的说明</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信息产业基地二期项目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157,163,618.32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26,046,343.72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0" w:right="0"/>
              <w:jc w:val="left"/>
              <w:rPr>
                <w:rFonts w:ascii="Times New Roman" w:hAnsi="Times New Roman" w:cs="Times New Roman" w:eastAsia="Times New Roman" w:hint="default"/>
                <w:sz w:val="18"/>
                <w:szCs w:val="18"/>
              </w:rPr>
            </w:pPr>
            <w:r>
              <w:rPr>
                <w:rFonts w:ascii="Times New Roman"/>
                <w:sz w:val="18"/>
              </w:rPr>
              <w:t>142,726.66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183,067,235.38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51,855,896.43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51,855,896.43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72,946,000.49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1,825,067.54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74,771,068.03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南天电子数据管理系统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2,647,833.19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2,647,833.19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外包基础软件平台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6,724,830.40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6,724,830.40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南天银行现金集中监控系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2,388,399.09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2,388,399.09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南天多媒体信息发布软件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1,669,854.10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1,669,854.10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面向中小银行主机核心系 统的研发及产业化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7,584,625.10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7,584,625.10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Remedy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Connector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8,120,114.20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8,120,114.20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南天网络工具平台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7,235,953.78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7,235,953.78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基于云计算的银行核心业 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产品管理子系统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4,670,202.87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4,670,202.87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15,404,432.71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136,752.14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142,726.66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15,398,458.19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38,749,160.61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22,067,961.90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142,726.66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60,674,395.85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4,723,174.98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1,111,041.48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5,834,216.46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27,624,562.48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13,539,601.36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41,164,163.84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南天电子数据管理系统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794,350.01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463,370.76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1,257,720.77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外包基础软件平台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1,214,205.46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1,120,805.04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2,335,010.50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南天银行现金集中监控系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464,410.94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464,410.94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南天多媒体信息发布软件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139,154.52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139,154.52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面向中小银行主机核心系 统的研发及产业化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79,006.52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948,078.12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1,027,084.64</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Remedy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Connector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270,670.46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270,670.46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南天网络工具平台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844,194.61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844,194.61</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基于云计算的银行核心业 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产品管理子系统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155,673.42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155,673.42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4,313,861.16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3,010,961.19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142,726.66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7,182,095.69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118,414,457.71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3,978,381.82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122,392,839.53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47,132,721.45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46,021,679.97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45,321,438.01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33,606,904.19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南天电子数据管理系统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1,853,483.18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1,390,112.42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外包基础软件平台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5,510,624.94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4,389,819.90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南天银行现金集中监控系 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1,923,988.15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南天多媒体信息发布软件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1,530,699.58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面向中小银行主机核心系 统的研发及产业化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7,505,618.58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6,557,540.46</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Remedy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Connector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7,849,443.74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南天网络工具平台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6,391,759.17</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基于云计算的银行核心业 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产品管理子系统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4,514,529.45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11,090,571.55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8,216,362.50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8,420,475.00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8,420,475.00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6,917,074.01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6,917,074.01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南天电子数据管理系统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外包基础软件平台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南天银行现金集中监控系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南天多媒体信息发布软件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面向中小银行主机核心系 统的研发及产业化</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Remedy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Connector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南天网络工具平台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基于云计算的银行核心业 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产品管理子系统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1,503,400.99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1,503,400.99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118,414,457.71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-4,442,093.18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113,972,364.53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47,132,721.45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46,021,679.97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45,321,438.01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26,689,830.18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南天电子数据管理系统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1,853,483.18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1,390,112.42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外包基础软件平台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5,510,624.94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4,389,819.90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南天银行现金集中监控系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1,923,988.15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南天多媒体信息发布软件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1,530,699.58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面向中小银行主机核心系 统的研发及产业化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7,505,618.58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6,557,540.46</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Remedy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Connector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7,849,443.74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南天网络工具平台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6,391,759.17</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基于云计算的银行核心业 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产品管理子系统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4,514,529.45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11,090,571.55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6,712,961.51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99"/>
        <w:jc w:val="left"/>
      </w:pPr>
      <w:bookmarkStart w:name="（2）公司开发项目支出" w:id="249"/>
      <w:bookmarkEnd w:id="249"/>
      <w:r>
        <w:rPr/>
      </w:r>
      <w:bookmarkStart w:name="单位：元" w:id="250"/>
      <w:bookmarkEnd w:id="250"/>
      <w:r>
        <w:rPr/>
      </w:r>
      <w:r>
        <w:rPr/>
        <w:t>本期摊销额</w:t>
      </w:r>
      <w:r>
        <w:rPr>
          <w:spacing w:val="-48"/>
        </w:rPr>
        <w:t> </w:t>
      </w:r>
      <w:r>
        <w:rPr>
          <w:rFonts w:ascii="Times New Roman" w:hAnsi="Times New Roman" w:cs="Times New Roman" w:eastAsia="Times New Roman" w:hint="default"/>
        </w:rPr>
        <w:t>22,067,961.90</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20"/>
          <w:szCs w:val="20"/>
        </w:rPr>
      </w:pPr>
    </w:p>
    <w:p>
      <w:pPr>
        <w:pStyle w:val="Heading4"/>
        <w:spacing w:line="403" w:lineRule="auto"/>
        <w:ind w:right="7529"/>
        <w:jc w:val="left"/>
        <w:rPr>
          <w:b w:val="0"/>
          <w:bCs w:val="0"/>
        </w:rPr>
      </w:pPr>
      <w:r>
        <w:rPr/>
        <w:t>（</w:t>
      </w:r>
      <w:r>
        <w:rPr>
          <w:rFonts w:ascii="Times New Roman" w:hAnsi="Times New Roman" w:cs="Times New Roman" w:eastAsia="Times New Roman" w:hint="default"/>
        </w:rPr>
        <w:t>2</w:t>
      </w:r>
      <w:r>
        <w:rPr/>
        <w:t>）公司开发项目支出</w:t>
      </w:r>
      <w:r>
        <w:rPr>
          <w:w w:val="99"/>
        </w:rPr>
        <w:t> </w:t>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598"/>
        <w:gridCol w:w="1596"/>
        <w:gridCol w:w="1594"/>
        <w:gridCol w:w="1594"/>
        <w:gridCol w:w="1591"/>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信息系统运维服务 支撑平台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8,306,136.78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2,298,507.72</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6,007,629.06</w:t>
            </w: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运 行维护支持系统研 发及产业化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3,278,559.30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7,452,783.96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10,731,343.26</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第三方支付牌照及 支付系统平台建设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3,010,616.35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317,020.90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3,327,637.25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南天银行现金集中 监控系统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2,217,034.19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171,364.90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2,388,399.09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核心银行智能交易 架构系统</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zCIA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系统 </w:t>
            </w:r>
            <w:r>
              <w:rPr>
                <w:rFonts w:ascii="Times New Roman" w:hAnsi="Times New Roman" w:cs="Times New Roman" w:eastAsia="Times New Roman" w:hint="default"/>
                <w:sz w:val="18"/>
                <w:szCs w:val="18"/>
              </w:rPr>
              <w:t>V1.0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973,378.54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2,975,864.78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3,949,243.32</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both"/>
              <w:rPr>
                <w:rFonts w:ascii="宋体" w:hAnsi="宋体" w:cs="宋体" w:eastAsia="宋体" w:hint="default"/>
                <w:sz w:val="18"/>
                <w:szCs w:val="18"/>
              </w:rPr>
            </w:pPr>
            <w:r>
              <w:rPr>
                <w:rFonts w:ascii="宋体" w:hAnsi="宋体" w:cs="宋体" w:eastAsia="宋体" w:hint="default"/>
                <w:sz w:val="18"/>
                <w:szCs w:val="18"/>
              </w:rPr>
              <w:t>自助服务网络化智 能监控及运维管理 平台</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4,308,994.62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1,247,249.35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3,061,745.27</w:t>
            </w:r>
          </w:p>
        </w:tc>
      </w:tr>
      <w:tr>
        <w:trPr>
          <w:trHeight w:val="133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both"/>
              <w:rPr>
                <w:rFonts w:ascii="宋体" w:hAnsi="宋体" w:cs="宋体" w:eastAsia="宋体" w:hint="default"/>
                <w:sz w:val="18"/>
                <w:szCs w:val="18"/>
              </w:rPr>
            </w:pPr>
            <w:r>
              <w:rPr>
                <w:rFonts w:ascii="宋体" w:hAnsi="宋体" w:cs="宋体" w:eastAsia="宋体" w:hint="default"/>
                <w:sz w:val="18"/>
                <w:szCs w:val="18"/>
              </w:rPr>
              <w:t>面向社会管理和服 务的数据中心虚拟 资源调度与管理系 统研发及应用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2,581,601.44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904,333.89</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1,677,267.55</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软件外包开发项目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3,300,265.93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3,300,265.93</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南天金融多媒体呼 叫中心软件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 发项目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1,979,550.42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1,979,550.42</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南天支付账务核心 系统软件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研发 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1,990,066.21</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南天基于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的运 维服务管理软件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研发项目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1,717,658.09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1,717,658.09</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多媒体信息发布系 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1,669,854.10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1,669,854.10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山西农信金融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1,647,978.13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1,647,978.13</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598"/>
        <w:gridCol w:w="1596"/>
        <w:gridCol w:w="1594"/>
        <w:gridCol w:w="1591"/>
        <w:gridCol w:w="1594"/>
        <w:gridCol w:w="1594"/>
      </w:tblGrid>
      <w:tr>
        <w:trPr>
          <w:trHeight w:val="36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16、长期待摊费用" w:id="251"/>
            <w:bookmarkEnd w:id="251"/>
            <w:r>
              <w:rPr/>
            </w:r>
            <w:bookmarkStart w:name="单位：元" w:id="252"/>
            <w:bookmarkEnd w:id="252"/>
            <w:r>
              <w:rPr/>
            </w:r>
            <w:bookmarkStart w:name="17、递延所得税资产和递延所得税负债" w:id="253"/>
            <w:bookmarkEnd w:id="253"/>
            <w:r>
              <w:rPr/>
            </w:r>
            <w:bookmarkStart w:name="（1）递延所得税资产和递延所得税负债不以抵销后的净额列示" w:id="254"/>
            <w:bookmarkEnd w:id="254"/>
            <w:r>
              <w:rPr/>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南天互联网支付前 端系统软件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 发项目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1,587,108.48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1,587,108.48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城市综合服务智慧 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1,527,563.25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1,527,563.25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银行核心业务系统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10,652,839.30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10,652,839.30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南天网络工具平台</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7,235,953.78</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7,235,953.78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08"/>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Remedy Connector</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8,120,114.20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8,120,114.20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62"/>
              <w:jc w:val="both"/>
              <w:rPr>
                <w:rFonts w:ascii="宋体" w:hAnsi="宋体" w:cs="宋体" w:eastAsia="宋体" w:hint="default"/>
                <w:sz w:val="18"/>
                <w:szCs w:val="18"/>
              </w:rPr>
            </w:pPr>
            <w:r>
              <w:rPr>
                <w:rFonts w:ascii="宋体" w:hAnsi="宋体" w:cs="宋体" w:eastAsia="宋体" w:hint="default"/>
                <w:sz w:val="18"/>
                <w:szCs w:val="18"/>
              </w:rPr>
              <w:t>基于云计算的银行 核心业务系统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 管理子系统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4,670,202.87</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4,670,202.87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529,178.16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25,691,855.84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25,780,281.34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440,752.66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18,314,903.32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89,598,641.20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61,910,282.68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24,084,524.04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21,918,737.80</w:t>
            </w:r>
          </w:p>
        </w:tc>
      </w:tr>
    </w:tbl>
    <w:p>
      <w:pPr>
        <w:pStyle w:val="BodyText"/>
        <w:spacing w:line="340" w:lineRule="auto" w:before="49"/>
        <w:ind w:right="99"/>
        <w:jc w:val="left"/>
      </w:pPr>
      <w:r>
        <w:rPr/>
        <w:t>本期开发支出占本期研究开发项目支出总额的比例</w:t>
      </w:r>
      <w:r>
        <w:rPr>
          <w:spacing w:val="-45"/>
        </w:rPr>
        <w:t> </w:t>
      </w:r>
      <w:r>
        <w:rPr>
          <w:rFonts w:ascii="Times New Roman" w:hAnsi="Times New Roman" w:cs="Times New Roman" w:eastAsia="Times New Roman" w:hint="default"/>
        </w:rPr>
        <w:t>23.8%</w:t>
      </w:r>
      <w:r>
        <w:rPr/>
        <w:t>。 通过公司内部研发形成的无形资产占无形资产期末账面价值的比例</w:t>
      </w:r>
      <w:r>
        <w:rPr>
          <w:spacing w:val="-46"/>
        </w:rPr>
        <w:t> </w:t>
      </w:r>
      <w:r>
        <w:rPr>
          <w:rFonts w:ascii="Times New Roman" w:hAnsi="Times New Roman" w:cs="Times New Roman" w:eastAsia="Times New Roman" w:hint="default"/>
        </w:rPr>
        <w:t>56.65%</w:t>
      </w:r>
      <w:r>
        <w:rPr/>
        <w:t>。 </w:t>
      </w: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3"/>
        </w:rPr>
        <w:t> </w:t>
      </w:r>
      <w:r>
        <w:rPr>
          <w:spacing w:val="-2"/>
        </w:rPr>
        <w:t>万元以上且以评估值为入账依据的，应披露评估机构名称、评估方法</w:t>
      </w:r>
    </w:p>
    <w:p>
      <w:pPr>
        <w:spacing w:line="240" w:lineRule="auto" w:before="4"/>
        <w:rPr>
          <w:rFonts w:ascii="宋体" w:hAnsi="宋体" w:cs="宋体" w:eastAsia="宋体" w:hint="default"/>
          <w:sz w:val="14"/>
          <w:szCs w:val="14"/>
        </w:rPr>
      </w:pPr>
    </w:p>
    <w:p>
      <w:pPr>
        <w:pStyle w:val="Heading4"/>
        <w:spacing w:line="403" w:lineRule="auto"/>
        <w:ind w:right="7934" w:firstLine="6"/>
        <w:jc w:val="left"/>
        <w:rPr>
          <w:b w:val="0"/>
          <w:bCs w:val="0"/>
        </w:rPr>
      </w:pPr>
      <w:r>
        <w:rPr>
          <w:rFonts w:ascii="Times New Roman" w:hAnsi="Times New Roman" w:cs="Times New Roman" w:eastAsia="Times New Roman" w:hint="default"/>
          <w:w w:val="95"/>
        </w:rPr>
        <w:t>16</w:t>
      </w:r>
      <w:r>
        <w:rPr>
          <w:w w:val="95"/>
        </w:rPr>
        <w:t>、长期待摊费用</w:t>
      </w:r>
      <w:r>
        <w:rPr>
          <w:spacing w:val="19"/>
          <w:w w:val="95"/>
        </w:rPr>
        <w:t> </w:t>
      </w:r>
      <w:r>
        <w:rPr>
          <w:spacing w:val="19"/>
          <w:w w:val="95"/>
        </w:rPr>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370"/>
        <w:gridCol w:w="1366"/>
        <w:gridCol w:w="1368"/>
        <w:gridCol w:w="1366"/>
        <w:gridCol w:w="1368"/>
        <w:gridCol w:w="1368"/>
        <w:gridCol w:w="1366"/>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GLS </w:t>
            </w:r>
            <w:r>
              <w:rPr>
                <w:rFonts w:ascii="宋体" w:hAnsi="宋体" w:cs="宋体" w:eastAsia="宋体" w:hint="default"/>
                <w:sz w:val="18"/>
                <w:szCs w:val="18"/>
              </w:rPr>
              <w:t>管理信息平 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238,871.85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105,555.57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133,316.28</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2,429,835.00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2,267,854.00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1,010,149.51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979,659.48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2,707,880.01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2,668,706.85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2,267,854.00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1,115,705.08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979,659.48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2,841,196.29</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
        <w:jc w:val="left"/>
      </w:pPr>
      <w:r>
        <w:rPr/>
        <w:t>长期待摊费用的说明</w:t>
      </w:r>
    </w:p>
    <w:p>
      <w:pPr>
        <w:pStyle w:val="BodyText"/>
        <w:spacing w:line="300" w:lineRule="auto" w:before="117"/>
        <w:ind w:right="99" w:firstLine="602"/>
        <w:jc w:val="left"/>
      </w:pPr>
      <w:r>
        <w:rPr>
          <w:spacing w:val="-2"/>
        </w:rPr>
        <w:t>注：其他减少</w:t>
      </w:r>
      <w:r>
        <w:rPr>
          <w:rFonts w:ascii="Times New Roman" w:hAnsi="Times New Roman" w:cs="Times New Roman" w:eastAsia="Times New Roman" w:hint="default"/>
          <w:spacing w:val="-2"/>
        </w:rPr>
        <w:t>979,659.48</w:t>
      </w:r>
      <w:r>
        <w:rPr>
          <w:spacing w:val="-2"/>
        </w:rPr>
        <w:t>元系本公司之子公司重庆南天数据资讯服务有限公司房租到期，不再续租，故将装修费用一</w:t>
      </w:r>
      <w:r>
        <w:rPr/>
        <w:t> 次转销。</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4"/>
        <w:spacing w:line="240" w:lineRule="auto"/>
        <w:ind w:left="119" w:right="99"/>
        <w:jc w:val="left"/>
        <w:rPr>
          <w:b w:val="0"/>
          <w:bCs w:val="0"/>
        </w:rPr>
      </w:pPr>
      <w:r>
        <w:rPr>
          <w:rFonts w:ascii="Times New Roman" w:hAnsi="Times New Roman" w:cs="Times New Roman" w:eastAsia="Times New Roman" w:hint="default"/>
        </w:rPr>
        <w:t>17</w:t>
      </w:r>
      <w:r>
        <w:rPr/>
        <w:t>、递延所得税资产和递延所得税负债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）递延所得税资产和递延所得税负债不以抵销后的净额列示</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已确认的递延所得税资产和递延所得税负债</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单位：元" w:id="255"/>
      <w:bookmarkEnd w:id="255"/>
      <w:r>
        <w:rPr>
          <w:b w:val="0"/>
          <w:bCs w:val="0"/>
        </w:rPr>
      </w: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722"/>
        <w:gridCol w:w="2923"/>
        <w:gridCol w:w="2921"/>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7,449,816.66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5,758,650.23</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无形资产会计摊销年限与税法摊销年限差异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9,363.75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18,727.50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555,261.64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903,674.04</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628,692.00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647,656.80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未实现内部利润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1,805,752.14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1,573,746.30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交易性金融资产的公允价值变动</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10,003.38</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预提售后服务培训费</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21,368.15</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908,255.70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已开票未确认的技术服务收入</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264,567.20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1,438,125.90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13,059,834.99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8,933,826.40</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1"/>
        <w:ind w:right="99"/>
        <w:jc w:val="left"/>
      </w:pPr>
      <w:r>
        <w:rPr/>
        <w:t>未确认递延所得税资产明细</w:t>
      </w:r>
    </w:p>
    <w:p>
      <w:pPr>
        <w:spacing w:line="240" w:lineRule="auto" w:before="9"/>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722"/>
        <w:gridCol w:w="2923"/>
        <w:gridCol w:w="2921"/>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40,175,649.31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10,403,119.85</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8,618,069.47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9,527,260.94</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48,793,718.78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19,930,380.79</w:t>
            </w:r>
          </w:p>
        </w:tc>
      </w:tr>
    </w:tbl>
    <w:p>
      <w:pPr>
        <w:pStyle w:val="BodyText"/>
        <w:spacing w:line="240" w:lineRule="auto" w:before="51"/>
        <w:ind w:right="99"/>
        <w:jc w:val="left"/>
      </w:pPr>
      <w:r>
        <w:rPr/>
        <w:t>未确认递延所得税资产的可抵扣亏损将于以下年度到期</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997"/>
        <w:gridCol w:w="2258"/>
        <w:gridCol w:w="1994"/>
        <w:gridCol w:w="3319"/>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2,945,836.57</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142,293.62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142,293.62</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1,080,990.81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1,080,990.81</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6,193,506.51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6,233,998.85</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32,758,858.37</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40,175,649.31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10,403,119.85</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应纳税差异和可抵扣差异项目明细</w:t>
      </w:r>
    </w:p>
    <w:p>
      <w:pPr>
        <w:spacing w:after="0" w:line="240" w:lineRule="auto"/>
        <w:jc w:val="left"/>
        <w:sectPr>
          <w:footerReference w:type="default" r:id="rId29"/>
          <w:pgSz w:w="11910" w:h="16840"/>
          <w:pgMar w:footer="979" w:header="745" w:top="1060" w:bottom="1160" w:left="1020" w:right="1020"/>
          <w:pgNumType w:start="10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单位：元" w:id="256"/>
      <w:bookmarkEnd w:id="256"/>
      <w:r>
        <w:rPr>
          <w:b w:val="0"/>
          <w:bCs w:val="0"/>
        </w:rPr>
      </w:r>
      <w:bookmarkStart w:name="（2）递延所得税资产和递延所得税负债以抵销后的净额列示" w:id="257"/>
      <w:bookmarkEnd w:id="257"/>
      <w:r>
        <w:rPr>
          <w:b w:val="0"/>
          <w:bCs w:val="0"/>
        </w:rPr>
      </w:r>
      <w:bookmarkStart w:name="18、资产减值准备明细" w:id="258"/>
      <w:bookmarkEnd w:id="258"/>
      <w:r>
        <w:rPr>
          <w:b w:val="0"/>
          <w:bCs w:val="0"/>
        </w:rPr>
      </w: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854"/>
        <w:gridCol w:w="2926"/>
        <w:gridCol w:w="2786"/>
      </w:tblGrid>
      <w:tr>
        <w:trPr>
          <w:trHeight w:val="403" w:hRule="exact"/>
        </w:trPr>
        <w:tc>
          <w:tcPr>
            <w:tcW w:w="3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4" w:type="dxa"/>
            <w:vMerge/>
            <w:tcBorders>
              <w:left w:val="single" w:sz="4" w:space="0" w:color="000000"/>
              <w:bottom w:val="single" w:sz="4" w:space="0" w:color="000000"/>
              <w:right w:val="single" w:sz="4" w:space="0" w:color="000000"/>
            </w:tcBorders>
            <w:shd w:val="clear" w:color="auto" w:fill="D3D3D3"/>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）递延所得税资产和递延所得税负债以抵销后的净额列示</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互抵后的递延所得税资产及负债的组成项目</w:t>
      </w:r>
    </w:p>
    <w:p>
      <w:pPr>
        <w:spacing w:line="240" w:lineRule="auto" w:before="9"/>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062"/>
        <w:gridCol w:w="1625"/>
        <w:gridCol w:w="1627"/>
        <w:gridCol w:w="1627"/>
        <w:gridCol w:w="1630"/>
      </w:tblGrid>
      <w:tr>
        <w:trPr>
          <w:trHeight w:val="1027" w:hRule="exact"/>
        </w:trPr>
        <w:tc>
          <w:tcPr>
            <w:tcW w:w="3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84"/>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13,059,834.99</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8,933,826.40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
        <w:jc w:val="left"/>
      </w:pPr>
      <w:r>
        <w:rPr/>
        <w:t>递延所得税资产和递延所得税负债互抵明细</w:t>
      </w:r>
    </w:p>
    <w:p>
      <w:pPr>
        <w:spacing w:line="240" w:lineRule="auto" w:before="9"/>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2"/>
        <w:rPr>
          <w:rFonts w:ascii="Microsoft JhengHei" w:hAnsi="Microsoft JhengHei" w:cs="Microsoft JhengHei" w:eastAsia="Microsoft JhengHei" w:hint="default"/>
          <w:b/>
          <w:bCs/>
          <w:sz w:val="18"/>
          <w:szCs w:val="18"/>
        </w:rPr>
      </w:pPr>
    </w:p>
    <w:p>
      <w:pPr>
        <w:spacing w:line="415" w:lineRule="exact"/>
        <w:ind w:left="10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79.4pt;height:20.8pt;mso-position-horizontal-relative:char;mso-position-vertical-relative:line" coordorigin="0,0" coordsize="9588,416">
            <v:group style="position:absolute;left:12;top:12;width:3852;height:396" coordorigin="12,12" coordsize="3852,396">
              <v:shape style="position:absolute;left:12;top:12;width:3852;height:396" coordorigin="12,12" coordsize="3852,396" path="m12,12l12,408,3864,408,3864,12,12,12xe" filled="true" fillcolor="#d3d3d3" stroked="false">
                <v:path arrowok="t"/>
                <v:fill type="solid"/>
              </v:shape>
            </v:group>
            <v:group style="position:absolute;left:3869;top:12;width:5708;height:396" coordorigin="3869,12" coordsize="5708,396">
              <v:shape style="position:absolute;left:3869;top:12;width:5708;height:396" coordorigin="3869,12" coordsize="5708,396" path="m3869,12l3869,408,9576,408,9576,12,3869,12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0;width:9579;height:2" coordorigin="5,410" coordsize="9579,2">
              <v:shape style="position:absolute;left:5;top:410;width:9579;height:2" coordorigin="5,410" coordsize="9579,0" path="m5,410l9583,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3866;top:5;width:2;height:401" coordorigin="3866,5" coordsize="2,401">
              <v:shape style="position:absolute;left:3866;top:5;width:2;height:401" coordorigin="3866,5" coordsize="0,401" path="m3866,5l3866,406e" filled="false" stroked="true" strokeweight=".48pt" strokecolor="#000000">
                <v:path arrowok="t"/>
              </v:shape>
            </v:group>
            <v:group style="position:absolute;left:9578;top:5;width:2;height:401" coordorigin="9578,5" coordsize="2,401">
              <v:shape style="position:absolute;left:9578;top:5;width:2;height:401" coordorigin="9578,5" coordsize="0,401" path="m9578,5l9578,406e" filled="false" stroked="true" strokeweight=".48pt" strokecolor="#000000">
                <v:path arrowok="t"/>
              </v:shape>
              <v:shape style="position:absolute;left:175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6;top:10;width:5712;height:401"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Microsoft JhengHei" w:hAnsi="Microsoft JhengHei" w:cs="Microsoft JhengHei" w:eastAsia="Microsoft JhengHei" w:hint="default"/>
          <w:position w:val="-7"/>
          <w:sz w:val="20"/>
          <w:szCs w:val="20"/>
        </w:rPr>
      </w:r>
    </w:p>
    <w:p>
      <w:pPr>
        <w:pStyle w:val="BodyText"/>
        <w:spacing w:line="240" w:lineRule="auto" w:before="51"/>
        <w:ind w:right="99"/>
        <w:jc w:val="left"/>
      </w:pPr>
      <w:r>
        <w:rPr/>
        <w:t>递延所得税资产和递延所得税负债的说明</w:t>
      </w:r>
    </w:p>
    <w:p>
      <w:pPr>
        <w:spacing w:line="240" w:lineRule="auto" w:before="12"/>
        <w:rPr>
          <w:rFonts w:ascii="宋体" w:hAnsi="宋体" w:cs="宋体" w:eastAsia="宋体" w:hint="default"/>
          <w:sz w:val="21"/>
          <w:szCs w:val="21"/>
        </w:rPr>
      </w:pPr>
    </w:p>
    <w:p>
      <w:pPr>
        <w:pStyle w:val="Heading4"/>
        <w:spacing w:line="400" w:lineRule="auto"/>
        <w:ind w:right="7319" w:firstLine="6"/>
        <w:jc w:val="left"/>
        <w:rPr>
          <w:b w:val="0"/>
          <w:bCs w:val="0"/>
        </w:rPr>
      </w:pPr>
      <w:r>
        <w:rPr>
          <w:rFonts w:ascii="Times New Roman" w:hAnsi="Times New Roman" w:cs="Times New Roman" w:eastAsia="Times New Roman" w:hint="default"/>
          <w:w w:val="95"/>
        </w:rPr>
        <w:t>18</w:t>
      </w:r>
      <w:r>
        <w:rPr>
          <w:w w:val="95"/>
        </w:rPr>
        <w:t>、资产减值准备明细</w:t>
      </w:r>
      <w:r>
        <w:rPr>
          <w:spacing w:val="40"/>
          <w:w w:val="95"/>
        </w:rPr>
        <w:t> </w:t>
      </w:r>
      <w:r>
        <w:rPr>
          <w:spacing w:val="40"/>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2266"/>
        <w:gridCol w:w="1529"/>
        <w:gridCol w:w="1526"/>
        <w:gridCol w:w="1399"/>
        <w:gridCol w:w="1397"/>
        <w:gridCol w:w="1452"/>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9" w:type="dxa"/>
            <w:vMerge/>
            <w:tcBorders>
              <w:left w:val="single" w:sz="4" w:space="0" w:color="000000"/>
              <w:bottom w:val="single" w:sz="4" w:space="0" w:color="000000"/>
              <w:right w:val="single" w:sz="4" w:space="0" w:color="000000"/>
            </w:tcBorders>
            <w:shd w:val="clear" w:color="auto" w:fill="D3D3D3"/>
          </w:tcPr>
          <w:p>
            <w:pPr/>
          </w:p>
        </w:tc>
        <w:tc>
          <w:tcPr>
            <w:tcW w:w="1526" w:type="dxa"/>
            <w:vMerge/>
            <w:tcBorders>
              <w:left w:val="single" w:sz="4" w:space="0" w:color="000000"/>
              <w:bottom w:val="single" w:sz="4" w:space="0" w:color="000000"/>
              <w:right w:val="single" w:sz="4" w:space="0" w:color="000000"/>
            </w:tcBorders>
            <w:shd w:val="clear" w:color="auto" w:fill="D3D3D3"/>
          </w:tcPr>
          <w:p>
            <w:pP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20,433,312.11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8,409,401.97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1,102,833.70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27,739,880.38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24,815,202.94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5,159,766.62</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12,049,141.60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17,925,827.96</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595,467.99</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595,467.99</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637,132.24</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443,806.02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193,326.22</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8,420,475.00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8,420,475.00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46,481,115.28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21,989,643.59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13,595,781.32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54,874,977.55</w:t>
            </w:r>
          </w:p>
        </w:tc>
      </w:tr>
    </w:tbl>
    <w:p>
      <w:pPr>
        <w:pStyle w:val="BodyText"/>
        <w:spacing w:line="240" w:lineRule="auto" w:before="51"/>
        <w:ind w:right="99"/>
        <w:jc w:val="left"/>
      </w:pPr>
      <w:r>
        <w:rPr/>
        <w:t>资产减值明细情况的说明</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19、其他非流动资产" w:id="259"/>
      <w:bookmarkEnd w:id="259"/>
      <w:r>
        <w:rPr>
          <w:b w:val="0"/>
          <w:bCs w:val="0"/>
        </w:rPr>
      </w:r>
      <w:bookmarkStart w:name="单位：元" w:id="260"/>
      <w:bookmarkEnd w:id="260"/>
      <w:r>
        <w:rPr>
          <w:b w:val="0"/>
          <w:bCs w:val="0"/>
        </w:rPr>
      </w:r>
      <w:bookmarkStart w:name="20、短期借款" w:id="261"/>
      <w:bookmarkEnd w:id="261"/>
      <w:r>
        <w:rPr>
          <w:b w:val="0"/>
          <w:bCs w:val="0"/>
        </w:rPr>
      </w:r>
      <w:bookmarkStart w:name="（1）短期借款分类" w:id="262"/>
      <w:bookmarkEnd w:id="262"/>
      <w:r>
        <w:rPr>
          <w:b w:val="0"/>
          <w:bCs w:val="0"/>
        </w:rPr>
      </w:r>
      <w:bookmarkStart w:name="21、应付票据" w:id="263"/>
      <w:bookmarkEnd w:id="263"/>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2,245,276.00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2,245,276.00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
        <w:jc w:val="left"/>
      </w:pPr>
      <w:r>
        <w:rPr/>
        <w:t>其他非流动资产的说明</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3" w:lineRule="auto" w:before="0"/>
        <w:ind w:left="11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）短期借款分类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33,282,283.79</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106,282,283.79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bl>
    <w:p>
      <w:pPr>
        <w:pStyle w:val="BodyText"/>
        <w:spacing w:line="357" w:lineRule="auto" w:before="51"/>
        <w:ind w:right="5774"/>
        <w:jc w:val="left"/>
      </w:pPr>
      <w:r>
        <w:rPr/>
        <w:t>短期借款分类的说明 注：保理借款系本公司以应收账款抵押进行贷款。</w:t>
      </w:r>
    </w:p>
    <w:p>
      <w:pPr>
        <w:spacing w:line="240" w:lineRule="auto" w:before="2"/>
        <w:rPr>
          <w:rFonts w:ascii="宋体" w:hAnsi="宋体" w:cs="宋体" w:eastAsia="宋体" w:hint="default"/>
          <w:sz w:val="15"/>
          <w:szCs w:val="15"/>
        </w:rPr>
      </w:pPr>
    </w:p>
    <w:p>
      <w:pPr>
        <w:pStyle w:val="Heading4"/>
        <w:spacing w:line="403" w:lineRule="auto"/>
        <w:ind w:right="8114" w:firstLine="6"/>
        <w:jc w:val="left"/>
        <w:rPr>
          <w:b w:val="0"/>
          <w:bCs w:val="0"/>
        </w:rPr>
      </w:pPr>
      <w:r>
        <w:rPr>
          <w:rFonts w:ascii="Times New Roman" w:hAnsi="Times New Roman" w:cs="Times New Roman" w:eastAsia="Times New Roman" w:hint="default"/>
          <w:w w:val="95"/>
        </w:rPr>
        <w:t>21</w:t>
      </w:r>
      <w:r>
        <w:rPr>
          <w:w w:val="95"/>
        </w:rPr>
        <w:t>、应付票据</w:t>
      </w:r>
      <w:r>
        <w:rPr>
          <w:spacing w:val="-2"/>
          <w:w w:val="95"/>
        </w:rPr>
        <w:t> </w:t>
      </w:r>
      <w:r>
        <w:rPr>
          <w:spacing w:val="-2"/>
          <w:w w:val="95"/>
        </w:rPr>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90"/>
        <w:gridCol w:w="2923"/>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7,426,000.00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77,620,960.00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6,900,450.00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85,046,960.00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6,900,450.00</w:t>
            </w:r>
          </w:p>
        </w:tc>
      </w:tr>
    </w:tbl>
    <w:p>
      <w:pPr>
        <w:pStyle w:val="BodyText"/>
        <w:spacing w:line="338" w:lineRule="auto" w:before="51"/>
        <w:ind w:right="6096"/>
        <w:jc w:val="left"/>
      </w:pPr>
      <w:r>
        <w:rPr/>
        <w:t>下一会计期间将到期的金额</w:t>
      </w:r>
      <w:r>
        <w:rPr>
          <w:spacing w:val="-48"/>
        </w:rPr>
        <w:t> </w:t>
      </w:r>
      <w:r>
        <w:rPr>
          <w:rFonts w:ascii="Times New Roman" w:hAnsi="Times New Roman" w:cs="Times New Roman" w:eastAsia="Times New Roman" w:hint="default"/>
        </w:rPr>
        <w:t>85,046,960.00</w:t>
      </w:r>
      <w:r>
        <w:rPr>
          <w:rFonts w:ascii="Times New Roman" w:hAnsi="Times New Roman" w:cs="Times New Roman" w:eastAsia="Times New Roman" w:hint="default"/>
          <w:spacing w:val="-4"/>
        </w:rPr>
        <w:t> </w:t>
      </w:r>
      <w:r>
        <w:rPr/>
        <w:t>元。 应付票据的说明</w:t>
      </w:r>
    </w:p>
    <w:p>
      <w:pPr>
        <w:spacing w:after="0" w:line="338"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39" w:right="0"/>
        <w:jc w:val="left"/>
        <w:rPr>
          <w:b w:val="0"/>
          <w:bCs w:val="0"/>
        </w:rPr>
      </w:pPr>
      <w:bookmarkStart w:name="22、应付账款" w:id="264"/>
      <w:bookmarkEnd w:id="264"/>
      <w:r>
        <w:rPr>
          <w:b w:val="0"/>
          <w:bCs w:val="0"/>
        </w:rPr>
      </w:r>
      <w:bookmarkStart w:name="（1）应付账款情况" w:id="265"/>
      <w:bookmarkEnd w:id="265"/>
      <w:r>
        <w:rPr>
          <w:b w:val="0"/>
          <w:bCs w:val="0"/>
        </w:rPr>
      </w:r>
      <w:bookmarkStart w:name="单位：元" w:id="266"/>
      <w:bookmarkEnd w:id="266"/>
      <w:r>
        <w:rPr>
          <w:b w:val="0"/>
          <w:bCs w:val="0"/>
        </w:rPr>
      </w:r>
      <w:bookmarkStart w:name="（2）账龄超过一年的大额应付账款情况的说明" w:id="267"/>
      <w:bookmarkEnd w:id="267"/>
      <w:r>
        <w:rPr>
          <w:b w:val="0"/>
          <w:bCs w:val="0"/>
        </w:rPr>
      </w:r>
      <w:bookmarkStart w:name="23、预收账款" w:id="268"/>
      <w:bookmarkEnd w:id="268"/>
      <w:r>
        <w:rPr>
          <w:b w:val="0"/>
          <w:bCs w:val="0"/>
        </w:rPr>
      </w:r>
      <w:bookmarkStart w:name="（1）预收账款情况" w:id="269"/>
      <w:bookmarkEnd w:id="269"/>
      <w:r>
        <w:rPr>
          <w:b w:val="0"/>
          <w:bCs w:val="0"/>
        </w:rPr>
      </w:r>
      <w:bookmarkStart w:name="（2）账龄超过一年的大额预收账款情况的说明" w:id="270"/>
      <w:bookmarkEnd w:id="270"/>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3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）应付账款情况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27"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264,599,620.80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342,309,483.59</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38,881,630.95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37,213,550.93</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12,205,023.46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346,083.43</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1,244,981.15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3,599,624.27</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316,931,256.36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383,468,742.22</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3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）账龄超过一年的大额应付账款情况的说明</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25" w:type="dxa"/>
        <w:tblLayout w:type="fixed"/>
        <w:tblCellMar>
          <w:top w:w="0" w:type="dxa"/>
          <w:left w:w="0" w:type="dxa"/>
          <w:bottom w:w="0" w:type="dxa"/>
          <w:right w:w="0" w:type="dxa"/>
        </w:tblCellMar>
        <w:tblLook w:val="01E0"/>
      </w:tblPr>
      <w:tblGrid>
        <w:gridCol w:w="3919"/>
        <w:gridCol w:w="1150"/>
        <w:gridCol w:w="2107"/>
        <w:gridCol w:w="1877"/>
      </w:tblGrid>
      <w:tr>
        <w:trPr>
          <w:trHeight w:val="362" w:hRule="exact"/>
        </w:trPr>
        <w:tc>
          <w:tcPr>
            <w:tcW w:w="3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369"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46" w:right="0"/>
              <w:jc w:val="left"/>
              <w:rPr>
                <w:rFonts w:ascii="宋体" w:hAnsi="宋体" w:cs="宋体" w:eastAsia="宋体" w:hint="default"/>
                <w:sz w:val="20"/>
                <w:szCs w:val="20"/>
              </w:rPr>
            </w:pPr>
            <w:r>
              <w:rPr>
                <w:rFonts w:ascii="宋体" w:hAnsi="宋体" w:cs="宋体" w:eastAsia="宋体" w:hint="default"/>
                <w:sz w:val="20"/>
                <w:szCs w:val="20"/>
              </w:rPr>
              <w:t>未偿还的原因</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报表日后是否归还</w:t>
            </w:r>
          </w:p>
        </w:tc>
      </w:tr>
      <w:tr>
        <w:trPr>
          <w:trHeight w:val="362" w:hRule="exact"/>
        </w:trPr>
        <w:tc>
          <w:tcPr>
            <w:tcW w:w="3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甲骨文金融服务软件（上海）有限公司</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4,870,817.86</w:t>
            </w:r>
          </w:p>
        </w:tc>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货款，尚未进行结算</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0" w:hRule="exact"/>
        </w:trPr>
        <w:tc>
          <w:tcPr>
            <w:tcW w:w="3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福建三元达软件有限公司</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1,885,304.00</w:t>
            </w:r>
          </w:p>
        </w:tc>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尚未进行结算</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3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厦门永倍信息科技有限公司</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630,000.00</w:t>
            </w:r>
            <w:r>
              <w:rPr>
                <w:rFonts w:ascii="Times New Roman"/>
                <w:sz w:val="20"/>
              </w:rPr>
            </w:r>
          </w:p>
        </w:tc>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货款，尚未进行结算</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3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北京纳米国显科技发展有限公司</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1,246,000.00</w:t>
            </w:r>
          </w:p>
        </w:tc>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尚未进行结算</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3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惠州天瞳智能设备有限公司</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905,335.80</w:t>
            </w:r>
            <w:r>
              <w:rPr>
                <w:rFonts w:ascii="Times New Roman"/>
                <w:sz w:val="20"/>
              </w:rPr>
            </w:r>
          </w:p>
        </w:tc>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货款，尚未进行结算</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3919" w:type="dxa"/>
            <w:tcBorders>
              <w:top w:val="single" w:sz="12" w:space="0" w:color="000000"/>
              <w:left w:val="single" w:sz="6" w:space="0" w:color="000000"/>
              <w:bottom w:val="single" w:sz="12" w:space="0" w:color="000000"/>
              <w:right w:val="single" w:sz="6" w:space="0" w:color="000000"/>
            </w:tcBorders>
          </w:tcPr>
          <w:p>
            <w:pPr>
              <w:pStyle w:val="TableParagraph"/>
              <w:tabs>
                <w:tab w:pos="499" w:val="left" w:leader="none"/>
              </w:tabs>
              <w:spacing w:line="240" w:lineRule="auto" w:before="4"/>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9,537,457.66</w:t>
            </w:r>
          </w:p>
        </w:tc>
        <w:tc>
          <w:tcPr>
            <w:tcW w:w="2107" w:type="dxa"/>
            <w:tcBorders>
              <w:top w:val="single" w:sz="12" w:space="0" w:color="000000"/>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line="333" w:lineRule="exact" w:before="0"/>
        <w:ind w:left="13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、预收账款</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3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）预收账款情况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27" w:type="dxa"/>
        <w:tblLayout w:type="fixed"/>
        <w:tblCellMar>
          <w:top w:w="0" w:type="dxa"/>
          <w:left w:w="0" w:type="dxa"/>
          <w:bottom w:w="0" w:type="dxa"/>
          <w:right w:w="0" w:type="dxa"/>
        </w:tblCellMar>
        <w:tblLook w:val="01E0"/>
      </w:tblPr>
      <w:tblGrid>
        <w:gridCol w:w="3854"/>
        <w:gridCol w:w="2791"/>
        <w:gridCol w:w="292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48,050,575.09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87,378,557.10</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164,313.49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531,960.48</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82,547.00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9,460.65</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84,043.64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176,923.55</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48,381,479.22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88,096,901.78</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3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）账龄超过一年的大额预收账款情况的说明</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p>
      <w:pPr>
        <w:spacing w:line="388" w:lineRule="exact"/>
        <w:ind w:left="111"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54.45pt;height:19.45pt;mso-position-horizontal-relative:char;mso-position-vertical-relative:line" coordorigin="0,0" coordsize="9089,389">
            <v:group style="position:absolute;left:14;top:14;width:9060;height:2" coordorigin="14,14" coordsize="9060,2">
              <v:shape style="position:absolute;left:14;top:14;width:9060;height:2" coordorigin="14,14" coordsize="9060,0" path="m14,14l9074,14e" filled="false" stroked="true" strokeweight="1.44pt" strokecolor="#000000">
                <v:path arrowok="t"/>
              </v:shape>
            </v:group>
            <v:group style="position:absolute;left:14;top:374;width:9060;height:2" coordorigin="14,374" coordsize="9060,2">
              <v:shape style="position:absolute;left:14;top:374;width:9060;height:2" coordorigin="14,374" coordsize="9060,0" path="m14,374l9074,374e" filled="false" stroked="true" strokeweight="1.44pt" strokecolor="#000000">
                <v:path arrowok="t"/>
              </v:shape>
            </v:group>
            <v:group style="position:absolute;left:22;top:29;width:2;height:332" coordorigin="22,29" coordsize="2,332">
              <v:shape style="position:absolute;left:22;top:29;width:2;height:332" coordorigin="22,29" coordsize="0,332" path="m22,29l22,360e" filled="false" stroked="true" strokeweight=".72pt" strokecolor="#000000">
                <v:path arrowok="t"/>
              </v:shape>
            </v:group>
            <v:group style="position:absolute;left:2873;top:29;width:2;height:332" coordorigin="2873,29" coordsize="2,332">
              <v:shape style="position:absolute;left:2873;top:29;width:2;height:332" coordorigin="2873,29" coordsize="0,332" path="m2873,29l2873,360e" filled="false" stroked="true" strokeweight=".72pt" strokecolor="#000000">
                <v:path arrowok="t"/>
              </v:shape>
            </v:group>
            <v:group style="position:absolute;left:4865;top:29;width:2;height:332" coordorigin="4865,29" coordsize="2,332">
              <v:shape style="position:absolute;left:4865;top:29;width:2;height:332" coordorigin="4865,29" coordsize="0,332" path="m4865,29l4865,360e" filled="false" stroked="true" strokeweight=".72pt" strokecolor="#000000">
                <v:path arrowok="t"/>
              </v:shape>
              <v:shape style="position:absolute;left:22;top:14;width:2852;height:360" type="#_x0000_t202" filled="false" stroked="false">
                <v:textbox inset="0,0,0,0">
                  <w:txbxContent>
                    <w:p>
                      <w:pPr>
                        <w:spacing w:before="18"/>
                        <w:ind w:left="926" w:right="0" w:firstLine="0"/>
                        <w:jc w:val="left"/>
                        <w:rPr>
                          <w:rFonts w:ascii="宋体" w:hAnsi="宋体" w:cs="宋体" w:eastAsia="宋体" w:hint="default"/>
                          <w:sz w:val="20"/>
                          <w:szCs w:val="20"/>
                        </w:rPr>
                      </w:pPr>
                      <w:r>
                        <w:rPr>
                          <w:rFonts w:ascii="宋体" w:hAnsi="宋体" w:cs="宋体" w:eastAsia="宋体" w:hint="default"/>
                          <w:sz w:val="20"/>
                          <w:szCs w:val="20"/>
                        </w:rPr>
                        <w:t>债权人名称</w:t>
                      </w:r>
                    </w:p>
                  </w:txbxContent>
                </v:textbox>
                <w10:wrap type="none"/>
              </v:shape>
              <v:shape style="position:absolute;left:2873;top:14;width:1992;height:360" type="#_x0000_t202" filled="false" stroked="false">
                <v:textbox inset="0,0,0,0">
                  <w:txbxContent>
                    <w:p>
                      <w:pPr>
                        <w:spacing w:before="18"/>
                        <w:ind w:left="0" w:right="0" w:firstLine="0"/>
                        <w:jc w:val="center"/>
                        <w:rPr>
                          <w:rFonts w:ascii="宋体" w:hAnsi="宋体" w:cs="宋体" w:eastAsia="宋体" w:hint="default"/>
                          <w:sz w:val="20"/>
                          <w:szCs w:val="20"/>
                        </w:rPr>
                      </w:pPr>
                      <w:r>
                        <w:rPr>
                          <w:rFonts w:ascii="宋体" w:hAnsi="宋体" w:cs="宋体" w:eastAsia="宋体" w:hint="default"/>
                          <w:sz w:val="20"/>
                          <w:szCs w:val="20"/>
                        </w:rPr>
                        <w:t>金额</w:t>
                      </w:r>
                    </w:p>
                  </w:txbxContent>
                </v:textbox>
                <w10:wrap type="none"/>
              </v:shape>
              <v:shape style="position:absolute;left:0;top:0;width:9089;height:389" type="#_x0000_t202" filled="false" stroked="false">
                <v:textbox inset="0,0,0,0">
                  <w:txbxContent>
                    <w:p>
                      <w:pPr>
                        <w:spacing w:before="33"/>
                        <w:ind w:left="0" w:right="1523" w:firstLine="0"/>
                        <w:jc w:val="right"/>
                        <w:rPr>
                          <w:rFonts w:ascii="宋体" w:hAnsi="宋体" w:cs="宋体" w:eastAsia="宋体" w:hint="default"/>
                          <w:sz w:val="20"/>
                          <w:szCs w:val="20"/>
                        </w:rPr>
                      </w:pPr>
                      <w:r>
                        <w:rPr>
                          <w:rFonts w:ascii="宋体" w:hAnsi="宋体" w:cs="宋体" w:eastAsia="宋体" w:hint="default"/>
                          <w:w w:val="95"/>
                          <w:sz w:val="20"/>
                          <w:szCs w:val="20"/>
                        </w:rPr>
                        <w:t>未偿还的原因</w:t>
                      </w:r>
                      <w:r>
                        <w:rPr>
                          <w:rFonts w:ascii="宋体" w:hAnsi="宋体" w:cs="宋体" w:eastAsia="宋体" w:hint="default"/>
                          <w:sz w:val="20"/>
                          <w:szCs w:val="20"/>
                        </w:rPr>
                      </w:r>
                    </w:p>
                  </w:txbxContent>
                </v:textbox>
                <w10:wrap type="none"/>
              </v:shape>
            </v:group>
          </v:group>
        </w:pict>
      </w:r>
      <w:r>
        <w:rPr>
          <w:rFonts w:ascii="Microsoft JhengHei" w:hAnsi="Microsoft JhengHei" w:cs="Microsoft JhengHei" w:eastAsia="Microsoft JhengHei" w:hint="default"/>
          <w:position w:val="-7"/>
          <w:sz w:val="20"/>
          <w:szCs w:val="20"/>
        </w:rPr>
      </w:r>
    </w:p>
    <w:p>
      <w:pPr>
        <w:spacing w:after="0" w:line="388" w:lineRule="exact"/>
        <w:rPr>
          <w:rFonts w:ascii="Microsoft JhengHei" w:hAnsi="Microsoft JhengHei" w:cs="Microsoft JhengHei" w:eastAsia="Microsoft JhengHei" w:hint="default"/>
          <w:sz w:val="20"/>
          <w:szCs w:val="20"/>
        </w:rPr>
        <w:sectPr>
          <w:pgSz w:w="11910" w:h="16840"/>
          <w:pgMar w:header="745" w:footer="979" w:top="1060" w:bottom="1160" w:left="100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2851"/>
        <w:gridCol w:w="1992"/>
        <w:gridCol w:w="4210"/>
      </w:tblGrid>
      <w:tr>
        <w:trPr>
          <w:trHeight w:val="362" w:hRule="exact"/>
        </w:trPr>
        <w:tc>
          <w:tcPr>
            <w:tcW w:w="2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bookmarkStart w:name="24、应付职工薪酬" w:id="271"/>
            <w:bookmarkEnd w:id="271"/>
            <w:r>
              <w:rPr/>
            </w:r>
            <w:bookmarkStart w:name="单位：元" w:id="272"/>
            <w:bookmarkEnd w:id="272"/>
            <w:r>
              <w:rPr/>
            </w:r>
            <w:bookmarkStart w:name="25、应交税费" w:id="273"/>
            <w:bookmarkEnd w:id="273"/>
            <w:r>
              <w:rPr/>
            </w:r>
            <w:r>
              <w:rPr>
                <w:rFonts w:ascii="宋体" w:hAnsi="宋体" w:cs="宋体" w:eastAsia="宋体" w:hint="default"/>
                <w:sz w:val="20"/>
                <w:szCs w:val="20"/>
              </w:rPr>
              <w:t>中国建设银行无锡分行</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60,187.00</w:t>
            </w:r>
            <w:r>
              <w:rPr>
                <w:rFonts w:ascii="Times New Roman"/>
                <w:sz w:val="20"/>
              </w:rPr>
            </w:r>
          </w:p>
        </w:tc>
        <w:tc>
          <w:tcPr>
            <w:tcW w:w="42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7"/>
              <w:jc w:val="center"/>
              <w:rPr>
                <w:rFonts w:ascii="宋体" w:hAnsi="宋体" w:cs="宋体" w:eastAsia="宋体" w:hint="default"/>
                <w:sz w:val="20"/>
                <w:szCs w:val="20"/>
              </w:rPr>
            </w:pPr>
            <w:r>
              <w:rPr>
                <w:rFonts w:ascii="宋体" w:hAnsi="宋体" w:cs="宋体" w:eastAsia="宋体" w:hint="default"/>
                <w:sz w:val="20"/>
                <w:szCs w:val="20"/>
              </w:rPr>
              <w:t>维修尾款，尚未结算</w:t>
            </w:r>
          </w:p>
        </w:tc>
      </w:tr>
      <w:tr>
        <w:trPr>
          <w:trHeight w:val="360" w:hRule="exact"/>
        </w:trPr>
        <w:tc>
          <w:tcPr>
            <w:tcW w:w="2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中国工商银行江苏省分行</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30,855.00</w:t>
            </w:r>
            <w:r>
              <w:rPr>
                <w:rFonts w:ascii="Times New Roman"/>
                <w:sz w:val="20"/>
              </w:rPr>
            </w:r>
          </w:p>
        </w:tc>
        <w:tc>
          <w:tcPr>
            <w:tcW w:w="42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7"/>
              <w:jc w:val="center"/>
              <w:rPr>
                <w:rFonts w:ascii="宋体" w:hAnsi="宋体" w:cs="宋体" w:eastAsia="宋体" w:hint="default"/>
                <w:sz w:val="20"/>
                <w:szCs w:val="20"/>
              </w:rPr>
            </w:pPr>
            <w:r>
              <w:rPr>
                <w:rFonts w:ascii="宋体" w:hAnsi="宋体" w:cs="宋体" w:eastAsia="宋体" w:hint="default"/>
                <w:sz w:val="20"/>
                <w:szCs w:val="20"/>
              </w:rPr>
              <w:t>维修尾款，尚未结算</w:t>
            </w:r>
          </w:p>
        </w:tc>
      </w:tr>
      <w:tr>
        <w:trPr>
          <w:trHeight w:val="362" w:hRule="exact"/>
        </w:trPr>
        <w:tc>
          <w:tcPr>
            <w:tcW w:w="2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中国农业银行重庆市分行</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26,850.00</w:t>
            </w:r>
            <w:r>
              <w:rPr>
                <w:rFonts w:ascii="Times New Roman"/>
                <w:sz w:val="20"/>
              </w:rPr>
            </w:r>
          </w:p>
        </w:tc>
        <w:tc>
          <w:tcPr>
            <w:tcW w:w="42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hAnsi="宋体" w:cs="宋体" w:eastAsia="宋体" w:hint="default"/>
                <w:sz w:val="20"/>
                <w:szCs w:val="20"/>
              </w:rPr>
              <w:t>未结算</w:t>
            </w:r>
          </w:p>
        </w:tc>
      </w:tr>
      <w:tr>
        <w:trPr>
          <w:trHeight w:val="362" w:hRule="exact"/>
        </w:trPr>
        <w:tc>
          <w:tcPr>
            <w:tcW w:w="2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荆门市邮政局</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23,780.00</w:t>
            </w:r>
            <w:r>
              <w:rPr>
                <w:rFonts w:ascii="Times New Roman"/>
                <w:sz w:val="20"/>
              </w:rPr>
            </w:r>
          </w:p>
        </w:tc>
        <w:tc>
          <w:tcPr>
            <w:tcW w:w="42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hAnsi="宋体" w:cs="宋体" w:eastAsia="宋体" w:hint="default"/>
                <w:sz w:val="20"/>
                <w:szCs w:val="20"/>
              </w:rPr>
              <w:t>未结算</w:t>
            </w:r>
          </w:p>
        </w:tc>
      </w:tr>
      <w:tr>
        <w:trPr>
          <w:trHeight w:val="362" w:hRule="exact"/>
        </w:trPr>
        <w:tc>
          <w:tcPr>
            <w:tcW w:w="2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十堰市邮政局</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18,000.00</w:t>
            </w:r>
            <w:r>
              <w:rPr>
                <w:rFonts w:ascii="Times New Roman"/>
                <w:sz w:val="20"/>
              </w:rPr>
            </w:r>
          </w:p>
        </w:tc>
        <w:tc>
          <w:tcPr>
            <w:tcW w:w="42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hAnsi="宋体" w:cs="宋体" w:eastAsia="宋体" w:hint="default"/>
                <w:sz w:val="20"/>
                <w:szCs w:val="20"/>
              </w:rPr>
              <w:t>未结算</w:t>
            </w:r>
          </w:p>
        </w:tc>
      </w:tr>
      <w:tr>
        <w:trPr>
          <w:trHeight w:val="362" w:hRule="exact"/>
        </w:trPr>
        <w:tc>
          <w:tcPr>
            <w:tcW w:w="2851" w:type="dxa"/>
            <w:tcBorders>
              <w:top w:val="single" w:sz="12" w:space="0" w:color="000000"/>
              <w:left w:val="single" w:sz="6" w:space="0" w:color="000000"/>
              <w:bottom w:val="single" w:sz="12" w:space="0" w:color="000000"/>
              <w:right w:val="single" w:sz="6" w:space="0" w:color="000000"/>
            </w:tcBorders>
          </w:tcPr>
          <w:p>
            <w:pPr>
              <w:pStyle w:val="TableParagraph"/>
              <w:tabs>
                <w:tab w:pos="501" w:val="left" w:leader="none"/>
              </w:tabs>
              <w:spacing w:line="240" w:lineRule="auto" w:before="4"/>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159,672.00</w:t>
            </w:r>
            <w:r>
              <w:rPr>
                <w:rFonts w:ascii="Times New Roman"/>
                <w:sz w:val="20"/>
              </w:rPr>
            </w:r>
          </w:p>
        </w:tc>
        <w:tc>
          <w:tcPr>
            <w:tcW w:w="421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598"/>
        <w:gridCol w:w="1860"/>
        <w:gridCol w:w="1992"/>
        <w:gridCol w:w="2258"/>
        <w:gridCol w:w="1860"/>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6,926,531.50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298,253,626.35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299,366,775.96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5,813,381.89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16,363,741.53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16,363,741.53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14,131.78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46,083,574.53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46,097,092.31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212,038.69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19,476,620.41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19,290,392.90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398,266.20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1,654,335.91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1,654,335.91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7,770,921.03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7,268,644.89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7,835,863.63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7,203,702.29</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14,923,623.00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389,100,543.62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390,608,202.24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13,415,964.38</w:t>
            </w:r>
          </w:p>
        </w:tc>
      </w:tr>
    </w:tbl>
    <w:p>
      <w:pPr>
        <w:pStyle w:val="BodyText"/>
        <w:spacing w:line="240" w:lineRule="auto" w:before="51"/>
        <w:ind w:right="99"/>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40" w:lineRule="auto" w:before="101"/>
        <w:ind w:right="1060"/>
        <w:jc w:val="left"/>
      </w:pPr>
      <w:r>
        <w:rPr/>
        <w:t>工会经费和职工教育经费金额</w:t>
      </w:r>
      <w:r>
        <w:rPr>
          <w:spacing w:val="-46"/>
        </w:rPr>
        <w:t> </w:t>
      </w:r>
      <w:r>
        <w:rPr>
          <w:rFonts w:ascii="Times New Roman" w:hAnsi="Times New Roman" w:cs="Times New Roman" w:eastAsia="Times New Roman" w:hint="default"/>
        </w:rPr>
        <w:t>7,203,702.29</w:t>
      </w:r>
      <w:r>
        <w:rPr>
          <w:rFonts w:ascii="Times New Roman" w:hAnsi="Times New Roman" w:cs="Times New Roman" w:eastAsia="Times New Roman" w:hint="default"/>
          <w:spacing w:val="-2"/>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元，因解除劳动关系给予补偿</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应付职工薪酬预计发放时间、金额等安排</w:t>
      </w:r>
    </w:p>
    <w:p>
      <w:pPr>
        <w:spacing w:line="240" w:lineRule="auto" w:before="2"/>
        <w:rPr>
          <w:rFonts w:ascii="宋体" w:hAnsi="宋体" w:cs="宋体" w:eastAsia="宋体" w:hint="default"/>
          <w:sz w:val="16"/>
          <w:szCs w:val="16"/>
        </w:rPr>
      </w:pPr>
    </w:p>
    <w:p>
      <w:pPr>
        <w:pStyle w:val="Heading4"/>
        <w:spacing w:line="400" w:lineRule="auto"/>
        <w:ind w:right="8114" w:firstLine="6"/>
        <w:jc w:val="left"/>
        <w:rPr>
          <w:b w:val="0"/>
          <w:bCs w:val="0"/>
        </w:rPr>
      </w:pPr>
      <w:r>
        <w:rPr>
          <w:rFonts w:ascii="Times New Roman" w:hAnsi="Times New Roman" w:cs="Times New Roman" w:eastAsia="Times New Roman" w:hint="default"/>
          <w:w w:val="95"/>
        </w:rPr>
        <w:t>25</w:t>
      </w:r>
      <w:r>
        <w:rPr>
          <w:w w:val="95"/>
        </w:rPr>
        <w:t>、应交税费</w:t>
      </w:r>
      <w:r>
        <w:rPr>
          <w:spacing w:val="-2"/>
          <w:w w:val="95"/>
        </w:rPr>
        <w:t> </w:t>
      </w:r>
      <w:r>
        <w:rPr>
          <w:spacing w:val="-2"/>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123"/>
        <w:gridCol w:w="2789"/>
        <w:gridCol w:w="2657"/>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14,956,568.48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30,087,380.12</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1,646,145.73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5,434,896.60</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7,021,873.26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10,152,058.32</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4,167,620.53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3,678,875.82</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1,218,497.45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2,652,254.92</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教育附加费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726,583.83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1,356,470.26</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126,867.94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389,928.60</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480,525.64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504,538.33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4123"/>
        <w:gridCol w:w="2789"/>
        <w:gridCol w:w="2657"/>
      </w:tblGrid>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26、应付利息" w:id="274"/>
            <w:bookmarkEnd w:id="274"/>
            <w:r>
              <w:rPr/>
            </w:r>
            <w:bookmarkStart w:name="单位：元" w:id="275"/>
            <w:bookmarkEnd w:id="275"/>
            <w:r>
              <w:rPr/>
            </w:r>
            <w:bookmarkStart w:name="27、应付股利" w:id="276"/>
            <w:bookmarkEnd w:id="276"/>
            <w:r>
              <w:rPr/>
            </w:r>
            <w:bookmarkStart w:name="28、其他应付款" w:id="277"/>
            <w:bookmarkEnd w:id="277"/>
            <w:r>
              <w:rPr/>
            </w:r>
            <w:bookmarkStart w:name="（1）其他应付款情况" w:id="278"/>
            <w:bookmarkEnd w:id="278"/>
            <w:r>
              <w:rPr/>
            </w: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515,810.82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469,044.49</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61,108.45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58,917.47</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副食品调剂基金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20,978.16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6,754.37</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60,631.09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46,737.24</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13,236.67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31,017,039.89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54,838,696.54</w:t>
            </w:r>
          </w:p>
        </w:tc>
      </w:tr>
    </w:tbl>
    <w:p>
      <w:pPr>
        <w:pStyle w:val="BodyText"/>
        <w:spacing w:line="240" w:lineRule="auto" w:before="51"/>
        <w:ind w:right="99"/>
        <w:jc w:val="left"/>
      </w:pPr>
      <w:r>
        <w:rPr/>
        <w:t>应交税费说明，所在地税务机关同意各分公司、分厂之间应纳税所得额相互调剂的，应说明税款计算过程</w:t>
      </w:r>
    </w:p>
    <w:p>
      <w:pPr>
        <w:spacing w:line="240" w:lineRule="auto" w:before="12"/>
        <w:rPr>
          <w:rFonts w:ascii="宋体" w:hAnsi="宋体" w:cs="宋体" w:eastAsia="宋体" w:hint="default"/>
          <w:sz w:val="21"/>
          <w:szCs w:val="21"/>
        </w:rPr>
      </w:pPr>
    </w:p>
    <w:p>
      <w:pPr>
        <w:pStyle w:val="Heading4"/>
        <w:spacing w:line="400" w:lineRule="auto"/>
        <w:ind w:right="8114" w:firstLine="6"/>
        <w:jc w:val="left"/>
        <w:rPr>
          <w:b w:val="0"/>
          <w:bCs w:val="0"/>
        </w:rPr>
      </w:pPr>
      <w:r>
        <w:rPr>
          <w:rFonts w:ascii="Times New Roman" w:hAnsi="Times New Roman" w:cs="Times New Roman" w:eastAsia="Times New Roman" w:hint="default"/>
          <w:w w:val="95"/>
        </w:rPr>
        <w:t>26</w:t>
      </w:r>
      <w:r>
        <w:rPr>
          <w:w w:val="95"/>
        </w:rPr>
        <w:t>、应付利息</w:t>
      </w:r>
      <w:r>
        <w:rPr>
          <w:spacing w:val="-2"/>
          <w:w w:val="95"/>
        </w:rPr>
        <w:t> </w:t>
      </w:r>
      <w:r>
        <w:rPr>
          <w:spacing w:val="-2"/>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123"/>
        <w:gridCol w:w="2789"/>
        <w:gridCol w:w="2657"/>
      </w:tblGrid>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168,900.00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2,683,287.67</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短期融资券利息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866,666.67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7,332.82</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3,594.52</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1,069,866.67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2,694,215.01</w:t>
            </w:r>
          </w:p>
        </w:tc>
      </w:tr>
    </w:tbl>
    <w:p>
      <w:pPr>
        <w:pStyle w:val="BodyText"/>
        <w:spacing w:line="240" w:lineRule="auto" w:before="51"/>
        <w:ind w:right="99"/>
        <w:jc w:val="left"/>
      </w:pPr>
      <w:r>
        <w:rPr/>
        <w:t>应付利息说明</w:t>
      </w:r>
    </w:p>
    <w:p>
      <w:pPr>
        <w:spacing w:line="240" w:lineRule="auto" w:before="12"/>
        <w:rPr>
          <w:rFonts w:ascii="宋体" w:hAnsi="宋体" w:cs="宋体" w:eastAsia="宋体" w:hint="default"/>
          <w:sz w:val="21"/>
          <w:szCs w:val="21"/>
        </w:rPr>
      </w:pPr>
    </w:p>
    <w:p>
      <w:pPr>
        <w:pStyle w:val="Heading4"/>
        <w:spacing w:line="400" w:lineRule="auto"/>
        <w:ind w:right="8114" w:firstLine="6"/>
        <w:jc w:val="left"/>
        <w:rPr>
          <w:b w:val="0"/>
          <w:bCs w:val="0"/>
        </w:rPr>
      </w:pPr>
      <w:r>
        <w:rPr>
          <w:rFonts w:ascii="Times New Roman" w:hAnsi="Times New Roman" w:cs="Times New Roman" w:eastAsia="Times New Roman" w:hint="default"/>
          <w:w w:val="95"/>
        </w:rPr>
        <w:t>27</w:t>
      </w:r>
      <w:r>
        <w:rPr>
          <w:w w:val="95"/>
        </w:rPr>
        <w:t>、应付股利</w:t>
      </w:r>
      <w:r>
        <w:rPr>
          <w:spacing w:val="-2"/>
          <w:w w:val="95"/>
        </w:rPr>
        <w:t> </w:t>
      </w:r>
      <w:r>
        <w:rPr>
          <w:spacing w:val="-2"/>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2794"/>
        <w:gridCol w:w="1992"/>
        <w:gridCol w:w="2126"/>
        <w:gridCol w:w="2657"/>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香港亚森公司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423,170.36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137,139.82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明源贸易（香港）公司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606,666.73</w:t>
            </w:r>
          </w:p>
        </w:tc>
        <w:tc>
          <w:tcPr>
            <w:tcW w:w="212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1,029,837.09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137,139.82</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应付股利的说明</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77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）其他应付款情况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6,354,854.08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10,611,427.98</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6,745,654.84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397,695.12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2）账龄超过一年的大额其他应付款情况的说明" w:id="279"/>
            <w:bookmarkEnd w:id="279"/>
            <w:r>
              <w:rPr/>
            </w:r>
            <w:bookmarkStart w:name="（3）金额较大的其他应付款说明内容" w:id="280"/>
            <w:bookmarkEnd w:id="280"/>
            <w:r>
              <w:rPr/>
            </w:r>
            <w:bookmarkStart w:name="29、预计负债" w:id="281"/>
            <w:bookmarkEnd w:id="281"/>
            <w:r>
              <w:rPr/>
            </w:r>
            <w:bookmarkStart w:name="单位：元" w:id="282"/>
            <w:bookmarkEnd w:id="282"/>
            <w:r>
              <w:rPr/>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79,536.06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353,969.09</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1,369,649.98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2,099,221.67</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14,549,694.96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13,462,313.86</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）账龄超过一年的大额其他应付款情况的说明</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4310"/>
        <w:gridCol w:w="1224"/>
        <w:gridCol w:w="1517"/>
        <w:gridCol w:w="2002"/>
      </w:tblGrid>
      <w:tr>
        <w:trPr>
          <w:trHeight w:val="362"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宋体" w:hAnsi="宋体" w:cs="宋体" w:eastAsia="宋体" w:hint="default"/>
                <w:sz w:val="20"/>
                <w:szCs w:val="20"/>
              </w:rPr>
              <w:t>未偿还的原因</w:t>
            </w:r>
          </w:p>
        </w:tc>
        <w:tc>
          <w:tcPr>
            <w:tcW w:w="20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11"/>
              <w:jc w:val="center"/>
              <w:rPr>
                <w:rFonts w:ascii="宋体" w:hAnsi="宋体" w:cs="宋体" w:eastAsia="宋体" w:hint="default"/>
                <w:sz w:val="20"/>
                <w:szCs w:val="20"/>
              </w:rPr>
            </w:pPr>
            <w:r>
              <w:rPr>
                <w:rFonts w:ascii="宋体" w:hAnsi="宋体" w:cs="宋体" w:eastAsia="宋体" w:hint="default"/>
                <w:sz w:val="20"/>
                <w:szCs w:val="20"/>
              </w:rPr>
              <w:t>报表日后是否归还</w:t>
            </w:r>
          </w:p>
        </w:tc>
      </w:tr>
      <w:tr>
        <w:trPr>
          <w:trHeight w:val="360"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湖南望城建设</w:t>
            </w:r>
            <w:r>
              <w:rPr>
                <w:rFonts w:ascii="Times New Roman" w:hAnsi="Times New Roman" w:cs="Times New Roman" w:eastAsia="Times New Roman" w:hint="default"/>
                <w:sz w:val="20"/>
                <w:szCs w:val="20"/>
              </w:rPr>
              <w:t>(</w:t>
            </w:r>
            <w:r>
              <w:rPr>
                <w:rFonts w:ascii="宋体" w:hAnsi="宋体" w:cs="宋体" w:eastAsia="宋体" w:hint="default"/>
                <w:sz w:val="20"/>
                <w:szCs w:val="20"/>
              </w:rPr>
              <w:t>集团</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有限公司云南分公司</w:t>
            </w: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6,236,592.99</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工程保证金</w:t>
            </w:r>
          </w:p>
        </w:tc>
        <w:tc>
          <w:tcPr>
            <w:tcW w:w="20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广发银行股份有限公司</w:t>
            </w: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108,702.00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保证金未到期</w:t>
            </w:r>
          </w:p>
        </w:tc>
        <w:tc>
          <w:tcPr>
            <w:tcW w:w="20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海兴材料科技有限公司</w:t>
            </w: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201,750.00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房屋租赁押金</w:t>
            </w:r>
          </w:p>
        </w:tc>
        <w:tc>
          <w:tcPr>
            <w:tcW w:w="20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云南省设计院</w:t>
            </w: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178,000.00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质保金</w:t>
            </w:r>
          </w:p>
        </w:tc>
        <w:tc>
          <w:tcPr>
            <w:tcW w:w="20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北京新航智科技有限公司</w:t>
            </w: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137,500.00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押金</w:t>
            </w:r>
          </w:p>
        </w:tc>
        <w:tc>
          <w:tcPr>
            <w:tcW w:w="20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tabs>
                <w:tab w:pos="501" w:val="left" w:leader="none"/>
              </w:tabs>
              <w:spacing w:line="240" w:lineRule="auto" w:before="4"/>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6,862,544.99</w:t>
            </w:r>
          </w:p>
        </w:tc>
        <w:tc>
          <w:tcPr>
            <w:tcW w:w="1517" w:type="dxa"/>
            <w:tcBorders>
              <w:top w:val="single" w:sz="12" w:space="0" w:color="000000"/>
              <w:left w:val="single" w:sz="6" w:space="0" w:color="000000"/>
              <w:bottom w:val="single" w:sz="12" w:space="0" w:color="000000"/>
              <w:right w:val="single" w:sz="6" w:space="0" w:color="000000"/>
            </w:tcBorders>
          </w:tcPr>
          <w:p>
            <w:pPr/>
          </w:p>
        </w:tc>
        <w:tc>
          <w:tcPr>
            <w:tcW w:w="200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）金额较大的其他应付款说明内容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5177"/>
        <w:gridCol w:w="1474"/>
        <w:gridCol w:w="2402"/>
      </w:tblGrid>
      <w:tr>
        <w:trPr>
          <w:trHeight w:val="360" w:hRule="exact"/>
        </w:trPr>
        <w:tc>
          <w:tcPr>
            <w:tcW w:w="5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2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693" w:right="0"/>
              <w:jc w:val="left"/>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62" w:hRule="exact"/>
        </w:trPr>
        <w:tc>
          <w:tcPr>
            <w:tcW w:w="5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湖南望城建设</w:t>
            </w:r>
            <w:r>
              <w:rPr>
                <w:rFonts w:ascii="Times New Roman" w:hAnsi="Times New Roman" w:cs="Times New Roman" w:eastAsia="Times New Roman" w:hint="default"/>
                <w:sz w:val="20"/>
                <w:szCs w:val="20"/>
              </w:rPr>
              <w:t>(</w:t>
            </w:r>
            <w:r>
              <w:rPr>
                <w:rFonts w:ascii="宋体" w:hAnsi="宋体" w:cs="宋体" w:eastAsia="宋体" w:hint="default"/>
                <w:sz w:val="20"/>
                <w:szCs w:val="20"/>
              </w:rPr>
              <w:t>集团</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有限公司云南分公司</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6,236,592.99</w:t>
            </w:r>
          </w:p>
        </w:tc>
        <w:tc>
          <w:tcPr>
            <w:tcW w:w="2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工程保证金</w:t>
            </w:r>
          </w:p>
        </w:tc>
      </w:tr>
      <w:tr>
        <w:trPr>
          <w:trHeight w:val="362" w:hRule="exact"/>
        </w:trPr>
        <w:tc>
          <w:tcPr>
            <w:tcW w:w="5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北京汇智阳光管理顾问有限公司</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360,000.00</w:t>
            </w:r>
            <w:r>
              <w:rPr>
                <w:rFonts w:ascii="Times New Roman"/>
                <w:sz w:val="20"/>
              </w:rPr>
            </w:r>
          </w:p>
        </w:tc>
        <w:tc>
          <w:tcPr>
            <w:tcW w:w="2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咨询费</w:t>
            </w:r>
          </w:p>
        </w:tc>
      </w:tr>
      <w:tr>
        <w:trPr>
          <w:trHeight w:val="362" w:hRule="exact"/>
        </w:trPr>
        <w:tc>
          <w:tcPr>
            <w:tcW w:w="5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深圳科捷物流有限公司</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316,246.26</w:t>
            </w:r>
            <w:r>
              <w:rPr>
                <w:rFonts w:ascii="Times New Roman"/>
                <w:sz w:val="20"/>
              </w:rPr>
            </w:r>
          </w:p>
        </w:tc>
        <w:tc>
          <w:tcPr>
            <w:tcW w:w="2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运费</w:t>
            </w:r>
          </w:p>
        </w:tc>
      </w:tr>
      <w:tr>
        <w:trPr>
          <w:trHeight w:val="362" w:hRule="exact"/>
        </w:trPr>
        <w:tc>
          <w:tcPr>
            <w:tcW w:w="5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海兴材料科技有限公司</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201,750.00</w:t>
            </w:r>
            <w:r>
              <w:rPr>
                <w:rFonts w:ascii="Times New Roman"/>
                <w:sz w:val="20"/>
              </w:rPr>
            </w:r>
          </w:p>
        </w:tc>
        <w:tc>
          <w:tcPr>
            <w:tcW w:w="2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房屋租赁押金</w:t>
            </w:r>
          </w:p>
        </w:tc>
      </w:tr>
      <w:tr>
        <w:trPr>
          <w:trHeight w:val="362" w:hRule="exact"/>
        </w:trPr>
        <w:tc>
          <w:tcPr>
            <w:tcW w:w="5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代扣个人公积金</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252,382.00</w:t>
            </w:r>
            <w:r>
              <w:rPr>
                <w:rFonts w:ascii="Times New Roman"/>
                <w:sz w:val="20"/>
              </w:rPr>
            </w:r>
          </w:p>
        </w:tc>
        <w:tc>
          <w:tcPr>
            <w:tcW w:w="2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代扣的个人公积金</w:t>
            </w:r>
          </w:p>
        </w:tc>
      </w:tr>
      <w:tr>
        <w:trPr>
          <w:trHeight w:val="360" w:hRule="exact"/>
        </w:trPr>
        <w:tc>
          <w:tcPr>
            <w:tcW w:w="5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7"/>
                <w:sz w:val="20"/>
                <w:szCs w:val="20"/>
              </w:rPr>
              <w:t> </w:t>
            </w:r>
            <w:r>
              <w:rPr>
                <w:rFonts w:ascii="宋体" w:hAnsi="宋体" w:cs="宋体" w:eastAsia="宋体" w:hint="default"/>
                <w:sz w:val="20"/>
                <w:szCs w:val="20"/>
              </w:rPr>
              <w:t>计</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7,366,971.25</w:t>
            </w:r>
          </w:p>
        </w:tc>
        <w:tc>
          <w:tcPr>
            <w:tcW w:w="240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29</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997"/>
        <w:gridCol w:w="1860"/>
        <w:gridCol w:w="1860"/>
        <w:gridCol w:w="1860"/>
        <w:gridCol w:w="1994"/>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4,317,712.00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126,432.00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4,191,280.00</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4,317,712.00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126,432.00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4,191,280.00</w:t>
            </w:r>
          </w:p>
        </w:tc>
      </w:tr>
    </w:tbl>
    <w:p>
      <w:pPr>
        <w:pStyle w:val="BodyText"/>
        <w:spacing w:line="240" w:lineRule="auto" w:before="49"/>
        <w:ind w:right="99"/>
        <w:jc w:val="left"/>
      </w:pPr>
      <w:r>
        <w:rPr/>
        <w:t>预计负债说明</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30、一年内到期的非流动负债" w:id="283"/>
      <w:bookmarkEnd w:id="283"/>
      <w:r>
        <w:rPr>
          <w:b w:val="0"/>
          <w:bCs w:val="0"/>
        </w:rPr>
      </w:r>
      <w:bookmarkStart w:name="（1）一年内到期的非流动负债情况" w:id="284"/>
      <w:bookmarkEnd w:id="284"/>
      <w:r>
        <w:rPr>
          <w:b w:val="0"/>
          <w:bCs w:val="0"/>
        </w:rPr>
      </w:r>
      <w:bookmarkStart w:name="单位：元" w:id="285"/>
      <w:bookmarkEnd w:id="285"/>
      <w:r>
        <w:rPr>
          <w:b w:val="0"/>
          <w:bCs w:val="0"/>
        </w:rPr>
      </w:r>
      <w:bookmarkStart w:name="（2）一年内到期的长期借款" w:id="286"/>
      <w:bookmarkEnd w:id="286"/>
      <w:r>
        <w:rPr>
          <w:b w:val="0"/>
          <w:bCs w:val="0"/>
        </w:rPr>
      </w:r>
      <w:r>
        <w:rPr>
          <w:rFonts w:ascii="Times New Roman" w:hAnsi="Times New Roman" w:cs="Times New Roman" w:eastAsia="Times New Roman" w:hint="default"/>
        </w:rPr>
        <w:t>30</w:t>
      </w:r>
      <w:r>
        <w:rPr/>
        <w:t>、一年内到期的非流动负债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64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）一年内到期的非流动负债情况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590"/>
        <w:gridCol w:w="2789"/>
        <w:gridCol w:w="3190"/>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）一年内到期的长期借款</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一年内到期的长期借款</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590"/>
        <w:gridCol w:w="2789"/>
        <w:gridCol w:w="3190"/>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054"/>
        <w:jc w:val="left"/>
      </w:pPr>
      <w:r>
        <w:rPr/>
        <w:t>一年内到期的长期借款中属于逾期借款获得展期的金额元。 金额前五名的一年内到期的长期借款</w:t>
      </w:r>
    </w:p>
    <w:p>
      <w:pPr>
        <w:spacing w:line="240" w:lineRule="auto" w:before="11"/>
        <w:rPr>
          <w:rFonts w:ascii="宋体" w:hAnsi="宋体" w:cs="宋体" w:eastAsia="宋体" w:hint="default"/>
          <w:sz w:val="14"/>
          <w:szCs w:val="14"/>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066"/>
        <w:gridCol w:w="1063"/>
        <w:gridCol w:w="1066"/>
        <w:gridCol w:w="1061"/>
        <w:gridCol w:w="1063"/>
        <w:gridCol w:w="1061"/>
        <w:gridCol w:w="1063"/>
        <w:gridCol w:w="1066"/>
        <w:gridCol w:w="1061"/>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6"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1"/>
              <w:jc w:val="left"/>
              <w:rPr>
                <w:rFonts w:ascii="宋体" w:hAnsi="宋体" w:cs="宋体" w:eastAsia="宋体" w:hint="default"/>
                <w:sz w:val="18"/>
                <w:szCs w:val="18"/>
              </w:rPr>
            </w:pPr>
            <w:r>
              <w:rPr>
                <w:rFonts w:ascii="宋体" w:hAnsi="宋体" w:cs="宋体" w:eastAsia="宋体" w:hint="default"/>
                <w:sz w:val="18"/>
                <w:szCs w:val="18"/>
              </w:rPr>
              <w:t>富滇银行昆 明广场支行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
        <w:jc w:val="left"/>
      </w:pPr>
      <w:r>
        <w:rPr/>
        <w:t>一年内到期的长期借款中的逾期借款</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368"/>
        <w:gridCol w:w="1366"/>
        <w:gridCol w:w="1368"/>
        <w:gridCol w:w="1368"/>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60" w:lineRule="auto" w:before="51"/>
        <w:ind w:right="7034"/>
        <w:jc w:val="left"/>
      </w:pPr>
      <w:r>
        <w:rPr/>
        <w:t>资产负债表日后已偿还的金额元。 一年内到期的长期借款说明</w:t>
      </w:r>
    </w:p>
    <w:p>
      <w:pPr>
        <w:spacing w:after="0" w:line="36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31、其他流动负债" w:id="287"/>
      <w:bookmarkEnd w:id="287"/>
      <w:r>
        <w:rPr>
          <w:b w:val="0"/>
          <w:bCs w:val="0"/>
        </w:rPr>
      </w:r>
      <w:bookmarkStart w:name="单位：元" w:id="288"/>
      <w:bookmarkEnd w:id="288"/>
      <w:r>
        <w:rPr>
          <w:b w:val="0"/>
          <w:bCs w:val="0"/>
        </w:rPr>
      </w:r>
      <w:bookmarkStart w:name="32、长期借款" w:id="289"/>
      <w:bookmarkEnd w:id="289"/>
      <w:r>
        <w:rPr>
          <w:b w:val="0"/>
          <w:bCs w:val="0"/>
        </w:rPr>
      </w:r>
      <w:bookmarkStart w:name="（1）长期借款分类" w:id="290"/>
      <w:bookmarkEnd w:id="290"/>
      <w:r>
        <w:rPr>
          <w:b w:val="0"/>
          <w:bCs w:val="0"/>
        </w:rPr>
      </w:r>
      <w:bookmarkStart w:name="（2）金额前五名的长期借款" w:id="291"/>
      <w:bookmarkEnd w:id="291"/>
      <w:r>
        <w:rPr>
          <w:b w:val="0"/>
          <w:bCs w:val="0"/>
        </w:rPr>
      </w:r>
      <w:r>
        <w:rPr>
          <w:rFonts w:ascii="Times New Roman" w:hAnsi="Times New Roman" w:cs="Times New Roman" w:eastAsia="Times New Roman" w:hint="default"/>
        </w:rPr>
        <w:t>31</w:t>
      </w:r>
      <w:r>
        <w:rPr/>
        <w:t>、其他流动负债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6,110,400.00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199,466,666.67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199,333,333.33</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201,466,666.67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205,443,733.33</w:t>
            </w:r>
          </w:p>
        </w:tc>
      </w:tr>
    </w:tbl>
    <w:p>
      <w:pPr>
        <w:pStyle w:val="BodyText"/>
        <w:spacing w:line="360" w:lineRule="auto" w:before="49"/>
        <w:ind w:left="235" w:right="7451" w:hanging="123"/>
        <w:jc w:val="left"/>
      </w:pPr>
      <w:r>
        <w:rPr/>
        <w:pict>
          <v:shape style="position:absolute;margin-left:56.279999pt;margin-top:35.161705pt;width:454.45pt;height:128.2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33"/>
                    <w:gridCol w:w="1344"/>
                    <w:gridCol w:w="2076"/>
                  </w:tblGrid>
                  <w:tr>
                    <w:trPr>
                      <w:trHeight w:val="362" w:hRule="exact"/>
                    </w:trPr>
                    <w:tc>
                      <w:tcPr>
                        <w:tcW w:w="5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7"/>
                            <w:sz w:val="20"/>
                            <w:szCs w:val="20"/>
                          </w:rPr>
                          <w:t> </w:t>
                        </w:r>
                        <w:r>
                          <w:rPr>
                            <w:rFonts w:ascii="宋体" w:hAnsi="宋体" w:cs="宋体" w:eastAsia="宋体" w:hint="default"/>
                            <w:sz w:val="20"/>
                            <w:szCs w:val="20"/>
                          </w:rPr>
                          <w:t>目</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364"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
                          <w:ind w:right="5"/>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62" w:hRule="exact"/>
                    </w:trPr>
                    <w:tc>
                      <w:tcPr>
                        <w:tcW w:w="5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与收益相关的政府补助</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spacing w:val="-1"/>
                            <w:sz w:val="20"/>
                          </w:rPr>
                          <w:t>6,110,400.00</w:t>
                        </w:r>
                      </w:p>
                    </w:tc>
                  </w:tr>
                  <w:tr>
                    <w:trPr>
                      <w:trHeight w:val="362" w:hRule="exact"/>
                    </w:trPr>
                    <w:tc>
                      <w:tcPr>
                        <w:tcW w:w="5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1500</w:t>
                        </w:r>
                        <w:r>
                          <w:rPr>
                            <w:rFonts w:ascii="宋体" w:hAnsi="宋体" w:cs="宋体" w:eastAsia="宋体" w:hint="default"/>
                            <w:sz w:val="20"/>
                            <w:szCs w:val="20"/>
                          </w:rPr>
                          <w:t>台</w:t>
                        </w:r>
                        <w:r>
                          <w:rPr>
                            <w:rFonts w:ascii="Times New Roman" w:hAnsi="Times New Roman" w:cs="Times New Roman" w:eastAsia="Times New Roman" w:hint="default"/>
                            <w:sz w:val="20"/>
                            <w:szCs w:val="20"/>
                          </w:rPr>
                          <w:t>/</w:t>
                        </w:r>
                        <w:r>
                          <w:rPr>
                            <w:rFonts w:ascii="宋体" w:hAnsi="宋体" w:cs="宋体" w:eastAsia="宋体" w:hint="default"/>
                            <w:sz w:val="20"/>
                            <w:szCs w:val="20"/>
                          </w:rPr>
                          <w:t>年南天</w:t>
                        </w:r>
                        <w:r>
                          <w:rPr>
                            <w:rFonts w:ascii="Times New Roman" w:hAnsi="Times New Roman" w:cs="Times New Roman" w:eastAsia="Times New Roman" w:hint="default"/>
                            <w:sz w:val="20"/>
                            <w:szCs w:val="20"/>
                          </w:rPr>
                          <w:t>ATM</w:t>
                        </w:r>
                        <w:r>
                          <w:rPr>
                            <w:rFonts w:ascii="宋体" w:hAnsi="宋体" w:cs="宋体" w:eastAsia="宋体" w:hint="default"/>
                            <w:sz w:val="20"/>
                            <w:szCs w:val="20"/>
                          </w:rPr>
                          <w:t>产品产业化</w:t>
                        </w:r>
                      </w:p>
                    </w:tc>
                    <w:tc>
                      <w:tcPr>
                        <w:tcW w:w="1344" w:type="dxa"/>
                        <w:tcBorders>
                          <w:top w:val="single" w:sz="12" w:space="0" w:color="000000"/>
                          <w:left w:val="single" w:sz="6" w:space="0" w:color="000000"/>
                          <w:bottom w:val="single" w:sz="12" w:space="0" w:color="000000"/>
                          <w:right w:val="single" w:sz="6" w:space="0" w:color="000000"/>
                        </w:tcBorders>
                      </w:tcPr>
                      <w:p>
                        <w:pP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spacing w:val="-1"/>
                            <w:sz w:val="20"/>
                          </w:rPr>
                          <w:t>2,700,000.00</w:t>
                        </w:r>
                      </w:p>
                    </w:tc>
                  </w:tr>
                  <w:tr>
                    <w:trPr>
                      <w:trHeight w:val="360" w:hRule="exact"/>
                    </w:trPr>
                    <w:tc>
                      <w:tcPr>
                        <w:tcW w:w="5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公从自助系统开发及应用示范</w:t>
                        </w:r>
                      </w:p>
                    </w:tc>
                    <w:tc>
                      <w:tcPr>
                        <w:tcW w:w="1344" w:type="dxa"/>
                        <w:tcBorders>
                          <w:top w:val="single" w:sz="12" w:space="0" w:color="000000"/>
                          <w:left w:val="single" w:sz="6" w:space="0" w:color="000000"/>
                          <w:bottom w:val="single" w:sz="12" w:space="0" w:color="000000"/>
                          <w:right w:val="single" w:sz="6" w:space="0" w:color="000000"/>
                        </w:tcBorders>
                      </w:tcPr>
                      <w:p>
                        <w:pP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spacing w:val="-1"/>
                            <w:sz w:val="20"/>
                          </w:rPr>
                          <w:t>2,410,400.00</w:t>
                        </w:r>
                      </w:p>
                    </w:tc>
                  </w:tr>
                  <w:tr>
                    <w:trPr>
                      <w:trHeight w:val="362" w:hRule="exact"/>
                    </w:trPr>
                    <w:tc>
                      <w:tcPr>
                        <w:tcW w:w="5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金融电子化工程技术研究中心</w:t>
                        </w:r>
                      </w:p>
                    </w:tc>
                    <w:tc>
                      <w:tcPr>
                        <w:tcW w:w="1344" w:type="dxa"/>
                        <w:tcBorders>
                          <w:top w:val="single" w:sz="12" w:space="0" w:color="000000"/>
                          <w:left w:val="single" w:sz="6" w:space="0" w:color="000000"/>
                          <w:bottom w:val="single" w:sz="12" w:space="0" w:color="000000"/>
                          <w:right w:val="single" w:sz="6" w:space="0" w:color="000000"/>
                        </w:tcBorders>
                      </w:tcPr>
                      <w:p>
                        <w:pP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spacing w:val="-1"/>
                            <w:sz w:val="20"/>
                          </w:rPr>
                          <w:t>1,000,000.00</w:t>
                        </w:r>
                      </w:p>
                    </w:tc>
                  </w:tr>
                  <w:tr>
                    <w:trPr>
                      <w:trHeight w:val="362" w:hRule="exact"/>
                    </w:trPr>
                    <w:tc>
                      <w:tcPr>
                        <w:tcW w:w="5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符合国家标准的移动支付产品研发与应用示范项目</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207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7"/>
                            <w:sz w:val="20"/>
                            <w:szCs w:val="20"/>
                          </w:rPr>
                          <w:t> </w:t>
                        </w:r>
                        <w:r>
                          <w:rPr>
                            <w:rFonts w:ascii="宋体" w:hAnsi="宋体" w:cs="宋体" w:eastAsia="宋体" w:hint="default"/>
                            <w:sz w:val="20"/>
                            <w:szCs w:val="20"/>
                          </w:rPr>
                          <w:t>计</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spacing w:val="-1"/>
                            <w:sz w:val="20"/>
                          </w:rPr>
                          <w:t>6,110,400.00</w:t>
                        </w:r>
                      </w:p>
                    </w:tc>
                  </w:tr>
                </w:tbl>
                <w:p>
                  <w:pPr/>
                </w:p>
              </w:txbxContent>
            </v:textbox>
            <w10:wrap type="none"/>
          </v:shape>
        </w:pict>
      </w:r>
      <w:r>
        <w:rPr/>
        <w:t>其他流动负债说明 其中，递延收益明细如下：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333" w:lineRule="exact"/>
        <w:ind w:left="119" w:right="99"/>
        <w:jc w:val="left"/>
        <w:rPr>
          <w:b w:val="0"/>
          <w:bCs w:val="0"/>
        </w:rPr>
      </w:pPr>
      <w:r>
        <w:rPr>
          <w:rFonts w:ascii="Times New Roman" w:hAnsi="Times New Roman" w:cs="Times New Roman" w:eastAsia="Times New Roman" w:hint="default"/>
        </w:rPr>
        <w:t>32</w:t>
      </w:r>
      <w:r>
        <w:rPr/>
        <w:t>、长期借款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）长期借款分类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90"/>
        <w:gridCol w:w="2923"/>
        <w:gridCol w:w="3055"/>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5,370,233.15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5,950,063.37</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5,370,233.15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25,950,063.37</w:t>
            </w:r>
          </w:p>
        </w:tc>
      </w:tr>
    </w:tbl>
    <w:p>
      <w:pPr>
        <w:pStyle w:val="BodyText"/>
        <w:spacing w:line="240" w:lineRule="auto" w:before="49"/>
        <w:ind w:right="99"/>
        <w:jc w:val="left"/>
      </w:pPr>
      <w:r>
        <w:rPr/>
        <w:t>长期借款分类的说明</w:t>
      </w:r>
    </w:p>
    <w:p>
      <w:pPr>
        <w:spacing w:line="240" w:lineRule="auto" w:before="12"/>
        <w:rPr>
          <w:rFonts w:ascii="宋体" w:hAnsi="宋体" w:cs="宋体" w:eastAsia="宋体" w:hint="default"/>
          <w:sz w:val="21"/>
          <w:szCs w:val="21"/>
        </w:rPr>
      </w:pPr>
    </w:p>
    <w:p>
      <w:pPr>
        <w:pStyle w:val="Heading4"/>
        <w:spacing w:line="400" w:lineRule="auto"/>
        <w:ind w:right="7109"/>
        <w:jc w:val="left"/>
        <w:rPr>
          <w:b w:val="0"/>
          <w:bCs w:val="0"/>
        </w:rPr>
      </w:pPr>
      <w:r>
        <w:rPr/>
        <w:t>（</w:t>
      </w:r>
      <w:r>
        <w:rPr>
          <w:rFonts w:ascii="Times New Roman" w:hAnsi="Times New Roman" w:cs="Times New Roman" w:eastAsia="Times New Roman" w:hint="default"/>
        </w:rPr>
        <w:t>2</w:t>
      </w:r>
      <w:r>
        <w:rPr/>
        <w:t>）金额前五名的长期借款</w:t>
      </w:r>
      <w:r>
        <w:rPr>
          <w:w w:val="99"/>
        </w:rPr>
        <w:t> </w:t>
      </w:r>
      <w:r>
        <w:rPr/>
        <w:t>单位： </w:t>
      </w:r>
      <w:r>
        <w:rPr>
          <w:spacing w:val="2"/>
        </w:rPr>
        <w:t> </w:t>
      </w:r>
      <w:r>
        <w:rPr/>
        <w:t>元</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063"/>
        <w:gridCol w:w="1066"/>
        <w:gridCol w:w="1063"/>
        <w:gridCol w:w="1066"/>
        <w:gridCol w:w="1063"/>
        <w:gridCol w:w="1063"/>
        <w:gridCol w:w="1066"/>
        <w:gridCol w:w="1063"/>
        <w:gridCol w:w="1056"/>
      </w:tblGrid>
      <w:tr>
        <w:trPr>
          <w:trHeight w:val="401"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6"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6"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063"/>
        <w:gridCol w:w="1066"/>
        <w:gridCol w:w="1063"/>
        <w:gridCol w:w="1063"/>
        <w:gridCol w:w="1066"/>
        <w:gridCol w:w="1063"/>
        <w:gridCol w:w="1063"/>
        <w:gridCol w:w="1066"/>
        <w:gridCol w:w="1056"/>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bookmarkStart w:name="33、其他非流动负债" w:id="292"/>
            <w:bookmarkEnd w:id="292"/>
            <w:r>
              <w:rPr/>
            </w:r>
            <w:bookmarkStart w:name="单位：元" w:id="293"/>
            <w:bookmarkEnd w:id="293"/>
            <w:r>
              <w:rPr/>
            </w:r>
            <w:r>
              <w:rPr>
                <w:rFonts w:ascii="宋体" w:hAnsi="宋体" w:cs="宋体" w:eastAsia="宋体" w:hint="default"/>
                <w:sz w:val="18"/>
                <w:szCs w:val="18"/>
              </w:rPr>
              <w:t>意大利政府 </w:t>
            </w:r>
            <w:r>
              <w:rPr>
                <w:rFonts w:ascii="宋体" w:hAnsi="宋体" w:cs="宋体" w:eastAsia="宋体" w:hint="default"/>
                <w:spacing w:val="-12"/>
                <w:sz w:val="18"/>
                <w:szCs w:val="18"/>
              </w:rPr>
              <w:t>贷款（外汇转</w:t>
            </w:r>
            <w:r>
              <w:rPr>
                <w:rFonts w:ascii="宋体" w:hAnsi="宋体" w:cs="宋体" w:eastAsia="宋体" w:hint="default"/>
                <w:sz w:val="18"/>
                <w:szCs w:val="18"/>
              </w:rPr>
              <w:t> 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854,384.40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5,370,233.15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944,319.60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5,950,063.37</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5,370,233.15</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5,950,063.37</w:t>
            </w:r>
          </w:p>
        </w:tc>
      </w:tr>
    </w:tbl>
    <w:p>
      <w:pPr>
        <w:pStyle w:val="BodyText"/>
        <w:spacing w:line="240" w:lineRule="auto" w:before="51"/>
        <w:ind w:right="99"/>
        <w:jc w:val="left"/>
      </w:pPr>
      <w:r>
        <w:rPr/>
        <w:t>长期借款说明，因逾期借款获得展期形成的长期借款，应说明获得展期的条件、本金、利息、预计还款安排等</w:t>
      </w:r>
    </w:p>
    <w:p>
      <w:pPr>
        <w:spacing w:line="240" w:lineRule="auto" w:before="9"/>
        <w:rPr>
          <w:rFonts w:ascii="宋体" w:hAnsi="宋体" w:cs="宋体" w:eastAsia="宋体" w:hint="default"/>
          <w:sz w:val="21"/>
          <w:szCs w:val="21"/>
        </w:rPr>
      </w:pPr>
    </w:p>
    <w:p>
      <w:pPr>
        <w:pStyle w:val="Heading4"/>
        <w:spacing w:line="400" w:lineRule="auto"/>
        <w:ind w:right="7739" w:firstLine="6"/>
        <w:jc w:val="left"/>
        <w:rPr>
          <w:b w:val="0"/>
          <w:bCs w:val="0"/>
        </w:rPr>
      </w:pPr>
      <w:r>
        <w:rPr>
          <w:rFonts w:ascii="Times New Roman" w:hAnsi="Times New Roman" w:cs="Times New Roman" w:eastAsia="Times New Roman" w:hint="default"/>
          <w:w w:val="95"/>
        </w:rPr>
        <w:t>33</w:t>
      </w:r>
      <w:r>
        <w:rPr>
          <w:w w:val="95"/>
        </w:rPr>
        <w:t>、其他非流动负债</w:t>
      </w:r>
      <w:r>
        <w:rPr>
          <w:spacing w:val="30"/>
          <w:w w:val="95"/>
        </w:rPr>
        <w:t> </w:t>
      </w:r>
      <w:r>
        <w:rPr>
          <w:spacing w:val="30"/>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722"/>
        <w:gridCol w:w="2789"/>
        <w:gridCol w:w="3058"/>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40,675,084.33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32,652,324.03</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40,675,084.33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32,652,324.03</w:t>
            </w:r>
          </w:p>
        </w:tc>
      </w:tr>
    </w:tbl>
    <w:p>
      <w:pPr>
        <w:pStyle w:val="BodyText"/>
        <w:spacing w:line="357" w:lineRule="auto" w:before="51"/>
        <w:ind w:left="595" w:right="1994" w:hanging="483"/>
        <w:jc w:val="left"/>
      </w:pPr>
      <w:r>
        <w:rPr/>
        <w:pict>
          <v:shape style="position:absolute;margin-left:56.279999pt;margin-top:35.14172pt;width:454.45pt;height:362.8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06"/>
                    <w:gridCol w:w="1625"/>
                    <w:gridCol w:w="1622"/>
                  </w:tblGrid>
                  <w:tr>
                    <w:trPr>
                      <w:trHeight w:val="355" w:hRule="exact"/>
                    </w:trPr>
                    <w:tc>
                      <w:tcPr>
                        <w:tcW w:w="5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6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79"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与资产相关的政府补助</w:t>
                        </w:r>
                        <w:r>
                          <w:rPr>
                            <w:rFonts w:ascii="Microsoft JhengHei" w:hAnsi="Microsoft JhengHei" w:cs="Microsoft JhengHei" w:eastAsia="Microsoft JhengHei" w:hint="default"/>
                            <w:sz w:val="18"/>
                            <w:szCs w:val="18"/>
                          </w:rPr>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spacing w:val="-1"/>
                            <w:sz w:val="18"/>
                          </w:rPr>
                          <w:t>34,795,084.33</w:t>
                        </w:r>
                        <w:r>
                          <w:rPr>
                            <w:rFonts w:ascii="Times New Roman"/>
                            <w:spacing w:val="-1"/>
                            <w:sz w:val="18"/>
                          </w:rPr>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pacing w:val="-1"/>
                            <w:sz w:val="18"/>
                          </w:rPr>
                          <w:t>24,492,324.03</w:t>
                        </w:r>
                        <w:r>
                          <w:rPr>
                            <w:rFonts w:ascii="Times New Roman"/>
                            <w:spacing w:val="-1"/>
                            <w:sz w:val="18"/>
                          </w:rPr>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年电子信息产业振兴和技术改造</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12,494,464.24</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12,719,146.80</w:t>
                        </w:r>
                      </w:p>
                    </w:tc>
                  </w:tr>
                  <w:tr>
                    <w:trPr>
                      <w:trHeight w:val="360"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南天城市轨道交通票务系统</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800,000.00</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经济开发区项目</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3,796,394.93</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3,864,663.85</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南天终端安全管理平台产业化</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1,111,111.06</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1,777,777.78</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联合开发带扫描功能的高级存折打印机</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信息系统（金融）运行维护支持系统研发及产业化项目</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3,250,000.00</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面向社会管理和服务的数据中心虚拟资源调度与管理系统研发及应用</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622"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南天基于云计算架构的移动支付系统及终端产业化</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62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信息系统运维服务支撑平台</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小巨人项目</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343,114.10</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530,735.60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79"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与收益相关的政府补助</w:t>
                        </w:r>
                        <w:r>
                          <w:rPr>
                            <w:rFonts w:ascii="Microsoft JhengHei" w:hAnsi="Microsoft JhengHei" w:cs="Microsoft JhengHei" w:eastAsia="Microsoft JhengHei" w:hint="default"/>
                            <w:sz w:val="18"/>
                            <w:szCs w:val="18"/>
                          </w:rPr>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b/>
                            <w:spacing w:val="-1"/>
                            <w:sz w:val="18"/>
                          </w:rPr>
                          <w:t>5,880,000.00</w:t>
                        </w:r>
                        <w:r>
                          <w:rPr>
                            <w:rFonts w:ascii="Times New Roman"/>
                            <w:spacing w:val="-1"/>
                            <w:sz w:val="18"/>
                          </w:rPr>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pacing w:val="-1"/>
                            <w:sz w:val="18"/>
                          </w:rPr>
                          <w:t>8,160,000.00</w:t>
                        </w:r>
                        <w:r>
                          <w:rPr>
                            <w:rFonts w:ascii="Times New Roman"/>
                            <w:spacing w:val="-1"/>
                            <w:sz w:val="18"/>
                          </w:rPr>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南天非结构化数据存储平台</w:t>
                        </w:r>
                      </w:p>
                    </w:tc>
                    <w:tc>
                      <w:tcPr>
                        <w:tcW w:w="1625" w:type="dxa"/>
                        <w:tcBorders>
                          <w:top w:val="single" w:sz="12" w:space="0" w:color="000000"/>
                          <w:left w:val="single" w:sz="6" w:space="0" w:color="000000"/>
                          <w:bottom w:val="single" w:sz="12" w:space="0" w:color="000000"/>
                          <w:right w:val="single" w:sz="6" w:space="0" w:color="000000"/>
                        </w:tcBorders>
                      </w:tcPr>
                      <w:p>
                        <w:pP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南天移动支付终端及系统平台产业化</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60"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金融行业业务管理与信息服务系统应用</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1,880,000.00</w:t>
                        </w:r>
                      </w:p>
                    </w:tc>
                    <w:tc>
                      <w:tcPr>
                        <w:tcW w:w="162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软件（动漫）产业发展项目专项基金</w:t>
                        </w:r>
                      </w:p>
                    </w:tc>
                    <w:tc>
                      <w:tcPr>
                        <w:tcW w:w="1625" w:type="dxa"/>
                        <w:tcBorders>
                          <w:top w:val="single" w:sz="12" w:space="0" w:color="000000"/>
                          <w:left w:val="single" w:sz="6" w:space="0" w:color="000000"/>
                          <w:bottom w:val="single" w:sz="12" w:space="0" w:color="000000"/>
                          <w:right w:val="single" w:sz="6" w:space="0" w:color="000000"/>
                        </w:tcBorders>
                      </w:tcPr>
                      <w:p>
                        <w:pP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南天银行现金集中监控系统</w:t>
                        </w:r>
                      </w:p>
                    </w:tc>
                    <w:tc>
                      <w:tcPr>
                        <w:tcW w:w="1625" w:type="dxa"/>
                        <w:tcBorders>
                          <w:top w:val="single" w:sz="12" w:space="0" w:color="000000"/>
                          <w:left w:val="single" w:sz="6" w:space="0" w:color="000000"/>
                          <w:bottom w:val="single" w:sz="12" w:space="0" w:color="000000"/>
                          <w:right w:val="single" w:sz="6" w:space="0" w:color="000000"/>
                        </w:tcBorders>
                      </w:tcPr>
                      <w:p>
                        <w:pP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城市综合服务智慧亭</w:t>
                        </w:r>
                      </w:p>
                    </w:tc>
                    <w:tc>
                      <w:tcPr>
                        <w:tcW w:w="1625" w:type="dxa"/>
                        <w:tcBorders>
                          <w:top w:val="single" w:sz="12" w:space="0" w:color="000000"/>
                          <w:left w:val="single" w:sz="6" w:space="0" w:color="000000"/>
                          <w:bottom w:val="single" w:sz="12" w:space="0" w:color="000000"/>
                          <w:right w:val="single" w:sz="6" w:space="0" w:color="000000"/>
                        </w:tcBorders>
                      </w:tcPr>
                      <w:p>
                        <w:pP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62" w:hRule="exact"/>
                    </w:trPr>
                    <w:tc>
                      <w:tcPr>
                        <w:tcW w:w="5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40,675,084.33</w:t>
                        </w:r>
                      </w:p>
                    </w:tc>
                    <w:tc>
                      <w:tcPr>
                        <w:tcW w:w="16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32,652,324.03</w:t>
                        </w:r>
                      </w:p>
                    </w:tc>
                  </w:tr>
                </w:tbl>
                <w:p>
                  <w:pPr/>
                </w:p>
              </w:txbxContent>
            </v:textbox>
            <w10:wrap type="none"/>
          </v:shape>
        </w:pict>
      </w:r>
      <w:r>
        <w:rPr/>
        <w:t>其他非流动负债说明，包括本报告期取得的各类与资产相关、与收益相关的政府补助及其期末金额 其中，递延收益明细如下：</w:t>
      </w:r>
    </w:p>
    <w:p>
      <w:pPr>
        <w:spacing w:after="0" w:line="357"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right="99" w:firstLine="6"/>
        <w:jc w:val="left"/>
        <w:rPr>
          <w:b w:val="0"/>
          <w:bCs w:val="0"/>
        </w:rPr>
      </w:pPr>
      <w:bookmarkStart w:name="34、股本" w:id="294"/>
      <w:bookmarkEnd w:id="294"/>
      <w:r>
        <w:rPr>
          <w:b w:val="0"/>
          <w:bCs w:val="0"/>
        </w:rPr>
      </w:r>
      <w:bookmarkStart w:name="单位：元" w:id="295"/>
      <w:bookmarkEnd w:id="295"/>
      <w:r>
        <w:rPr>
          <w:b w:val="0"/>
          <w:bCs w:val="0"/>
        </w:rPr>
      </w:r>
      <w:bookmarkStart w:name="35、资本公积" w:id="296"/>
      <w:bookmarkEnd w:id="296"/>
      <w:r>
        <w:rPr>
          <w:b w:val="0"/>
          <w:bCs w:val="0"/>
        </w:rPr>
      </w:r>
      <w:bookmarkStart w:name="36、盈余公积" w:id="297"/>
      <w:bookmarkEnd w:id="297"/>
      <w:r>
        <w:rPr>
          <w:b w:val="0"/>
          <w:bCs w:val="0"/>
        </w:rPr>
      </w:r>
      <w:r>
        <w:rPr>
          <w:rFonts w:ascii="Times New Roman" w:hAnsi="Times New Roman" w:cs="Times New Roman" w:eastAsia="Times New Roman" w:hint="default"/>
        </w:rPr>
        <w:t>34</w:t>
      </w:r>
      <w:r>
        <w:rPr/>
        <w:t>、股本</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1"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7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210,550,951.00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21,055,095.00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21,055,095.00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231,606,046.00</w:t>
            </w:r>
          </w:p>
        </w:tc>
      </w:tr>
    </w:tbl>
    <w:p>
      <w:pPr>
        <w:pStyle w:val="BodyText"/>
        <w:spacing w:line="240" w:lineRule="auto" w:before="51"/>
        <w:ind w:right="99"/>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5"/>
        </w:rPr>
        <w:t> </w:t>
      </w:r>
      <w:r>
        <w:rPr>
          <w:rFonts w:ascii="Times New Roman" w:hAnsi="Times New Roman" w:cs="Times New Roman" w:eastAsia="Times New Roman" w:hint="default"/>
        </w:rPr>
        <w:t>3</w:t>
      </w:r>
    </w:p>
    <w:p>
      <w:pPr>
        <w:pStyle w:val="BodyText"/>
        <w:spacing w:line="357" w:lineRule="auto" w:before="63"/>
        <w:ind w:left="475" w:right="101" w:hanging="363"/>
        <w:jc w:val="left"/>
      </w:pPr>
      <w:r>
        <w:rPr/>
        <w:t>年的股份有限公司，设立前的年份只需说明净资产情况；有限责任公司整体变更为股份公司应说明公司设立时的验资情况 注：根据本公司</w:t>
      </w:r>
      <w:r>
        <w:rPr>
          <w:rFonts w:ascii="Times New Roman" w:hAnsi="Times New Roman" w:cs="Times New Roman" w:eastAsia="Times New Roman" w:hint="default"/>
        </w:rPr>
        <w:t>2011</w:t>
      </w:r>
      <w:r>
        <w:rPr/>
        <w:t>年度股东大会决议和修改后章程的规定，公司按每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股的比例，以资本公积向全体股东转</w:t>
      </w:r>
    </w:p>
    <w:p>
      <w:pPr>
        <w:pStyle w:val="BodyText"/>
        <w:spacing w:line="217" w:lineRule="exact"/>
        <w:ind w:right="0"/>
        <w:jc w:val="left"/>
      </w:pPr>
      <w:r>
        <w:rPr/>
        <w:t>增股份总额</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t>股，每股面值</w:t>
      </w:r>
      <w:r>
        <w:rPr>
          <w:rFonts w:ascii="Times New Roman" w:hAnsi="Times New Roman" w:cs="Times New Roman" w:eastAsia="Times New Roman" w:hint="default"/>
          <w:spacing w:val="-2"/>
        </w:rPr>
        <w:t>1</w:t>
      </w:r>
      <w:r>
        <w:rPr/>
        <w:t>元，共计增加股本</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t>元，已经中瑞岳华会计师事务所（特殊普通合伙</w:t>
      </w:r>
      <w:r>
        <w:rPr>
          <w:spacing w:val="-84"/>
        </w:rPr>
        <w:t>）</w:t>
      </w:r>
      <w:r>
        <w:rPr/>
        <w:t>审</w:t>
      </w:r>
    </w:p>
    <w:p>
      <w:pPr>
        <w:pStyle w:val="BodyText"/>
        <w:spacing w:line="240" w:lineRule="auto" w:before="63"/>
        <w:ind w:right="99"/>
        <w:jc w:val="left"/>
      </w:pPr>
      <w:r>
        <w:rPr/>
        <w:t>验，并于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日出具中瑞岳华验字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0149</w:t>
      </w:r>
      <w:r>
        <w:rPr/>
        <w:t>号验资报告。</w:t>
      </w:r>
    </w:p>
    <w:p>
      <w:pPr>
        <w:spacing w:line="240" w:lineRule="auto" w:before="9"/>
        <w:rPr>
          <w:rFonts w:ascii="宋体" w:hAnsi="宋体" w:cs="宋体" w:eastAsia="宋体" w:hint="default"/>
          <w:sz w:val="20"/>
          <w:szCs w:val="20"/>
        </w:rPr>
      </w:pPr>
    </w:p>
    <w:p>
      <w:pPr>
        <w:pStyle w:val="Heading4"/>
        <w:spacing w:line="403" w:lineRule="auto"/>
        <w:ind w:right="8114" w:firstLine="6"/>
        <w:jc w:val="left"/>
        <w:rPr>
          <w:b w:val="0"/>
          <w:bCs w:val="0"/>
        </w:rPr>
      </w:pPr>
      <w:r>
        <w:rPr>
          <w:rFonts w:ascii="Times New Roman" w:hAnsi="Times New Roman" w:cs="Times New Roman" w:eastAsia="Times New Roman" w:hint="default"/>
          <w:w w:val="95"/>
        </w:rPr>
        <w:t>35</w:t>
      </w:r>
      <w:r>
        <w:rPr>
          <w:w w:val="95"/>
        </w:rPr>
        <w:t>、资本公积</w:t>
      </w:r>
      <w:r>
        <w:rPr>
          <w:spacing w:val="-2"/>
          <w:w w:val="95"/>
        </w:rPr>
        <w:t> </w:t>
      </w:r>
      <w:r>
        <w:rPr>
          <w:spacing w:val="-2"/>
          <w:w w:val="95"/>
        </w:rPr>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2395"/>
        <w:gridCol w:w="1860"/>
        <w:gridCol w:w="1992"/>
        <w:gridCol w:w="1728"/>
        <w:gridCol w:w="1594"/>
      </w:tblGrid>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656,843,233.16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21,055,095.00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635,788,138.16</w:t>
            </w:r>
          </w:p>
        </w:tc>
      </w:tr>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61,593,738.28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9,952,011.12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4,353,299.50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67,192,449.90</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125,565.08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229,895.62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-104,330.54</w:t>
            </w:r>
          </w:p>
        </w:tc>
      </w:tr>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718,562,536.52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9,952,011.12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25,638,290.12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702,876,257.52</w:t>
            </w:r>
          </w:p>
        </w:tc>
      </w:tr>
    </w:tbl>
    <w:p>
      <w:pPr>
        <w:pStyle w:val="BodyText"/>
        <w:spacing w:line="240" w:lineRule="auto" w:before="51"/>
        <w:ind w:right="99"/>
        <w:jc w:val="left"/>
      </w:pPr>
      <w:r>
        <w:rPr/>
        <w:t>资本公积说明</w:t>
      </w:r>
    </w:p>
    <w:p>
      <w:pPr>
        <w:pStyle w:val="BodyText"/>
        <w:spacing w:line="240" w:lineRule="auto" w:before="117"/>
        <w:ind w:left="475" w:right="99"/>
        <w:jc w:val="left"/>
      </w:pPr>
      <w:r>
        <w:rPr/>
        <w:t>注：①本公司的联营企业其他综合收益及资本公积</w:t>
      </w:r>
      <w:r>
        <w:rPr>
          <w:rFonts w:ascii="Times New Roman" w:hAnsi="Times New Roman" w:cs="Times New Roman" w:eastAsia="Times New Roman" w:hint="default"/>
        </w:rPr>
        <w:t>-</w:t>
      </w:r>
      <w:r>
        <w:rPr/>
        <w:t>其他资本公积变动本公司享有的金额分别为</w:t>
      </w:r>
      <w:r>
        <w:rPr>
          <w:rFonts w:ascii="Times New Roman" w:hAnsi="Times New Roman" w:cs="Times New Roman" w:eastAsia="Times New Roman" w:hint="default"/>
        </w:rPr>
        <w:t>-229,895.62</w:t>
      </w:r>
      <w:r>
        <w:rPr/>
        <w:t>元和</w:t>
      </w:r>
    </w:p>
    <w:p>
      <w:pPr>
        <w:pStyle w:val="BodyText"/>
        <w:spacing w:line="240" w:lineRule="auto" w:before="63"/>
        <w:ind w:right="99"/>
        <w:jc w:val="left"/>
      </w:pPr>
      <w:r>
        <w:rPr>
          <w:rFonts w:ascii="Times New Roman" w:hAnsi="Times New Roman" w:cs="Times New Roman" w:eastAsia="Times New Roman" w:hint="default"/>
        </w:rPr>
        <w:t>9,952,011.12</w:t>
      </w:r>
      <w:r>
        <w:rPr/>
        <w:t>元。</w:t>
      </w:r>
    </w:p>
    <w:p>
      <w:pPr>
        <w:pStyle w:val="BodyText"/>
        <w:spacing w:line="300" w:lineRule="auto" w:before="63"/>
        <w:ind w:right="111" w:firstLine="720"/>
        <w:jc w:val="both"/>
      </w:pPr>
      <w:r>
        <w:rPr>
          <w:spacing w:val="-1"/>
          <w:w w:val="95"/>
        </w:rPr>
        <w:t>②本公司</w:t>
      </w:r>
      <w:r>
        <w:rPr>
          <w:rFonts w:ascii="Times New Roman" w:hAnsi="Times New Roman" w:cs="Times New Roman" w:eastAsia="Times New Roman" w:hint="default"/>
          <w:spacing w:val="-1"/>
          <w:w w:val="95"/>
        </w:rPr>
        <w:t>2012</w:t>
      </w:r>
      <w:r>
        <w:rPr>
          <w:spacing w:val="-1"/>
          <w:w w:val="95"/>
        </w:rPr>
        <w:t>年度确认第二期、第三期股份期权费用共计</w:t>
      </w:r>
      <w:r>
        <w:rPr>
          <w:rFonts w:ascii="Times New Roman" w:hAnsi="Times New Roman" w:cs="Times New Roman" w:eastAsia="Times New Roman" w:hint="default"/>
          <w:spacing w:val="-1"/>
          <w:w w:val="95"/>
        </w:rPr>
        <w:t>6,047,420.50</w:t>
      </w:r>
      <w:r>
        <w:rPr>
          <w:spacing w:val="-1"/>
          <w:w w:val="95"/>
        </w:rPr>
        <w:t>元，经过公司董事会薪酬与考核委员会考核，</w:t>
      </w:r>
      <w:r>
        <w:rPr>
          <w:w w:val="50"/>
        </w:rPr>
        <w:t> </w:t>
      </w:r>
      <w:r>
        <w:rPr>
          <w:spacing w:val="-2"/>
        </w:rPr>
        <w:t>第二期期权激励计划未能达到预定的业绩指标，因此将第二期股份期权</w:t>
      </w:r>
      <w:r>
        <w:rPr>
          <w:rFonts w:ascii="Times New Roman" w:hAnsi="Times New Roman" w:cs="Times New Roman" w:eastAsia="Times New Roman" w:hint="default"/>
          <w:spacing w:val="-2"/>
        </w:rPr>
        <w:t>1,166,000.00</w:t>
      </w:r>
      <w:r>
        <w:rPr>
          <w:spacing w:val="-2"/>
        </w:rPr>
        <w:t>股，股份期权金额</w:t>
      </w:r>
      <w:r>
        <w:rPr>
          <w:rFonts w:ascii="Times New Roman" w:hAnsi="Times New Roman" w:cs="Times New Roman" w:eastAsia="Times New Roman" w:hint="default"/>
          <w:spacing w:val="-2"/>
        </w:rPr>
        <w:t>13,000,900.00</w:t>
      </w:r>
      <w:r>
        <w:rPr>
          <w:spacing w:val="-2"/>
        </w:rPr>
        <w:t>元进行注</w:t>
      </w:r>
      <w:r>
        <w:rPr>
          <w:spacing w:val="-49"/>
        </w:rPr>
        <w:t> </w:t>
      </w:r>
      <w:r>
        <w:rPr>
          <w:spacing w:val="-1"/>
        </w:rPr>
        <w:t>销。本公司将截止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日把原计入公司管理费用、销售费用及资本公积的第二期股票期权成本</w:t>
      </w:r>
      <w:r>
        <w:rPr>
          <w:rFonts w:ascii="Times New Roman" w:hAnsi="Times New Roman" w:cs="Times New Roman" w:eastAsia="Times New Roman" w:hint="default"/>
          <w:spacing w:val="-1"/>
        </w:rPr>
        <w:t>10,400,720.00</w:t>
      </w:r>
      <w:r>
        <w:rPr>
          <w:spacing w:val="-1"/>
        </w:rPr>
        <w:t>元冲回</w:t>
      </w:r>
      <w:r>
        <w:rPr>
          <w:spacing w:val="-74"/>
        </w:rPr>
        <w:t> </w:t>
      </w:r>
      <w:r>
        <w:rPr/>
        <w:t>至当期损益。综合上述事项本期资本公积共计减少</w:t>
      </w:r>
      <w:r>
        <w:rPr>
          <w:rFonts w:ascii="Times New Roman" w:hAnsi="Times New Roman" w:cs="Times New Roman" w:eastAsia="Times New Roman" w:hint="default"/>
        </w:rPr>
        <w:t>4,353,299.50</w:t>
      </w:r>
      <w:r>
        <w:rPr/>
        <w:t>元。</w:t>
      </w:r>
    </w:p>
    <w:p>
      <w:pPr>
        <w:spacing w:line="240" w:lineRule="auto" w:before="11"/>
        <w:rPr>
          <w:rFonts w:ascii="宋体" w:hAnsi="宋体" w:cs="宋体" w:eastAsia="宋体" w:hint="default"/>
          <w:sz w:val="16"/>
          <w:szCs w:val="16"/>
        </w:rPr>
      </w:pPr>
    </w:p>
    <w:p>
      <w:pPr>
        <w:pStyle w:val="Heading4"/>
        <w:spacing w:line="403" w:lineRule="auto"/>
        <w:ind w:right="8114" w:firstLine="6"/>
        <w:jc w:val="left"/>
        <w:rPr>
          <w:b w:val="0"/>
          <w:bCs w:val="0"/>
        </w:rPr>
      </w:pPr>
      <w:r>
        <w:rPr>
          <w:rFonts w:ascii="Times New Roman" w:hAnsi="Times New Roman" w:cs="Times New Roman" w:eastAsia="Times New Roman" w:hint="default"/>
          <w:w w:val="95"/>
        </w:rPr>
        <w:t>36</w:t>
      </w:r>
      <w:r>
        <w:rPr>
          <w:w w:val="95"/>
        </w:rPr>
        <w:t>、盈余公积</w:t>
      </w:r>
      <w:r>
        <w:rPr>
          <w:spacing w:val="-2"/>
          <w:w w:val="95"/>
        </w:rPr>
        <w:t> </w:t>
      </w:r>
      <w:r>
        <w:rPr>
          <w:spacing w:val="-2"/>
          <w:w w:val="95"/>
        </w:rPr>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2395"/>
        <w:gridCol w:w="1860"/>
        <w:gridCol w:w="1994"/>
        <w:gridCol w:w="1726"/>
        <w:gridCol w:w="1594"/>
      </w:tblGrid>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49,292,756.25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4,064,637.43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53,357,393.68</w:t>
            </w:r>
          </w:p>
        </w:tc>
      </w:tr>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11,232,558.71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11,232,558.71</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60,525,314.96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4,064,637.43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64,589,952.39</w:t>
            </w:r>
          </w:p>
        </w:tc>
      </w:tr>
    </w:tbl>
    <w:p>
      <w:pPr>
        <w:pStyle w:val="BodyText"/>
        <w:spacing w:line="360" w:lineRule="auto" w:before="49"/>
        <w:ind w:left="475" w:right="3281" w:hanging="363"/>
        <w:jc w:val="left"/>
      </w:pPr>
      <w:r>
        <w:rPr/>
        <w:t>盈余公积说明，用盈余公积转增股本、弥补亏损、分派股利的，应说明有关决议 注：根据公司法、章程的规定，本公司按净利润的</w:t>
      </w:r>
      <w:r>
        <w:rPr>
          <w:rFonts w:ascii="Times New Roman" w:hAnsi="Times New Roman" w:cs="Times New Roman" w:eastAsia="Times New Roman" w:hint="default"/>
        </w:rPr>
        <w:t>10%</w:t>
      </w:r>
      <w:r>
        <w:rPr/>
        <w:t>提取法定盈余公积金。</w:t>
      </w:r>
    </w:p>
    <w:p>
      <w:pPr>
        <w:spacing w:after="0" w:line="360" w:lineRule="auto"/>
        <w:jc w:val="left"/>
        <w:sectPr>
          <w:footerReference w:type="default" r:id="rId30"/>
          <w:pgSz w:w="11910" w:h="16840"/>
          <w:pgMar w:footer="979" w:header="745" w:top="1060" w:bottom="1160" w:left="1020" w:right="1020"/>
          <w:pgNumType w:start="11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37、未分配利润" w:id="298"/>
      <w:bookmarkEnd w:id="298"/>
      <w:r>
        <w:rPr>
          <w:b w:val="0"/>
          <w:bCs w:val="0"/>
        </w:rPr>
      </w:r>
      <w:bookmarkStart w:name="单位：元" w:id="299"/>
      <w:bookmarkEnd w:id="299"/>
      <w:r>
        <w:rPr>
          <w:b w:val="0"/>
          <w:bCs w:val="0"/>
        </w:rPr>
      </w:r>
      <w:bookmarkStart w:name="38、营业收入、营业成本" w:id="300"/>
      <w:bookmarkEnd w:id="300"/>
      <w:r>
        <w:rPr>
          <w:b w:val="0"/>
          <w:bCs w:val="0"/>
        </w:rPr>
      </w:r>
      <w:bookmarkStart w:name="（1）营业收入、营业成本" w:id="301"/>
      <w:bookmarkEnd w:id="301"/>
      <w:r>
        <w:rPr>
          <w:b w:val="0"/>
          <w:bCs w:val="0"/>
        </w:rPr>
      </w:r>
      <w:bookmarkStart w:name="（2）主营业务（分行业）" w:id="302"/>
      <w:bookmarkEnd w:id="302"/>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718"/>
        <w:gridCol w:w="3730"/>
        <w:gridCol w:w="2122"/>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307,915,904.77</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307,915,904.77</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6,388,256.96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4,258,356.34</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16,844,076.06</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293,395,448.24</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调整年初未分配利润明细：</w:t>
      </w:r>
    </w:p>
    <w:p>
      <w:pPr>
        <w:pStyle w:val="BodyText"/>
        <w:spacing w:line="240" w:lineRule="auto" w:before="117"/>
        <w:ind w:right="99"/>
        <w:jc w:val="left"/>
      </w:pPr>
      <w:r>
        <w:rPr>
          <w:rFonts w:ascii="Times New Roman" w:hAnsi="Times New Roman" w:cs="Times New Roman" w:eastAsia="Times New Roman" w:hint="default"/>
        </w:rPr>
        <w:t>1)</w:t>
      </w:r>
      <w:r>
        <w:rPr/>
        <w:t>、由于《企业会计准则》及其相关新规定进行追溯调整，影响年初未分配利润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9"/>
        <w:jc w:val="left"/>
      </w:pPr>
      <w:r>
        <w:rPr>
          <w:rFonts w:ascii="Times New Roman" w:hAnsi="Times New Roman" w:cs="Times New Roman" w:eastAsia="Times New Roman" w:hint="default"/>
        </w:rPr>
        <w:t>2)</w:t>
      </w:r>
      <w:r>
        <w:rPr/>
        <w:t>、由于会计政策变更，影响年初未分配利润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9"/>
        <w:jc w:val="left"/>
      </w:pPr>
      <w:r>
        <w:rPr>
          <w:rFonts w:ascii="Times New Roman" w:hAnsi="Times New Roman" w:cs="Times New Roman" w:eastAsia="Times New Roman" w:hint="default"/>
        </w:rPr>
        <w:t>3)</w:t>
      </w:r>
      <w:r>
        <w:rPr/>
        <w:t>、由于重大会计差错更正，影响年初未分配利润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9"/>
        <w:jc w:val="left"/>
      </w:pPr>
      <w:r>
        <w:rPr>
          <w:rFonts w:ascii="Times New Roman" w:hAnsi="Times New Roman" w:cs="Times New Roman" w:eastAsia="Times New Roman" w:hint="default"/>
        </w:rPr>
        <w:t>4)</w:t>
      </w:r>
      <w:r>
        <w:rPr/>
        <w:t>、由于同一控制导致的合并范围变更，影响年初未分配利润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1"/>
        <w:ind w:right="99"/>
        <w:jc w:val="left"/>
      </w:pPr>
      <w:r>
        <w:rPr>
          <w:rFonts w:ascii="Times New Roman" w:hAnsi="Times New Roman" w:cs="Times New Roman" w:eastAsia="Times New Roman" w:hint="default"/>
        </w:rPr>
        <w:t>5)</w:t>
      </w:r>
      <w:r>
        <w:rPr/>
        <w:t>、其他调整合计影响年初未分配利润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r>
        <w:rPr>
          <w:spacing w:val="-65"/>
        </w:rPr>
        <w:t> </w:t>
      </w:r>
      <w:r>
        <w:rPr>
          <w:spacing w:val="-65"/>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10"/>
        <w:rPr>
          <w:rFonts w:ascii="宋体" w:hAnsi="宋体" w:cs="宋体" w:eastAsia="宋体" w:hint="default"/>
          <w:sz w:val="16"/>
          <w:szCs w:val="16"/>
        </w:rPr>
      </w:pPr>
    </w:p>
    <w:p>
      <w:pPr>
        <w:pStyle w:val="Heading4"/>
        <w:spacing w:line="240" w:lineRule="auto"/>
        <w:ind w:left="119" w:right="99"/>
        <w:jc w:val="left"/>
        <w:rPr>
          <w:b w:val="0"/>
          <w:bCs w:val="0"/>
        </w:rPr>
      </w:pPr>
      <w:r>
        <w:rPr>
          <w:rFonts w:ascii="Times New Roman" w:hAnsi="Times New Roman" w:cs="Times New Roman" w:eastAsia="Times New Roman" w:hint="default"/>
        </w:rPr>
        <w:t>38</w:t>
      </w:r>
      <w:r>
        <w:rPr/>
        <w:t>、营业收入、营业成本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3" w:lineRule="auto" w:before="0"/>
        <w:ind w:left="112" w:right="73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）营业收入、营业成本</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322"/>
        <w:gridCol w:w="3058"/>
        <w:gridCol w:w="3190"/>
      </w:tblGrid>
      <w:tr>
        <w:trPr>
          <w:trHeight w:val="401"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1,808,104,056.35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2,634,189,760.65</w:t>
            </w:r>
          </w:p>
        </w:tc>
      </w:tr>
      <w:tr>
        <w:trPr>
          <w:trHeight w:val="401"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18,462,554.76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22,659,560.72</w:t>
            </w:r>
          </w:p>
        </w:tc>
      </w:tr>
      <w:tr>
        <w:trPr>
          <w:trHeight w:val="403"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1,416,519,647.64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2,183,203,805.49</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）主营业务（分行业）</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1,808,104,056.35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1,400,640,120.04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1,677,751,607.28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1,306,262,277.52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3）主营业务（分产品）" w:id="303"/>
            <w:bookmarkEnd w:id="303"/>
            <w:r>
              <w:rPr/>
            </w:r>
            <w:bookmarkStart w:name="单位：元" w:id="304"/>
            <w:bookmarkEnd w:id="304"/>
            <w:r>
              <w:rPr/>
            </w:r>
            <w:bookmarkStart w:name="（4）主营业务（分地区）" w:id="305"/>
            <w:bookmarkEnd w:id="305"/>
            <w:r>
              <w:rPr/>
            </w:r>
            <w:bookmarkStart w:name="（5）公司前五名客户的营业收入情况" w:id="306"/>
            <w:bookmarkEnd w:id="306"/>
            <w:r>
              <w:rPr/>
            </w:r>
            <w:r>
              <w:rPr>
                <w:rFonts w:ascii="宋体" w:hAnsi="宋体" w:cs="宋体" w:eastAsia="宋体" w:hint="default"/>
                <w:sz w:val="18"/>
                <w:szCs w:val="18"/>
              </w:rPr>
              <w:t>医药行业</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956,438,153.37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866,220,001.19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1,808,104,056.35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1,400,640,120.04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2,634,189,760.65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2,172,482,278.71</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）主营业务（分产品）</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514,695,077.58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408,532,836.78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558,629,726.99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437,353,674.31</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867,624,965.24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792,665,564.29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738,804,225.04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694,206,031.11</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156,892,286.82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70,486,818.22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144,594,233.80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53,039,945.34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268,891,726.71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128,954,900.75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192,619,679.70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90,587,017.19</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43,103,741.75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31,075,609.57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956,438,153.37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866,220,001.19</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1,808,104,056.35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1,400,640,120.04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2,634,189,760.65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2,172,482,278.71</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）主营业务（分地区）</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333,296,067.50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253,496,389.53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220,740,114.97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144,411,242.02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326,104,726.20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253,090,558.61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259,031,561.37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183,455,073.37</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802,215,486.25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657,029,480.44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1,854,849,794.09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1,648,685,476.67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346,487,776.40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237,023,691.46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299,568,290.22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195,930,486.65</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1,808,104,056.35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1,400,640,120.04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2,634,189,760.65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2,172,482,278.71</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）公司前五名客户的营业收入情况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594"/>
        <w:gridCol w:w="2849"/>
        <w:gridCol w:w="4126"/>
      </w:tblGrid>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437,118,979.46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23.93%</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264,713,884.42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9.96%</w:t>
            </w:r>
          </w:p>
        </w:tc>
      </w:tr>
    </w:tbl>
    <w:p>
      <w:pPr>
        <w:pStyle w:val="BodyText"/>
        <w:spacing w:line="240" w:lineRule="auto" w:before="49"/>
        <w:ind w:right="99"/>
        <w:jc w:val="left"/>
      </w:pPr>
      <w:r>
        <w:rPr/>
        <w:t>营业收入的说明</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39、营业税金及附加" w:id="307"/>
      <w:bookmarkEnd w:id="307"/>
      <w:r>
        <w:rPr>
          <w:b w:val="0"/>
          <w:bCs w:val="0"/>
        </w:rPr>
      </w:r>
      <w:bookmarkStart w:name="单位：元" w:id="308"/>
      <w:bookmarkEnd w:id="308"/>
      <w:r>
        <w:rPr>
          <w:b w:val="0"/>
          <w:bCs w:val="0"/>
        </w:rPr>
      </w:r>
      <w:bookmarkStart w:name="40、销售费用" w:id="309"/>
      <w:bookmarkEnd w:id="309"/>
      <w:r>
        <w:rPr>
          <w:b w:val="0"/>
          <w:bCs w:val="0"/>
        </w:rPr>
      </w:r>
      <w:r>
        <w:rPr>
          <w:rFonts w:ascii="Times New Roman" w:hAnsi="Times New Roman" w:cs="Times New Roman" w:eastAsia="Times New Roman" w:hint="default"/>
        </w:rPr>
        <w:t>39</w:t>
      </w:r>
      <w:r>
        <w:rPr/>
        <w:t>、营业税金及附加</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794"/>
        <w:gridCol w:w="1992"/>
        <w:gridCol w:w="1862"/>
        <w:gridCol w:w="2921"/>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9,048,202.82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14,768,757.40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3,245,844.86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6,244,232.39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1,828,669.93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3,121,924.69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184,781.56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15,585.91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副食品调剂基金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45,779.35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15,439.84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630,935.75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563,075.90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73,524.55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65,980.45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33,060.25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32,721.70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15,090,799.07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24,827,718.28</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475" w:right="4871" w:hanging="363"/>
        <w:jc w:val="left"/>
      </w:pPr>
      <w:r>
        <w:rPr/>
        <w:t>营业税金及附加的说明 注：各项营业税金及附加的计缴标准详见附注五、税项。</w:t>
      </w:r>
    </w:p>
    <w:p>
      <w:pPr>
        <w:spacing w:line="240" w:lineRule="auto" w:before="0"/>
        <w:rPr>
          <w:rFonts w:ascii="宋体" w:hAnsi="宋体" w:cs="宋体" w:eastAsia="宋体" w:hint="default"/>
          <w:sz w:val="15"/>
          <w:szCs w:val="15"/>
        </w:rPr>
      </w:pPr>
    </w:p>
    <w:p>
      <w:pPr>
        <w:pStyle w:val="Heading4"/>
        <w:spacing w:line="400" w:lineRule="auto"/>
        <w:ind w:right="8114" w:firstLine="6"/>
        <w:jc w:val="left"/>
        <w:rPr>
          <w:b w:val="0"/>
          <w:bCs w:val="0"/>
        </w:rPr>
      </w:pPr>
      <w:r>
        <w:rPr>
          <w:rFonts w:ascii="Times New Roman" w:hAnsi="Times New Roman" w:cs="Times New Roman" w:eastAsia="Times New Roman" w:hint="default"/>
          <w:w w:val="95"/>
        </w:rPr>
        <w:t>40</w:t>
      </w:r>
      <w:r>
        <w:rPr>
          <w:w w:val="95"/>
        </w:rPr>
        <w:t>、销售费用</w:t>
      </w:r>
      <w:r>
        <w:rPr>
          <w:spacing w:val="-2"/>
          <w:w w:val="95"/>
        </w:rPr>
        <w:t> </w:t>
      </w:r>
      <w:r>
        <w:rPr>
          <w:spacing w:val="-2"/>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65,358,161.63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60,195,837.65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21,677,542.02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24,575,457.96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11,320,710.55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14,446,382.56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8,167,468.84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12,914,789.04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3,611,596.49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3,327,165.60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2,858,163.47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3,036,166.93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1,926,838.33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1,978,162.63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1,422,553.57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1,378,943.96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1,425,001.90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6,353,398.81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1,265,831.94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858,057.17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1,180,547.37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8,400,420.72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120,214,416.11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137,464,783.03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1"/>
        <w:rPr>
          <w:rFonts w:ascii="Microsoft JhengHei" w:hAnsi="Microsoft JhengHei" w:cs="Microsoft JhengHei" w:eastAsia="Microsoft JhengHei" w:hint="default"/>
          <w:b/>
          <w:bCs/>
          <w:sz w:val="18"/>
          <w:szCs w:val="18"/>
        </w:rPr>
      </w:pPr>
    </w:p>
    <w:p>
      <w:pPr>
        <w:spacing w:line="333" w:lineRule="exact" w:before="0"/>
        <w:ind w:left="119" w:right="99" w:firstLine="0"/>
        <w:jc w:val="left"/>
        <w:rPr>
          <w:rFonts w:ascii="Microsoft JhengHei" w:hAnsi="Microsoft JhengHei" w:cs="Microsoft JhengHei" w:eastAsia="Microsoft JhengHei" w:hint="default"/>
          <w:sz w:val="21"/>
          <w:szCs w:val="21"/>
        </w:rPr>
      </w:pPr>
      <w:bookmarkStart w:name="41、管理费用" w:id="310"/>
      <w:bookmarkEnd w:id="310"/>
      <w:r>
        <w:rPr/>
      </w:r>
      <w:bookmarkStart w:name="单位：元" w:id="311"/>
      <w:bookmarkEnd w:id="311"/>
      <w:r>
        <w:rPr/>
      </w:r>
      <w:bookmarkStart w:name="42、财务费用" w:id="312"/>
      <w:bookmarkEnd w:id="312"/>
      <w:r>
        <w:rPr/>
      </w:r>
      <w:bookmarkStart w:name="43、公允价值变动收益" w:id="313"/>
      <w:bookmarkEnd w:id="313"/>
      <w:r>
        <w:rPr/>
      </w:r>
      <w:r>
        <w:rPr>
          <w:rFonts w:ascii="Times New Roman" w:hAnsi="Times New Roman" w:cs="Times New Roman" w:eastAsia="Times New Roman" w:hint="default"/>
          <w:b/>
          <w:bCs/>
          <w:sz w:val="21"/>
          <w:szCs w:val="21"/>
        </w:rPr>
        <w:t>41</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109,020,395.70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69,302,136.87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75,547,403.21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78,145,668.26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19,979,316.03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16,851,199.52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19,963,128.06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20,309,717.81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7,611,843.83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8,474,432.99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5,463,748.73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6,726,589.58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4,862,994.73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6,042,522.80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3,966,850.31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6,616,476.33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5,265,767.91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2,499,640.52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权益性股份支付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-3,697,008.73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2,869,125.00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17,436,019.88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28,513,249.38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265,420,459.66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246,350,759.06</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42</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25,203,064.56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34,750,161.70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-2,311,135.27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-3,558,150.11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-1,092,576.13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1,466,077.79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-2,644,286.42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1,542,790.28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2,524,054.28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25,900,797.36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29,979,203.32</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43</w:t>
      </w:r>
      <w:r>
        <w:rPr>
          <w:rFonts w:ascii="Microsoft JhengHei" w:hAnsi="Microsoft JhengHei" w:cs="Microsoft JhengHei" w:eastAsia="Microsoft JhengHei" w:hint="default"/>
          <w:b/>
          <w:bCs/>
          <w:sz w:val="21"/>
          <w:szCs w:val="21"/>
        </w:rPr>
        <w:t>、公允价值变动收益</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857"/>
        <w:gridCol w:w="2789"/>
        <w:gridCol w:w="2921"/>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31,436.00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-47,451.00</w:t>
            </w:r>
          </w:p>
        </w:tc>
      </w:tr>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31,436.00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-47,451.00</w:t>
            </w:r>
          </w:p>
        </w:tc>
      </w:tr>
    </w:tbl>
    <w:p>
      <w:pPr>
        <w:pStyle w:val="BodyText"/>
        <w:spacing w:line="240" w:lineRule="auto" w:before="51"/>
        <w:ind w:right="99"/>
        <w:jc w:val="left"/>
      </w:pPr>
      <w:r>
        <w:rPr/>
        <w:t>公允价值变动收益的说明</w:t>
      </w:r>
    </w:p>
    <w:p>
      <w:pPr>
        <w:spacing w:after="0" w:line="240"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right="111" w:firstLine="362"/>
        <w:jc w:val="both"/>
      </w:pPr>
      <w:bookmarkStart w:name="44、投资收益" w:id="314"/>
      <w:bookmarkEnd w:id="314"/>
      <w:r>
        <w:rPr/>
      </w:r>
      <w:bookmarkStart w:name="（1）投资收益明细情况" w:id="315"/>
      <w:bookmarkEnd w:id="315"/>
      <w:r>
        <w:rPr/>
      </w:r>
      <w:bookmarkStart w:name="单位：元" w:id="316"/>
      <w:bookmarkEnd w:id="316"/>
      <w:r>
        <w:rPr/>
      </w:r>
      <w:bookmarkStart w:name="（2）按成本法核算的长期股权投资收益" w:id="317"/>
      <w:bookmarkEnd w:id="317"/>
      <w:r>
        <w:rPr/>
      </w:r>
      <w:bookmarkStart w:name="（3）按权益法核算的长期股权投资收益" w:id="318"/>
      <w:bookmarkEnd w:id="318"/>
      <w:r>
        <w:rPr/>
      </w:r>
      <w:r>
        <w:rPr/>
        <w:t>注</w:t>
      </w:r>
      <w:r>
        <w:rPr>
          <w:spacing w:val="-39"/>
        </w:rPr>
        <w:t>：</w:t>
      </w:r>
      <w:r>
        <w:rPr/>
        <w:t>①截至</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t>日</w:t>
      </w:r>
      <w:r>
        <w:rPr>
          <w:spacing w:val="-36"/>
        </w:rPr>
        <w:t>，</w:t>
      </w:r>
      <w:r>
        <w:rPr/>
        <w:t>本公司的孙公司天鸿</w:t>
      </w:r>
      <w:r>
        <w:rPr>
          <w:spacing w:val="-36"/>
        </w:rPr>
        <w:t>志</w:t>
      </w:r>
      <w:r>
        <w:rPr/>
        <w:t>（北京</w:t>
      </w:r>
      <w:r>
        <w:rPr>
          <w:spacing w:val="-36"/>
        </w:rPr>
        <w:t>）</w:t>
      </w:r>
      <w:r>
        <w:rPr/>
        <w:t>科技有限公司持有群兴玩具</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spacing w:val="-36"/>
        </w:rPr>
        <w:t>股</w:t>
      </w:r>
      <w:r>
        <w:rPr/>
        <w:t>（股票代码</w:t>
      </w:r>
      <w:r>
        <w:rPr>
          <w:spacing w:val="-36"/>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5</w:t>
      </w:r>
      <w:r>
        <w:rPr>
          <w:spacing w:val="-89"/>
        </w:rPr>
        <w:t>）</w:t>
      </w:r>
      <w:r>
        <w:rPr>
          <w:w w:val="50"/>
        </w:rPr>
        <w:t>、</w:t>
      </w:r>
      <w:r>
        <w:rPr>
          <w:w w:val="50"/>
        </w:rPr>
        <w:t> </w:t>
      </w:r>
      <w:r>
        <w:rPr/>
        <w:t>佳士科技</w:t>
      </w:r>
      <w:r>
        <w:rPr>
          <w:rFonts w:ascii="Times New Roman" w:hAnsi="Times New Roman" w:cs="Times New Roman" w:eastAsia="Times New Roman" w:hint="default"/>
        </w:rPr>
        <w:t>500.00</w:t>
      </w:r>
      <w:r>
        <w:rPr/>
        <w:t>股（股票代码：</w:t>
      </w:r>
      <w:r>
        <w:rPr>
          <w:rFonts w:ascii="Times New Roman" w:hAnsi="Times New Roman" w:cs="Times New Roman" w:eastAsia="Times New Roman" w:hint="default"/>
        </w:rPr>
        <w:t>300193</w:t>
      </w:r>
      <w:r>
        <w:rPr/>
        <w:t>）、高盟新材</w:t>
      </w:r>
      <w:r>
        <w:rPr>
          <w:rFonts w:ascii="Times New Roman" w:hAnsi="Times New Roman" w:cs="Times New Roman" w:eastAsia="Times New Roman" w:hint="default"/>
        </w:rPr>
        <w:t>500.00</w:t>
      </w:r>
      <w:r>
        <w:rPr/>
        <w:t>股（股票代码：</w:t>
      </w:r>
      <w:r>
        <w:rPr>
          <w:rFonts w:ascii="Times New Roman" w:hAnsi="Times New Roman" w:cs="Times New Roman" w:eastAsia="Times New Roman" w:hint="default"/>
        </w:rPr>
        <w:t>300200</w:t>
      </w:r>
      <w:r>
        <w:rPr/>
        <w:t>），初始投资成本为：</w:t>
      </w:r>
      <w:r>
        <w:rPr>
          <w:rFonts w:ascii="Times New Roman" w:hAnsi="Times New Roman" w:cs="Times New Roman" w:eastAsia="Times New Roman" w:hint="default"/>
        </w:rPr>
        <w:t>34,190.00</w:t>
      </w:r>
      <w:r>
        <w:rPr/>
        <w:t>元，按照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日股市收盘价格确认本年度公允价值变动损益</w:t>
      </w:r>
      <w:r>
        <w:rPr>
          <w:rFonts w:ascii="Times New Roman" w:hAnsi="Times New Roman" w:cs="Times New Roman" w:eastAsia="Times New Roman" w:hint="default"/>
        </w:rPr>
        <w:t>-1,140.00</w:t>
      </w:r>
      <w:r>
        <w:rPr/>
        <w:t>元。</w:t>
      </w:r>
    </w:p>
    <w:p>
      <w:pPr>
        <w:pStyle w:val="BodyText"/>
        <w:spacing w:line="316" w:lineRule="auto" w:before="13"/>
        <w:ind w:right="99" w:firstLine="720"/>
        <w:jc w:val="left"/>
      </w:pPr>
      <w:r>
        <w:rPr>
          <w:spacing w:val="-2"/>
        </w:rPr>
        <w:t>②本公司的孙公司成都南天佳信信息工程有限公司本年出售所有交易性金融资产，转出交易性金融资产公允价值变</w:t>
      </w:r>
      <w:r>
        <w:rPr/>
        <w:t> 动</w:t>
      </w:r>
      <w:r>
        <w:rPr>
          <w:rFonts w:ascii="Times New Roman" w:hAnsi="Times New Roman" w:cs="Times New Roman" w:eastAsia="Times New Roman" w:hint="default"/>
        </w:rPr>
        <w:t>32,576.00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4"/>
        <w:ind w:left="119" w:right="99"/>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752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）投资收益明细情况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857"/>
        <w:gridCol w:w="2789"/>
        <w:gridCol w:w="2921"/>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6,670,000.00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12,150,000.00</w:t>
            </w:r>
          </w:p>
        </w:tc>
      </w:tr>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15,476,098.64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12,956,817.51</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51,948,822.57</w:t>
            </w:r>
          </w:p>
        </w:tc>
      </w:tr>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1,362.50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850.00</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-37,400.40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20,542.25</w:t>
            </w:r>
          </w:p>
        </w:tc>
      </w:tr>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-475,226.42</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22,110,060.74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76,601,805.91</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）按成本法核算的长期股权投资收益</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28"/>
        <w:gridCol w:w="1992"/>
        <w:gridCol w:w="1728"/>
        <w:gridCol w:w="2921"/>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富滇银行股份有限公司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12,150,000.00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）按权益法核算的长期股权投资收益</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928"/>
        <w:gridCol w:w="1992"/>
        <w:gridCol w:w="1728"/>
        <w:gridCol w:w="2921"/>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广州南天佳信信息工程有限公司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83,801.65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厦门南天世纪信息技术有限公司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456.70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-26,418.84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上海致同信息技术有限公司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-209,348.92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-130,203.26</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928"/>
        <w:gridCol w:w="1992"/>
        <w:gridCol w:w="1728"/>
        <w:gridCol w:w="2921"/>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45、资产减值损失" w:id="319"/>
            <w:bookmarkEnd w:id="319"/>
            <w:r>
              <w:rPr/>
            </w:r>
            <w:bookmarkStart w:name="单位：元" w:id="320"/>
            <w:bookmarkEnd w:id="320"/>
            <w:r>
              <w:rPr/>
            </w:r>
            <w:bookmarkStart w:name="46、营业外收入" w:id="321"/>
            <w:bookmarkEnd w:id="321"/>
            <w:r>
              <w:rPr/>
            </w:r>
            <w:bookmarkStart w:name="（1）营业外收入情况" w:id="322"/>
            <w:bookmarkEnd w:id="322"/>
            <w:r>
              <w:rPr/>
            </w:r>
            <w:bookmarkStart w:name="（2）政府补助明细" w:id="323"/>
            <w:bookmarkEnd w:id="323"/>
            <w:r>
              <w:rPr/>
            </w:r>
            <w:r>
              <w:rPr>
                <w:rFonts w:ascii="宋体" w:hAnsi="宋体" w:cs="宋体" w:eastAsia="宋体" w:hint="default"/>
                <w:sz w:val="18"/>
                <w:szCs w:val="18"/>
              </w:rPr>
              <w:t>昆明积大制药有限公司</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11,495,695.10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13,882,056.61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1,097,692.61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719,987.65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436,250.25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云南东盟公共物流信息有限公司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1,082,798.12</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15,476,098.64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12,956,817.51</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投资收益的说明，若投资收益汇回有重大限制的，应予以说明。若不存在此类重大限制，也应做出说明</w:t>
      </w:r>
    </w:p>
    <w:p>
      <w:pPr>
        <w:spacing w:line="240" w:lineRule="auto" w:before="12"/>
        <w:rPr>
          <w:rFonts w:ascii="宋体" w:hAnsi="宋体" w:cs="宋体" w:eastAsia="宋体" w:hint="default"/>
          <w:sz w:val="21"/>
          <w:szCs w:val="21"/>
        </w:rPr>
      </w:pPr>
    </w:p>
    <w:p>
      <w:pPr>
        <w:pStyle w:val="Heading4"/>
        <w:spacing w:line="400" w:lineRule="auto"/>
        <w:ind w:right="7934" w:firstLine="6"/>
        <w:jc w:val="left"/>
        <w:rPr>
          <w:b w:val="0"/>
          <w:bCs w:val="0"/>
        </w:rPr>
      </w:pPr>
      <w:r>
        <w:rPr>
          <w:rFonts w:ascii="Times New Roman" w:hAnsi="Times New Roman" w:cs="Times New Roman" w:eastAsia="Times New Roman" w:hint="default"/>
          <w:w w:val="95"/>
        </w:rPr>
        <w:t>45</w:t>
      </w:r>
      <w:r>
        <w:rPr>
          <w:w w:val="95"/>
        </w:rPr>
        <w:t>、资产减值损失</w:t>
      </w:r>
      <w:r>
        <w:rPr>
          <w:spacing w:val="19"/>
          <w:w w:val="95"/>
        </w:rPr>
        <w:t> </w:t>
      </w:r>
      <w:r>
        <w:rPr>
          <w:spacing w:val="19"/>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255"/>
        <w:gridCol w:w="2525"/>
        <w:gridCol w:w="2789"/>
      </w:tblGrid>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8,409,401.97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3,637,620.74</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5,159,766.62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8,900,335.45</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8,420,475.00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21,989,643.59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12,537,956.19</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46</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77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）营业外收入情况</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293"/>
        <w:gridCol w:w="1956"/>
        <w:gridCol w:w="2160"/>
        <w:gridCol w:w="2160"/>
      </w:tblGrid>
      <w:tr>
        <w:trPr>
          <w:trHeight w:val="715"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95" w:right="83"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61,650.14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17,724.71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61,650.14</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61,650.14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17,724.71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61,650.14</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221,100.00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15,322,050.30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14,818,937.51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15,322,050.30</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4,978,374.34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17,478,973.75</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3,932,992.63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743,051.82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3,932,992.63</w:t>
            </w:r>
          </w:p>
        </w:tc>
      </w:tr>
      <w:tr>
        <w:trPr>
          <w:trHeight w:val="401"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24,295,067.41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33,279,787.79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19,316,693.07</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）政府补助明细</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662"/>
        <w:gridCol w:w="1992"/>
        <w:gridCol w:w="1994"/>
        <w:gridCol w:w="2921"/>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年南天</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产品产业化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2,700,000.00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659"/>
        <w:gridCol w:w="1994"/>
        <w:gridCol w:w="1994"/>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47、营业外支出" w:id="324"/>
            <w:bookmarkEnd w:id="324"/>
            <w:r>
              <w:rPr/>
            </w:r>
            <w:bookmarkStart w:name="单位：元" w:id="325"/>
            <w:bookmarkEnd w:id="325"/>
            <w:r>
              <w:rPr/>
            </w:r>
            <w:bookmarkStart w:name="48、所得税费用" w:id="326"/>
            <w:bookmarkEnd w:id="326"/>
            <w:r>
              <w:rPr/>
            </w:r>
            <w:r>
              <w:rPr>
                <w:rFonts w:ascii="宋体" w:hAnsi="宋体" w:cs="宋体" w:eastAsia="宋体" w:hint="default"/>
                <w:sz w:val="18"/>
                <w:szCs w:val="18"/>
              </w:rPr>
              <w:t>公从自助系统开发机应用示范</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2,410,400.00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南天非结构化数据平台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软件和动漫发展专项基金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长宁区虹桥临空经济园区专项资 金补助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注册在临空园区的企业，将获得区级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地方以专项扶持资金形式给予的税 收返还</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金融电子化技术研究中心</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软件和动漫人才培训项目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小巨人项目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697,621.50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642,089.20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南天终端安全管理平台产业化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666,666.72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222,222.22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年电子信息产业振兴和技术 改造</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224,682.56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224,682.56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1,832,679.52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12,489,943.53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15,322,050.30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14,818,937.51</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营业外收入说明</w:t>
      </w:r>
    </w:p>
    <w:p>
      <w:pPr>
        <w:spacing w:line="240" w:lineRule="auto" w:before="12"/>
        <w:rPr>
          <w:rFonts w:ascii="宋体" w:hAnsi="宋体" w:cs="宋体" w:eastAsia="宋体" w:hint="default"/>
          <w:sz w:val="21"/>
          <w:szCs w:val="21"/>
        </w:rPr>
      </w:pPr>
    </w:p>
    <w:p>
      <w:pPr>
        <w:pStyle w:val="Heading4"/>
        <w:spacing w:line="400" w:lineRule="auto"/>
        <w:ind w:right="7934" w:firstLine="6"/>
        <w:jc w:val="left"/>
        <w:rPr>
          <w:b w:val="0"/>
          <w:bCs w:val="0"/>
        </w:rPr>
      </w:pPr>
      <w:r>
        <w:rPr>
          <w:rFonts w:ascii="Times New Roman" w:hAnsi="Times New Roman" w:cs="Times New Roman" w:eastAsia="Times New Roman" w:hint="default"/>
          <w:w w:val="95"/>
        </w:rPr>
        <w:t>47</w:t>
      </w:r>
      <w:r>
        <w:rPr>
          <w:w w:val="95"/>
        </w:rPr>
        <w:t>、营业外支出</w:t>
      </w:r>
      <w:r>
        <w:rPr>
          <w:spacing w:val="10"/>
          <w:w w:val="95"/>
        </w:rPr>
        <w:t> </w:t>
      </w:r>
      <w:r>
        <w:rPr>
          <w:spacing w:val="10"/>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720"/>
        <w:gridCol w:w="2021"/>
        <w:gridCol w:w="1915"/>
        <w:gridCol w:w="1913"/>
      </w:tblGrid>
      <w:tr>
        <w:trPr>
          <w:trHeight w:val="71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410,137.95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269,332.08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410,137.95</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54,759.67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153,388.44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54,759.67</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115,582.69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306,945.88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1,689,717.83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306,945.88</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767,083.83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2,128,592.60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767,083.83</w:t>
            </w:r>
          </w:p>
        </w:tc>
      </w:tr>
    </w:tbl>
    <w:p>
      <w:pPr>
        <w:pStyle w:val="BodyText"/>
        <w:spacing w:line="240" w:lineRule="auto" w:before="51"/>
        <w:ind w:right="99"/>
        <w:jc w:val="left"/>
      </w:pPr>
      <w:r>
        <w:rPr/>
        <w:t>营业外支出说明</w:t>
      </w:r>
    </w:p>
    <w:p>
      <w:pPr>
        <w:spacing w:line="240" w:lineRule="auto" w:before="12"/>
        <w:rPr>
          <w:rFonts w:ascii="宋体" w:hAnsi="宋体" w:cs="宋体" w:eastAsia="宋体" w:hint="default"/>
          <w:sz w:val="21"/>
          <w:szCs w:val="21"/>
        </w:rPr>
      </w:pPr>
    </w:p>
    <w:p>
      <w:pPr>
        <w:pStyle w:val="Heading4"/>
        <w:spacing w:line="400" w:lineRule="auto"/>
        <w:ind w:right="7934" w:firstLine="6"/>
        <w:jc w:val="left"/>
        <w:rPr>
          <w:b w:val="0"/>
          <w:bCs w:val="0"/>
        </w:rPr>
      </w:pPr>
      <w:r>
        <w:rPr>
          <w:rFonts w:ascii="Times New Roman" w:hAnsi="Times New Roman" w:cs="Times New Roman" w:eastAsia="Times New Roman" w:hint="default"/>
          <w:w w:val="95"/>
        </w:rPr>
        <w:t>48</w:t>
      </w:r>
      <w:r>
        <w:rPr>
          <w:w w:val="95"/>
        </w:rPr>
        <w:t>、所得税费用</w:t>
      </w:r>
      <w:r>
        <w:rPr>
          <w:spacing w:val="10"/>
          <w:w w:val="95"/>
        </w:rPr>
        <w:t> </w:t>
      </w:r>
      <w:r>
        <w:rPr>
          <w:spacing w:val="10"/>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656"/>
        <w:gridCol w:w="2522"/>
        <w:gridCol w:w="2390"/>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5,134,275.29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15,598,105.45</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-4,126,008.59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2,080,656.34</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1,008,266.70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17,678,761.79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1"/>
        <w:rPr>
          <w:rFonts w:ascii="Microsoft JhengHei" w:hAnsi="Microsoft JhengHei" w:cs="Microsoft JhengHei" w:eastAsia="Microsoft JhengHei" w:hint="default"/>
          <w:b/>
          <w:bCs/>
          <w:sz w:val="18"/>
          <w:szCs w:val="18"/>
        </w:rPr>
      </w:pPr>
    </w:p>
    <w:p>
      <w:pPr>
        <w:spacing w:line="333" w:lineRule="exact" w:before="0"/>
        <w:ind w:left="119" w:right="99" w:firstLine="0"/>
        <w:jc w:val="left"/>
        <w:rPr>
          <w:rFonts w:ascii="Microsoft JhengHei" w:hAnsi="Microsoft JhengHei" w:cs="Microsoft JhengHei" w:eastAsia="Microsoft JhengHei" w:hint="default"/>
          <w:sz w:val="21"/>
          <w:szCs w:val="21"/>
        </w:rPr>
      </w:pPr>
      <w:bookmarkStart w:name="49、基本每股收益和稀释每股收益的计算过程" w:id="327"/>
      <w:bookmarkEnd w:id="327"/>
      <w:r>
        <w:rPr/>
      </w:r>
      <w:r>
        <w:rPr>
          <w:rFonts w:ascii="Times New Roman" w:hAnsi="Times New Roman" w:cs="Times New Roman" w:eastAsia="Times New Roman" w:hint="default"/>
          <w:b/>
          <w:bCs/>
          <w:sz w:val="21"/>
          <w:szCs w:val="21"/>
        </w:rPr>
        <w:t>49</w:t>
      </w:r>
      <w:r>
        <w:rPr>
          <w:rFonts w:ascii="Microsoft JhengHei" w:hAnsi="Microsoft JhengHei" w:cs="Microsoft JhengHei" w:eastAsia="Microsoft JhengHei" w:hint="default"/>
          <w:b/>
          <w:bCs/>
          <w:sz w:val="21"/>
          <w:szCs w:val="21"/>
        </w:rPr>
        <w:t>、基本每股收益和稀释每股收益的计算过程</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316" w:lineRule="auto"/>
        <w:ind w:right="99" w:firstLine="362"/>
        <w:jc w:val="left"/>
      </w:pPr>
      <w:r>
        <w:rPr>
          <w:spacing w:val="-4"/>
          <w:w w:val="99"/>
        </w:rPr>
        <w:t>基本每股收益按照归属于本公司普通股股东的当期净利润，除以发行在外普通股的加权平均数计算。新发行普通股股数，</w:t>
      </w:r>
      <w:r>
        <w:rPr>
          <w:w w:val="50"/>
        </w:rPr>
        <w:t> </w:t>
      </w:r>
      <w:r>
        <w:rPr/>
        <w:t>根据发行合同的具体条款，从应收对价之日（一般为股票发行日）起计算确定。</w:t>
      </w:r>
    </w:p>
    <w:p>
      <w:pPr>
        <w:pStyle w:val="BodyText"/>
        <w:spacing w:line="300" w:lineRule="auto" w:before="19"/>
        <w:ind w:right="99" w:firstLine="422"/>
        <w:jc w:val="left"/>
      </w:pPr>
      <w:r>
        <w:rPr>
          <w:spacing w:val="-2"/>
        </w:rPr>
        <w:t>稀释每股收益的分子以归属于本公司普通股股东的当期净利润，调整下述因素后确定：（</w:t>
      </w:r>
      <w:r>
        <w:rPr>
          <w:rFonts w:ascii="Times New Roman" w:hAnsi="Times New Roman" w:cs="Times New Roman" w:eastAsia="Times New Roman" w:hint="default"/>
          <w:spacing w:val="-2"/>
        </w:rPr>
        <w:t>1</w:t>
      </w:r>
      <w:r>
        <w:rPr>
          <w:spacing w:val="-2"/>
        </w:rPr>
        <w:t>）当期已确认为费用的稀释</w:t>
      </w:r>
      <w:r>
        <w:rPr/>
        <w:t> 性潜在普通股的利息；（</w:t>
      </w:r>
      <w:r>
        <w:rPr>
          <w:rFonts w:ascii="Times New Roman" w:hAnsi="Times New Roman" w:cs="Times New Roman" w:eastAsia="Times New Roman" w:hint="default"/>
        </w:rPr>
        <w:t>2</w:t>
      </w:r>
      <w:r>
        <w:rPr/>
        <w:t>）稀释性潜在普通股转换时将产生的收益或费用；以及（</w:t>
      </w:r>
      <w:r>
        <w:rPr>
          <w:rFonts w:ascii="Times New Roman" w:hAnsi="Times New Roman" w:cs="Times New Roman" w:eastAsia="Times New Roman" w:hint="default"/>
        </w:rPr>
        <w:t>3</w:t>
      </w:r>
      <w:r>
        <w:rPr/>
        <w:t>）上述调整相关的所得税影响。</w:t>
      </w:r>
    </w:p>
    <w:p>
      <w:pPr>
        <w:pStyle w:val="BodyText"/>
        <w:spacing w:line="300" w:lineRule="auto" w:before="13"/>
        <w:ind w:right="99" w:firstLine="362"/>
        <w:jc w:val="left"/>
      </w:pPr>
      <w:r>
        <w:rPr>
          <w:spacing w:val="-2"/>
        </w:rPr>
        <w:t>稀释每股收益的分母等于下列两项之和：（</w:t>
      </w:r>
      <w:r>
        <w:rPr>
          <w:rFonts w:ascii="Times New Roman" w:hAnsi="Times New Roman" w:cs="Times New Roman" w:eastAsia="Times New Roman" w:hint="default"/>
          <w:spacing w:val="-2"/>
        </w:rPr>
        <w:t>1</w:t>
      </w:r>
      <w:r>
        <w:rPr>
          <w:spacing w:val="-2"/>
        </w:rPr>
        <w:t>）基本每股收益中母公司已发行普通股的加权平均数；及（</w:t>
      </w:r>
      <w:r>
        <w:rPr>
          <w:rFonts w:ascii="Times New Roman" w:hAnsi="Times New Roman" w:cs="Times New Roman" w:eastAsia="Times New Roman" w:hint="default"/>
          <w:spacing w:val="-2"/>
        </w:rPr>
        <w:t>2</w:t>
      </w:r>
      <w:r>
        <w:rPr>
          <w:spacing w:val="-2"/>
        </w:rPr>
        <w:t>）假定稀释性</w:t>
      </w:r>
      <w:r>
        <w:rPr/>
        <w:t> 潜在普通股转换为普通股而增加的普通股的加权平均数。</w:t>
      </w:r>
    </w:p>
    <w:p>
      <w:pPr>
        <w:pStyle w:val="BodyText"/>
        <w:spacing w:line="316" w:lineRule="auto" w:before="31"/>
        <w:ind w:right="132" w:firstLine="422"/>
        <w:jc w:val="left"/>
      </w:pPr>
      <w:r>
        <w:rPr/>
        <w:t>在计算稀释性潜在普通股转换为已发行普通股而增加的普通股股数的加权平均数时，以前期间发行的稀释性潜在普通 股，假设在当年年初转换；当年发行的稀释性潜在普通股，假设在发行日转换。</w:t>
      </w:r>
    </w:p>
    <w:p>
      <w:pPr>
        <w:pStyle w:val="BodyText"/>
        <w:spacing w:line="240" w:lineRule="auto" w:before="19"/>
        <w:ind w:left="595" w:right="99"/>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509"/>
        <w:gridCol w:w="1418"/>
        <w:gridCol w:w="1416"/>
        <w:gridCol w:w="1418"/>
        <w:gridCol w:w="1452"/>
      </w:tblGrid>
      <w:tr>
        <w:trPr>
          <w:trHeight w:val="348" w:hRule="exact"/>
        </w:trPr>
        <w:tc>
          <w:tcPr>
            <w:tcW w:w="3509" w:type="dxa"/>
            <w:vMerge w:val="restart"/>
            <w:tcBorders>
              <w:top w:val="single" w:sz="6" w:space="0" w:color="000000"/>
              <w:left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287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67" w:hRule="exact"/>
        </w:trPr>
        <w:tc>
          <w:tcPr>
            <w:tcW w:w="3509" w:type="dxa"/>
            <w:vMerge/>
            <w:tcBorders>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6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6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6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left="18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35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0.0276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0.0276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0.4072</w:t>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6"/>
              <w:jc w:val="right"/>
              <w:rPr>
                <w:rFonts w:ascii="Times New Roman" w:hAnsi="Times New Roman" w:cs="Times New Roman" w:eastAsia="Times New Roman" w:hint="default"/>
                <w:sz w:val="18"/>
                <w:szCs w:val="18"/>
              </w:rPr>
            </w:pPr>
            <w:r>
              <w:rPr>
                <w:rFonts w:ascii="Times New Roman"/>
                <w:spacing w:val="-1"/>
                <w:sz w:val="18"/>
              </w:rPr>
              <w:t>0.4057</w:t>
            </w:r>
          </w:p>
        </w:tc>
      </w:tr>
      <w:tr>
        <w:trPr>
          <w:trHeight w:val="682" w:hRule="exact"/>
        </w:trPr>
        <w:tc>
          <w:tcPr>
            <w:tcW w:w="350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37"/>
              <w:ind w:left="4" w:right="6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-0.0403</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pacing w:val="-1"/>
                <w:sz w:val="18"/>
              </w:rPr>
              <w:t>-0.0402</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0.2190</w:t>
            </w:r>
          </w:p>
        </w:tc>
        <w:tc>
          <w:tcPr>
            <w:tcW w:w="14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9"/>
              <w:ind w:right="6"/>
              <w:jc w:val="right"/>
              <w:rPr>
                <w:rFonts w:ascii="Times New Roman" w:hAnsi="Times New Roman" w:cs="Times New Roman" w:eastAsia="Times New Roman" w:hint="default"/>
                <w:sz w:val="18"/>
                <w:szCs w:val="18"/>
              </w:rPr>
            </w:pPr>
            <w:r>
              <w:rPr>
                <w:rFonts w:ascii="Times New Roman"/>
                <w:spacing w:val="-1"/>
                <w:sz w:val="18"/>
              </w:rPr>
              <w:t>0.2182</w:t>
            </w:r>
          </w:p>
        </w:tc>
      </w:tr>
    </w:tbl>
    <w:p>
      <w:pPr>
        <w:pStyle w:val="BodyText"/>
        <w:spacing w:line="300" w:lineRule="auto" w:before="13"/>
        <w:ind w:right="99" w:firstLine="362"/>
        <w:jc w:val="left"/>
      </w:pPr>
      <w:r>
        <w:rPr>
          <w:spacing w:val="-2"/>
        </w:rPr>
        <w:t>注：由于公司</w:t>
      </w:r>
      <w:r>
        <w:rPr>
          <w:rFonts w:ascii="Times New Roman" w:hAnsi="Times New Roman" w:cs="Times New Roman" w:eastAsia="Times New Roman" w:hint="default"/>
          <w:spacing w:val="-2"/>
        </w:rPr>
        <w:t>2012</w:t>
      </w:r>
      <w:r>
        <w:rPr>
          <w:spacing w:val="-2"/>
        </w:rPr>
        <w:t>年度进行资本公积转增股本，因此上年度基本每股收益和稀释每股收益金额按照调整后的股数重新计</w:t>
      </w:r>
      <w:r>
        <w:rPr/>
        <w:t> 算列报。</w:t>
      </w:r>
    </w:p>
    <w:p>
      <w:pPr>
        <w:pStyle w:val="BodyText"/>
        <w:spacing w:line="240" w:lineRule="auto" w:before="31"/>
        <w:ind w:left="475" w:right="99"/>
        <w:jc w:val="left"/>
      </w:pPr>
      <w:r>
        <w:rPr/>
        <w:t>（</w:t>
      </w:r>
      <w:r>
        <w:rPr>
          <w:rFonts w:ascii="Times New Roman" w:hAnsi="Times New Roman" w:cs="Times New Roman" w:eastAsia="Times New Roman" w:hint="default"/>
        </w:rPr>
        <w:t>2</w:t>
      </w:r>
      <w:r>
        <w:rPr/>
        <w:t>）每股收益和稀释每股收益的计算过程</w:t>
      </w:r>
    </w:p>
    <w:p>
      <w:pPr>
        <w:pStyle w:val="BodyText"/>
        <w:spacing w:line="240" w:lineRule="auto" w:before="63"/>
        <w:ind w:left="475" w:right="99"/>
        <w:jc w:val="left"/>
      </w:pPr>
      <w:r>
        <w:rPr/>
        <w:t>①</w:t>
      </w:r>
      <w:r>
        <w:rPr>
          <w:spacing w:val="-2"/>
        </w:rPr>
        <w:t> </w:t>
      </w:r>
      <w:r>
        <w:rPr/>
        <w:t>计算基本每股收益时，归属于普通股股东的当期净利润为：</w:t>
      </w:r>
    </w:p>
    <w:p>
      <w:pPr>
        <w:spacing w:line="240" w:lineRule="auto" w:before="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352"/>
        <w:gridCol w:w="1987"/>
        <w:gridCol w:w="1874"/>
      </w:tblGrid>
      <w:tr>
        <w:trPr>
          <w:trHeight w:val="353" w:hRule="exact"/>
        </w:trPr>
        <w:tc>
          <w:tcPr>
            <w:tcW w:w="5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6,388,256.96</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94,308,795.43</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6,388,256.96</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94,308,795.43</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633"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1987"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-9,323,457.04</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50,721,289.09</w:t>
            </w:r>
          </w:p>
        </w:tc>
      </w:tr>
      <w:tr>
        <w:trPr>
          <w:trHeight w:val="360"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-9,323,457.04</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50,721,289.09</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633"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1987"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13"/>
        <w:ind w:left="475" w:right="99"/>
        <w:jc w:val="left"/>
      </w:pPr>
      <w:r>
        <w:rPr/>
        <w:t>②</w:t>
      </w:r>
      <w:r>
        <w:rPr>
          <w:spacing w:val="-2"/>
        </w:rPr>
        <w:t> </w:t>
      </w:r>
      <w:r>
        <w:rPr/>
        <w:t>计算稀释性每股收益时，归属于普通股股东的当期净利润为：</w:t>
      </w:r>
    </w:p>
    <w:p>
      <w:pPr>
        <w:spacing w:line="240" w:lineRule="auto" w:before="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352"/>
        <w:gridCol w:w="1987"/>
        <w:gridCol w:w="1874"/>
      </w:tblGrid>
      <w:tr>
        <w:trPr>
          <w:trHeight w:val="353" w:hRule="exact"/>
        </w:trPr>
        <w:tc>
          <w:tcPr>
            <w:tcW w:w="5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1024" w:right="0"/>
              <w:jc w:val="left"/>
              <w:rPr>
                <w:rFonts w:ascii="Times New Roman" w:hAnsi="Times New Roman" w:cs="Times New Roman" w:eastAsia="Times New Roman" w:hint="default"/>
                <w:sz w:val="18"/>
                <w:szCs w:val="18"/>
              </w:rPr>
            </w:pPr>
            <w:r>
              <w:rPr>
                <w:rFonts w:ascii="Times New Roman"/>
                <w:sz w:val="18"/>
              </w:rPr>
              <w:t>6,388,256.96</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left="823" w:right="0"/>
              <w:jc w:val="left"/>
              <w:rPr>
                <w:rFonts w:ascii="Times New Roman" w:hAnsi="Times New Roman" w:cs="Times New Roman" w:eastAsia="Times New Roman" w:hint="default"/>
                <w:sz w:val="18"/>
                <w:szCs w:val="18"/>
              </w:rPr>
            </w:pPr>
            <w:r>
              <w:rPr>
                <w:rFonts w:ascii="Times New Roman"/>
                <w:sz w:val="18"/>
              </w:rPr>
              <w:t>94,308,795.43</w:t>
            </w:r>
          </w:p>
        </w:tc>
      </w:tr>
      <w:tr>
        <w:trPr>
          <w:trHeight w:val="67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4" w:right="110"/>
              <w:jc w:val="left"/>
              <w:rPr>
                <w:rFonts w:ascii="宋体" w:hAnsi="宋体" w:cs="宋体" w:eastAsia="宋体" w:hint="default"/>
                <w:sz w:val="18"/>
                <w:szCs w:val="18"/>
              </w:rPr>
            </w:pPr>
            <w:r>
              <w:rPr>
                <w:rFonts w:ascii="宋体" w:hAnsi="宋体" w:cs="宋体" w:eastAsia="宋体" w:hint="default"/>
                <w:sz w:val="18"/>
                <w:szCs w:val="18"/>
              </w:rPr>
              <w:t>当期已确认为费用的稀释性潜在普通股的利息扣除所得税影响后归 属于普通股股东的部分</w:t>
            </w:r>
          </w:p>
        </w:tc>
        <w:tc>
          <w:tcPr>
            <w:tcW w:w="1987"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4" w:right="110"/>
              <w:jc w:val="left"/>
              <w:rPr>
                <w:rFonts w:ascii="宋体" w:hAnsi="宋体" w:cs="宋体" w:eastAsia="宋体" w:hint="default"/>
                <w:sz w:val="18"/>
                <w:szCs w:val="18"/>
              </w:rPr>
            </w:pPr>
            <w:r>
              <w:rPr>
                <w:rFonts w:ascii="宋体" w:hAnsi="宋体" w:cs="宋体" w:eastAsia="宋体" w:hint="default"/>
                <w:sz w:val="18"/>
                <w:szCs w:val="18"/>
              </w:rPr>
              <w:t>稀释性潜在普通股转换时将产生的收益或费用扣除所得税影响后归 属于普通股股东的部分</w:t>
            </w:r>
          </w:p>
        </w:tc>
        <w:tc>
          <w:tcPr>
            <w:tcW w:w="1987"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1987"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1987"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10"/>
        <w:ind w:left="475" w:right="99"/>
        <w:jc w:val="left"/>
      </w:pPr>
      <w:r>
        <w:rPr/>
        <w:t>③</w:t>
      </w:r>
      <w:r>
        <w:rPr>
          <w:spacing w:val="-2"/>
        </w:rPr>
        <w:t> </w:t>
      </w:r>
      <w:r>
        <w:rPr/>
        <w:t>计算基本每股收益时，分母为发行在外普通股加权平均数，计算过程如下：</w:t>
      </w:r>
    </w:p>
    <w:p>
      <w:pPr>
        <w:spacing w:line="240" w:lineRule="auto" w:before="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352"/>
        <w:gridCol w:w="1987"/>
        <w:gridCol w:w="1874"/>
      </w:tblGrid>
      <w:tr>
        <w:trPr>
          <w:trHeight w:val="355" w:hRule="exact"/>
        </w:trPr>
        <w:tc>
          <w:tcPr>
            <w:tcW w:w="5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60"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210,550,951.00</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210,550,951.00</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21,055,095.00</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21,055,095.00</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1987"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79"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5352"/>
        <w:gridCol w:w="1987"/>
        <w:gridCol w:w="1874"/>
      </w:tblGrid>
      <w:tr>
        <w:trPr>
          <w:trHeight w:val="370" w:hRule="exact"/>
        </w:trPr>
        <w:tc>
          <w:tcPr>
            <w:tcW w:w="5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8"/>
                <w:szCs w:val="18"/>
              </w:rPr>
            </w:pPr>
            <w:bookmarkStart w:name="50、其他综合收益" w:id="328"/>
            <w:bookmarkEnd w:id="328"/>
            <w:r>
              <w:rPr/>
            </w:r>
            <w:bookmarkStart w:name="单位：元" w:id="329"/>
            <w:bookmarkEnd w:id="329"/>
            <w:r>
              <w:rPr/>
            </w:r>
            <w:r>
              <w:rPr>
                <w:rFonts w:ascii="宋体" w:hAnsi="宋体" w:cs="宋体" w:eastAsia="宋体" w:hint="default"/>
                <w:sz w:val="18"/>
                <w:szCs w:val="18"/>
              </w:rPr>
              <w:t>年末发行在外的普通股加权数</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844" w:right="0"/>
              <w:jc w:val="left"/>
              <w:rPr>
                <w:rFonts w:ascii="Times New Roman" w:hAnsi="Times New Roman" w:cs="Times New Roman" w:eastAsia="Times New Roman" w:hint="default"/>
                <w:sz w:val="18"/>
                <w:szCs w:val="18"/>
              </w:rPr>
            </w:pPr>
            <w:r>
              <w:rPr>
                <w:rFonts w:ascii="Times New Roman"/>
                <w:sz w:val="18"/>
              </w:rPr>
              <w:t>231,606,046.00</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left="734" w:right="0"/>
              <w:jc w:val="left"/>
              <w:rPr>
                <w:rFonts w:ascii="Times New Roman" w:hAnsi="Times New Roman" w:cs="Times New Roman" w:eastAsia="Times New Roman" w:hint="default"/>
                <w:sz w:val="18"/>
                <w:szCs w:val="18"/>
              </w:rPr>
            </w:pPr>
            <w:r>
              <w:rPr>
                <w:rFonts w:ascii="Times New Roman"/>
                <w:sz w:val="18"/>
              </w:rPr>
              <w:t>231,606,046.00</w:t>
            </w:r>
          </w:p>
        </w:tc>
      </w:tr>
    </w:tbl>
    <w:p>
      <w:pPr>
        <w:pStyle w:val="BodyText"/>
        <w:spacing w:line="240" w:lineRule="auto" w:before="10"/>
        <w:ind w:left="475" w:right="94"/>
        <w:jc w:val="left"/>
      </w:pPr>
      <w:r>
        <w:rPr/>
        <w:t>④</w:t>
      </w:r>
      <w:r>
        <w:rPr>
          <w:spacing w:val="-2"/>
        </w:rPr>
        <w:t> </w:t>
      </w:r>
      <w:r>
        <w:rPr/>
        <w:t>计算稀释每股收益时，为发行在外普通股加权平均数的计算过程如下：</w:t>
      </w:r>
    </w:p>
    <w:p>
      <w:pPr>
        <w:spacing w:line="240" w:lineRule="auto" w:before="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352"/>
        <w:gridCol w:w="1985"/>
        <w:gridCol w:w="1877"/>
      </w:tblGrid>
      <w:tr>
        <w:trPr>
          <w:trHeight w:val="355" w:hRule="exact"/>
        </w:trPr>
        <w:tc>
          <w:tcPr>
            <w:tcW w:w="5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8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60"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计算基本每股收益的普通股加权平均数</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231,606,046.00</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231,606,046.00</w:t>
            </w:r>
          </w:p>
        </w:tc>
      </w:tr>
      <w:tr>
        <w:trPr>
          <w:trHeight w:val="67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tabs>
                <w:tab w:pos="4624" w:val="left" w:leader="none"/>
              </w:tabs>
              <w:spacing w:line="316" w:lineRule="auto" w:before="22"/>
              <w:ind w:left="422" w:right="170"/>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w:t>
              <w:tab/>
              <w:t>增加的 普通股加权平均数</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204,197.00</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863,146.00</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84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204,197.00</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863,146.00</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8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231,810,243.00</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232,469,192.00</w:t>
            </w:r>
          </w:p>
        </w:tc>
      </w:tr>
    </w:tbl>
    <w:p>
      <w:pPr>
        <w:pStyle w:val="BodyText"/>
        <w:spacing w:line="300" w:lineRule="auto" w:before="10"/>
        <w:ind w:right="201" w:firstLine="362"/>
        <w:jc w:val="both"/>
      </w:pPr>
      <w:r>
        <w:rPr/>
        <w:t>注：本期公司因为股份支付计划而增加的潜在普通股为</w:t>
      </w:r>
      <w:r>
        <w:rPr>
          <w:rFonts w:ascii="Times New Roman" w:hAnsi="Times New Roman" w:cs="Times New Roman" w:eastAsia="Times New Roman" w:hint="default"/>
        </w:rPr>
        <w:t>204,197.00</w:t>
      </w:r>
      <w:r>
        <w:rPr/>
        <w:t>股，计算潜在普通股时使用的公式如下：假定稀释性 潜在普通股转换为已发行普通股而增加的普通股加权平均数</w:t>
      </w:r>
      <w:r>
        <w:rPr>
          <w:rFonts w:ascii="Times New Roman" w:hAnsi="Times New Roman" w:cs="Times New Roman" w:eastAsia="Times New Roman" w:hint="default"/>
        </w:rPr>
        <w:t>=</w:t>
      </w:r>
      <w:r>
        <w:rPr/>
        <w:t>（拟行权时转换的普通股股数</w:t>
      </w:r>
      <w:r>
        <w:rPr>
          <w:rFonts w:ascii="Times New Roman" w:hAnsi="Times New Roman" w:cs="Times New Roman" w:eastAsia="Times New Roman" w:hint="default"/>
        </w:rPr>
        <w:t>-</w:t>
      </w:r>
      <w:r>
        <w:rPr/>
        <w:t>行权价格</w:t>
      </w:r>
      <w:r>
        <w:rPr>
          <w:rFonts w:ascii="Times New Roman" w:hAnsi="Times New Roman" w:cs="Times New Roman" w:eastAsia="Times New Roman" w:hint="default"/>
        </w:rPr>
        <w:t>×</w:t>
      </w:r>
      <w:r>
        <w:rPr/>
        <w:t>拟行权时时转换的普 通股股数</w:t>
      </w:r>
      <w:r>
        <w:rPr>
          <w:rFonts w:ascii="Times New Roman" w:hAnsi="Times New Roman" w:cs="Times New Roman" w:eastAsia="Times New Roman" w:hint="default"/>
        </w:rPr>
        <w:t>÷</w:t>
      </w:r>
      <w:r>
        <w:rPr/>
        <w:t>当期普通股平均市场价格）</w:t>
      </w:r>
      <w:r>
        <w:rPr>
          <w:rFonts w:ascii="Times New Roman" w:hAnsi="Times New Roman" w:cs="Times New Roman" w:eastAsia="Times New Roman" w:hint="default"/>
        </w:rPr>
        <w:t>×</w:t>
      </w:r>
      <w:r>
        <w:rPr/>
        <w:t>时间权数</w:t>
      </w:r>
    </w:p>
    <w:p>
      <w:pPr>
        <w:pStyle w:val="BodyText"/>
        <w:spacing w:line="300" w:lineRule="auto" w:before="13"/>
        <w:ind w:right="195" w:firstLine="362"/>
        <w:jc w:val="both"/>
      </w:pPr>
      <w:r>
        <w:rPr/>
        <w:t>拟行权时转换的普通股股数</w:t>
      </w:r>
      <w:r>
        <w:rPr>
          <w:rFonts w:ascii="Times New Roman" w:hAnsi="Times New Roman" w:cs="Times New Roman" w:eastAsia="Times New Roman" w:hint="default"/>
        </w:rPr>
        <w:t>=</w:t>
      </w:r>
      <w:r>
        <w:rPr/>
        <w:t>（授予股份期权总份数</w:t>
      </w:r>
      <w:r>
        <w:rPr>
          <w:rFonts w:ascii="Times New Roman" w:hAnsi="Times New Roman" w:cs="Times New Roman" w:eastAsia="Times New Roman" w:hint="default"/>
        </w:rPr>
        <w:t>-</w:t>
      </w:r>
      <w:r>
        <w:rPr/>
        <w:t>不具备行权条件股数）</w:t>
      </w:r>
      <w:r>
        <w:rPr>
          <w:rFonts w:ascii="Times New Roman" w:hAnsi="Times New Roman" w:cs="Times New Roman" w:eastAsia="Times New Roman" w:hint="default"/>
        </w:rPr>
        <w:t>×</w:t>
      </w:r>
      <w:r>
        <w:rPr/>
        <w:t>第三期授予份数占公司总股份期权份数的 </w:t>
      </w:r>
      <w:r>
        <w:rPr>
          <w:spacing w:val="-1"/>
        </w:rPr>
        <w:t>比重</w:t>
      </w:r>
      <w:r>
        <w:rPr>
          <w:rFonts w:ascii="Times New Roman" w:hAnsi="Times New Roman" w:cs="Times New Roman" w:eastAsia="Times New Roman" w:hint="default"/>
          <w:spacing w:val="-1"/>
        </w:rPr>
        <w:t>×2012</w:t>
      </w:r>
      <w:r>
        <w:rPr>
          <w:spacing w:val="-1"/>
        </w:rPr>
        <w:t>年公司资本公积转增股本权数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w:t>
      </w:r>
      <w:r>
        <w:rPr>
          <w:spacing w:val="-1"/>
        </w:rPr>
        <w:t>预期离职率</w:t>
      </w:r>
      <w:r>
        <w:rPr>
          <w:rFonts w:ascii="Times New Roman" w:hAnsi="Times New Roman" w:cs="Times New Roman" w:eastAsia="Times New Roman" w:hint="default"/>
          <w:spacing w:val="-1"/>
        </w:rPr>
        <w:t>10.00%</w:t>
      </w:r>
      <w:r>
        <w:rPr>
          <w:spacing w:val="-1"/>
        </w:rPr>
        <w:t>）</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2,950,000.00-300,000.00</w:t>
      </w:r>
      <w:r>
        <w:rPr>
          <w:spacing w:val="-1"/>
        </w:rPr>
        <w:t>）</w:t>
      </w:r>
      <w:r>
        <w:rPr>
          <w:rFonts w:ascii="Times New Roman" w:hAnsi="Times New Roman" w:cs="Times New Roman" w:eastAsia="Times New Roman" w:hint="default"/>
          <w:spacing w:val="-1"/>
        </w:rPr>
        <w:t>×30.00%×1.1×</w:t>
      </w:r>
      <w:r>
        <w:rPr>
          <w:spacing w:val="-1"/>
        </w:rPr>
        <w:t>（</w:t>
      </w:r>
      <w:r>
        <w:rPr>
          <w:rFonts w:ascii="Times New Roman" w:hAnsi="Times New Roman" w:cs="Times New Roman" w:eastAsia="Times New Roman" w:hint="default"/>
          <w:spacing w:val="-1"/>
        </w:rPr>
        <w:t>1-10.00%</w:t>
      </w:r>
      <w:r>
        <w:rPr>
          <w:spacing w:val="-1"/>
        </w:rPr>
        <w:t>）</w:t>
      </w:r>
    </w:p>
    <w:p>
      <w:pPr>
        <w:pStyle w:val="BodyText"/>
        <w:spacing w:line="240" w:lineRule="auto" w:before="13"/>
        <w:ind w:right="94"/>
        <w:jc w:val="left"/>
      </w:pPr>
      <w:r>
        <w:rPr>
          <w:rFonts w:ascii="Times New Roman" w:hAnsi="Times New Roman" w:cs="Times New Roman" w:eastAsia="Times New Roman" w:hint="default"/>
        </w:rPr>
        <w:t>=787,050.00</w:t>
      </w:r>
      <w:r>
        <w:rPr/>
        <w:t>（股）</w:t>
      </w:r>
    </w:p>
    <w:p>
      <w:pPr>
        <w:pStyle w:val="BodyText"/>
        <w:spacing w:line="300" w:lineRule="auto" w:before="63"/>
        <w:ind w:left="475" w:right="101"/>
        <w:jc w:val="left"/>
        <w:rPr>
          <w:rFonts w:ascii="Times New Roman" w:hAnsi="Times New Roman" w:cs="Times New Roman" w:eastAsia="Times New Roman" w:hint="default"/>
        </w:rPr>
      </w:pPr>
      <w:r>
        <w:rPr/>
        <w:t>行权价格</w:t>
      </w:r>
      <w:r>
        <w:rPr>
          <w:rFonts w:ascii="Times New Roman" w:hAnsi="Times New Roman" w:cs="Times New Roman" w:eastAsia="Times New Roman" w:hint="default"/>
        </w:rPr>
        <w:t>=5.88</w:t>
      </w:r>
      <w:r>
        <w:rPr/>
        <w:t>（元</w:t>
      </w:r>
      <w:r>
        <w:rPr>
          <w:rFonts w:ascii="Times New Roman" w:hAnsi="Times New Roman" w:cs="Times New Roman" w:eastAsia="Times New Roman" w:hint="default"/>
        </w:rPr>
        <w:t>/</w:t>
      </w:r>
      <w:r>
        <w:rPr/>
        <w:t>股） </w:t>
      </w:r>
      <w:r>
        <w:rPr>
          <w:spacing w:val="-1"/>
        </w:rPr>
        <w:t>当期普通股平均市场价格</w:t>
      </w:r>
      <w:r>
        <w:rPr>
          <w:rFonts w:ascii="Times New Roman" w:hAnsi="Times New Roman" w:cs="Times New Roman" w:eastAsia="Times New Roman" w:hint="default"/>
          <w:spacing w:val="-1"/>
        </w:rPr>
        <w:t>=</w:t>
      </w:r>
      <w:r>
        <w:rPr>
          <w:spacing w:val="-1"/>
        </w:rPr>
        <w:t>股份期权授予日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日每周公司股票收盘价的平均价</w:t>
      </w:r>
      <w:r>
        <w:rPr>
          <w:rFonts w:ascii="Times New Roman" w:hAnsi="Times New Roman" w:cs="Times New Roman" w:eastAsia="Times New Roman" w:hint="default"/>
          <w:spacing w:val="-1"/>
        </w:rPr>
        <w:t>=7.94</w:t>
      </w:r>
      <w:r>
        <w:rPr>
          <w:spacing w:val="-1"/>
        </w:rPr>
        <w:t>（元</w:t>
      </w:r>
      <w:r>
        <w:rPr>
          <w:rFonts w:ascii="Times New Roman" w:hAnsi="Times New Roman" w:cs="Times New Roman" w:eastAsia="Times New Roman" w:hint="default"/>
          <w:spacing w:val="-1"/>
        </w:rPr>
        <w:t>/</w:t>
      </w:r>
      <w:r>
        <w:rPr>
          <w:spacing w:val="-1"/>
        </w:rPr>
        <w:t>股）</w:t>
      </w:r>
      <w:r>
        <w:rPr>
          <w:spacing w:val="-58"/>
        </w:rPr>
        <w:t> </w:t>
      </w:r>
      <w:r>
        <w:rPr/>
        <w:t>稀释性潜在普通股转换为已发行普通股而增加的普通股加权平均数</w:t>
      </w:r>
      <w:r>
        <w:rPr>
          <w:rFonts w:ascii="Times New Roman" w:hAnsi="Times New Roman" w:cs="Times New Roman" w:eastAsia="Times New Roman" w:hint="default"/>
        </w:rPr>
        <w:t>=787,050.00-</w:t>
      </w:r>
      <w:r>
        <w:rPr/>
        <w:t>（</w:t>
      </w:r>
      <w:r>
        <w:rPr>
          <w:rFonts w:ascii="Times New Roman" w:hAnsi="Times New Roman" w:cs="Times New Roman" w:eastAsia="Times New Roman" w:hint="default"/>
        </w:rPr>
        <w:t>787,050.00×5.88÷7.94</w:t>
      </w:r>
      <w:r>
        <w:rPr/>
        <w:t>）</w:t>
      </w:r>
      <w:r>
        <w:rPr>
          <w:rFonts w:ascii="Times New Roman" w:hAnsi="Times New Roman" w:cs="Times New Roman" w:eastAsia="Times New Roman" w:hint="default"/>
        </w:rPr>
        <w:t>=204,197.00</w:t>
      </w:r>
    </w:p>
    <w:p>
      <w:pPr>
        <w:pStyle w:val="BodyText"/>
        <w:spacing w:line="240" w:lineRule="auto" w:before="13"/>
        <w:ind w:right="94"/>
        <w:jc w:val="left"/>
      </w:pPr>
      <w:r>
        <w:rPr/>
        <w:t>（股）</w:t>
      </w:r>
    </w:p>
    <w:p>
      <w:pPr>
        <w:spacing w:line="240" w:lineRule="auto" w:before="12"/>
        <w:rPr>
          <w:rFonts w:ascii="宋体" w:hAnsi="宋体" w:cs="宋体" w:eastAsia="宋体" w:hint="default"/>
          <w:sz w:val="21"/>
          <w:szCs w:val="21"/>
        </w:rPr>
      </w:pPr>
    </w:p>
    <w:p>
      <w:pPr>
        <w:pStyle w:val="Heading4"/>
        <w:spacing w:line="400" w:lineRule="auto"/>
        <w:ind w:right="7622" w:firstLine="6"/>
        <w:jc w:val="left"/>
        <w:rPr>
          <w:b w:val="0"/>
          <w:bCs w:val="0"/>
        </w:rPr>
      </w:pPr>
      <w:r>
        <w:rPr>
          <w:rFonts w:ascii="Times New Roman" w:hAnsi="Times New Roman" w:cs="Times New Roman" w:eastAsia="Times New Roman" w:hint="default"/>
          <w:w w:val="95"/>
        </w:rPr>
        <w:t>50</w:t>
      </w:r>
      <w:r>
        <w:rPr>
          <w:w w:val="95"/>
        </w:rPr>
        <w:t>、其他综合收益</w:t>
      </w:r>
      <w:r>
        <w:rPr>
          <w:spacing w:val="19"/>
          <w:w w:val="95"/>
        </w:rPr>
        <w:t> </w:t>
      </w:r>
      <w:r>
        <w:rPr>
          <w:spacing w:val="19"/>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654"/>
        <w:gridCol w:w="2522"/>
        <w:gridCol w:w="2393"/>
      </w:tblGrid>
      <w:tr>
        <w:trPr>
          <w:trHeight w:val="401"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-571,333.31</w:t>
            </w:r>
          </w:p>
        </w:tc>
      </w:tr>
      <w:tr>
        <w:trPr>
          <w:trHeight w:val="401"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2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-85,700.00</w:t>
            </w:r>
          </w:p>
        </w:tc>
      </w:tr>
      <w:tr>
        <w:trPr>
          <w:trHeight w:val="403"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2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-485,633.31</w:t>
            </w:r>
          </w:p>
        </w:tc>
      </w:tr>
      <w:tr>
        <w:trPr>
          <w:trHeight w:val="713"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 的份额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-229,895.62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333,101.58</w:t>
            </w:r>
          </w:p>
        </w:tc>
      </w:tr>
      <w:tr>
        <w:trPr>
          <w:trHeight w:val="715"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6" w:firstLine="271"/>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 享有的份额产生的所得税影响</w:t>
            </w:r>
          </w:p>
        </w:tc>
        <w:tc>
          <w:tcPr>
            <w:tcW w:w="252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49,965.24</w:t>
            </w:r>
          </w:p>
        </w:tc>
      </w:tr>
      <w:tr>
        <w:trPr>
          <w:trHeight w:val="401"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3,674,956.95</w:t>
            </w:r>
          </w:p>
        </w:tc>
      </w:tr>
      <w:tr>
        <w:trPr>
          <w:trHeight w:val="403"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-229,895.62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-3,391,820.61</w:t>
            </w:r>
          </w:p>
        </w:tc>
      </w:tr>
      <w:tr>
        <w:trPr>
          <w:trHeight w:val="401" w:hRule="exact"/>
        </w:trPr>
        <w:tc>
          <w:tcPr>
            <w:tcW w:w="4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-229,895.62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-3,877,453.92</w:t>
            </w:r>
          </w:p>
        </w:tc>
      </w:tr>
    </w:tbl>
    <w:p>
      <w:pPr>
        <w:pStyle w:val="BodyText"/>
        <w:spacing w:line="240" w:lineRule="auto" w:before="51"/>
        <w:ind w:right="94"/>
        <w:jc w:val="left"/>
      </w:pPr>
      <w:r>
        <w:rPr/>
        <w:t>其他综合收益说明</w:t>
      </w:r>
    </w:p>
    <w:p>
      <w:pPr>
        <w:spacing w:after="0" w:line="240" w:lineRule="auto"/>
        <w:jc w:val="left"/>
        <w:sectPr>
          <w:pgSz w:w="11910" w:h="16840"/>
          <w:pgMar w:header="745" w:footer="979" w:top="1060" w:bottom="1160" w:left="1020" w:right="940"/>
        </w:sectPr>
      </w:pPr>
    </w:p>
    <w:p>
      <w:pPr>
        <w:spacing w:line="240" w:lineRule="auto" w:before="10"/>
        <w:rPr>
          <w:rFonts w:ascii="宋体" w:hAnsi="宋体" w:cs="宋体" w:eastAsia="宋体" w:hint="default"/>
          <w:sz w:val="24"/>
          <w:szCs w:val="24"/>
        </w:rPr>
      </w:pPr>
    </w:p>
    <w:p>
      <w:pPr>
        <w:pStyle w:val="Heading4"/>
        <w:spacing w:line="333" w:lineRule="exact"/>
        <w:ind w:left="119" w:right="99"/>
        <w:jc w:val="left"/>
        <w:rPr>
          <w:b w:val="0"/>
          <w:bCs w:val="0"/>
        </w:rPr>
      </w:pPr>
      <w:bookmarkStart w:name="51、现金流量表附注" w:id="330"/>
      <w:bookmarkEnd w:id="330"/>
      <w:r>
        <w:rPr>
          <w:b w:val="0"/>
          <w:bCs w:val="0"/>
        </w:rPr>
      </w:r>
      <w:bookmarkStart w:name="（1）收到的其他与经营活动有关的现金" w:id="331"/>
      <w:bookmarkEnd w:id="331"/>
      <w:r>
        <w:rPr>
          <w:b w:val="0"/>
          <w:bCs w:val="0"/>
        </w:rPr>
      </w:r>
      <w:bookmarkStart w:name="单位：元" w:id="332"/>
      <w:bookmarkEnd w:id="332"/>
      <w:r>
        <w:rPr>
          <w:b w:val="0"/>
          <w:bCs w:val="0"/>
        </w:rPr>
      </w:r>
      <w:bookmarkStart w:name="（2）支付的其他与经营活动有关的现金" w:id="333"/>
      <w:bookmarkEnd w:id="333"/>
      <w:r>
        <w:rPr>
          <w:b w:val="0"/>
          <w:bCs w:val="0"/>
        </w:rPr>
      </w:r>
      <w:r>
        <w:rPr>
          <w:rFonts w:ascii="Times New Roman" w:hAnsi="Times New Roman" w:cs="Times New Roman" w:eastAsia="Times New Roman" w:hint="default"/>
        </w:rPr>
        <w:t>51</w:t>
      </w:r>
      <w:r>
        <w:rPr/>
        <w:t>、现金流量表附注</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605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2,311,135.27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代垫款及往来款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807,577.91</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313,500.00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收到北京东大日盛公司、深圳南天东华公司等单位房租</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559,200.00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收到感知集团有限公司诉讼赔款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257,864.01</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收回往来单位保证金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1,510,152.10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收回职工备用金借款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1,455,421.16</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19,234,410.60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收到创新研发人才及创新团队奖励资助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181,100.00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收职工往来款</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1,055,609.92</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27,685,970.97</w:t>
            </w:r>
          </w:p>
        </w:tc>
      </w:tr>
    </w:tbl>
    <w:p>
      <w:pPr>
        <w:pStyle w:val="BodyText"/>
        <w:spacing w:line="240" w:lineRule="auto" w:before="51"/>
        <w:ind w:right="99"/>
        <w:jc w:val="left"/>
      </w:pPr>
      <w:r>
        <w:rPr/>
        <w:t>收到的其他与经营活动有关的现金说明</w:t>
      </w:r>
    </w:p>
    <w:p>
      <w:pPr>
        <w:spacing w:line="240" w:lineRule="auto" w:before="12"/>
        <w:rPr>
          <w:rFonts w:ascii="宋体" w:hAnsi="宋体" w:cs="宋体" w:eastAsia="宋体" w:hint="default"/>
          <w:sz w:val="21"/>
          <w:szCs w:val="21"/>
        </w:rPr>
      </w:pPr>
    </w:p>
    <w:p>
      <w:pPr>
        <w:pStyle w:val="Heading4"/>
        <w:spacing w:line="403" w:lineRule="auto"/>
        <w:ind w:right="6059"/>
        <w:jc w:val="left"/>
        <w:rPr>
          <w:b w:val="0"/>
          <w:bCs w:val="0"/>
        </w:rPr>
      </w:pPr>
      <w:r>
        <w:rPr/>
        <w:t>（</w:t>
      </w:r>
      <w:r>
        <w:rPr>
          <w:rFonts w:ascii="Times New Roman" w:hAnsi="Times New Roman" w:cs="Times New Roman" w:eastAsia="Times New Roman" w:hint="default"/>
        </w:rPr>
        <w:t>2</w:t>
      </w:r>
      <w:r>
        <w:rPr/>
        <w:t>）支付的其他与经营活动有关的现金</w:t>
      </w:r>
      <w:r>
        <w:rPr>
          <w:w w:val="99"/>
        </w:rPr>
        <w:t> </w:t>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19,309,039.54</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45,714,652.20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22,679,774.28</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11,017,394.99</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7,469,432.03</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12,148,687.17</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场地使用费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1,359,170.03</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9,111,697.90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2,196,084.47</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79" w:header="745" w:top="1060" w:bottom="1160" w:left="1020" w:right="1020"/>
          <w:pgNumType w:start="1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3）支付的其他与筹资活动有关的现金" w:id="334"/>
            <w:bookmarkEnd w:id="334"/>
            <w:r>
              <w:rPr/>
            </w:r>
            <w:bookmarkStart w:name="单位：元" w:id="335"/>
            <w:bookmarkEnd w:id="335"/>
            <w:r>
              <w:rPr/>
            </w:r>
            <w:bookmarkStart w:name="52、现金流量表补充资料" w:id="336"/>
            <w:bookmarkEnd w:id="336"/>
            <w:r>
              <w:rPr/>
            </w:r>
            <w:bookmarkStart w:name="（1）现金流量表补充资料" w:id="337"/>
            <w:bookmarkEnd w:id="337"/>
            <w:r>
              <w:rPr/>
            </w:r>
            <w:r>
              <w:rPr>
                <w:rFonts w:ascii="宋体" w:hAnsi="宋体" w:cs="宋体" w:eastAsia="宋体" w:hint="default"/>
                <w:sz w:val="18"/>
                <w:szCs w:val="18"/>
              </w:rPr>
              <w:t>会议费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2,504,794.60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1,473,603.27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1,189,224.71</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1,868,813.74</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燃料费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839,566.57</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1,369,636.90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1,801,140.81</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3,465,767.91</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4,388,043.26</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28,170,752.17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178,077,276.55</w:t>
            </w:r>
          </w:p>
        </w:tc>
      </w:tr>
    </w:tbl>
    <w:p>
      <w:pPr>
        <w:pStyle w:val="BodyText"/>
        <w:spacing w:line="240" w:lineRule="auto" w:before="51"/>
        <w:ind w:right="99"/>
        <w:jc w:val="left"/>
      </w:pPr>
      <w:r>
        <w:rPr/>
        <w:t>支付的其他与经营活动有关的现金说明</w:t>
      </w:r>
    </w:p>
    <w:p>
      <w:pPr>
        <w:spacing w:line="240" w:lineRule="auto" w:before="12"/>
        <w:rPr>
          <w:rFonts w:ascii="宋体" w:hAnsi="宋体" w:cs="宋体" w:eastAsia="宋体" w:hint="default"/>
          <w:sz w:val="21"/>
          <w:szCs w:val="21"/>
        </w:rPr>
      </w:pPr>
    </w:p>
    <w:p>
      <w:pPr>
        <w:pStyle w:val="Heading4"/>
        <w:spacing w:line="400" w:lineRule="auto"/>
        <w:ind w:right="6059"/>
        <w:jc w:val="left"/>
        <w:rPr>
          <w:b w:val="0"/>
          <w:bCs w:val="0"/>
        </w:rPr>
      </w:pPr>
      <w:r>
        <w:rPr/>
        <w:t>（</w:t>
      </w:r>
      <w:r>
        <w:rPr>
          <w:rFonts w:ascii="Times New Roman" w:hAnsi="Times New Roman" w:cs="Times New Roman" w:eastAsia="Times New Roman" w:hint="default"/>
        </w:rPr>
        <w:t>3</w:t>
      </w:r>
      <w:r>
        <w:rPr/>
        <w:t>）支付的其他与筹资活动有关的现金</w:t>
      </w:r>
      <w:r>
        <w:rPr>
          <w:w w:val="99"/>
        </w:rPr>
        <w:t> </w:t>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支付新募集资金项目费用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1,212,704.29</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1,212,704.29</w:t>
            </w:r>
          </w:p>
        </w:tc>
      </w:tr>
    </w:tbl>
    <w:p>
      <w:pPr>
        <w:pStyle w:val="BodyText"/>
        <w:spacing w:line="240" w:lineRule="auto" w:before="51"/>
        <w:ind w:right="99"/>
        <w:jc w:val="left"/>
      </w:pPr>
      <w:r>
        <w:rPr/>
        <w:t>支付的其他与筹资活动有关的现金说明</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52</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73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90"/>
        <w:gridCol w:w="2522"/>
        <w:gridCol w:w="2657"/>
      </w:tblGrid>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6,092,061.30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112,511,884.31</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21,989,643.59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12,537,956.19</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20,802,937.73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25,748,940.24</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22,133,680.62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18,543,635.99</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1,115,705.08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747,277.11</w:t>
            </w:r>
          </w:p>
        </w:tc>
      </w:tr>
      <w:tr>
        <w:trPr>
          <w:trHeight w:val="715"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-6,890.47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135,663.73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4390"/>
        <w:gridCol w:w="2522"/>
        <w:gridCol w:w="2657"/>
      </w:tblGrid>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2）现金和现金等价物的构成" w:id="338"/>
            <w:bookmarkEnd w:id="338"/>
            <w:r>
              <w:rPr/>
            </w:r>
            <w:bookmarkStart w:name="单位：元" w:id="339"/>
            <w:bookmarkEnd w:id="339"/>
            <w:r>
              <w:rPr/>
            </w:r>
            <w:r>
              <w:rPr>
                <w:rFonts w:ascii="宋体" w:hAnsi="宋体" w:cs="宋体" w:eastAsia="宋体" w:hint="default"/>
                <w:sz w:val="18"/>
                <w:szCs w:val="18"/>
              </w:rPr>
              <w:t>固定资产报废损失（收益以“－”号填列）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355,378.28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115,943.64</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-31,436.00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47,451.00</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24,059,187.48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34,626,096.18</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-22,110,060.74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-76,601,805.91</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-4,126,008.59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-4,387,379.96</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6,468,036.30</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-48,765,210.48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-93,038,758.33</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-299,421,714.11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-228,948,201.42</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253,817,533.73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321,346,602.12</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3,124,249.00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4,341,147.35</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-20,970,943.58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134,194,488.54</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197"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26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7"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474,868,279.44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567,083,656.89</w:t>
            </w:r>
          </w:p>
        </w:tc>
      </w:tr>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567,083,656.89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514,608,031.92</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-92,215,377.45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52,475,624.97</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4387"/>
        <w:gridCol w:w="2525"/>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474,868,279.44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567,083,656.89</w:t>
            </w:r>
          </w:p>
        </w:tc>
      </w:tr>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86,570.26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182,845.02</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464,527,871.49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562,127,096.84</w:t>
            </w:r>
          </w:p>
        </w:tc>
      </w:tr>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10,253,837.69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4,773,715.03</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474,868,279.44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567,083,656.89</w:t>
            </w:r>
          </w:p>
        </w:tc>
      </w:tr>
    </w:tbl>
    <w:p>
      <w:pPr>
        <w:pStyle w:val="BodyText"/>
        <w:spacing w:line="357" w:lineRule="auto" w:before="51"/>
        <w:ind w:left="475" w:right="99" w:hanging="363"/>
        <w:jc w:val="left"/>
      </w:pPr>
      <w:r>
        <w:rPr/>
        <w:t>现金流量表补充资料的说明 </w:t>
      </w:r>
      <w:r>
        <w:rPr>
          <w:spacing w:val="-1"/>
        </w:rPr>
        <w:t>注：年末货币资金中</w:t>
      </w:r>
      <w:r>
        <w:rPr>
          <w:rFonts w:ascii="Times New Roman" w:hAnsi="Times New Roman" w:cs="Times New Roman" w:eastAsia="Times New Roman" w:hint="default"/>
          <w:spacing w:val="-1"/>
        </w:rPr>
        <w:t>14,769,676.67</w:t>
      </w:r>
      <w:r>
        <w:rPr>
          <w:spacing w:val="-1"/>
        </w:rPr>
        <w:t>元使用受到限制，其中</w:t>
      </w:r>
      <w:r>
        <w:rPr>
          <w:rFonts w:ascii="Times New Roman" w:hAnsi="Times New Roman" w:cs="Times New Roman" w:eastAsia="Times New Roman" w:hint="default"/>
          <w:spacing w:val="-1"/>
        </w:rPr>
        <w:t>10,769,676.67</w:t>
      </w:r>
      <w:r>
        <w:rPr>
          <w:spacing w:val="-1"/>
        </w:rPr>
        <w:t>元为保函保证金，</w:t>
      </w:r>
      <w:r>
        <w:rPr>
          <w:rFonts w:ascii="Times New Roman" w:hAnsi="Times New Roman" w:cs="Times New Roman" w:eastAsia="Times New Roman" w:hint="default"/>
          <w:spacing w:val="-1"/>
        </w:rPr>
        <w:t>4,000,000.00</w:t>
      </w:r>
      <w:r>
        <w:rPr>
          <w:spacing w:val="-1"/>
        </w:rPr>
        <w:t>元为银行承兑汇票</w:t>
      </w:r>
    </w:p>
    <w:p>
      <w:pPr>
        <w:pStyle w:val="BodyText"/>
        <w:spacing w:line="214" w:lineRule="exact"/>
        <w:ind w:right="99"/>
        <w:jc w:val="left"/>
      </w:pPr>
      <w:r>
        <w:rPr/>
        <w:t>保证金；年初货币资金中</w:t>
      </w:r>
      <w:r>
        <w:rPr>
          <w:rFonts w:ascii="Times New Roman" w:hAnsi="Times New Roman" w:cs="Times New Roman" w:eastAsia="Times New Roman" w:hint="default"/>
        </w:rPr>
        <w:t>5,657,978.77</w:t>
      </w:r>
      <w:r>
        <w:rPr/>
        <w:t>元</w:t>
      </w:r>
      <w:r>
        <w:rPr>
          <w:rFonts w:ascii="Times New Roman" w:hAnsi="Times New Roman" w:cs="Times New Roman" w:eastAsia="Times New Roman" w:hint="default"/>
        </w:rPr>
        <w:t>(</w:t>
      </w:r>
      <w:r>
        <w:rPr/>
        <w:t>银行保函保证金</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使用受到限制，已从现金及现金等价物中扣除。</w:t>
      </w:r>
    </w:p>
    <w:p>
      <w:pPr>
        <w:spacing w:after="0" w:line="214" w:lineRule="exact"/>
        <w:jc w:val="left"/>
        <w:sectPr>
          <w:pgSz w:w="11910" w:h="16840"/>
          <w:pgMar w:header="745" w:footer="979" w:top="1060" w:bottom="1160" w:left="1020" w:right="1020"/>
        </w:sectPr>
      </w:pPr>
    </w:p>
    <w:p>
      <w:pPr>
        <w:spacing w:line="240" w:lineRule="auto" w:before="8"/>
        <w:rPr>
          <w:rFonts w:ascii="宋体" w:hAnsi="宋体" w:cs="宋体" w:eastAsia="宋体" w:hint="default"/>
          <w:sz w:val="23"/>
          <w:szCs w:val="23"/>
        </w:rPr>
      </w:pPr>
    </w:p>
    <w:p>
      <w:pPr>
        <w:pStyle w:val="Heading2"/>
        <w:spacing w:line="367" w:lineRule="exact"/>
        <w:ind w:right="99"/>
        <w:jc w:val="left"/>
        <w:rPr>
          <w:b w:val="0"/>
          <w:bCs w:val="0"/>
        </w:rPr>
      </w:pPr>
      <w:bookmarkStart w:name="八、关联方及关联交易" w:id="340"/>
      <w:bookmarkEnd w:id="340"/>
      <w:r>
        <w:rPr>
          <w:b w:val="0"/>
          <w:bCs w:val="0"/>
        </w:rPr>
      </w:r>
      <w:bookmarkStart w:name="1、本企业的母公司情况" w:id="341"/>
      <w:bookmarkEnd w:id="341"/>
      <w:r>
        <w:rPr>
          <w:b w:val="0"/>
          <w:bCs w:val="0"/>
        </w:rPr>
      </w:r>
      <w:bookmarkStart w:name="单位：元" w:id="342"/>
      <w:bookmarkEnd w:id="342"/>
      <w:r>
        <w:rPr>
          <w:b w:val="0"/>
          <w:bCs w:val="0"/>
        </w:rPr>
      </w:r>
      <w:bookmarkStart w:name="2、关联方交易" w:id="343"/>
      <w:bookmarkEnd w:id="343"/>
      <w:r>
        <w:rPr>
          <w:b w:val="0"/>
          <w:bCs w:val="0"/>
        </w:rPr>
      </w:r>
      <w:bookmarkStart w:name="（1）采购商品、接受劳务情况表" w:id="344"/>
      <w:bookmarkEnd w:id="344"/>
      <w:r>
        <w:rPr>
          <w:b w:val="0"/>
          <w:bCs w:val="0"/>
        </w:rPr>
      </w:r>
      <w:r>
        <w:rPr/>
        <w:t>八、关联方及关联交易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400" w:lineRule="auto"/>
        <w:ind w:right="7319" w:firstLine="6"/>
        <w:jc w:val="left"/>
        <w:rPr>
          <w:b w:val="0"/>
          <w:bCs w:val="0"/>
        </w:rPr>
      </w:pPr>
      <w:r>
        <w:rPr>
          <w:rFonts w:ascii="Times New Roman" w:hAnsi="Times New Roman" w:cs="Times New Roman" w:eastAsia="Times New Roman" w:hint="default"/>
          <w:w w:val="95"/>
        </w:rPr>
        <w:t>1</w:t>
      </w:r>
      <w:r>
        <w:rPr>
          <w:w w:val="95"/>
        </w:rPr>
        <w:t>、本企业的母公司情况</w:t>
      </w:r>
      <w:r>
        <w:rPr>
          <w:spacing w:val="45"/>
          <w:w w:val="95"/>
        </w:rPr>
        <w:t> </w:t>
      </w:r>
      <w:r>
        <w:rPr>
          <w:spacing w:val="45"/>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1"/>
        <w:gridCol w:w="869"/>
        <w:gridCol w:w="862"/>
      </w:tblGrid>
      <w:tr>
        <w:trPr>
          <w:trHeight w:val="358"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3" w:right="71" w:hanging="272"/>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3" w:right="67"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2" w:right="65"/>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2" w:right="67"/>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47" w:right="62"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5"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8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电子计算</w:t>
            </w: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机软硬件</w:t>
            </w: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南天电子 信息产业 集团公司</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国有企业</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产品的开 </w:t>
            </w:r>
            <w:r>
              <w:rPr>
                <w:rFonts w:ascii="宋体" w:hAnsi="宋体" w:cs="宋体" w:eastAsia="宋体" w:hint="default"/>
                <w:w w:val="90"/>
                <w:sz w:val="18"/>
                <w:szCs w:val="18"/>
              </w:rPr>
              <w:t>发、生产、</w:t>
            </w:r>
            <w:r>
              <w:rPr>
                <w:rFonts w:ascii="宋体" w:hAnsi="宋体" w:cs="宋体" w:eastAsia="宋体" w:hint="default"/>
                <w:spacing w:val="-78"/>
                <w:w w:val="90"/>
                <w:sz w:val="18"/>
                <w:szCs w:val="18"/>
              </w:rPr>
              <w:t> </w:t>
            </w:r>
            <w:r>
              <w:rPr>
                <w:rFonts w:ascii="宋体" w:hAnsi="宋体" w:cs="宋体" w:eastAsia="宋体" w:hint="default"/>
                <w:spacing w:val="-78"/>
                <w:w w:val="90"/>
                <w:sz w:val="18"/>
                <w:szCs w:val="18"/>
              </w:rPr>
            </w:r>
            <w:r>
              <w:rPr>
                <w:rFonts w:ascii="宋体" w:hAnsi="宋体" w:cs="宋体" w:eastAsia="宋体" w:hint="default"/>
                <w:spacing w:val="-18"/>
                <w:sz w:val="18"/>
                <w:szCs w:val="18"/>
              </w:rPr>
              <w:t>销售，机床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自动化设 </w:t>
            </w:r>
            <w:r>
              <w:rPr>
                <w:rFonts w:ascii="宋体" w:hAnsi="宋体" w:cs="宋体" w:eastAsia="宋体" w:hint="default"/>
                <w:w w:val="90"/>
                <w:sz w:val="18"/>
                <w:szCs w:val="18"/>
              </w:rPr>
              <w:t>备的开发、</w:t>
            </w:r>
            <w:r>
              <w:rPr>
                <w:rFonts w:ascii="宋体" w:hAnsi="宋体" w:cs="宋体" w:eastAsia="宋体" w:hint="default"/>
                <w:sz w:val="18"/>
                <w:szCs w:val="18"/>
              </w:rPr>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34,340,000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28.34%</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28.34%</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云南省国 有资产监 督管理委 员</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21653146-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312" w:hRule="exact"/>
        </w:trPr>
        <w:tc>
          <w:tcPr>
            <w:tcW w:w="874"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生产</w:t>
            </w:r>
            <w:r>
              <w:rPr>
                <w:rFonts w:ascii="宋体" w:hAnsi="宋体" w:cs="宋体" w:eastAsia="宋体" w:hint="default"/>
                <w:spacing w:val="-87"/>
                <w:sz w:val="18"/>
                <w:szCs w:val="18"/>
              </w:rPr>
              <w:t>、</w:t>
            </w:r>
            <w:r>
              <w:rPr>
                <w:rFonts w:ascii="宋体" w:hAnsi="宋体" w:cs="宋体" w:eastAsia="宋体" w:hint="default"/>
                <w:sz w:val="18"/>
                <w:szCs w:val="18"/>
              </w:rPr>
              <w:t>销售</w:t>
            </w: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w:t>
            </w: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51"/>
        <w:ind w:left="475" w:right="99" w:hanging="363"/>
        <w:jc w:val="left"/>
      </w:pPr>
      <w:r>
        <w:rPr/>
        <w:t>本企业的母公司情况的说明 </w:t>
      </w:r>
      <w:r>
        <w:rPr>
          <w:spacing w:val="-2"/>
        </w:rPr>
        <w:t>注：云南省工业投资控股集团有限责任公司为南天电子信息产业集团公司及云南医药工业股份有限公司的控股股东。南</w:t>
      </w:r>
    </w:p>
    <w:p>
      <w:pPr>
        <w:pStyle w:val="BodyText"/>
        <w:spacing w:line="237" w:lineRule="exact"/>
        <w:ind w:right="0"/>
        <w:jc w:val="both"/>
      </w:pPr>
      <w:r>
        <w:rPr/>
        <w:t>天电子信息产业集团公司直接持有本公司股份</w:t>
      </w:r>
      <w:r>
        <w:rPr>
          <w:rFonts w:ascii="Times New Roman" w:hAnsi="Times New Roman" w:cs="Times New Roman" w:eastAsia="Times New Roman" w:hint="default"/>
        </w:rPr>
        <w:t>65,638,720</w:t>
      </w:r>
      <w:r>
        <w:rPr/>
        <w:t>股，占本公司总股本的</w:t>
      </w:r>
      <w:r>
        <w:rPr>
          <w:rFonts w:ascii="Times New Roman" w:hAnsi="Times New Roman" w:cs="Times New Roman" w:eastAsia="Times New Roman" w:hint="default"/>
        </w:rPr>
        <w:t>28.34%</w:t>
      </w:r>
      <w:r>
        <w:rPr/>
        <w:t>；云南医药工业股份有限公司直接持</w:t>
      </w:r>
    </w:p>
    <w:p>
      <w:pPr>
        <w:pStyle w:val="BodyText"/>
        <w:spacing w:line="300" w:lineRule="auto" w:before="63"/>
        <w:ind w:right="111"/>
        <w:jc w:val="both"/>
      </w:pPr>
      <w:r>
        <w:rPr/>
        <w:t>有本公司股份</w:t>
      </w:r>
      <w:r>
        <w:rPr>
          <w:rFonts w:ascii="Times New Roman" w:hAnsi="Times New Roman" w:cs="Times New Roman" w:eastAsia="Times New Roman" w:hint="default"/>
        </w:rPr>
        <w:t>674,221</w:t>
      </w:r>
      <w:r>
        <w:rPr/>
        <w:t>股，占本公司总股本的</w:t>
      </w:r>
      <w:r>
        <w:rPr>
          <w:rFonts w:ascii="Times New Roman" w:hAnsi="Times New Roman" w:cs="Times New Roman" w:eastAsia="Times New Roman" w:hint="default"/>
        </w:rPr>
        <w:t>0.29%</w:t>
      </w:r>
      <w:r>
        <w:rPr/>
        <w:t>；云南省工业投资控股集团有限责任公司直接持有本公司股份</w:t>
      </w:r>
      <w:r>
        <w:rPr>
          <w:rFonts w:ascii="Times New Roman" w:hAnsi="Times New Roman" w:cs="Times New Roman" w:eastAsia="Times New Roman" w:hint="default"/>
        </w:rPr>
        <w:t>16,500,000 </w:t>
      </w:r>
      <w:r>
        <w:rPr>
          <w:spacing w:val="-1"/>
        </w:rPr>
        <w:t>股，占本公司总股本的</w:t>
      </w:r>
      <w:r>
        <w:rPr>
          <w:rFonts w:ascii="Times New Roman" w:hAnsi="Times New Roman" w:cs="Times New Roman" w:eastAsia="Times New Roman" w:hint="default"/>
          <w:spacing w:val="-1"/>
        </w:rPr>
        <w:t>7.12%</w:t>
      </w:r>
      <w:r>
        <w:rPr>
          <w:spacing w:val="-1"/>
        </w:rPr>
        <w:t>。云南省人民政府国有资产监督管理委员会持有云南省工业投资控股集团有限责任公司</w:t>
      </w:r>
      <w:r>
        <w:rPr>
          <w:rFonts w:ascii="Times New Roman" w:hAnsi="Times New Roman" w:cs="Times New Roman" w:eastAsia="Times New Roman" w:hint="default"/>
          <w:spacing w:val="-1"/>
        </w:rPr>
        <w:t>81.67%</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的股份，云南省人民政府国有资产监督管理委员会间接持有本公司股份</w:t>
      </w:r>
      <w:r>
        <w:rPr>
          <w:rFonts w:ascii="Times New Roman" w:hAnsi="Times New Roman" w:cs="Times New Roman" w:eastAsia="Times New Roman" w:hint="default"/>
        </w:rPr>
        <w:t>82,812,941</w:t>
      </w:r>
      <w:r>
        <w:rPr/>
        <w:t>股，占本公司总股本的</w:t>
      </w:r>
      <w:r>
        <w:rPr>
          <w:rFonts w:ascii="Times New Roman" w:hAnsi="Times New Roman" w:cs="Times New Roman" w:eastAsia="Times New Roman" w:hint="default"/>
        </w:rPr>
        <w:t>35.76%</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0"/>
        <w:ind w:left="119" w:right="0"/>
        <w:jc w:val="both"/>
        <w:rPr>
          <w:b w:val="0"/>
          <w:bCs w:val="0"/>
        </w:rPr>
      </w:pPr>
      <w:r>
        <w:rPr>
          <w:rFonts w:ascii="Times New Roman" w:hAnsi="Times New Roman" w:cs="Times New Roman" w:eastAsia="Times New Roman" w:hint="default"/>
        </w:rPr>
        <w:t>2</w:t>
      </w:r>
      <w:r>
        <w:rPr/>
        <w:t>、关联方交易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668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）采购商品、接受劳务情况表</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7"/>
          <w:szCs w:val="27"/>
        </w:rPr>
      </w:pPr>
    </w:p>
    <w:p>
      <w:pPr>
        <w:pStyle w:val="BodyText"/>
        <w:spacing w:line="240" w:lineRule="auto" w:before="44"/>
        <w:ind w:left="0" w:right="121"/>
        <w:jc w:val="right"/>
      </w:pPr>
      <w:r>
        <w:rPr/>
        <w:pict>
          <v:shape style="position:absolute;margin-left:409.559998pt;margin-top:-31.568289pt;width:85.45pt;height:51pt;mso-position-horizontal-relative:page;mso-position-vertical-relative:paragraph;z-index:-9073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shape style="position:absolute;margin-left:56.399998pt;margin-top:-52.088287pt;width:479.05pt;height:107.6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8"/>
                    <w:gridCol w:w="1726"/>
                    <w:gridCol w:w="1462"/>
                    <w:gridCol w:w="1594"/>
                    <w:gridCol w:w="797"/>
                    <w:gridCol w:w="1594"/>
                    <w:gridCol w:w="797"/>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7" w:right="95" w:hanging="92"/>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726"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9" w:firstLine="1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云南东盟公共物流 信息有限公司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2,942,908.52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99"/>
        <w:jc w:val="left"/>
      </w:pPr>
      <w:r>
        <w:rPr/>
        <w:t>出售商品、提供劳务情况表</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单位：元" w:id="345"/>
      <w:bookmarkEnd w:id="345"/>
      <w:r>
        <w:rPr>
          <w:b w:val="0"/>
          <w:bCs w:val="0"/>
        </w:rPr>
      </w:r>
      <w:bookmarkStart w:name="（2）关联方资金拆借" w:id="346"/>
      <w:bookmarkEnd w:id="346"/>
      <w:r>
        <w:rPr>
          <w:b w:val="0"/>
          <w:bCs w:val="0"/>
        </w:rPr>
      </w:r>
      <w:bookmarkStart w:name="3、关联方应收应付款项" w:id="347"/>
      <w:bookmarkEnd w:id="347"/>
      <w:r>
        <w:rPr>
          <w:b w:val="0"/>
          <w:bCs w:val="0"/>
        </w:rPr>
      </w:r>
      <w:r>
        <w:rPr/>
        <w:t>单位： </w:t>
      </w:r>
      <w:r>
        <w:rPr>
          <w:spacing w:val="2"/>
        </w:rPr>
        <w:t> </w:t>
      </w:r>
      <w:r>
        <w:rPr/>
        <w:t>元</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before="44"/>
        <w:ind w:left="0" w:right="121"/>
        <w:jc w:val="right"/>
      </w:pPr>
      <w:r>
        <w:rPr/>
        <w:pict>
          <v:shape style="position:absolute;margin-left:409.559998pt;margin-top:-31.568283pt;width:85.45pt;height:51pt;mso-position-horizontal-relative:page;mso-position-vertical-relative:paragraph;z-index:-90733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4"/>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w:t>
                  </w:r>
                </w:p>
              </w:txbxContent>
            </v:textbox>
            <w10:wrap type="none"/>
          </v:shape>
        </w:pict>
      </w:r>
      <w:r>
        <w:rPr/>
        <w:pict>
          <v:shape style="position:absolute;margin-left:56.399998pt;margin-top:-52.088284pt;width:479.05pt;height:143.3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8"/>
                    <w:gridCol w:w="1726"/>
                    <w:gridCol w:w="1462"/>
                    <w:gridCol w:w="1594"/>
                    <w:gridCol w:w="797"/>
                    <w:gridCol w:w="1594"/>
                    <w:gridCol w:w="797"/>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316" w:lineRule="auto"/>
                          <w:ind w:left="187" w:right="95" w:hanging="92"/>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726"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9" w:firstLine="1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云南佳程防伪科技 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1,270,085.46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2,857,755.97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25.91%</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云南医药工业股份 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5,333,421.93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333" w:lineRule="exact"/>
        <w:ind w:right="99"/>
        <w:jc w:val="left"/>
        <w:rPr>
          <w:b w:val="0"/>
          <w:bCs w:val="0"/>
        </w:rPr>
      </w:pPr>
      <w:r>
        <w:rPr/>
        <w:t>（</w:t>
      </w:r>
      <w:r>
        <w:rPr>
          <w:rFonts w:ascii="Times New Roman" w:hAnsi="Times New Roman" w:cs="Times New Roman" w:eastAsia="Times New Roman" w:hint="default"/>
        </w:rPr>
        <w:t>2</w:t>
      </w:r>
      <w:r>
        <w:rPr/>
        <w:t>）关联方资金拆借</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南天电子信息产业集团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本次借款不计利息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南天电子信息产业集团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本次借款不计利息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南天电子信息产业集团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本次借款按年利率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计算利息</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9" w:right="9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上市公司应收关联方款项</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059"/>
        <w:gridCol w:w="1666"/>
        <w:gridCol w:w="1462"/>
        <w:gridCol w:w="1462"/>
        <w:gridCol w:w="1459"/>
        <w:gridCol w:w="1459"/>
      </w:tblGrid>
      <w:tr>
        <w:trPr>
          <w:trHeight w:val="401" w:hRule="exact"/>
        </w:trPr>
        <w:tc>
          <w:tcPr>
            <w:tcW w:w="20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9" w:type="dxa"/>
            <w:vMerge/>
            <w:tcBorders>
              <w:left w:val="single" w:sz="4" w:space="0" w:color="000000"/>
              <w:bottom w:val="single" w:sz="4" w:space="0" w:color="000000"/>
              <w:right w:val="single" w:sz="4" w:space="0" w:color="000000"/>
            </w:tcBorders>
            <w:shd w:val="clear" w:color="auto" w:fill="D3D3D3"/>
          </w:tcPr>
          <w:p>
            <w:pPr/>
          </w:p>
        </w:tc>
        <w:tc>
          <w:tcPr>
            <w:tcW w:w="1666"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left"/>
              <w:rPr>
                <w:rFonts w:ascii="宋体" w:hAnsi="宋体" w:cs="宋体" w:eastAsia="宋体" w:hint="default"/>
                <w:sz w:val="18"/>
                <w:szCs w:val="18"/>
              </w:rPr>
            </w:pPr>
            <w:r>
              <w:rPr>
                <w:rFonts w:ascii="宋体" w:hAnsi="宋体" w:cs="宋体" w:eastAsia="宋体" w:hint="default"/>
                <w:sz w:val="18"/>
                <w:szCs w:val="18"/>
              </w:rPr>
              <w:t>云南医药工业股份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1,246,017.87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云南佳程防伪科技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479,194.49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9,583.89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1,293,194.49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10,537.88</w:t>
            </w:r>
          </w:p>
        </w:tc>
      </w:tr>
      <w:tr>
        <w:trPr>
          <w:trHeight w:val="401"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1,725,212.36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1,293,194.49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10,537.88</w:t>
            </w:r>
          </w:p>
        </w:tc>
      </w:tr>
      <w:tr>
        <w:trPr>
          <w:trHeight w:val="71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云南东盟公共物流 信息有限公司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340,407.60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059"/>
        <w:gridCol w:w="1666"/>
        <w:gridCol w:w="1462"/>
        <w:gridCol w:w="1462"/>
        <w:gridCol w:w="1459"/>
        <w:gridCol w:w="1459"/>
      </w:tblGrid>
      <w:tr>
        <w:trPr>
          <w:trHeight w:val="401"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单位：元" w:id="348"/>
            <w:bookmarkEnd w:id="348"/>
            <w:r>
              <w:rPr/>
            </w:r>
            <w:bookmarkStart w:name="九、股份支付" w:id="349"/>
            <w:bookmarkEnd w:id="349"/>
            <w:r>
              <w:rPr/>
            </w:r>
            <w:bookmarkStart w:name="1、股份支付总体情况" w:id="350"/>
            <w:bookmarkEnd w:id="350"/>
            <w:r>
              <w:rPr/>
            </w:r>
            <w:bookmarkStart w:name="2、以权益结算的股份支付情况" w:id="351"/>
            <w:bookmarkEnd w:id="351"/>
            <w:r>
              <w:rPr/>
            </w: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340,407.60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云南东盟公共物流 信息有限公司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云南佳程防伪科技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26,634.55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226.95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23,624.97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614.44</w:t>
            </w:r>
          </w:p>
        </w:tc>
      </w:tr>
      <w:tr>
        <w:trPr>
          <w:trHeight w:val="71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南天电子信息产业 集团公司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28,636.35</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56,350.90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226.95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23,624.97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614.44</w:t>
            </w:r>
          </w:p>
        </w:tc>
      </w:tr>
    </w:tbl>
    <w:p>
      <w:pPr>
        <w:pStyle w:val="BodyText"/>
        <w:spacing w:line="240" w:lineRule="auto" w:before="51"/>
        <w:ind w:right="99"/>
        <w:jc w:val="left"/>
      </w:pPr>
      <w:r>
        <w:rPr/>
        <w:t>上市公司应付关联方款项</w:t>
      </w:r>
    </w:p>
    <w:p>
      <w:pPr>
        <w:spacing w:line="240" w:lineRule="auto" w:before="12"/>
        <w:rPr>
          <w:rFonts w:ascii="宋体" w:hAnsi="宋体" w:cs="宋体" w:eastAsia="宋体" w:hint="default"/>
          <w:sz w:val="21"/>
          <w:szCs w:val="21"/>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794"/>
        <w:gridCol w:w="2258"/>
        <w:gridCol w:w="2258"/>
        <w:gridCol w:w="2258"/>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9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九、股份支付</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spacing w:line="400" w:lineRule="auto" w:before="0"/>
        <w:ind w:left="112" w:right="7739" w:firstLine="6"/>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1</w:t>
      </w:r>
      <w:r>
        <w:rPr>
          <w:rFonts w:ascii="Microsoft JhengHei" w:hAnsi="Microsoft JhengHei" w:cs="Microsoft JhengHei" w:eastAsia="Microsoft JhengHei" w:hint="default"/>
          <w:b/>
          <w:bCs/>
          <w:w w:val="95"/>
          <w:sz w:val="21"/>
          <w:szCs w:val="21"/>
        </w:rPr>
        <w:t>、股份支付总体情况</w:t>
      </w:r>
      <w:r>
        <w:rPr>
          <w:rFonts w:ascii="Microsoft JhengHei" w:hAnsi="Microsoft JhengHei" w:cs="Microsoft JhengHei" w:eastAsia="Microsoft JhengHei" w:hint="default"/>
          <w:b/>
          <w:bCs/>
          <w:spacing w:val="34"/>
          <w:w w:val="95"/>
          <w:sz w:val="21"/>
          <w:szCs w:val="21"/>
        </w:rPr>
        <w:t> </w:t>
      </w:r>
      <w:r>
        <w:rPr>
          <w:rFonts w:ascii="Microsoft JhengHei" w:hAnsi="Microsoft JhengHei" w:cs="Microsoft JhengHei" w:eastAsia="Microsoft JhengHei" w:hint="default"/>
          <w:b/>
          <w:bCs/>
          <w:spacing w:val="34"/>
          <w:w w:val="95"/>
          <w:sz w:val="21"/>
          <w:szCs w:val="21"/>
        </w:rPr>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7"/>
          <w:szCs w:val="7"/>
        </w:rPr>
      </w:pPr>
    </w:p>
    <w:p>
      <w:pPr>
        <w:spacing w:line="415" w:lineRule="exact"/>
        <w:ind w:left="10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79.4pt;height:20.8pt;mso-position-horizontal-relative:char;mso-position-vertical-relative:line" coordorigin="0,0" coordsize="9588,416">
            <v:group style="position:absolute;left:12;top:12;width:3989;height:396" coordorigin="12,12" coordsize="3989,396">
              <v:shape style="position:absolute;left:12;top:12;width:3989;height:396" coordorigin="12,12" coordsize="3989,396" path="m12,12l12,408,4001,408,4001,12,12,12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0;width:9579;height:2" coordorigin="5,410" coordsize="9579,2">
              <v:shape style="position:absolute;left:5;top:410;width:9579;height:2" coordorigin="5,410" coordsize="9579,0" path="m5,410l9583,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003;top:5;width:2;height:401" coordorigin="4003,5" coordsize="2,401">
              <v:shape style="position:absolute;left:4003;top:5;width:2;height:401" coordorigin="4003,5" coordsize="0,401" path="m4003,5l4003,406e" filled="false" stroked="true" strokeweight=".48pt" strokecolor="#000000">
                <v:path arrowok="t"/>
              </v:shape>
            </v:group>
            <v:group style="position:absolute;left:9578;top:5;width:2;height:401" coordorigin="9578,5" coordsize="2,401">
              <v:shape style="position:absolute;left:9578;top:5;width:2;height:401" coordorigin="9578,5" coordsize="0,401" path="m9578,5l9578,406e" filled="false" stroked="true" strokeweight=".48pt" strokecolor="#000000">
                <v:path arrowok="t"/>
              </v:shape>
              <v:shape style="position:absolute;left:10;top:10;width:3994;height:401"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xbxContent>
                </v:textbox>
                <w10:wrap type="none"/>
              </v:shape>
              <v:shape style="position:absolute;left:4003;top:10;width:5576;height:401" type="#_x0000_t202" filled="false" stroked="false">
                <v:textbox inset="0,0,0,0">
                  <w:txbxContent>
                    <w:p>
                      <w:pPr>
                        <w:spacing w:before="96"/>
                        <w:ind w:left="0" w:right="25" w:firstLine="0"/>
                        <w:jc w:val="right"/>
                        <w:rPr>
                          <w:rFonts w:ascii="Times New Roman" w:hAnsi="Times New Roman" w:cs="Times New Roman" w:eastAsia="Times New Roman" w:hint="default"/>
                          <w:sz w:val="18"/>
                          <w:szCs w:val="18"/>
                        </w:rPr>
                      </w:pPr>
                      <w:r>
                        <w:rPr>
                          <w:rFonts w:ascii="Times New Roman"/>
                          <w:spacing w:val="-1"/>
                          <w:sz w:val="18"/>
                        </w:rPr>
                        <w:t>13,000,900.00</w:t>
                      </w:r>
                    </w:p>
                  </w:txbxContent>
                </v:textbox>
                <w10:wrap type="none"/>
              </v:shape>
            </v:group>
          </v:group>
        </w:pict>
      </w:r>
      <w:r>
        <w:rPr>
          <w:rFonts w:ascii="Microsoft JhengHei" w:hAnsi="Microsoft JhengHei" w:cs="Microsoft JhengHei" w:eastAsia="Microsoft JhengHei" w:hint="default"/>
          <w:position w:val="-7"/>
          <w:sz w:val="20"/>
          <w:szCs w:val="20"/>
        </w:rPr>
      </w:r>
    </w:p>
    <w:p>
      <w:pPr>
        <w:pStyle w:val="BodyText"/>
        <w:spacing w:line="240" w:lineRule="auto" w:before="51"/>
        <w:ind w:right="99"/>
        <w:jc w:val="left"/>
      </w:pPr>
      <w:r>
        <w:rPr/>
        <w:t>股份支付情况的说明</w:t>
      </w:r>
    </w:p>
    <w:p>
      <w:pPr>
        <w:spacing w:line="240" w:lineRule="auto" w:before="12"/>
        <w:rPr>
          <w:rFonts w:ascii="宋体" w:hAnsi="宋体" w:cs="宋体" w:eastAsia="宋体" w:hint="default"/>
          <w:sz w:val="21"/>
          <w:szCs w:val="21"/>
        </w:rPr>
      </w:pPr>
    </w:p>
    <w:p>
      <w:pPr>
        <w:pStyle w:val="Heading4"/>
        <w:spacing w:line="400" w:lineRule="auto"/>
        <w:ind w:right="6674" w:firstLine="6"/>
        <w:jc w:val="left"/>
        <w:rPr>
          <w:b w:val="0"/>
          <w:bCs w:val="0"/>
        </w:rPr>
      </w:pPr>
      <w:r>
        <w:rPr>
          <w:rFonts w:ascii="Times New Roman" w:hAnsi="Times New Roman" w:cs="Times New Roman" w:eastAsia="Times New Roman" w:hint="default"/>
          <w:w w:val="95"/>
        </w:rPr>
        <w:t>2</w:t>
      </w:r>
      <w:r>
        <w:rPr>
          <w:w w:val="95"/>
        </w:rPr>
        <w:t>、以权益结算的股份支付情况</w:t>
      </w:r>
      <w:r>
        <w:rPr>
          <w:spacing w:val="25"/>
          <w:w w:val="95"/>
        </w:rPr>
        <w:t> </w:t>
      </w:r>
      <w:r>
        <w:rPr>
          <w:spacing w:val="25"/>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786"/>
        <w:gridCol w:w="4783"/>
      </w:tblGrid>
      <w:tr>
        <w:trPr>
          <w:trHeight w:val="401"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模型（布莱克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第三期股份期权为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874,500.00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份，预期离职率为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p>
        </w:tc>
      </w:tr>
      <w:tr>
        <w:trPr>
          <w:trHeight w:val="401"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6,055,038.00</w:t>
            </w:r>
          </w:p>
        </w:tc>
      </w:tr>
      <w:tr>
        <w:trPr>
          <w:trHeight w:val="401"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10,091,730.00</w:t>
            </w:r>
          </w:p>
        </w:tc>
      </w:tr>
    </w:tbl>
    <w:p>
      <w:pPr>
        <w:pStyle w:val="BodyText"/>
        <w:spacing w:line="360" w:lineRule="auto" w:before="51"/>
        <w:ind w:left="475" w:right="5591" w:hanging="363"/>
        <w:jc w:val="left"/>
      </w:pPr>
      <w:r>
        <w:rPr/>
        <w:t>以权益结算的股份支付的说明 本公司根据权益工具公允价值按以下方法确定：</w:t>
      </w:r>
    </w:p>
    <w:p>
      <w:pPr>
        <w:pStyle w:val="BodyText"/>
        <w:spacing w:line="236" w:lineRule="exact"/>
        <w:ind w:left="475" w:right="99"/>
        <w:jc w:val="left"/>
      </w:pPr>
      <w:r>
        <w:rPr/>
        <w:t>采用</w:t>
      </w:r>
      <w:r>
        <w:rPr>
          <w:rFonts w:ascii="Times New Roman" w:hAnsi="Times New Roman" w:cs="Times New Roman" w:eastAsia="Times New Roman" w:hint="default"/>
        </w:rPr>
        <w:t>B-S</w:t>
      </w:r>
      <w:r>
        <w:rPr>
          <w:rFonts w:ascii="Times New Roman" w:hAnsi="Times New Roman" w:cs="Times New Roman" w:eastAsia="Times New Roman" w:hint="default"/>
          <w:spacing w:val="42"/>
        </w:rPr>
        <w:t> </w:t>
      </w:r>
      <w:r>
        <w:rPr/>
        <w:t>模型对权益工具的公允价值进行测算，相关参数如下：</w:t>
      </w:r>
    </w:p>
    <w:p>
      <w:pPr>
        <w:pStyle w:val="BodyText"/>
        <w:spacing w:line="240" w:lineRule="auto" w:before="63"/>
        <w:ind w:left="475" w:right="99"/>
        <w:jc w:val="left"/>
      </w:pPr>
      <w:r>
        <w:rPr/>
        <w:t>①标的证券现价：</w:t>
      </w:r>
      <w:r>
        <w:rPr>
          <w:rFonts w:ascii="Times New Roman" w:hAnsi="Times New Roman" w:cs="Times New Roman" w:eastAsia="Times New Roman" w:hint="default"/>
        </w:rPr>
        <w:t>16.51</w:t>
      </w:r>
      <w:r>
        <w:rPr/>
        <w:t>元，授予日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日的收盘价；</w:t>
      </w:r>
    </w:p>
    <w:p>
      <w:pPr>
        <w:pStyle w:val="BodyText"/>
        <w:spacing w:line="240" w:lineRule="auto" w:before="63"/>
        <w:ind w:left="475" w:right="99"/>
        <w:jc w:val="left"/>
      </w:pPr>
      <w:r>
        <w:rPr/>
        <w:t>②期权的行权价：</w:t>
      </w:r>
      <w:r>
        <w:rPr>
          <w:rFonts w:ascii="Times New Roman" w:hAnsi="Times New Roman" w:cs="Times New Roman" w:eastAsia="Times New Roman" w:hint="default"/>
        </w:rPr>
        <w:t>6.65</w:t>
      </w:r>
      <w:r>
        <w:rPr/>
        <w:t>元</w:t>
      </w:r>
    </w:p>
    <w:p>
      <w:pPr>
        <w:pStyle w:val="BodyText"/>
        <w:spacing w:line="240" w:lineRule="auto" w:before="63"/>
        <w:ind w:left="475" w:right="99"/>
        <w:jc w:val="left"/>
      </w:pPr>
      <w:r>
        <w:rPr/>
        <w:t>③剩余期限：分别为</w:t>
      </w:r>
      <w:r>
        <w:rPr>
          <w:rFonts w:ascii="Times New Roman" w:hAnsi="Times New Roman" w:cs="Times New Roman" w:eastAsia="Times New Roman" w:hint="default"/>
        </w:rPr>
        <w:t>1,095.00</w:t>
      </w:r>
      <w:r>
        <w:rPr/>
        <w:t>天（</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1,460.00</w:t>
      </w:r>
      <w:r>
        <w:rPr/>
        <w:t>天（</w:t>
      </w:r>
      <w:r>
        <w:rPr>
          <w:rFonts w:ascii="Times New Roman" w:hAnsi="Times New Roman" w:cs="Times New Roman" w:eastAsia="Times New Roman" w:hint="default"/>
        </w:rPr>
        <w:t>4</w:t>
      </w:r>
      <w:r>
        <w:rPr/>
        <w:t>年）、</w:t>
      </w:r>
      <w:r>
        <w:rPr>
          <w:rFonts w:ascii="Times New Roman" w:hAnsi="Times New Roman" w:cs="Times New Roman" w:eastAsia="Times New Roman" w:hint="default"/>
        </w:rPr>
        <w:t>1,825.00</w:t>
      </w:r>
      <w:r>
        <w:rPr/>
        <w:t>天（</w:t>
      </w:r>
      <w:r>
        <w:rPr>
          <w:rFonts w:ascii="Times New Roman" w:hAnsi="Times New Roman" w:cs="Times New Roman" w:eastAsia="Times New Roman" w:hint="default"/>
        </w:rPr>
        <w:t>5</w:t>
      </w:r>
      <w:r>
        <w:rPr/>
        <w:t>年）</w:t>
      </w:r>
    </w:p>
    <w:p>
      <w:pPr>
        <w:pStyle w:val="BodyText"/>
        <w:spacing w:line="240" w:lineRule="auto" w:before="63"/>
        <w:ind w:left="475" w:right="0"/>
        <w:jc w:val="left"/>
      </w:pPr>
      <w:r>
        <w:rPr/>
        <w:t>④无风险收益率：</w:t>
      </w:r>
      <w:r>
        <w:rPr>
          <w:rFonts w:ascii="Times New Roman" w:hAnsi="Times New Roman" w:cs="Times New Roman" w:eastAsia="Times New Roman" w:hint="default"/>
        </w:rPr>
        <w:t>3</w:t>
      </w:r>
      <w:r>
        <w:rPr/>
        <w:t>年期</w:t>
      </w:r>
      <w:r>
        <w:rPr>
          <w:rFonts w:ascii="Times New Roman" w:hAnsi="Times New Roman" w:cs="Times New Roman" w:eastAsia="Times New Roman" w:hint="default"/>
        </w:rPr>
        <w:t>2.31%</w:t>
      </w:r>
      <w:r>
        <w:rPr/>
        <w:t>、</w:t>
      </w:r>
      <w:r>
        <w:rPr>
          <w:rFonts w:ascii="Times New Roman" w:hAnsi="Times New Roman" w:cs="Times New Roman" w:eastAsia="Times New Roman" w:hint="default"/>
        </w:rPr>
        <w:t>4</w:t>
      </w:r>
      <w:r>
        <w:rPr/>
        <w:t>年期</w:t>
      </w:r>
      <w:r>
        <w:rPr>
          <w:rFonts w:ascii="Times New Roman" w:hAnsi="Times New Roman" w:cs="Times New Roman" w:eastAsia="Times New Roman" w:hint="default"/>
        </w:rPr>
        <w:t>2.50%</w:t>
      </w:r>
      <w:r>
        <w:rPr/>
        <w:t>、</w:t>
      </w:r>
      <w:r>
        <w:rPr>
          <w:rFonts w:ascii="Times New Roman" w:hAnsi="Times New Roman" w:cs="Times New Roman" w:eastAsia="Times New Roman" w:hint="default"/>
        </w:rPr>
        <w:t>5</w:t>
      </w:r>
      <w:r>
        <w:rPr/>
        <w:t>年期</w:t>
      </w:r>
      <w:r>
        <w:rPr>
          <w:rFonts w:ascii="Times New Roman" w:hAnsi="Times New Roman" w:cs="Times New Roman" w:eastAsia="Times New Roman" w:hint="default"/>
        </w:rPr>
        <w:t>2.72%</w:t>
      </w:r>
      <w:r>
        <w:rPr/>
        <w:t>，分别取自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日等待期接近于银行间债券市场收益</w:t>
      </w:r>
    </w:p>
    <w:p>
      <w:pPr>
        <w:pStyle w:val="BodyText"/>
        <w:spacing w:line="240" w:lineRule="auto" w:before="63"/>
        <w:ind w:right="99"/>
        <w:jc w:val="left"/>
      </w:pPr>
      <w:r>
        <w:rPr/>
        <w:t>率。</w:t>
      </w:r>
    </w:p>
    <w:p>
      <w:pPr>
        <w:pStyle w:val="BodyText"/>
        <w:spacing w:line="240" w:lineRule="auto" w:before="76"/>
        <w:ind w:left="475" w:right="99"/>
        <w:jc w:val="left"/>
      </w:pPr>
      <w:r>
        <w:rPr/>
        <w:t>⑤标的证券波动率：</w:t>
      </w:r>
      <w:r>
        <w:rPr>
          <w:rFonts w:ascii="Times New Roman" w:hAnsi="Times New Roman" w:cs="Times New Roman" w:eastAsia="Times New Roman" w:hint="default"/>
        </w:rPr>
        <w:t>47.79%</w:t>
      </w:r>
      <w:r>
        <w:rPr/>
        <w:t>（扣除节假日闭市等日期，全年按照</w:t>
      </w:r>
      <w:r>
        <w:rPr>
          <w:rFonts w:ascii="Times New Roman" w:hAnsi="Times New Roman" w:cs="Times New Roman" w:eastAsia="Times New Roman" w:hint="default"/>
        </w:rPr>
        <w:t>250</w:t>
      </w:r>
      <w:r>
        <w:rPr/>
        <w:t>个交易日计算）</w:t>
      </w:r>
    </w:p>
    <w:p>
      <w:pPr>
        <w:spacing w:after="0" w:line="240" w:lineRule="auto"/>
        <w:jc w:val="left"/>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right="99" w:firstLine="362"/>
        <w:jc w:val="left"/>
      </w:pPr>
      <w:bookmarkStart w:name="3、股份支付的修改、终止情况" w:id="352"/>
      <w:bookmarkEnd w:id="352"/>
      <w:r>
        <w:rPr/>
      </w:r>
      <w:bookmarkStart w:name="十、或有事项" w:id="353"/>
      <w:bookmarkEnd w:id="353"/>
      <w:r>
        <w:rPr/>
      </w:r>
      <w:bookmarkStart w:name="十一、其他重要事项" w:id="354"/>
      <w:bookmarkEnd w:id="354"/>
      <w:r>
        <w:rPr/>
      </w:r>
      <w:bookmarkStart w:name="1、其他" w:id="355"/>
      <w:bookmarkEnd w:id="355"/>
      <w:r>
        <w:rPr/>
      </w:r>
      <w:r>
        <w:rPr/>
        <w:t>将以上参数带入《金融界》权证计算器（</w:t>
      </w:r>
      <w:hyperlink r:id="rId32">
        <w:r>
          <w:rPr>
            <w:rFonts w:ascii="Times New Roman" w:hAnsi="Times New Roman" w:cs="Times New Roman" w:eastAsia="Times New Roman" w:hint="default"/>
          </w:rPr>
          <w:t>http://stock.jrj.com.cn/warrant/</w:t>
        </w:r>
      </w:hyperlink>
      <w:r>
        <w:rPr/>
        <w:t>）计算得出权益工具公允价值分别为：</w:t>
      </w:r>
      <w:r>
        <w:rPr>
          <w:rFonts w:ascii="Times New Roman" w:hAnsi="Times New Roman" w:cs="Times New Roman" w:eastAsia="Times New Roman" w:hint="default"/>
        </w:rPr>
        <w:t>10.77</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股、</w:t>
      </w:r>
      <w:r>
        <w:rPr>
          <w:rFonts w:ascii="Times New Roman" w:hAnsi="Times New Roman" w:cs="Times New Roman" w:eastAsia="Times New Roman" w:hint="default"/>
        </w:rPr>
        <w:t>11.15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11.54</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4"/>
        <w:spacing w:line="240" w:lineRule="auto"/>
        <w:ind w:left="119" w:right="99"/>
        <w:jc w:val="left"/>
        <w:rPr>
          <w:b w:val="0"/>
          <w:bCs w:val="0"/>
        </w:rPr>
      </w:pPr>
      <w:r>
        <w:rPr>
          <w:rFonts w:ascii="Times New Roman" w:hAnsi="Times New Roman" w:cs="Times New Roman" w:eastAsia="Times New Roman" w:hint="default"/>
        </w:rPr>
        <w:t>3</w:t>
      </w:r>
      <w:r>
        <w:rPr/>
        <w:t>、股份支付的修改、终止情况</w:t>
      </w:r>
      <w:r>
        <w:rPr>
          <w:b w:val="0"/>
          <w:bCs w:val="0"/>
        </w:rPr>
      </w: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1867"/>
        <w:gridCol w:w="235"/>
        <w:gridCol w:w="7001"/>
      </w:tblGrid>
      <w:tr>
        <w:trPr>
          <w:trHeight w:val="346" w:hRule="exact"/>
        </w:trPr>
        <w:tc>
          <w:tcPr>
            <w:tcW w:w="1867" w:type="dxa"/>
            <w:tcBorders>
              <w:top w:val="nil" w:sz="6" w:space="0" w:color="auto"/>
              <w:left w:val="single" w:sz="6" w:space="0" w:color="000000"/>
              <w:bottom w:val="single" w:sz="12" w:space="0" w:color="000000"/>
              <w:right w:val="single" w:sz="6" w:space="0" w:color="000000"/>
            </w:tcBorders>
          </w:tcPr>
          <w:p>
            <w:pPr>
              <w:pStyle w:val="TableParagraph"/>
              <w:spacing w:line="286" w:lineRule="exact"/>
              <w:ind w:left="566" w:right="0"/>
              <w:jc w:val="left"/>
              <w:rPr>
                <w:rFonts w:ascii="宋体" w:hAnsi="宋体" w:cs="宋体" w:eastAsia="宋体" w:hint="default"/>
                <w:sz w:val="24"/>
                <w:szCs w:val="24"/>
              </w:rPr>
            </w:pPr>
            <w:r>
              <w:rPr>
                <w:rFonts w:ascii="宋体" w:hAnsi="宋体" w:cs="宋体" w:eastAsia="宋体" w:hint="default"/>
                <w:sz w:val="24"/>
                <w:szCs w:val="24"/>
              </w:rPr>
              <w:t>行权期</w:t>
            </w:r>
          </w:p>
        </w:tc>
        <w:tc>
          <w:tcPr>
            <w:tcW w:w="235" w:type="dxa"/>
            <w:tcBorders>
              <w:top w:val="nil" w:sz="6" w:space="0" w:color="auto"/>
              <w:left w:val="single" w:sz="6" w:space="0" w:color="000000"/>
              <w:bottom w:val="single" w:sz="12" w:space="0" w:color="000000"/>
              <w:right w:val="single" w:sz="6" w:space="0" w:color="000000"/>
            </w:tcBorders>
          </w:tcPr>
          <w:p>
            <w:pPr/>
          </w:p>
        </w:tc>
        <w:tc>
          <w:tcPr>
            <w:tcW w:w="7001" w:type="dxa"/>
            <w:tcBorders>
              <w:top w:val="nil" w:sz="6" w:space="0" w:color="auto"/>
              <w:left w:val="single" w:sz="6" w:space="0" w:color="000000"/>
              <w:bottom w:val="single" w:sz="12" w:space="0" w:color="000000"/>
              <w:right w:val="nil" w:sz="6" w:space="0" w:color="auto"/>
            </w:tcBorders>
          </w:tcPr>
          <w:p>
            <w:pPr>
              <w:pStyle w:val="TableParagraph"/>
              <w:spacing w:line="286" w:lineRule="exact"/>
              <w:ind w:left="115" w:right="0"/>
              <w:jc w:val="center"/>
              <w:rPr>
                <w:rFonts w:ascii="宋体" w:hAnsi="宋体" w:cs="宋体" w:eastAsia="宋体" w:hint="default"/>
                <w:sz w:val="24"/>
                <w:szCs w:val="24"/>
              </w:rPr>
            </w:pPr>
            <w:r>
              <w:rPr>
                <w:rFonts w:ascii="宋体" w:hAnsi="宋体" w:cs="宋体" w:eastAsia="宋体" w:hint="default"/>
                <w:sz w:val="24"/>
                <w:szCs w:val="24"/>
              </w:rPr>
              <w:t>财务业绩指标</w:t>
            </w:r>
          </w:p>
        </w:tc>
      </w:tr>
      <w:tr>
        <w:trPr>
          <w:trHeight w:val="362" w:hRule="exact"/>
        </w:trPr>
        <w:tc>
          <w:tcPr>
            <w:tcW w:w="1867"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sz w:val="24"/>
                <w:szCs w:val="24"/>
              </w:rPr>
              <w:t>第二个行权期：</w:t>
            </w:r>
          </w:p>
        </w:tc>
        <w:tc>
          <w:tcPr>
            <w:tcW w:w="235" w:type="dxa"/>
            <w:tcBorders>
              <w:top w:val="single" w:sz="12" w:space="0" w:color="000000"/>
              <w:left w:val="single" w:sz="6" w:space="0" w:color="000000"/>
              <w:bottom w:val="single" w:sz="12" w:space="0" w:color="000000"/>
              <w:right w:val="single" w:sz="6" w:space="0" w:color="000000"/>
            </w:tcBorders>
          </w:tcPr>
          <w:p>
            <w:pPr/>
          </w:p>
        </w:tc>
        <w:tc>
          <w:tcPr>
            <w:tcW w:w="7001" w:type="dxa"/>
            <w:tcBorders>
              <w:top w:val="single" w:sz="12" w:space="0" w:color="000000"/>
              <w:left w:val="single" w:sz="6" w:space="0" w:color="000000"/>
              <w:bottom w:val="single" w:sz="12" w:space="0" w:color="000000"/>
              <w:right w:val="nil" w:sz="6" w:space="0" w:color="auto"/>
            </w:tcBorders>
          </w:tcPr>
          <w:p>
            <w:pPr>
              <w:pStyle w:val="TableParagraph"/>
              <w:spacing w:line="306" w:lineRule="exact"/>
              <w:ind w:left="4" w:right="0"/>
              <w:jc w:val="left"/>
              <w:rPr>
                <w:rFonts w:ascii="宋体" w:hAnsi="宋体" w:cs="宋体" w:eastAsia="宋体" w:hint="default"/>
                <w:sz w:val="24"/>
                <w:szCs w:val="24"/>
              </w:rPr>
            </w:pPr>
            <w:r>
              <w:rPr>
                <w:rFonts w:ascii="宋体" w:hAnsi="宋体" w:cs="宋体" w:eastAsia="宋体" w:hint="default"/>
                <w:sz w:val="24"/>
                <w:szCs w:val="24"/>
              </w:rPr>
              <w:t>该行权期上一年度较</w:t>
            </w:r>
            <w:r>
              <w:rPr>
                <w:rFonts w:ascii="Times New Roman" w:hAnsi="Times New Roman" w:cs="Times New Roman" w:eastAsia="Times New Roman" w:hint="default"/>
                <w:sz w:val="24"/>
                <w:szCs w:val="24"/>
              </w:rPr>
              <w:t>2007</w:t>
            </w:r>
            <w:r>
              <w:rPr>
                <w:rFonts w:ascii="宋体" w:hAnsi="宋体" w:cs="宋体" w:eastAsia="宋体" w:hint="default"/>
                <w:sz w:val="24"/>
                <w:szCs w:val="24"/>
              </w:rPr>
              <w:t>年度的净利润增长率不低于</w:t>
            </w:r>
            <w:r>
              <w:rPr>
                <w:rFonts w:ascii="Times New Roman" w:hAnsi="Times New Roman" w:cs="Times New Roman" w:eastAsia="Times New Roman" w:hint="default"/>
                <w:sz w:val="24"/>
                <w:szCs w:val="24"/>
              </w:rPr>
              <w:t>100%</w:t>
            </w:r>
            <w:r>
              <w:rPr>
                <w:rFonts w:ascii="宋体" w:hAnsi="宋体" w:cs="宋体" w:eastAsia="宋体" w:hint="default"/>
                <w:sz w:val="24"/>
                <w:szCs w:val="24"/>
              </w:rPr>
              <w:t>；</w:t>
            </w:r>
          </w:p>
        </w:tc>
      </w:tr>
      <w:tr>
        <w:trPr>
          <w:trHeight w:val="362" w:hRule="exact"/>
        </w:trPr>
        <w:tc>
          <w:tcPr>
            <w:tcW w:w="1867" w:type="dxa"/>
            <w:tcBorders>
              <w:top w:val="single" w:sz="12" w:space="0" w:color="000000"/>
              <w:left w:val="single" w:sz="6" w:space="0" w:color="000000"/>
              <w:bottom w:val="single" w:sz="12" w:space="0" w:color="000000"/>
              <w:right w:val="single" w:sz="6" w:space="0" w:color="000000"/>
            </w:tcBorders>
          </w:tcPr>
          <w:p>
            <w:pPr/>
          </w:p>
        </w:tc>
        <w:tc>
          <w:tcPr>
            <w:tcW w:w="235" w:type="dxa"/>
            <w:tcBorders>
              <w:top w:val="single" w:sz="12" w:space="0" w:color="000000"/>
              <w:left w:val="single" w:sz="6" w:space="0" w:color="000000"/>
              <w:bottom w:val="single" w:sz="12" w:space="0" w:color="000000"/>
              <w:right w:val="single" w:sz="6" w:space="0" w:color="000000"/>
            </w:tcBorders>
          </w:tcPr>
          <w:p>
            <w:pPr/>
          </w:p>
        </w:tc>
        <w:tc>
          <w:tcPr>
            <w:tcW w:w="7001" w:type="dxa"/>
            <w:tcBorders>
              <w:top w:val="single" w:sz="12" w:space="0" w:color="000000"/>
              <w:left w:val="single" w:sz="6" w:space="0" w:color="000000"/>
              <w:bottom w:val="single" w:sz="12" w:space="0" w:color="000000"/>
              <w:right w:val="nil" w:sz="6" w:space="0" w:color="auto"/>
            </w:tcBorders>
          </w:tcPr>
          <w:p>
            <w:pPr>
              <w:pStyle w:val="TableParagraph"/>
              <w:spacing w:line="306" w:lineRule="exact"/>
              <w:ind w:left="4" w:right="0"/>
              <w:jc w:val="left"/>
              <w:rPr>
                <w:rFonts w:ascii="宋体" w:hAnsi="宋体" w:cs="宋体" w:eastAsia="宋体" w:hint="default"/>
                <w:sz w:val="24"/>
                <w:szCs w:val="24"/>
              </w:rPr>
            </w:pPr>
            <w:r>
              <w:rPr>
                <w:rFonts w:ascii="宋体" w:hAnsi="宋体" w:cs="宋体" w:eastAsia="宋体" w:hint="default"/>
                <w:sz w:val="24"/>
                <w:szCs w:val="24"/>
              </w:rPr>
              <w:t>净资产收益率不低于</w:t>
            </w:r>
            <w:r>
              <w:rPr>
                <w:rFonts w:ascii="Times New Roman" w:hAnsi="Times New Roman" w:cs="Times New Roman" w:eastAsia="Times New Roman" w:hint="default"/>
                <w:sz w:val="24"/>
                <w:szCs w:val="24"/>
              </w:rPr>
              <w:t>6%</w:t>
            </w:r>
            <w:r>
              <w:rPr>
                <w:rFonts w:ascii="宋体" w:hAnsi="宋体" w:cs="宋体" w:eastAsia="宋体" w:hint="default"/>
                <w:sz w:val="24"/>
                <w:szCs w:val="24"/>
              </w:rPr>
              <w:t>；</w:t>
            </w:r>
          </w:p>
        </w:tc>
      </w:tr>
      <w:tr>
        <w:trPr>
          <w:trHeight w:val="362" w:hRule="exact"/>
        </w:trPr>
        <w:tc>
          <w:tcPr>
            <w:tcW w:w="1867" w:type="dxa"/>
            <w:tcBorders>
              <w:top w:val="single" w:sz="12" w:space="0" w:color="000000"/>
              <w:left w:val="single" w:sz="6" w:space="0" w:color="000000"/>
              <w:bottom w:val="single" w:sz="12" w:space="0" w:color="000000"/>
              <w:right w:val="single" w:sz="6" w:space="0" w:color="000000"/>
            </w:tcBorders>
          </w:tcPr>
          <w:p>
            <w:pPr/>
          </w:p>
        </w:tc>
        <w:tc>
          <w:tcPr>
            <w:tcW w:w="235" w:type="dxa"/>
            <w:tcBorders>
              <w:top w:val="single" w:sz="12" w:space="0" w:color="000000"/>
              <w:left w:val="single" w:sz="6" w:space="0" w:color="000000"/>
              <w:bottom w:val="single" w:sz="12" w:space="0" w:color="000000"/>
              <w:right w:val="single" w:sz="6" w:space="0" w:color="000000"/>
            </w:tcBorders>
          </w:tcPr>
          <w:p>
            <w:pPr/>
          </w:p>
        </w:tc>
        <w:tc>
          <w:tcPr>
            <w:tcW w:w="7001" w:type="dxa"/>
            <w:tcBorders>
              <w:top w:val="single" w:sz="12" w:space="0" w:color="000000"/>
              <w:left w:val="single" w:sz="6" w:space="0" w:color="000000"/>
              <w:bottom w:val="single" w:sz="12" w:space="0" w:color="000000"/>
              <w:right w:val="nil" w:sz="6" w:space="0" w:color="auto"/>
            </w:tcBorders>
          </w:tcPr>
          <w:p>
            <w:pPr>
              <w:pStyle w:val="TableParagraph"/>
              <w:spacing w:line="306" w:lineRule="exact"/>
              <w:ind w:left="4" w:right="0"/>
              <w:jc w:val="left"/>
              <w:rPr>
                <w:rFonts w:ascii="宋体" w:hAnsi="宋体" w:cs="宋体" w:eastAsia="宋体" w:hint="default"/>
                <w:sz w:val="24"/>
                <w:szCs w:val="24"/>
              </w:rPr>
            </w:pPr>
            <w:r>
              <w:rPr>
                <w:rFonts w:ascii="宋体" w:hAnsi="宋体" w:cs="宋体" w:eastAsia="宋体" w:hint="default"/>
                <w:sz w:val="24"/>
                <w:szCs w:val="24"/>
              </w:rPr>
              <w:t>主营业务利润占利润总额的比重不低于</w:t>
            </w:r>
            <w:r>
              <w:rPr>
                <w:rFonts w:ascii="Times New Roman" w:hAnsi="Times New Roman" w:cs="Times New Roman" w:eastAsia="Times New Roman" w:hint="default"/>
                <w:sz w:val="24"/>
                <w:szCs w:val="24"/>
              </w:rPr>
              <w:t>60%</w:t>
            </w:r>
            <w:r>
              <w:rPr>
                <w:rFonts w:ascii="宋体" w:hAnsi="宋体" w:cs="宋体" w:eastAsia="宋体" w:hint="default"/>
                <w:sz w:val="24"/>
                <w:szCs w:val="24"/>
              </w:rPr>
              <w:t>。</w:t>
            </w:r>
          </w:p>
        </w:tc>
      </w:tr>
    </w:tbl>
    <w:p>
      <w:pPr>
        <w:pStyle w:val="BodyText"/>
        <w:spacing w:line="300" w:lineRule="auto" w:before="10"/>
        <w:ind w:right="117" w:firstLine="362"/>
        <w:jc w:val="both"/>
      </w:pPr>
      <w:r>
        <w:rPr/>
        <w:t>根据</w:t>
      </w:r>
      <w:r>
        <w:rPr>
          <w:rFonts w:ascii="Times New Roman" w:hAnsi="Times New Roman" w:cs="Times New Roman" w:eastAsia="Times New Roman" w:hint="default"/>
        </w:rPr>
        <w:t>“</w:t>
      </w:r>
      <w:r>
        <w:rPr/>
        <w:t>云南南天电子信息产业股份有限公司董事会薪酬与考核委员会关于对</w:t>
      </w:r>
      <w:r>
        <w:rPr>
          <w:rFonts w:ascii="Times New Roman" w:hAnsi="Times New Roman" w:cs="Times New Roman" w:eastAsia="Times New Roman" w:hint="default"/>
        </w:rPr>
        <w:t>2012</w:t>
      </w:r>
      <w:r>
        <w:rPr/>
        <w:t>年度股权激励行权经营业绩指标考核后 的意见</w:t>
      </w:r>
      <w:r>
        <w:rPr>
          <w:rFonts w:ascii="Times New Roman" w:hAnsi="Times New Roman" w:cs="Times New Roman" w:eastAsia="Times New Roman" w:hint="default"/>
        </w:rPr>
        <w:t>”</w:t>
      </w:r>
      <w:r>
        <w:rPr/>
        <w:t>及《股权激励计划（修订稿）》之规定，公司对归属于母公司的净利润均以扣除非经常性损益的净利润与不扣除非 经常性损益的净利润二者孰低作为计算依据，并且扣除计入当期损益的期权影响金额。</w:t>
      </w:r>
    </w:p>
    <w:p>
      <w:pPr>
        <w:pStyle w:val="BodyText"/>
        <w:spacing w:line="240" w:lineRule="auto" w:before="31"/>
        <w:ind w:left="475" w:right="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2012</w:t>
      </w:r>
      <w:r>
        <w:rPr/>
        <w:t>年净利润较</w:t>
      </w:r>
      <w:r>
        <w:rPr>
          <w:rFonts w:ascii="Times New Roman" w:hAnsi="Times New Roman" w:cs="Times New Roman" w:eastAsia="Times New Roman" w:hint="default"/>
        </w:rPr>
        <w:t>2007</w:t>
      </w:r>
      <w:r>
        <w:rPr/>
        <w:t>年度增长率</w:t>
      </w:r>
      <w:r>
        <w:rPr>
          <w:rFonts w:ascii="Times New Roman" w:hAnsi="Times New Roman" w:cs="Times New Roman" w:eastAsia="Times New Roman" w:hint="default"/>
        </w:rPr>
        <w:t>=[(</w:t>
      </w:r>
      <w:r>
        <w:rPr/>
        <w:t>剔除股份期权影响数</w:t>
      </w:r>
      <w:r>
        <w:rPr>
          <w:rFonts w:ascii="Times New Roman" w:hAnsi="Times New Roman" w:cs="Times New Roman" w:eastAsia="Times New Roman" w:hint="default"/>
        </w:rPr>
        <w:t>2012</w:t>
      </w:r>
      <w:r>
        <w:rPr/>
        <w:t>年度归属于母公司的净利润 </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rFonts w:ascii="Times New Roman" w:hAnsi="Times New Roman" w:cs="Times New Roman" w:eastAsia="Times New Roman" w:hint="default"/>
        </w:rPr>
        <w:t>2012</w:t>
      </w:r>
      <w:r>
        <w:rPr/>
        <w:t>年度非经常性损益</w:t>
      </w:r>
      <w:r>
        <w:rPr>
          <w:rFonts w:ascii="Times New Roman" w:hAnsi="Times New Roman" w:cs="Times New Roman" w:eastAsia="Times New Roman" w:hint="default"/>
        </w:rPr>
        <w:t>)-</w:t>
      </w:r>
    </w:p>
    <w:p>
      <w:pPr>
        <w:pStyle w:val="BodyText"/>
        <w:spacing w:line="240" w:lineRule="auto" w:before="63"/>
        <w:ind w:right="0"/>
        <w:jc w:val="left"/>
      </w:pPr>
      <w:r>
        <w:rPr/>
        <w:t>（</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spacing w:val="12"/>
        </w:rPr>
        <w:t>年归属于母公司净利润</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19"/>
        </w:rPr>
        <w:t> </w:t>
      </w:r>
      <w:r>
        <w:rPr>
          <w:spacing w:val="14"/>
        </w:rPr>
        <w:t>年度非经常性损益</w:t>
      </w:r>
      <w:r>
        <w:rPr>
          <w:rFonts w:ascii="Times New Roman" w:hAnsi="Times New Roman" w:cs="Times New Roman" w:eastAsia="Times New Roman" w:hint="default"/>
          <w:spacing w:val="14"/>
        </w:rPr>
        <w:t>)]÷</w:t>
      </w:r>
      <w:r>
        <w:rPr>
          <w:spacing w:val="14"/>
        </w:rPr>
        <w:t>（</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2"/>
        </w:rPr>
        <w:t> </w:t>
      </w:r>
      <w:r>
        <w:rPr>
          <w:spacing w:val="12"/>
        </w:rPr>
        <w:t>年归属于母公司净利润</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19"/>
        </w:rPr>
        <w:t> </w:t>
      </w:r>
      <w:r>
        <w:rPr>
          <w:spacing w:val="16"/>
        </w:rPr>
        <w:t>年度非经常性损益）</w:t>
      </w:r>
    </w:p>
    <w:p>
      <w:pPr>
        <w:pStyle w:val="BodyText"/>
        <w:spacing w:line="240" w:lineRule="auto" w:before="63"/>
        <w:ind w:right="99"/>
        <w:jc w:val="left"/>
        <w:rPr>
          <w:rFonts w:ascii="Times New Roman" w:hAnsi="Times New Roman" w:cs="Times New Roman" w:eastAsia="Times New Roman" w:hint="default"/>
        </w:rPr>
      </w:pPr>
      <w:r>
        <w:rPr>
          <w:rFonts w:ascii="Times New Roman" w:hAnsi="Times New Roman" w:cs="Times New Roman" w:eastAsia="Times New Roman" w:hint="default"/>
        </w:rPr>
        <w:t>=[</w:t>
      </w:r>
      <w:r>
        <w:rPr/>
        <w:t>（</w:t>
      </w:r>
      <w:r>
        <w:rPr>
          <w:rFonts w:ascii="Times New Roman" w:hAnsi="Times New Roman" w:cs="Times New Roman" w:eastAsia="Times New Roman" w:hint="default"/>
        </w:rPr>
        <w:t>6,388,256.96 -10,400,720.00+ 6,047,420.50-15,711,714.00</w:t>
      </w:r>
      <w:r>
        <w:rPr/>
        <w:t>）</w:t>
      </w:r>
      <w:r>
        <w:rPr>
          <w:rFonts w:ascii="Times New Roman" w:hAnsi="Times New Roman" w:cs="Times New Roman" w:eastAsia="Times New Roman" w:hint="default"/>
        </w:rPr>
        <w:t>- (32,757,452.79- 1,772,154.81)]÷</w:t>
      </w:r>
      <w:r>
        <w:rPr>
          <w:rFonts w:ascii="Times New Roman" w:hAnsi="Times New Roman" w:cs="Times New Roman" w:eastAsia="Times New Roman" w:hint="default"/>
          <w:spacing w:val="30"/>
        </w:rPr>
        <w:t> </w:t>
      </w:r>
      <w:r>
        <w:rPr>
          <w:rFonts w:ascii="Times New Roman" w:hAnsi="Times New Roman" w:cs="Times New Roman" w:eastAsia="Times New Roman" w:hint="default"/>
        </w:rPr>
        <w:t>(32,757,452.79-1,772,154.81)=</w:t>
      </w:r>
    </w:p>
    <w:p>
      <w:pPr>
        <w:pStyle w:val="BodyText"/>
        <w:spacing w:line="240" w:lineRule="auto" w:before="105"/>
        <w:ind w:right="99"/>
        <w:jc w:val="left"/>
        <w:rPr>
          <w:rFonts w:ascii="Times New Roman" w:hAnsi="Times New Roman" w:cs="Times New Roman" w:eastAsia="Times New Roman" w:hint="default"/>
        </w:rPr>
      </w:pPr>
      <w:r>
        <w:rPr>
          <w:rFonts w:ascii="Times New Roman"/>
        </w:rPr>
        <w:t>-144.14%</w:t>
      </w:r>
    </w:p>
    <w:p>
      <w:pPr>
        <w:pStyle w:val="BodyText"/>
        <w:spacing w:line="240" w:lineRule="auto" w:before="63"/>
        <w:ind w:left="475"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b</w:t>
      </w:r>
      <w:r>
        <w:rPr>
          <w:spacing w:val="-70"/>
        </w:rPr>
        <w:t>、</w:t>
      </w:r>
      <w:r>
        <w:rPr/>
        <w:t>股份支付净资产收益</w:t>
      </w:r>
      <w:r>
        <w:rPr>
          <w:spacing w:val="2"/>
        </w:rPr>
        <w:t>率</w:t>
      </w:r>
      <w:r>
        <w:rPr>
          <w:rFonts w:ascii="Times New Roman" w:hAnsi="Times New Roman" w:cs="Times New Roman" w:eastAsia="Times New Roman" w:hint="default"/>
          <w:spacing w:val="-71"/>
        </w:rPr>
        <w:t>=</w:t>
      </w:r>
      <w:r>
        <w:rPr/>
        <w:t>（剔除股份期权影响数</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t>年度归属于母公司的净利润</w:t>
      </w:r>
      <w:r>
        <w:rPr>
          <w:spacing w:val="3"/>
        </w:rPr>
        <w:t>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t>年度非经常性损益金</w:t>
      </w:r>
      <w:r>
        <w:rPr>
          <w:spacing w:val="2"/>
        </w:rPr>
        <w:t>额</w:t>
      </w:r>
      <w:r>
        <w:rPr>
          <w:spacing w:val="-70"/>
        </w:rPr>
        <w:t>）</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p>
    <w:p>
      <w:pPr>
        <w:pStyle w:val="BodyText"/>
        <w:spacing w:line="240" w:lineRule="auto" w:before="63"/>
        <w:ind w:right="99"/>
        <w:jc w:val="left"/>
        <w:rPr>
          <w:rFonts w:ascii="Times New Roman" w:hAnsi="Times New Roman" w:cs="Times New Roman" w:eastAsia="Times New Roman" w:hint="default"/>
        </w:rPr>
      </w:pPr>
      <w:r>
        <w:rPr/>
        <w:t>年归属于母公司的加权平均净资产</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rFonts w:ascii="Times New Roman" w:hAnsi="Times New Roman" w:cs="Times New Roman" w:eastAsia="Times New Roman" w:hint="default"/>
        </w:rPr>
        <w:t>(6,388,256.96</w:t>
      </w:r>
      <w:r>
        <w:rPr>
          <w:rFonts w:ascii="Times New Roman" w:hAnsi="Times New Roman" w:cs="Times New Roman" w:eastAsia="Times New Roman" w:hint="default"/>
          <w:spacing w:val="-9"/>
        </w:rPr>
        <w:t> </w:t>
      </w:r>
      <w:r>
        <w:rPr>
          <w:rFonts w:ascii="Times New Roman" w:hAnsi="Times New Roman" w:cs="Times New Roman" w:eastAsia="Times New Roman" w:hint="default"/>
        </w:rPr>
        <w:t>-10,400,720.00+6,047,420.50-15,711,714.00</w:t>
      </w:r>
      <w:r>
        <w:rPr/>
        <w:t>）</w:t>
      </w:r>
      <w:r>
        <w:rPr>
          <w:rFonts w:ascii="Times New Roman" w:hAnsi="Times New Roman" w:cs="Times New Roman" w:eastAsia="Times New Roman" w:hint="default"/>
        </w:rPr>
        <w:t>÷1,292,738,587.42</w:t>
      </w:r>
      <w:r>
        <w:rPr>
          <w:rFonts w:ascii="Times New Roman" w:hAnsi="Times New Roman" w:cs="Times New Roman" w:eastAsia="Times New Roman" w:hint="default"/>
          <w:spacing w:val="-9"/>
        </w:rPr>
        <w:t> </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rFonts w:ascii="Times New Roman" w:hAnsi="Times New Roman" w:cs="Times New Roman" w:eastAsia="Times New Roman" w:hint="default"/>
        </w:rPr>
        <w:t>-1.06%</w:t>
      </w:r>
    </w:p>
    <w:p>
      <w:pPr>
        <w:pStyle w:val="BodyText"/>
        <w:spacing w:line="240" w:lineRule="auto" w:before="63"/>
        <w:ind w:left="475" w:right="99"/>
        <w:jc w:val="left"/>
        <w:rPr>
          <w:rFonts w:ascii="Times New Roman" w:hAnsi="Times New Roman" w:cs="Times New Roman" w:eastAsia="Times New Roman" w:hint="default"/>
        </w:rPr>
      </w:pPr>
      <w:r>
        <w:rPr>
          <w:rFonts w:ascii="Times New Roman" w:hAnsi="Times New Roman" w:cs="Times New Roman" w:eastAsia="Times New Roman" w:hint="default"/>
          <w:spacing w:val="12"/>
        </w:rPr>
        <w:t>c</w:t>
      </w:r>
      <w:r>
        <w:rPr>
          <w:spacing w:val="12"/>
        </w:rPr>
        <w:t>、主营业务利润占利润总额的比重</w:t>
      </w:r>
      <w:r>
        <w:rPr>
          <w:rFonts w:ascii="Times New Roman" w:hAnsi="Times New Roman" w:cs="Times New Roman" w:eastAsia="Times New Roman" w:hint="default"/>
          <w:spacing w:val="12"/>
        </w:rPr>
        <w:t>=</w:t>
      </w:r>
      <w:r>
        <w:rPr>
          <w:spacing w:val="12"/>
        </w:rPr>
        <w:t>（主营业务收入</w:t>
      </w:r>
      <w:r>
        <w:rPr>
          <w:rFonts w:ascii="Times New Roman" w:hAnsi="Times New Roman" w:cs="Times New Roman" w:eastAsia="Times New Roman" w:hint="default"/>
          <w:spacing w:val="12"/>
        </w:rPr>
        <w:t>-</w:t>
      </w:r>
      <w:r>
        <w:rPr>
          <w:spacing w:val="12"/>
        </w:rPr>
        <w:t>主营业务成本</w:t>
      </w:r>
      <w:r>
        <w:rPr>
          <w:rFonts w:ascii="Times New Roman" w:hAnsi="Times New Roman" w:cs="Times New Roman" w:eastAsia="Times New Roman" w:hint="default"/>
          <w:spacing w:val="12"/>
        </w:rPr>
        <w:t>-</w:t>
      </w:r>
      <w:r>
        <w:rPr>
          <w:spacing w:val="12"/>
        </w:rPr>
        <w:t>主营业务税金及附加）</w:t>
      </w:r>
      <w:r>
        <w:rPr>
          <w:rFonts w:ascii="Times New Roman" w:hAnsi="Times New Roman" w:cs="Times New Roman" w:eastAsia="Times New Roman" w:hint="default"/>
          <w:spacing w:val="12"/>
        </w:rPr>
        <w:t>÷2012</w:t>
      </w:r>
      <w:r>
        <w:rPr>
          <w:spacing w:val="12"/>
        </w:rPr>
        <w:t>年利润总额</w:t>
      </w:r>
      <w:r>
        <w:rPr>
          <w:rFonts w:ascii="Times New Roman" w:hAnsi="Times New Roman" w:cs="Times New Roman" w:eastAsia="Times New Roman" w:hint="default"/>
          <w:spacing w:val="12"/>
        </w:rPr>
        <w:t>=</w:t>
      </w:r>
    </w:p>
    <w:p>
      <w:pPr>
        <w:pStyle w:val="BodyText"/>
        <w:spacing w:line="240" w:lineRule="auto" w:before="63"/>
        <w:ind w:right="9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1,808,104,056.35-1,400,640,120.04 - 15,090,799.07</w:t>
      </w:r>
      <w:r>
        <w:rPr/>
        <w:t>）</w:t>
      </w:r>
      <w:r>
        <w:rPr>
          <w:rFonts w:ascii="Times New Roman" w:hAnsi="Times New Roman" w:cs="Times New Roman" w:eastAsia="Times New Roman" w:hint="default"/>
        </w:rPr>
        <w:t>÷7,100,328.00</w:t>
      </w:r>
      <w:r>
        <w:rPr>
          <w:rFonts w:ascii="Times New Roman" w:hAnsi="Times New Roman" w:cs="Times New Roman" w:eastAsia="Times New Roman" w:hint="default"/>
          <w:spacing w:val="-33"/>
        </w:rPr>
        <w:t> </w:t>
      </w:r>
      <w:r>
        <w:rPr>
          <w:rFonts w:ascii="Times New Roman" w:hAnsi="Times New Roman" w:cs="Times New Roman" w:eastAsia="Times New Roman" w:hint="default"/>
        </w:rPr>
        <w:t>=5,526.13%</w:t>
      </w:r>
    </w:p>
    <w:p>
      <w:pPr>
        <w:pStyle w:val="BodyText"/>
        <w:spacing w:line="300" w:lineRule="auto" w:before="63"/>
        <w:ind w:right="112"/>
        <w:jc w:val="both"/>
      </w:pPr>
      <w:r>
        <w:rPr>
          <w:spacing w:val="10"/>
        </w:rPr>
        <w:t>注：由于第二期期权激励计划未能达到预定的业绩指标，因此公司将第二期股份期权</w:t>
      </w:r>
      <w:r>
        <w:rPr>
          <w:rFonts w:ascii="Times New Roman" w:hAnsi="Times New Roman" w:cs="Times New Roman" w:eastAsia="Times New Roman" w:hint="default"/>
          <w:spacing w:val="10"/>
        </w:rPr>
        <w:t>1,166,000.00</w:t>
      </w:r>
      <w:r>
        <w:rPr>
          <w:spacing w:val="10"/>
        </w:rPr>
        <w:t>股，股份期权金额</w:t>
      </w:r>
      <w:r>
        <w:rPr>
          <w:spacing w:val="-83"/>
        </w:rPr>
        <w:t> </w:t>
      </w:r>
      <w:r>
        <w:rPr>
          <w:spacing w:val="-83"/>
        </w:rPr>
      </w:r>
      <w:r>
        <w:rPr>
          <w:rFonts w:ascii="Times New Roman" w:hAnsi="Times New Roman" w:cs="Times New Roman" w:eastAsia="Times New Roman" w:hint="default"/>
        </w:rPr>
        <w:t>13,000,900.00</w:t>
      </w:r>
      <w:r>
        <w:rPr/>
        <w:t>元</w:t>
      </w:r>
      <w:r>
        <w:rPr>
          <w:rFonts w:ascii="Times New Roman" w:hAnsi="Times New Roman" w:cs="Times New Roman" w:eastAsia="Times New Roman" w:hint="default"/>
        </w:rPr>
        <w:t>(11.15×1,166,000.00)</w:t>
      </w:r>
      <w:r>
        <w:rPr/>
        <w:t>进行注销。本公司将截止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日把原计入公司管理费用、销售费用及资本公积 的第二期股票期权成本</w:t>
      </w:r>
      <w:r>
        <w:rPr>
          <w:rFonts w:ascii="Times New Roman" w:hAnsi="Times New Roman" w:cs="Times New Roman" w:eastAsia="Times New Roman" w:hint="default"/>
        </w:rPr>
        <w:t>10,400,720.00</w:t>
      </w:r>
      <w:r>
        <w:rPr/>
        <w:t>元冲回至当期损益。</w:t>
      </w:r>
    </w:p>
    <w:p>
      <w:pPr>
        <w:spacing w:line="240" w:lineRule="auto" w:before="7"/>
        <w:rPr>
          <w:rFonts w:ascii="宋体" w:hAnsi="宋体" w:cs="宋体" w:eastAsia="宋体" w:hint="default"/>
          <w:sz w:val="14"/>
          <w:szCs w:val="14"/>
        </w:rPr>
      </w:pPr>
    </w:p>
    <w:p>
      <w:pPr>
        <w:pStyle w:val="Heading2"/>
        <w:spacing w:line="362" w:lineRule="auto"/>
        <w:ind w:right="7574"/>
        <w:jc w:val="left"/>
        <w:rPr>
          <w:b w:val="0"/>
          <w:bCs w:val="0"/>
          <w:sz w:val="21"/>
          <w:szCs w:val="21"/>
        </w:rPr>
      </w:pPr>
      <w:r>
        <w:rPr/>
        <w:t>十、或有事项 十一、其他重要事项 </w:t>
      </w:r>
      <w:r>
        <w:rPr>
          <w:rFonts w:ascii="Times New Roman" w:hAnsi="Times New Roman" w:cs="Times New Roman" w:eastAsia="Times New Roman" w:hint="default"/>
          <w:sz w:val="21"/>
          <w:szCs w:val="21"/>
        </w:rPr>
        <w:t>1</w:t>
      </w:r>
      <w:r>
        <w:rPr>
          <w:sz w:val="21"/>
          <w:szCs w:val="21"/>
        </w:rPr>
        <w:t>、其他</w:t>
      </w:r>
      <w:r>
        <w:rPr>
          <w:b w:val="0"/>
          <w:bCs w:val="0"/>
          <w:sz w:val="21"/>
          <w:szCs w:val="21"/>
        </w:rPr>
      </w:r>
    </w:p>
    <w:p>
      <w:pPr>
        <w:pStyle w:val="BodyText"/>
        <w:spacing w:line="307" w:lineRule="auto" w:before="196"/>
        <w:ind w:right="112" w:firstLine="302"/>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日昆明市盘龙区人民政府在公司大门口张贴了《关于对盘龙区苏家村及东站新村片区旧城改建项目房 屋征收的决定》，本公司位于昆明市环城东路</w:t>
      </w:r>
      <w:r>
        <w:rPr>
          <w:rFonts w:ascii="Times New Roman" w:hAnsi="Times New Roman" w:cs="Times New Roman" w:eastAsia="Times New Roman" w:hint="default"/>
        </w:rPr>
        <w:t>455</w:t>
      </w:r>
      <w:r>
        <w:rPr/>
        <w:t>号的办公场所属于该《决定》的征收范围之内，针对上述《决定》，本公 </w:t>
      </w:r>
      <w:r>
        <w:rPr>
          <w:spacing w:val="-2"/>
        </w:rPr>
        <w:t>司向昆明市中级人民法院递交了《行政起诉状》，要求依法撤销征收决定。报告期内，昆明市中级人民法院驳回了公司的诉</w:t>
      </w:r>
      <w:r>
        <w:rPr>
          <w:spacing w:val="-66"/>
        </w:rPr>
        <w:t> </w:t>
      </w:r>
      <w:r>
        <w:rPr>
          <w:spacing w:val="-66"/>
        </w:rPr>
      </w:r>
      <w:r>
        <w:rPr/>
        <w:t>讼请求。公司不服一审判决，向云南省高级人民法院递交了上诉状，并向多方放映了公司情况，</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日，盘龙区苏 </w:t>
      </w:r>
      <w:r>
        <w:rPr>
          <w:spacing w:val="-2"/>
        </w:rPr>
        <w:t>家村及东站新村片区旧城改建分指挥部办公室以《公告》形式调整了征收范围，南天公司产权所属区域不再纳入旧城改造拆</w:t>
      </w:r>
      <w:r>
        <w:rPr>
          <w:spacing w:val="-65"/>
        </w:rPr>
        <w:t> </w:t>
      </w:r>
      <w:r>
        <w:rPr>
          <w:spacing w:val="-65"/>
        </w:rPr>
      </w:r>
      <w:r>
        <w:rPr/>
        <w:t>迁范围。目前，省高级人民法院尚未做出判决。</w:t>
      </w:r>
    </w:p>
    <w:p>
      <w:pPr>
        <w:pStyle w:val="BodyText"/>
        <w:spacing w:line="300" w:lineRule="auto" w:before="26"/>
        <w:ind w:right="112" w:firstLine="302"/>
        <w:jc w:val="both"/>
      </w:pPr>
      <w:r>
        <w:rPr/>
        <w:t>（</w:t>
      </w:r>
      <w:r>
        <w:rPr>
          <w:rFonts w:ascii="Times New Roman" w:hAnsi="Times New Roman" w:cs="Times New Roman" w:eastAsia="Times New Roman" w:hint="default"/>
        </w:rPr>
        <w:t>2</w:t>
      </w:r>
      <w:r>
        <w:rPr/>
        <w:t>）本公司之子公司北京南天信息工程有限公司针对上年度与</w:t>
      </w:r>
      <w:r>
        <w:rPr>
          <w:rFonts w:ascii="Times New Roman" w:hAnsi="Times New Roman" w:cs="Times New Roman" w:eastAsia="Times New Roman" w:hint="default"/>
        </w:rPr>
        <w:t>ATICD,L.L.C(</w:t>
      </w:r>
      <w:r>
        <w:rPr/>
        <w:t>美国安图特国际有限公司</w:t>
      </w:r>
      <w:r>
        <w:rPr>
          <w:rFonts w:ascii="Times New Roman" w:hAnsi="Times New Roman" w:cs="Times New Roman" w:eastAsia="Times New Roman" w:hint="default"/>
        </w:rPr>
        <w:t>)</w:t>
      </w:r>
      <w:r>
        <w:rPr/>
        <w:t>买卖合同纠纷一 案的民事裁定（北京市第一中级人民法院（</w:t>
      </w:r>
      <w:r>
        <w:rPr>
          <w:rFonts w:ascii="Times New Roman" w:hAnsi="Times New Roman" w:cs="Times New Roman" w:eastAsia="Times New Roman" w:hint="default"/>
        </w:rPr>
        <w:t>2010</w:t>
      </w:r>
      <w:r>
        <w:rPr/>
        <w:t>）一中民初字第</w:t>
      </w:r>
      <w:r>
        <w:rPr>
          <w:rFonts w:ascii="Times New Roman" w:hAnsi="Times New Roman" w:cs="Times New Roman" w:eastAsia="Times New Roman" w:hint="default"/>
        </w:rPr>
        <w:t>10070</w:t>
      </w:r>
      <w:r>
        <w:rPr/>
        <w:t>号）不服，因此委托北京市嘉源律师事务所向中华人 </w:t>
      </w:r>
      <w:r>
        <w:rPr>
          <w:spacing w:val="-2"/>
        </w:rPr>
        <w:t>民共和国北京市高级人民法院提起上诉。</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日，北京市高级人民法院下达裁决书《中华人民共和国北京市高级人</w:t>
      </w:r>
      <w:r>
        <w:rPr>
          <w:spacing w:val="-61"/>
        </w:rPr>
        <w:t> </w:t>
      </w:r>
      <w:r>
        <w:rPr>
          <w:spacing w:val="-61"/>
        </w:rPr>
      </w:r>
      <w:r>
        <w:rPr>
          <w:spacing w:val="-4"/>
          <w:w w:val="95"/>
        </w:rPr>
        <w:t>民法院民事裁定书》（（</w:t>
      </w:r>
      <w:r>
        <w:rPr>
          <w:rFonts w:ascii="Times New Roman" w:hAnsi="Times New Roman" w:cs="Times New Roman" w:eastAsia="Times New Roman" w:hint="default"/>
          <w:spacing w:val="-4"/>
          <w:w w:val="95"/>
        </w:rPr>
        <w:t>2012</w:t>
      </w:r>
      <w:r>
        <w:rPr>
          <w:spacing w:val="-4"/>
          <w:w w:val="95"/>
        </w:rPr>
        <w:t>）高民终字第</w:t>
      </w:r>
      <w:r>
        <w:rPr>
          <w:rFonts w:ascii="Times New Roman" w:hAnsi="Times New Roman" w:cs="Times New Roman" w:eastAsia="Times New Roman" w:hint="default"/>
          <w:spacing w:val="-4"/>
          <w:w w:val="95"/>
        </w:rPr>
        <w:t>3607</w:t>
      </w:r>
      <w:r>
        <w:rPr>
          <w:spacing w:val="-4"/>
          <w:w w:val="95"/>
        </w:rPr>
        <w:t>号）：驳回上诉，维持原裁定。按照《中华人民共和国民事诉讼法》之规定：</w:t>
      </w:r>
      <w:r>
        <w:rPr>
          <w:spacing w:val="-4"/>
        </w:rPr>
      </w:r>
    </w:p>
    <w:p>
      <w:pPr>
        <w:spacing w:after="0" w:line="300" w:lineRule="auto"/>
        <w:jc w:val="both"/>
        <w:sectPr>
          <w:pgSz w:w="11910" w:h="16840"/>
          <w:pgMar w:header="745" w:footer="979"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right="99"/>
        <w:jc w:val="left"/>
      </w:pPr>
      <w:bookmarkStart w:name="十二、母公司财务报表主要项目注释" w:id="356"/>
      <w:bookmarkEnd w:id="356"/>
      <w:r>
        <w:rPr/>
      </w:r>
      <w:bookmarkStart w:name="1、应收账款" w:id="357"/>
      <w:bookmarkEnd w:id="357"/>
      <w:r>
        <w:rPr/>
      </w:r>
      <w:bookmarkStart w:name="（1）应收账款" w:id="358"/>
      <w:bookmarkEnd w:id="358"/>
      <w:r>
        <w:rPr/>
      </w:r>
      <w:bookmarkStart w:name="单位：元" w:id="359"/>
      <w:bookmarkEnd w:id="359"/>
      <w:r>
        <w:rPr/>
      </w:r>
      <w:r>
        <w:rPr>
          <w:rFonts w:ascii="Times New Roman" w:hAnsi="Times New Roman" w:cs="Times New Roman" w:eastAsia="Times New Roman" w:hint="default"/>
          <w:spacing w:val="-2"/>
        </w:rPr>
        <w:t>“</w:t>
      </w:r>
      <w:r>
        <w:rPr>
          <w:spacing w:val="-2"/>
        </w:rPr>
        <w:t>第一百五十八条：第二审人民法院的判决、裁定，是终审的判决、裁定。</w:t>
      </w:r>
      <w:r>
        <w:rPr>
          <w:rFonts w:ascii="Times New Roman" w:hAnsi="Times New Roman" w:cs="Times New Roman" w:eastAsia="Times New Roman" w:hint="default"/>
          <w:spacing w:val="-2"/>
        </w:rPr>
        <w:t>”</w:t>
      </w:r>
      <w:r>
        <w:rPr>
          <w:spacing w:val="-2"/>
        </w:rPr>
        <w:t>因此本公司不再采取相应司法程序，放弃相应的</w:t>
      </w:r>
      <w:r>
        <w:rPr>
          <w:spacing w:val="-45"/>
        </w:rPr>
        <w:t> </w:t>
      </w:r>
      <w:r>
        <w:rPr>
          <w:spacing w:val="-45"/>
        </w:rPr>
      </w:r>
      <w:r>
        <w:rPr/>
        <w:t>诉讼权利。</w:t>
      </w:r>
    </w:p>
    <w:p>
      <w:pPr>
        <w:pStyle w:val="BodyText"/>
        <w:spacing w:line="307" w:lineRule="auto" w:before="31"/>
        <w:ind w:right="99" w:firstLine="30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日，北京南天信息工程有限公司与香港明源贸易公司签订股权转让协议，香港明源贸易公司拟将其 持有的昆明南天电脑系统有限公司</w:t>
      </w:r>
      <w:r>
        <w:rPr>
          <w:rFonts w:ascii="Times New Roman" w:hAnsi="Times New Roman" w:cs="Times New Roman" w:eastAsia="Times New Roman" w:hint="default"/>
        </w:rPr>
        <w:t>25%</w:t>
      </w:r>
      <w:r>
        <w:rPr/>
        <w:t>股权转让给北京南天信息工程有限公司，转让作价</w:t>
      </w:r>
      <w:r>
        <w:rPr>
          <w:rFonts w:ascii="Times New Roman" w:hAnsi="Times New Roman" w:cs="Times New Roman" w:eastAsia="Times New Roman" w:hint="default"/>
        </w:rPr>
        <w:t>10.00</w:t>
      </w:r>
      <w:r>
        <w:rPr/>
        <w:t>万美元。云南南天电子信息 </w:t>
      </w:r>
      <w:r>
        <w:rPr>
          <w:spacing w:val="-2"/>
        </w:rPr>
        <w:t>产业股份有限公司出具放弃优先购买权的声明。昆明南天电脑系统有限公司董事会通过该转让事项。截止报告日，北京南天</w:t>
      </w:r>
      <w:r>
        <w:rPr>
          <w:spacing w:val="-65"/>
        </w:rPr>
        <w:t> </w:t>
      </w:r>
      <w:r>
        <w:rPr>
          <w:spacing w:val="-65"/>
        </w:rPr>
      </w:r>
      <w:r>
        <w:rPr/>
        <w:t>信息工程有限公司尚未支付对价，昆明南天电脑系统有限公司尚未办理工商变更等事宜。</w:t>
      </w:r>
    </w:p>
    <w:p>
      <w:pPr>
        <w:spacing w:line="240" w:lineRule="auto" w:before="5"/>
        <w:rPr>
          <w:rFonts w:ascii="宋体" w:hAnsi="宋体" w:cs="宋体" w:eastAsia="宋体" w:hint="default"/>
          <w:sz w:val="15"/>
          <w:szCs w:val="15"/>
        </w:rPr>
      </w:pPr>
    </w:p>
    <w:p>
      <w:pPr>
        <w:pStyle w:val="Heading2"/>
        <w:spacing w:line="240" w:lineRule="auto"/>
        <w:ind w:right="99"/>
        <w:jc w:val="left"/>
        <w:rPr>
          <w:b w:val="0"/>
          <w:bCs w:val="0"/>
        </w:rPr>
      </w:pPr>
      <w:r>
        <w:rPr/>
        <w:t>十二、母公司财务报表主要项目注释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19" w:right="99"/>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836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1999"/>
        <w:gridCol w:w="1195"/>
        <w:gridCol w:w="530"/>
        <w:gridCol w:w="1327"/>
        <w:gridCol w:w="665"/>
        <w:gridCol w:w="1195"/>
        <w:gridCol w:w="665"/>
        <w:gridCol w:w="1327"/>
        <w:gridCol w:w="665"/>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9" w:type="dxa"/>
            <w:vMerge/>
            <w:tcBorders>
              <w:left w:val="single" w:sz="4" w:space="0" w:color="000000"/>
              <w:right w:val="single" w:sz="4" w:space="0" w:color="000000"/>
            </w:tcBorders>
            <w:shd w:val="clear" w:color="auto" w:fill="D3D3D3"/>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232,681,723.95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7,733,501.51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250,269,600.69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4,242,798.51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291,219,211.73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284,528,378.23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53.2%</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523,900,935.68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9,713,501.51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534,797,978.92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4,242,798.51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0.79%</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523,900,935.68</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9,713,501.51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534,797,978.92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4,242,798.51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774"/>
        <w:jc w:val="left"/>
      </w:pPr>
      <w:r>
        <w:rPr/>
        <w:t>应收账款种类的说明 期末单项金额重大并单项计提坏账准备的应收账款</w:t>
      </w:r>
    </w:p>
    <w:p>
      <w:pPr>
        <w:pStyle w:val="BodyText"/>
        <w:spacing w:line="340" w:lineRule="auto" w:before="29"/>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pStyle w:val="BodyText"/>
        <w:spacing w:line="240" w:lineRule="auto" w:before="39"/>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99"/>
        <w:jc w:val="left"/>
        <w:rPr>
          <w:b w:val="0"/>
          <w:bCs w:val="0"/>
        </w:rPr>
      </w:pP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066"/>
        <w:gridCol w:w="1994"/>
        <w:gridCol w:w="662"/>
        <w:gridCol w:w="1464"/>
        <w:gridCol w:w="2124"/>
        <w:gridCol w:w="665"/>
        <w:gridCol w:w="1594"/>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6" w:type="dxa"/>
            <w:vMerge/>
            <w:tcBorders>
              <w:left w:val="single" w:sz="4" w:space="0" w:color="000000"/>
              <w:right w:val="single" w:sz="4" w:space="0" w:color="000000"/>
            </w:tcBorders>
            <w:shd w:val="clear" w:color="auto" w:fill="D3D3D3"/>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464" w:type="dxa"/>
            <w:vMerge/>
            <w:tcBorders>
              <w:left w:val="single" w:sz="4" w:space="0" w:color="000000"/>
              <w:bottom w:val="single" w:sz="4" w:space="0" w:color="000000"/>
              <w:right w:val="single" w:sz="4" w:space="0" w:color="000000"/>
            </w:tcBorders>
            <w:shd w:val="clear" w:color="auto" w:fill="D3D3D3"/>
          </w:tcPr>
          <w:p>
            <w:pP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066"/>
        <w:gridCol w:w="1994"/>
        <w:gridCol w:w="662"/>
        <w:gridCol w:w="1464"/>
        <w:gridCol w:w="2124"/>
        <w:gridCol w:w="665"/>
        <w:gridCol w:w="1594"/>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75"/>
              <w:jc w:val="left"/>
              <w:rPr>
                <w:rFonts w:ascii="宋体" w:hAnsi="宋体" w:cs="宋体" w:eastAsia="宋体" w:hint="default"/>
                <w:sz w:val="18"/>
                <w:szCs w:val="18"/>
              </w:rPr>
            </w:pPr>
            <w:bookmarkStart w:name="（2）应收账款中金额前五名单位情况" w:id="360"/>
            <w:bookmarkEnd w:id="360"/>
            <w:r>
              <w:rPr/>
            </w:r>
            <w:bookmarkStart w:name="单位：元" w:id="361"/>
            <w:bookmarkEnd w:id="361"/>
            <w:r>
              <w:rPr/>
            </w:r>
            <w:bookmarkStart w:name="（3）应收关联方账款情况" w:id="362"/>
            <w:bookmarkEnd w:id="362"/>
            <w:r>
              <w:rPr/>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481,840,997.11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91.97%</w:t>
            </w:r>
          </w:p>
        </w:tc>
        <w:tc>
          <w:tcPr>
            <w:tcW w:w="146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516,552,300.91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96.59%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30,279,588.18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center"/>
              <w:rPr>
                <w:rFonts w:ascii="Times New Roman" w:hAnsi="Times New Roman" w:cs="Times New Roman" w:eastAsia="Times New Roman" w:hint="default"/>
                <w:sz w:val="18"/>
                <w:szCs w:val="18"/>
              </w:rPr>
            </w:pPr>
            <w:r>
              <w:rPr>
                <w:rFonts w:ascii="Times New Roman"/>
                <w:sz w:val="18"/>
              </w:rPr>
              <w:t>5.78%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2,505,997.53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11,245,101.55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1,065,519.91</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5,433,141.23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center"/>
              <w:rPr>
                <w:rFonts w:ascii="Times New Roman" w:hAnsi="Times New Roman" w:cs="Times New Roman" w:eastAsia="Times New Roman" w:hint="default"/>
                <w:sz w:val="18"/>
                <w:szCs w:val="18"/>
              </w:rPr>
            </w:pPr>
            <w:r>
              <w:rPr>
                <w:rFonts w:ascii="Times New Roman"/>
                <w:sz w:val="18"/>
              </w:rPr>
              <w:t>1.04%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1,086,628.25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5,993,391.45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1,198,678.29</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5,345,869.16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center"/>
              <w:rPr>
                <w:rFonts w:ascii="Times New Roman" w:hAnsi="Times New Roman" w:cs="Times New Roman" w:eastAsia="Times New Roman" w:hint="default"/>
                <w:sz w:val="18"/>
                <w:szCs w:val="18"/>
              </w:rPr>
            </w:pPr>
            <w:r>
              <w:rPr>
                <w:rFonts w:ascii="Times New Roman"/>
                <w:sz w:val="18"/>
              </w:rPr>
              <w:t>1.02%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1,603,760.75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34,080.00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113,600.00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center"/>
              <w:rPr>
                <w:rFonts w:ascii="Times New Roman" w:hAnsi="Times New Roman" w:cs="Times New Roman" w:eastAsia="Times New Roman" w:hint="default"/>
                <w:sz w:val="18"/>
                <w:szCs w:val="18"/>
              </w:rPr>
            </w:pPr>
            <w:r>
              <w:rPr>
                <w:rFonts w:ascii="Times New Roman"/>
                <w:sz w:val="18"/>
              </w:rPr>
              <w:t>0.02%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45,440.00</w:t>
            </w:r>
          </w:p>
        </w:tc>
        <w:tc>
          <w:tcPr>
            <w:tcW w:w="21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887,740.00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center"/>
              <w:rPr>
                <w:rFonts w:ascii="Times New Roman" w:hAnsi="Times New Roman" w:cs="Times New Roman" w:eastAsia="Times New Roman" w:hint="default"/>
                <w:sz w:val="18"/>
                <w:szCs w:val="18"/>
              </w:rPr>
            </w:pPr>
            <w:r>
              <w:rPr>
                <w:rFonts w:ascii="Times New Roman"/>
                <w:sz w:val="18"/>
              </w:rPr>
              <w:t>0.17%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887,740.00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893,585.01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893,585.01</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523,900,935.68</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534,797,978.92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9"/>
        <w:jc w:val="left"/>
      </w:pPr>
      <w:r>
        <w:rPr/>
        <w:t>组合中，采用余额百分比法计提坏账准备的应收账款</w:t>
      </w:r>
    </w:p>
    <w:p>
      <w:pPr>
        <w:pStyle w:val="BodyText"/>
        <w:spacing w:line="338" w:lineRule="auto" w:before="117"/>
        <w:ind w:right="5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40" w:lineRule="auto" w:before="43"/>
        <w:ind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39"/>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0"/>
          <w:szCs w:val="20"/>
        </w:rPr>
      </w:pPr>
    </w:p>
    <w:p>
      <w:pPr>
        <w:pStyle w:val="Heading4"/>
        <w:spacing w:line="400" w:lineRule="auto"/>
        <w:ind w:right="6269"/>
        <w:jc w:val="left"/>
        <w:rPr>
          <w:b w:val="0"/>
          <w:bCs w:val="0"/>
        </w:rPr>
      </w:pPr>
      <w:r>
        <w:rPr/>
        <w:t>（</w:t>
      </w:r>
      <w:r>
        <w:rPr>
          <w:rFonts w:ascii="Times New Roman" w:hAnsi="Times New Roman" w:cs="Times New Roman" w:eastAsia="Times New Roman" w:hint="default"/>
        </w:rPr>
        <w:t>2</w:t>
      </w:r>
      <w:r>
        <w:rPr/>
        <w:t>）应收账款中金额前五名单位情况</w:t>
      </w:r>
      <w:r>
        <w:rPr>
          <w:w w:val="99"/>
        </w:rPr>
        <w:t> </w:t>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广州南天电脑系统有限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132,839,618.94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北京南天信息工程有限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58,088,778.61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52,265,785.31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昆明南天电脑系统有限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41,192,542.75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7.86%</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西安南天电脑系统有限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20,550,407.06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304,937,132.67</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58.21%</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）应收关联方账款情况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278"/>
        <w:gridCol w:w="2429"/>
        <w:gridCol w:w="2431"/>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本公司的联营企业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1,246,017.87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132,839,618.94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bookmarkStart w:name="（4）　　" w:id="363"/>
            <w:bookmarkEnd w:id="363"/>
            <w:r>
              <w:rPr/>
            </w:r>
            <w:bookmarkStart w:name="2、其他应收款" w:id="364"/>
            <w:bookmarkEnd w:id="364"/>
            <w:r>
              <w:rPr/>
            </w:r>
            <w:bookmarkStart w:name="（1）其他应收款" w:id="365"/>
            <w:bookmarkEnd w:id="365"/>
            <w:r>
              <w:rPr/>
            </w:r>
            <w:bookmarkStart w:name="单位：元" w:id="366"/>
            <w:bookmarkEnd w:id="366"/>
            <w:r>
              <w:rPr/>
            </w:r>
            <w:r>
              <w:rPr>
                <w:rFonts w:ascii="宋体" w:hAnsi="宋体" w:cs="宋体" w:eastAsia="宋体" w:hint="default"/>
                <w:sz w:val="18"/>
                <w:szCs w:val="18"/>
              </w:rPr>
              <w:t>北京南天信息工程有限公司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58,088,778.61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41,192,542.75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7.86%</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20,550,407.06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15,730,891.67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14,698,412.68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5,580,079.32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成都南天佳信信息工程有限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本公司的孙公司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1,834,000.00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479,194.49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704,480.70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292,944,424.09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55.92%</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不符合终止确认条件的应收账款的转移金额为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0"/>
          <w:szCs w:val="20"/>
        </w:rPr>
      </w:pPr>
    </w:p>
    <w:p>
      <w:pPr>
        <w:pStyle w:val="Heading4"/>
        <w:spacing w:line="240" w:lineRule="auto"/>
        <w:ind w:left="119" w:right="9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815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2170"/>
        <w:gridCol w:w="1454"/>
        <w:gridCol w:w="528"/>
        <w:gridCol w:w="1322"/>
        <w:gridCol w:w="528"/>
        <w:gridCol w:w="1320"/>
        <w:gridCol w:w="528"/>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6,431,126.10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43.5%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477,283.72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7.42%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2,308,047.93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259,439.97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8,354,337.41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56.5%</w:t>
            </w: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15,836,762.08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14,785,463.51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477,283.72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18,144,810.01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259,439.97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14,785,463.51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477,283.72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18,144,810.01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8" w:right="0"/>
              <w:jc w:val="left"/>
              <w:rPr>
                <w:rFonts w:ascii="Times New Roman" w:hAnsi="Times New Roman" w:cs="Times New Roman" w:eastAsia="Times New Roman" w:hint="default"/>
                <w:sz w:val="18"/>
                <w:szCs w:val="18"/>
              </w:rPr>
            </w:pPr>
            <w:r>
              <w:rPr>
                <w:rFonts w:ascii="Times New Roman"/>
                <w:sz w:val="18"/>
              </w:rPr>
              <w:t>259,439.97</w:t>
            </w: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594"/>
        <w:jc w:val="left"/>
      </w:pPr>
      <w:r>
        <w:rPr/>
        <w:t>其他应收款种类的说明 期末单项金额重大并单项计提坏账准备的其他应收款</w:t>
      </w:r>
    </w:p>
    <w:p>
      <w:pPr>
        <w:pStyle w:val="BodyText"/>
        <w:spacing w:line="340" w:lineRule="auto" w:before="29"/>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39"/>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5" w:footer="979" w:top="1060" w:bottom="1160" w:left="1020" w:right="1020"/>
        </w:sectPr>
      </w:pPr>
    </w:p>
    <w:p>
      <w:pPr>
        <w:spacing w:line="240" w:lineRule="auto" w:before="10"/>
        <w:rPr>
          <w:rFonts w:ascii="宋体" w:hAnsi="宋体" w:cs="宋体" w:eastAsia="宋体" w:hint="default"/>
          <w:sz w:val="24"/>
          <w:szCs w:val="24"/>
        </w:rPr>
      </w:pPr>
    </w:p>
    <w:p>
      <w:pPr>
        <w:pStyle w:val="Heading4"/>
        <w:spacing w:line="333" w:lineRule="exact"/>
        <w:ind w:right="99"/>
        <w:jc w:val="left"/>
        <w:rPr>
          <w:b w:val="0"/>
          <w:bCs w:val="0"/>
        </w:rPr>
      </w:pPr>
      <w:bookmarkStart w:name="单位：元" w:id="367"/>
      <w:bookmarkEnd w:id="367"/>
      <w:r>
        <w:rPr>
          <w:b w:val="0"/>
          <w:bCs w:val="0"/>
        </w:rPr>
      </w:r>
      <w:bookmarkStart w:name="（2）其他应收款金额前五名单位情况" w:id="368"/>
      <w:bookmarkEnd w:id="368"/>
      <w:r>
        <w:rPr>
          <w:b w:val="0"/>
          <w:bCs w:val="0"/>
        </w:rPr>
      </w:r>
      <w:r>
        <w:rPr/>
        <w:t>单位： </w:t>
      </w:r>
      <w:r>
        <w:rPr>
          <w:spacing w:val="2"/>
        </w:rPr>
        <w:t> </w:t>
      </w:r>
      <w:r>
        <w:rPr/>
        <w:t>元</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267"/>
        <w:gridCol w:w="1793"/>
        <w:gridCol w:w="662"/>
        <w:gridCol w:w="1596"/>
        <w:gridCol w:w="1860"/>
        <w:gridCol w:w="665"/>
        <w:gridCol w:w="1726"/>
      </w:tblGrid>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7" w:type="dxa"/>
            <w:vMerge/>
            <w:tcBorders>
              <w:left w:val="single" w:sz="4" w:space="0" w:color="000000"/>
              <w:right w:val="single" w:sz="4" w:space="0" w:color="000000"/>
            </w:tcBorders>
            <w:shd w:val="clear" w:color="auto" w:fill="D3D3D3"/>
          </w:tcPr>
          <w:p>
            <w:pP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7"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596" w:type="dxa"/>
            <w:vMerge/>
            <w:tcBorders>
              <w:left w:val="single" w:sz="4" w:space="0" w:color="000000"/>
              <w:bottom w:val="single" w:sz="4" w:space="0" w:color="000000"/>
              <w:right w:val="single" w:sz="4" w:space="0" w:color="000000"/>
            </w:tcBorders>
            <w:shd w:val="clear" w:color="auto" w:fill="D3D3D3"/>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716,032.77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11.13%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857,984.76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37.17%</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1,893,867.64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29.45%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18,938.68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66,900.80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669.01</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1,076,223.50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21,524.47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38,141.50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762.83</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1,096,720.36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17.05%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32,901.61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46,279.41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1,388.38</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275,387.45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266.81</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5,058,231.72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78.65%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87,134.13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1,014,642.74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43.96%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3,087.03</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97,375.05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18,593.56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1,805.61</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1,272,661.63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55.14%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254,532.33</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1,272,601.63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381,780.49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6,431,126.10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477,283.72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2,308,047.93</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259,439.97</w:t>
            </w:r>
          </w:p>
        </w:tc>
      </w:tr>
    </w:tbl>
    <w:p>
      <w:pPr>
        <w:pStyle w:val="BodyText"/>
        <w:spacing w:line="240" w:lineRule="auto" w:before="51"/>
        <w:ind w:right="99"/>
        <w:jc w:val="left"/>
      </w:pPr>
      <w:r>
        <w:rPr/>
        <w:t>组合中，采用余额百分比法计提坏账准备的其他应收款</w:t>
      </w:r>
    </w:p>
    <w:p>
      <w:pPr>
        <w:pStyle w:val="BodyText"/>
        <w:spacing w:line="338" w:lineRule="auto" w:before="117"/>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40" w:lineRule="auto" w:before="43"/>
        <w:ind w:right="5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39"/>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0"/>
          <w:szCs w:val="20"/>
        </w:rPr>
      </w:pPr>
    </w:p>
    <w:p>
      <w:pPr>
        <w:pStyle w:val="Heading4"/>
        <w:spacing w:line="400" w:lineRule="auto"/>
        <w:ind w:right="6269"/>
        <w:jc w:val="left"/>
        <w:rPr>
          <w:b w:val="0"/>
          <w:bCs w:val="0"/>
        </w:rPr>
      </w:pPr>
      <w:r>
        <w:rPr/>
        <w:t>（</w:t>
      </w:r>
      <w:r>
        <w:rPr>
          <w:rFonts w:ascii="Times New Roman" w:hAnsi="Times New Roman" w:cs="Times New Roman" w:eastAsia="Times New Roman" w:hint="default"/>
        </w:rPr>
        <w:t>2</w:t>
      </w:r>
      <w:r>
        <w:rPr/>
        <w:t>）其他应收款金额前五名单位情况</w:t>
      </w:r>
      <w:r>
        <w:rPr>
          <w:w w:val="99"/>
        </w:rPr>
        <w:t> </w:t>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9"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云南南天信息设备有限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3,367,771.75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北京金信润天信息技术 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2.03%</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重庆南天数据资讯服务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4,986,565.66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33.73%</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979" w:header="745" w:top="1060" w:bottom="1160" w:left="1020" w:right="1020"/>
          <w:pgNumType w:start="13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bookmarkStart w:name="（3）其他应收关联方账款情况" w:id="369"/>
            <w:bookmarkEnd w:id="369"/>
            <w:r>
              <w:rPr/>
            </w:r>
            <w:bookmarkStart w:name="单位：元" w:id="370"/>
            <w:bookmarkEnd w:id="370"/>
            <w:r>
              <w:rPr/>
            </w:r>
            <w:bookmarkStart w:name="（4）　　" w:id="371"/>
            <w:bookmarkEnd w:id="371"/>
            <w:r>
              <w:rPr/>
            </w:r>
            <w:bookmarkStart w:name="3、长期股权投资" w:id="372"/>
            <w:bookmarkEnd w:id="372"/>
            <w:r>
              <w:rPr/>
            </w:r>
            <w:r>
              <w:rPr>
                <w:rFonts w:ascii="宋体" w:hAnsi="宋体" w:cs="宋体" w:eastAsia="宋体" w:hint="default"/>
                <w:sz w:val="18"/>
                <w:szCs w:val="18"/>
              </w:rPr>
              <w:t>昆明市财政局昆明经济 技术开发区财政分局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1,272,481.63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2,728,577.67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12,655,396.71</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85.6%</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）其他应收关联方账款情况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278"/>
        <w:gridCol w:w="2429"/>
        <w:gridCol w:w="2431"/>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重庆南天数据资讯服务有限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4,986,565.66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33.73%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3,367,771.75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22.78%</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云南东盟公共物流信息有限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本公司的联营企业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本公司的联营企业</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26,634.55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本公司的母公司</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28,636.35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8,410,688.31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55.92%</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ind w:right="99"/>
        <w:jc w:val="left"/>
      </w:pPr>
      <w:r>
        <w:rPr/>
        <w:t>不符合终止确认条件的其他应收款项的转移金额为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0"/>
          <w:szCs w:val="20"/>
        </w:rPr>
      </w:pPr>
    </w:p>
    <w:p>
      <w:pPr>
        <w:pStyle w:val="Heading4"/>
        <w:spacing w:line="403" w:lineRule="auto"/>
        <w:ind w:right="7934" w:firstLine="6"/>
        <w:jc w:val="left"/>
        <w:rPr>
          <w:b w:val="0"/>
          <w:bCs w:val="0"/>
        </w:rPr>
      </w:pPr>
      <w:r>
        <w:rPr>
          <w:rFonts w:ascii="Times New Roman" w:hAnsi="Times New Roman" w:cs="Times New Roman" w:eastAsia="Times New Roman" w:hint="default"/>
          <w:w w:val="95"/>
        </w:rPr>
        <w:t>3</w:t>
      </w:r>
      <w:r>
        <w:rPr>
          <w:w w:val="95"/>
        </w:rPr>
        <w:t>、长期股权投资</w:t>
      </w:r>
      <w:r>
        <w:rPr>
          <w:spacing w:val="13"/>
          <w:w w:val="95"/>
        </w:rPr>
        <w:t> </w:t>
      </w:r>
      <w:r>
        <w:rPr>
          <w:spacing w:val="13"/>
          <w:w w:val="95"/>
        </w:rPr>
      </w:r>
      <w:r>
        <w:rPr/>
        <w:t>单位： </w:t>
      </w:r>
      <w:r>
        <w:rPr>
          <w:spacing w:val="2"/>
        </w:rPr>
        <w:t> </w:t>
      </w:r>
      <w:r>
        <w:rPr/>
        <w:t>元</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794"/>
        <w:gridCol w:w="799"/>
        <w:gridCol w:w="797"/>
        <w:gridCol w:w="799"/>
        <w:gridCol w:w="797"/>
        <w:gridCol w:w="799"/>
        <w:gridCol w:w="797"/>
        <w:gridCol w:w="799"/>
        <w:gridCol w:w="797"/>
        <w:gridCol w:w="799"/>
        <w:gridCol w:w="797"/>
        <w:gridCol w:w="799"/>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16" w:lineRule="auto"/>
              <w:ind w:left="302" w:right="29"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312" w:lineRule="exact"/>
              <w:ind w:left="36"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16"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11,684,35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719,987.6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12,404,34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云南南天 信息软件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814,300.0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云南医药 工业股份</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74,981,16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205,148,7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23,694,83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228,843,6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136.440002pt;margin-top:90.480019pt;width:159.25pt;height:66.6pt;mso-position-horizontal-relative:page;mso-position-vertical-relative:page;z-index:-907216" coordorigin="2729,1810" coordsize="3185,1332">
            <v:group style="position:absolute;left:2729;top:1810;width:792;height:1332" coordorigin="2729,1810" coordsize="792,1332">
              <v:shape style="position:absolute;left:2729;top:1810;width:792;height:1332" coordorigin="2729,1810" coordsize="792,1332" path="m2729,1810l2729,3142,3521,3142,3521,1810,2729,1810xe" filled="true" fillcolor="#ffffff" stroked="false">
                <v:path arrowok="t"/>
                <v:fill type="solid"/>
              </v:shape>
            </v:group>
            <v:group style="position:absolute;left:3526;top:1810;width:792;height:1332" coordorigin="3526,1810" coordsize="792,1332">
              <v:shape style="position:absolute;left:3526;top:1810;width:792;height:1332" coordorigin="3526,1810" coordsize="792,1332" path="m3526,1810l3526,3142,4318,3142,4318,1810,3526,1810xe" filled="true" fillcolor="#ffffff" stroked="false">
                <v:path arrowok="t"/>
                <v:fill type="solid"/>
              </v:shape>
            </v:group>
            <v:group style="position:absolute;left:4325;top:1810;width:792;height:1332" coordorigin="4325,1810" coordsize="792,1332">
              <v:shape style="position:absolute;left:4325;top:1810;width:792;height:1332" coordorigin="4325,1810" coordsize="792,1332" path="m4325,1810l4325,3142,5117,3142,5117,1810,4325,1810xe" filled="true" fillcolor="#ffffff" stroked="false">
                <v:path arrowok="t"/>
                <v:fill type="solid"/>
              </v:shape>
            </v:group>
            <v:group style="position:absolute;left:5122;top:1810;width:792;height:1332" coordorigin="5122,1810" coordsize="792,1332">
              <v:shape style="position:absolute;left:5122;top:1810;width:792;height:1332" coordorigin="5122,1810" coordsize="792,1332" path="m5122,1810l5122,3142,5914,3142,5914,1810,5122,18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794"/>
        <w:gridCol w:w="799"/>
        <w:gridCol w:w="797"/>
        <w:gridCol w:w="799"/>
        <w:gridCol w:w="797"/>
        <w:gridCol w:w="799"/>
        <w:gridCol w:w="797"/>
        <w:gridCol w:w="799"/>
        <w:gridCol w:w="797"/>
        <w:gridCol w:w="799"/>
        <w:gridCol w:w="797"/>
        <w:gridCol w:w="799"/>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186" w:lineRule="exact"/>
              <w:ind w:right="20"/>
              <w:jc w:val="right"/>
              <w:rPr>
                <w:rFonts w:ascii="Times New Roman" w:hAnsi="Times New Roman" w:cs="Times New Roman" w:eastAsia="Times New Roman" w:hint="default"/>
                <w:sz w:val="18"/>
                <w:szCs w:val="18"/>
              </w:rPr>
            </w:pPr>
            <w:r>
              <w:rPr>
                <w:rFonts w:ascii="Times New Roman"/>
                <w:spacing w:val="-1"/>
                <w:sz w:val="18"/>
              </w:rPr>
              <w:t>3.49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186" w:lineRule="exact"/>
              <w:ind w:right="20"/>
              <w:jc w:val="right"/>
              <w:rPr>
                <w:rFonts w:ascii="Times New Roman" w:hAnsi="Times New Roman" w:cs="Times New Roman" w:eastAsia="Times New Roman" w:hint="default"/>
                <w:sz w:val="18"/>
                <w:szCs w:val="18"/>
              </w:rPr>
            </w:pPr>
            <w:r>
              <w:rPr>
                <w:rFonts w:ascii="Times New Roman"/>
                <w:sz w:val="18"/>
              </w:rPr>
              <w:t>69.70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186" w:lineRule="exact"/>
              <w:ind w:left="448" w:right="0"/>
              <w:jc w:val="left"/>
              <w:rPr>
                <w:rFonts w:ascii="Times New Roman" w:hAnsi="Times New Roman" w:cs="Times New Roman" w:eastAsia="Times New Roman" w:hint="default"/>
                <w:sz w:val="18"/>
                <w:szCs w:val="18"/>
              </w:rPr>
            </w:pPr>
            <w:r>
              <w:rPr>
                <w:rFonts w:ascii="Times New Roman"/>
                <w:sz w:val="18"/>
              </w:rPr>
              <w:t>4.47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186" w:lineRule="exact"/>
              <w:ind w:right="20"/>
              <w:jc w:val="right"/>
              <w:rPr>
                <w:rFonts w:ascii="Times New Roman" w:hAnsi="Times New Roman" w:cs="Times New Roman" w:eastAsia="Times New Roman" w:hint="default"/>
                <w:sz w:val="18"/>
                <w:szCs w:val="18"/>
              </w:rPr>
            </w:pPr>
            <w:r>
              <w:rPr>
                <w:rFonts w:ascii="Times New Roman"/>
                <w:sz w:val="18"/>
              </w:rPr>
              <w:t>04.19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云南东盟</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公共物流 信息有限</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22,082,79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22,082,79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北京南天 宏远科技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北京南天 软件有限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7,462,992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北京南天 信息工程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15,674,83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15,674,83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25,674,83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广州南天 电脑系统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94,831,20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94,831,20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94,831,20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5,545,996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昆明南天 电脑系统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2,816,855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上海南天 电脑系统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100,575,4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100,575,4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100,575,4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94.11%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94.11%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6,124,171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深圳南天 东华科技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10,606,14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10,606,14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10,606,14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武汉南天 电脑系统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1,666,475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西安南天 电脑系统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2,279,046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2,279,046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云南南天 信息设备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重庆南天</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数据资讯 服务有限</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r>
      <w:tr>
        <w:trPr>
          <w:trHeight w:val="354"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40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盈富泰克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14,783,69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14,783,69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14,783,69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4,270,000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9"/>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38"/>
              <w:jc w:val="left"/>
              <w:rPr>
                <w:rFonts w:ascii="宋体" w:hAnsi="宋体" w:cs="宋体" w:eastAsia="宋体" w:hint="default"/>
                <w:sz w:val="18"/>
                <w:szCs w:val="18"/>
              </w:rPr>
            </w:pPr>
            <w:bookmarkStart w:name="4、营业收入和营业成本" w:id="373"/>
            <w:bookmarkEnd w:id="373"/>
            <w:r>
              <w:rPr/>
            </w:r>
            <w:bookmarkStart w:name="（1）营业收入" w:id="374"/>
            <w:bookmarkEnd w:id="374"/>
            <w:r>
              <w:rPr/>
            </w:r>
            <w:bookmarkStart w:name="单位：元" w:id="375"/>
            <w:bookmarkEnd w:id="375"/>
            <w:r>
              <w:rPr/>
            </w:r>
            <w:bookmarkStart w:name="（2）主营业务（分行业）" w:id="376"/>
            <w:bookmarkEnd w:id="376"/>
            <w:r>
              <w:rPr/>
            </w:r>
            <w:bookmarkStart w:name="（3）主营业务（分产品）" w:id="377"/>
            <w:bookmarkEnd w:id="377"/>
            <w:r>
              <w:rPr/>
            </w:r>
            <w:r>
              <w:rPr>
                <w:rFonts w:ascii="宋体" w:hAnsi="宋体" w:cs="宋体" w:eastAsia="宋体" w:hint="default"/>
                <w:sz w:val="18"/>
                <w:szCs w:val="18"/>
              </w:rPr>
              <w:t>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1" w:right="0"/>
              <w:jc w:val="left"/>
              <w:rPr>
                <w:rFonts w:ascii="Times New Roman" w:hAnsi="Times New Roman" w:cs="Times New Roman" w:eastAsia="Times New Roman" w:hint="default"/>
                <w:sz w:val="18"/>
                <w:szCs w:val="18"/>
              </w:rPr>
            </w:pPr>
            <w:r>
              <w:rPr>
                <w:rFonts w:ascii="Times New Roman"/>
                <w:sz w:val="18"/>
              </w:rPr>
              <w:t>6.72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1" w:right="0"/>
              <w:jc w:val="left"/>
              <w:rPr>
                <w:rFonts w:ascii="Times New Roman" w:hAnsi="Times New Roman" w:cs="Times New Roman" w:eastAsia="Times New Roman" w:hint="default"/>
                <w:sz w:val="18"/>
                <w:szCs w:val="18"/>
              </w:rPr>
            </w:pPr>
            <w:r>
              <w:rPr>
                <w:rFonts w:ascii="Times New Roman"/>
                <w:sz w:val="18"/>
              </w:rPr>
              <w:t>6.72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1" w:right="0"/>
              <w:jc w:val="left"/>
              <w:rPr>
                <w:rFonts w:ascii="Times New Roman" w:hAnsi="Times New Roman" w:cs="Times New Roman" w:eastAsia="Times New Roman" w:hint="default"/>
                <w:sz w:val="18"/>
                <w:szCs w:val="18"/>
              </w:rPr>
            </w:pPr>
            <w:r>
              <w:rPr>
                <w:rFonts w:ascii="Times New Roman"/>
                <w:sz w:val="18"/>
              </w:rPr>
              <w:t>6.72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富滇银行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0.65%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503,129,1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78.67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613,562,3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07.79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46,497,62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660,059,9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28.05</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2,874,513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2,279,046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29,327,46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5.50</w:t>
            </w:r>
          </w:p>
        </w:tc>
      </w:tr>
    </w:tbl>
    <w:p>
      <w:pPr>
        <w:pStyle w:val="BodyText"/>
        <w:spacing w:line="240" w:lineRule="auto" w:before="49"/>
        <w:ind w:right="99"/>
        <w:jc w:val="left"/>
      </w:pPr>
      <w:r>
        <w:rPr/>
        <w:t>长期股权投资的说明</w:t>
      </w:r>
    </w:p>
    <w:p>
      <w:pPr>
        <w:spacing w:line="240" w:lineRule="auto" w:before="12"/>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03" w:lineRule="auto" w:before="0"/>
        <w:ind w:left="112" w:right="836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2525"/>
        <w:gridCol w:w="3456"/>
        <w:gridCol w:w="3588"/>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1,117,388,294.85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1,032,751,978.43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20,432,191.76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11,934,905.95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1,137,820,486.61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1,044,686,884.38</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1,006,687,521.14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905,539,496.93</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）主营业务（分行业）</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1,117,388,294.85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995,427,708.65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1,032,751,978.43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899,909,279.90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1,117,388,294.85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995,427,708.65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1,032,751,978.43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899,909,279.90</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）主营业务（分产品）</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信息产品及系统集成</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1,117,388,294.85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995,427,708.65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1,032,751,978.43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899,909,279.90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6" w:right="0"/>
              <w:jc w:val="left"/>
              <w:rPr>
                <w:rFonts w:ascii="Times New Roman" w:hAnsi="Times New Roman" w:cs="Times New Roman" w:eastAsia="Times New Roman" w:hint="default"/>
                <w:sz w:val="18"/>
                <w:szCs w:val="18"/>
              </w:rPr>
            </w:pPr>
            <w:r>
              <w:rPr>
                <w:rFonts w:ascii="Times New Roman"/>
                <w:sz w:val="18"/>
              </w:rPr>
              <w:t>1,117,388,294.85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995,427,708.65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1,032,751,978.43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899,909,279.90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1"/>
        <w:rPr>
          <w:rFonts w:ascii="Microsoft JhengHei" w:hAnsi="Microsoft JhengHei" w:cs="Microsoft JhengHei" w:eastAsia="Microsoft JhengHei" w:hint="default"/>
          <w:b/>
          <w:bCs/>
          <w:sz w:val="18"/>
          <w:szCs w:val="18"/>
        </w:rPr>
      </w:pPr>
    </w:p>
    <w:p>
      <w:pPr>
        <w:spacing w:line="333" w:lineRule="exact" w:before="0"/>
        <w:ind w:left="112" w:right="99" w:firstLine="0"/>
        <w:jc w:val="left"/>
        <w:rPr>
          <w:rFonts w:ascii="Microsoft JhengHei" w:hAnsi="Microsoft JhengHei" w:cs="Microsoft JhengHei" w:eastAsia="Microsoft JhengHei" w:hint="default"/>
          <w:sz w:val="21"/>
          <w:szCs w:val="21"/>
        </w:rPr>
      </w:pPr>
      <w:bookmarkStart w:name="（4）主营业务（分地区）" w:id="378"/>
      <w:bookmarkEnd w:id="378"/>
      <w:r>
        <w:rPr/>
      </w:r>
      <w:bookmarkStart w:name="单位：元" w:id="379"/>
      <w:bookmarkEnd w:id="379"/>
      <w:r>
        <w:rPr/>
      </w:r>
      <w:bookmarkStart w:name="（5）公司前五名客户的营业收入情况" w:id="380"/>
      <w:bookmarkEnd w:id="380"/>
      <w:r>
        <w:rPr/>
      </w:r>
      <w:bookmarkStart w:name="5、投资收益" w:id="381"/>
      <w:bookmarkEnd w:id="381"/>
      <w:r>
        <w:rPr/>
      </w:r>
      <w:bookmarkStart w:name="（1）投资收益明细" w:id="382"/>
      <w:bookmarkEnd w:id="382"/>
      <w:r>
        <w:rPr/>
      </w:r>
      <w:bookmarkStart w:name="（2）按成本法核算的长期股权投资收益" w:id="383"/>
      <w:bookmarkEnd w:id="383"/>
      <w:r>
        <w:rPr/>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）主营业务（分地区）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74,852,253.03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66,601,312.54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83,360,062.69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72,641,242.47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69,060,095.07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61,447,622.35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104,733,427.90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91,266,322.09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920,955,829.63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821,688,645.86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789,040,409.69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687,581,965.14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52,520,117.12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45,690,127.90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55,618,078.15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48,419,750.20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1,117,388,294.85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995,427,708.65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1,032,751,978.43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899,909,279.90</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）公司前五名客户的营业收入情况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4783"/>
        <w:gridCol w:w="2923"/>
        <w:gridCol w:w="1862"/>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2"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499,318,606.39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404,781,242.21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38.75%</w:t>
            </w:r>
          </w:p>
        </w:tc>
      </w:tr>
    </w:tbl>
    <w:p>
      <w:pPr>
        <w:pStyle w:val="BodyText"/>
        <w:spacing w:line="240" w:lineRule="auto" w:before="51"/>
        <w:ind w:left="119" w:right="99" w:hanging="7"/>
        <w:jc w:val="left"/>
      </w:pPr>
      <w:r>
        <w:rPr/>
        <w:t>营业收入的说明</w:t>
      </w:r>
    </w:p>
    <w:p>
      <w:pPr>
        <w:spacing w:line="240" w:lineRule="auto" w:before="9"/>
        <w:rPr>
          <w:rFonts w:ascii="宋体" w:hAnsi="宋体" w:cs="宋体" w:eastAsia="宋体" w:hint="default"/>
          <w:sz w:val="21"/>
          <w:szCs w:val="21"/>
        </w:rPr>
      </w:pPr>
    </w:p>
    <w:p>
      <w:pPr>
        <w:pStyle w:val="Heading4"/>
        <w:spacing w:line="240" w:lineRule="auto"/>
        <w:ind w:left="119" w:right="9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0" w:lineRule="auto" w:before="0"/>
        <w:ind w:left="112" w:right="794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）投资收益明细</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522"/>
        <w:gridCol w:w="2525"/>
        <w:gridCol w:w="2522"/>
      </w:tblGrid>
      <w:tr>
        <w:trPr>
          <w:trHeight w:val="403"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29,327,465.50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26,309,955.47</w:t>
            </w:r>
          </w:p>
        </w:tc>
      </w:tr>
      <w:tr>
        <w:trPr>
          <w:trHeight w:val="403"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16,345,776.43</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22,742,509.06</w:t>
            </w:r>
          </w:p>
        </w:tc>
      </w:tr>
      <w:tr>
        <w:trPr>
          <w:trHeight w:val="401"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-570,271.69</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-570,271.69</w:t>
            </w:r>
          </w:p>
        </w:tc>
      </w:tr>
      <w:tr>
        <w:trPr>
          <w:trHeight w:val="403"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45,102,970.24</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48,482,192.84</w:t>
            </w:r>
          </w:p>
        </w:tc>
      </w:tr>
    </w:tbl>
    <w:p>
      <w:pPr>
        <w:spacing w:line="240" w:lineRule="auto" w:before="10"/>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）按成本法核算的长期股权投资收益</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326"/>
        <w:gridCol w:w="1726"/>
        <w:gridCol w:w="1594"/>
        <w:gridCol w:w="29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北京南天宏远科技有限公司</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3" w:right="0"/>
              <w:jc w:val="left"/>
              <w:rPr>
                <w:rFonts w:ascii="Times New Roman" w:hAnsi="Times New Roman" w:cs="Times New Roman" w:eastAsia="Times New Roman" w:hint="default"/>
                <w:sz w:val="18"/>
                <w:szCs w:val="18"/>
              </w:rPr>
            </w:pPr>
            <w:r>
              <w:rPr>
                <w:rFonts w:ascii="Times New Roman"/>
                <w:sz w:val="18"/>
              </w:rPr>
              <w:t>307,167.74</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3326"/>
        <w:gridCol w:w="1726"/>
        <w:gridCol w:w="1594"/>
        <w:gridCol w:w="29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3）按权益法核算的长期股权投资收益" w:id="384"/>
            <w:bookmarkEnd w:id="384"/>
            <w:r>
              <w:rPr/>
            </w:r>
            <w:bookmarkStart w:name="单位：元" w:id="385"/>
            <w:bookmarkEnd w:id="385"/>
            <w:r>
              <w:rPr/>
            </w:r>
            <w:bookmarkStart w:name="6、现金流量表补充资料" w:id="386"/>
            <w:bookmarkEnd w:id="386"/>
            <w:r>
              <w:rPr/>
            </w:r>
            <w:r>
              <w:rPr>
                <w:rFonts w:ascii="宋体" w:hAnsi="宋体" w:cs="宋体" w:eastAsia="宋体" w:hint="default"/>
                <w:sz w:val="18"/>
                <w:szCs w:val="18"/>
              </w:rPr>
              <w:t>北京南天软件有限公司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7,462,992.15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5,319,299.99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5,545,996.45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1,886,765.63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1,915,789.69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678,442.09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6,124,171.65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5,029,949.69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1,370,837.01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205,519.57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237,678.55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51,872.50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680,938.26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富滇银行股份有限公司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29,327,465.50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26,309,955.47</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）按权益法核算的长期股权投资收益</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12" w:right="9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326"/>
        <w:gridCol w:w="1726"/>
        <w:gridCol w:w="1594"/>
        <w:gridCol w:w="29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719,987.65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436,250.25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14,542,990.66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22,306,258.81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云南东盟公共物流信息有限公司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1,082,798.12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16,345,776.43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22,742,509.06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9"/>
        <w:jc w:val="left"/>
      </w:pPr>
      <w:r>
        <w:rPr/>
        <w:t>投资收益的说明</w:t>
      </w:r>
    </w:p>
    <w:p>
      <w:pPr>
        <w:spacing w:line="240" w:lineRule="auto" w:before="12"/>
        <w:rPr>
          <w:rFonts w:ascii="宋体" w:hAnsi="宋体" w:cs="宋体" w:eastAsia="宋体" w:hint="default"/>
          <w:sz w:val="21"/>
          <w:szCs w:val="21"/>
        </w:rPr>
      </w:pPr>
    </w:p>
    <w:p>
      <w:pPr>
        <w:pStyle w:val="Heading4"/>
        <w:spacing w:line="400" w:lineRule="auto"/>
        <w:ind w:right="7319" w:firstLine="6"/>
        <w:jc w:val="left"/>
        <w:rPr>
          <w:b w:val="0"/>
          <w:bCs w:val="0"/>
        </w:rPr>
      </w:pPr>
      <w:r>
        <w:rPr>
          <w:rFonts w:ascii="Times New Roman" w:hAnsi="Times New Roman" w:cs="Times New Roman" w:eastAsia="Times New Roman" w:hint="default"/>
          <w:w w:val="95"/>
        </w:rPr>
        <w:t>6</w:t>
      </w:r>
      <w:r>
        <w:rPr>
          <w:w w:val="95"/>
        </w:rPr>
        <w:t>、现金流量表补充资料</w:t>
      </w:r>
      <w:r>
        <w:rPr>
          <w:spacing w:val="45"/>
          <w:w w:val="95"/>
        </w:rPr>
        <w:t> </w:t>
      </w:r>
      <w:r>
        <w:rPr>
          <w:spacing w:val="45"/>
          <w:w w:val="95"/>
        </w:rPr>
      </w:r>
      <w:r>
        <w:rPr/>
        <w:t>单位： </w:t>
      </w:r>
      <w:r>
        <w:rPr>
          <w:spacing w:val="2"/>
        </w:rPr>
        <w:t> </w:t>
      </w:r>
      <w:r>
        <w:rPr/>
        <w:t>元</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5052"/>
        <w:gridCol w:w="2258"/>
        <w:gridCol w:w="2258"/>
      </w:tblGrid>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40,646,374.27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69,797,115.64</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15,749,170.40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-943,354.06</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12,433,132.98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10,802,186.32</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16,450,364.19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12,694,818.17</w:t>
            </w:r>
          </w:p>
        </w:tc>
      </w:tr>
      <w:tr>
        <w:trPr>
          <w:trHeight w:val="715"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26,850.09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17,499.60</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215,595.41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8,769.65</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23,104,391.03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15,521,866.09</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-45,102,970.24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-48,482,192.84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5052"/>
        <w:gridCol w:w="2258"/>
        <w:gridCol w:w="2258"/>
      </w:tblGrid>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十三、补充资料" w:id="387"/>
            <w:bookmarkEnd w:id="387"/>
            <w:r>
              <w:rPr/>
            </w:r>
            <w:bookmarkStart w:name="1、净资产收益率及每股收益" w:id="388"/>
            <w:bookmarkEnd w:id="388"/>
            <w:r>
              <w:rPr/>
            </w:r>
            <w:bookmarkStart w:name="单位：元" w:id="389"/>
            <w:bookmarkEnd w:id="389"/>
            <w:r>
              <w:rPr/>
            </w:r>
            <w:bookmarkStart w:name="2、公司主要会计报表项目的异常情况及原因的说明" w:id="390"/>
            <w:bookmarkEnd w:id="390"/>
            <w:r>
              <w:rPr/>
            </w: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-3,818,685.54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-767,758.38</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-31,721,332.34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10,703,700.50</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34,632,753.25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-144,492,409.58</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-64,073,675.76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158,610,157.97</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-4,353,299.50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4,627,873.39</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-5,811,331.76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88,098,272.47</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065"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235,732,027.31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278,079,734.22</w:t>
            </w:r>
          </w:p>
        </w:tc>
      </w:tr>
      <w:tr>
        <w:trPr>
          <w:trHeight w:val="40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278,079,734.22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230,864,407.17</w:t>
            </w:r>
          </w:p>
        </w:tc>
      </w:tr>
      <w:tr>
        <w:trPr>
          <w:trHeight w:val="401"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-42,347,706.91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47,215,327.05</w:t>
            </w:r>
          </w:p>
        </w:tc>
      </w:tr>
    </w:tbl>
    <w:p>
      <w:pPr>
        <w:spacing w:line="240" w:lineRule="auto" w:before="12"/>
        <w:rPr>
          <w:rFonts w:ascii="Microsoft JhengHei" w:hAnsi="Microsoft JhengHei" w:cs="Microsoft JhengHei" w:eastAsia="Microsoft JhengHei" w:hint="default"/>
          <w:b/>
          <w:bCs/>
          <w:sz w:val="13"/>
          <w:szCs w:val="13"/>
        </w:rPr>
      </w:pPr>
    </w:p>
    <w:p>
      <w:pPr>
        <w:spacing w:line="367" w:lineRule="exact" w:before="0"/>
        <w:ind w:left="112" w:right="9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十三、补充资料</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3"/>
          <w:szCs w:val="13"/>
        </w:rPr>
      </w:pPr>
    </w:p>
    <w:p>
      <w:pPr>
        <w:spacing w:line="403" w:lineRule="auto" w:before="0"/>
        <w:ind w:left="112" w:right="6754" w:firstLine="6"/>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95"/>
          <w:sz w:val="21"/>
          <w:szCs w:val="21"/>
        </w:rPr>
        <w:t>1</w:t>
      </w:r>
      <w:r>
        <w:rPr>
          <w:rFonts w:ascii="Microsoft JhengHei" w:hAnsi="Microsoft JhengHei" w:cs="Microsoft JhengHei" w:eastAsia="Microsoft JhengHei" w:hint="default"/>
          <w:b/>
          <w:bCs/>
          <w:w w:val="95"/>
          <w:sz w:val="21"/>
          <w:szCs w:val="21"/>
        </w:rPr>
        <w:t>、净资产收益率及每股收益</w:t>
      </w:r>
      <w:r>
        <w:rPr>
          <w:rFonts w:ascii="Microsoft JhengHei" w:hAnsi="Microsoft JhengHei" w:cs="Microsoft JhengHei" w:eastAsia="Microsoft JhengHei" w:hint="default"/>
          <w:b/>
          <w:bCs/>
          <w:spacing w:val="16"/>
          <w:w w:val="95"/>
          <w:sz w:val="21"/>
          <w:szCs w:val="21"/>
        </w:rPr>
        <w:t> </w:t>
      </w:r>
      <w:r>
        <w:rPr>
          <w:rFonts w:ascii="Microsoft JhengHei" w:hAnsi="Microsoft JhengHei" w:cs="Microsoft JhengHei" w:eastAsia="Microsoft JhengHei" w:hint="default"/>
          <w:b/>
          <w:bCs/>
          <w:spacing w:val="16"/>
          <w:w w:val="95"/>
          <w:sz w:val="21"/>
          <w:szCs w:val="21"/>
        </w:rPr>
      </w:r>
      <w:r>
        <w:rPr>
          <w:rFonts w:ascii="Microsoft JhengHei" w:hAnsi="Microsoft JhengHei" w:cs="Microsoft JhengHei" w:eastAsia="Microsoft JhengHei" w:hint="default"/>
          <w:b/>
          <w:bCs/>
          <w:sz w:val="21"/>
          <w:szCs w:val="21"/>
        </w:rPr>
        <w:t>单位：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40"/>
        <w:gridCol w:w="2177"/>
        <w:gridCol w:w="1915"/>
        <w:gridCol w:w="1937"/>
      </w:tblGrid>
      <w:tr>
        <w:trPr>
          <w:trHeight w:val="401" w:hRule="exact"/>
        </w:trPr>
        <w:tc>
          <w:tcPr>
            <w:tcW w:w="35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3540" w:type="dxa"/>
            <w:vMerge/>
            <w:tcBorders>
              <w:left w:val="single" w:sz="4" w:space="0" w:color="000000"/>
              <w:bottom w:val="single" w:sz="4" w:space="0" w:color="000000"/>
              <w:right w:val="single" w:sz="4" w:space="0" w:color="000000"/>
            </w:tcBorders>
            <w:shd w:val="clear" w:color="auto" w:fill="D3D3D3"/>
          </w:tcPr>
          <w:p>
            <w:pPr/>
          </w:p>
        </w:tc>
        <w:tc>
          <w:tcPr>
            <w:tcW w:w="2177"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1"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0.03</w:t>
            </w:r>
          </w:p>
        </w:tc>
      </w:tr>
      <w:tr>
        <w:trPr>
          <w:trHeight w:val="715"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9" w:right="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、公司主要会计报表项目的异常情况及原因的说明</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pStyle w:val="BodyText"/>
        <w:spacing w:line="300" w:lineRule="auto"/>
        <w:ind w:right="94" w:firstLine="362"/>
        <w:jc w:val="left"/>
      </w:pPr>
      <w:r>
        <w:rPr>
          <w:spacing w:val="-1"/>
        </w:rPr>
        <w:t>（</w:t>
      </w:r>
      <w:r>
        <w:rPr>
          <w:rFonts w:ascii="Times New Roman" w:hAnsi="Times New Roman" w:cs="Times New Roman" w:eastAsia="Times New Roman" w:hint="default"/>
          <w:spacing w:val="-1"/>
        </w:rPr>
        <w:t>1</w:t>
      </w:r>
      <w:r>
        <w:rPr>
          <w:spacing w:val="-1"/>
        </w:rPr>
        <w:t>）其他流动资产期末余额为</w:t>
      </w:r>
      <w:r>
        <w:rPr>
          <w:rFonts w:ascii="Times New Roman" w:hAnsi="Times New Roman" w:cs="Times New Roman" w:eastAsia="Times New Roman" w:hint="default"/>
          <w:spacing w:val="-1"/>
        </w:rPr>
        <w:t>17,604,566.51</w:t>
      </w:r>
      <w:r>
        <w:rPr>
          <w:spacing w:val="-1"/>
        </w:rPr>
        <w:t>元，比期初增加</w:t>
      </w:r>
      <w:r>
        <w:rPr>
          <w:rFonts w:ascii="Times New Roman" w:hAnsi="Times New Roman" w:cs="Times New Roman" w:eastAsia="Times New Roman" w:hint="default"/>
          <w:spacing w:val="-1"/>
        </w:rPr>
        <w:t>3,364.96</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2"/>
        </w:rPr>
        <w:t>%</w:t>
      </w:r>
      <w:r>
        <w:rPr>
          <w:spacing w:val="-2"/>
        </w:rPr>
        <w:t>，主要原因是本期购进存货增加，取得的增值税</w:t>
      </w:r>
      <w:r>
        <w:rPr/>
        <w:t> 待抵扣进项税增加</w:t>
      </w:r>
      <w:r>
        <w:rPr>
          <w:rFonts w:ascii="Times New Roman" w:hAnsi="Times New Roman" w:cs="Times New Roman" w:eastAsia="Times New Roman" w:hint="default"/>
        </w:rPr>
        <w:t>,</w:t>
      </w:r>
      <w:r>
        <w:rPr/>
        <w:t>增值税待抵扣进项税重分类到其他流动资产所致。</w:t>
      </w:r>
    </w:p>
    <w:p>
      <w:pPr>
        <w:pStyle w:val="BodyText"/>
        <w:spacing w:line="240" w:lineRule="auto" w:before="13"/>
        <w:ind w:left="475" w:right="94"/>
        <w:jc w:val="left"/>
      </w:pPr>
      <w:r>
        <w:rPr>
          <w:spacing w:val="-3"/>
        </w:rPr>
        <w:t>（</w:t>
      </w:r>
      <w:r>
        <w:rPr>
          <w:rFonts w:ascii="Times New Roman" w:hAnsi="Times New Roman" w:cs="Times New Roman" w:eastAsia="Times New Roman" w:hint="default"/>
          <w:spacing w:val="-3"/>
        </w:rPr>
        <w:t>2</w:t>
      </w:r>
      <w:r>
        <w:rPr>
          <w:spacing w:val="-3"/>
        </w:rPr>
        <w:t>）在建工程期末余额为</w:t>
      </w:r>
      <w:r>
        <w:rPr>
          <w:rFonts w:ascii="Times New Roman" w:hAnsi="Times New Roman" w:cs="Times New Roman" w:eastAsia="Times New Roman" w:hint="default"/>
          <w:spacing w:val="-3"/>
        </w:rPr>
        <w:t>46,172,636.40</w:t>
      </w:r>
      <w:r>
        <w:rPr>
          <w:spacing w:val="-3"/>
        </w:rPr>
        <w:t>元，比期初数增加</w:t>
      </w:r>
      <w:r>
        <w:rPr>
          <w:rFonts w:ascii="Times New Roman" w:hAnsi="Times New Roman" w:cs="Times New Roman" w:eastAsia="Times New Roman" w:hint="default"/>
          <w:spacing w:val="-3"/>
        </w:rPr>
        <w:t>127.96%</w:t>
      </w:r>
      <w:r>
        <w:rPr>
          <w:spacing w:val="-3"/>
        </w:rPr>
        <w:t>，其主要原因是信息产业基地项目工程进度增加所致。</w:t>
      </w:r>
    </w:p>
    <w:p>
      <w:pPr>
        <w:pStyle w:val="BodyText"/>
        <w:spacing w:line="300" w:lineRule="auto" w:before="63"/>
        <w:ind w:right="94" w:firstLine="362"/>
        <w:jc w:val="left"/>
      </w:pPr>
      <w:r>
        <w:rPr>
          <w:spacing w:val="-1"/>
        </w:rPr>
        <w:t>（</w:t>
      </w:r>
      <w:r>
        <w:rPr>
          <w:rFonts w:ascii="Times New Roman" w:hAnsi="Times New Roman" w:cs="Times New Roman" w:eastAsia="Times New Roman" w:hint="default"/>
          <w:spacing w:val="-1"/>
        </w:rPr>
        <w:t>3</w:t>
      </w:r>
      <w:r>
        <w:rPr>
          <w:spacing w:val="-1"/>
        </w:rPr>
        <w:t>）递延所得税资产期末余额为</w:t>
      </w:r>
      <w:r>
        <w:rPr>
          <w:rFonts w:ascii="Times New Roman" w:hAnsi="Times New Roman" w:cs="Times New Roman" w:eastAsia="Times New Roman" w:hint="default"/>
          <w:spacing w:val="-1"/>
        </w:rPr>
        <w:t>13,059,834.99</w:t>
      </w:r>
      <w:r>
        <w:rPr>
          <w:spacing w:val="-1"/>
        </w:rPr>
        <w:t>元，比期初数增加</w:t>
      </w:r>
      <w:r>
        <w:rPr>
          <w:rFonts w:ascii="Times New Roman" w:hAnsi="Times New Roman" w:cs="Times New Roman" w:eastAsia="Times New Roman" w:hint="default"/>
          <w:spacing w:val="-1"/>
        </w:rPr>
        <w:t>46.18%</w:t>
      </w:r>
      <w:r>
        <w:rPr>
          <w:spacing w:val="-1"/>
        </w:rPr>
        <w:t>，其主要原因是本期坏账准备及递延收益形成</w:t>
      </w:r>
      <w:r>
        <w:rPr/>
        <w:t> 的递延所得税资产增加。</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4</w:t>
      </w:r>
      <w:r>
        <w:rPr>
          <w:spacing w:val="-1"/>
        </w:rPr>
        <w:t>）短期借款期末金额为</w:t>
      </w:r>
      <w:r>
        <w:rPr>
          <w:rFonts w:ascii="Times New Roman" w:hAnsi="Times New Roman" w:cs="Times New Roman" w:eastAsia="Times New Roman" w:hint="default"/>
          <w:spacing w:val="-1"/>
        </w:rPr>
        <w:t>106,282,283.79</w:t>
      </w:r>
      <w:r>
        <w:rPr>
          <w:spacing w:val="-1"/>
        </w:rPr>
        <w:t>元，比期初数增加</w:t>
      </w:r>
      <w:r>
        <w:rPr>
          <w:rFonts w:ascii="Times New Roman" w:hAnsi="Times New Roman" w:cs="Times New Roman" w:eastAsia="Times New Roman" w:hint="default"/>
          <w:spacing w:val="-1"/>
        </w:rPr>
        <w:t>136.18%</w:t>
      </w:r>
      <w:r>
        <w:rPr>
          <w:spacing w:val="-1"/>
        </w:rPr>
        <w:t>，其主要原因是因本年度除借款外的其他流动负债</w:t>
      </w:r>
      <w:r>
        <w:rPr/>
        <w:t> 减少，导致资金需求增加。</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5</w:t>
      </w:r>
      <w:r>
        <w:rPr>
          <w:spacing w:val="-1"/>
        </w:rPr>
        <w:t>）应付票据期末金额为</w:t>
      </w:r>
      <w:r>
        <w:rPr>
          <w:rFonts w:ascii="Times New Roman" w:hAnsi="Times New Roman" w:cs="Times New Roman" w:eastAsia="Times New Roman" w:hint="default"/>
          <w:spacing w:val="-1"/>
        </w:rPr>
        <w:t>85,046,960.00</w:t>
      </w:r>
      <w:r>
        <w:rPr>
          <w:spacing w:val="-1"/>
        </w:rPr>
        <w:t>元，比期初数增加</w:t>
      </w:r>
      <w:r>
        <w:rPr>
          <w:rFonts w:ascii="Times New Roman" w:hAnsi="Times New Roman" w:cs="Times New Roman" w:eastAsia="Times New Roman" w:hint="default"/>
          <w:spacing w:val="-1"/>
        </w:rPr>
        <w:t>1,132.48%</w:t>
      </w:r>
      <w:r>
        <w:rPr>
          <w:spacing w:val="-1"/>
        </w:rPr>
        <w:t>，其主要原因是本期采用应付票据方式结算货款，</w:t>
      </w:r>
      <w:r>
        <w:rPr/>
        <w:t> 导致期末应付票据增加。</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6</w:t>
      </w:r>
      <w:r>
        <w:rPr>
          <w:spacing w:val="-1"/>
        </w:rPr>
        <w:t>）预收账款期末金额为</w:t>
      </w:r>
      <w:r>
        <w:rPr>
          <w:rFonts w:ascii="Times New Roman" w:hAnsi="Times New Roman" w:cs="Times New Roman" w:eastAsia="Times New Roman" w:hint="default"/>
          <w:spacing w:val="-1"/>
        </w:rPr>
        <w:t>48,381,479.22</w:t>
      </w:r>
      <w:r>
        <w:rPr>
          <w:spacing w:val="-1"/>
        </w:rPr>
        <w:t>元，比期初数减少</w:t>
      </w:r>
      <w:r>
        <w:rPr>
          <w:rFonts w:ascii="Times New Roman" w:hAnsi="Times New Roman" w:cs="Times New Roman" w:eastAsia="Times New Roman" w:hint="default"/>
          <w:spacing w:val="-1"/>
        </w:rPr>
        <w:t>45.08%</w:t>
      </w:r>
      <w:r>
        <w:rPr>
          <w:spacing w:val="-1"/>
        </w:rPr>
        <w:t>，其主要原因是本年中国光大银行股份有限公司、中</w:t>
      </w:r>
      <w:r>
        <w:rPr/>
        <w:t> 国建设银行股份有限公司、中国医疗器械公司及山东中行实现销售所致。</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7</w:t>
      </w:r>
      <w:r>
        <w:rPr>
          <w:spacing w:val="-1"/>
        </w:rPr>
        <w:t>）应交税费期末金额为</w:t>
      </w:r>
      <w:r>
        <w:rPr>
          <w:rFonts w:ascii="Times New Roman" w:hAnsi="Times New Roman" w:cs="Times New Roman" w:eastAsia="Times New Roman" w:hint="default"/>
          <w:spacing w:val="-1"/>
        </w:rPr>
        <w:t>31,017,039.89</w:t>
      </w:r>
      <w:r>
        <w:rPr>
          <w:spacing w:val="-1"/>
        </w:rPr>
        <w:t>元，比期初数减少</w:t>
      </w:r>
      <w:r>
        <w:rPr>
          <w:rFonts w:ascii="Times New Roman" w:hAnsi="Times New Roman" w:cs="Times New Roman" w:eastAsia="Times New Roman" w:hint="default"/>
          <w:spacing w:val="-1"/>
        </w:rPr>
        <w:t>43.44%</w:t>
      </w:r>
      <w:r>
        <w:rPr>
          <w:spacing w:val="-1"/>
        </w:rPr>
        <w:t>，其主要原因是本年因存货采购增加，导致本期应交</w:t>
      </w:r>
      <w:r>
        <w:rPr/>
        <w:t> 增值税减少；另一方面，本期利润减少，导致本年所得税费用减少。</w:t>
      </w:r>
    </w:p>
    <w:p>
      <w:pPr>
        <w:pStyle w:val="BodyText"/>
        <w:spacing w:line="240" w:lineRule="auto" w:before="31"/>
        <w:ind w:left="475" w:right="94"/>
        <w:jc w:val="left"/>
        <w:rPr>
          <w:rFonts w:ascii="Times New Roman" w:hAnsi="Times New Roman" w:cs="Times New Roman" w:eastAsia="Times New Roman" w:hint="default"/>
        </w:rPr>
      </w:pPr>
      <w:r>
        <w:rPr/>
        <w:t>（</w:t>
      </w:r>
      <w:r>
        <w:rPr>
          <w:rFonts w:ascii="Times New Roman" w:hAnsi="Times New Roman" w:cs="Times New Roman" w:eastAsia="Times New Roman" w:hint="default"/>
        </w:rPr>
        <w:t>8</w:t>
      </w:r>
      <w:r>
        <w:rPr/>
        <w:t>）应付利息期末金额为</w:t>
      </w:r>
      <w:r>
        <w:rPr>
          <w:rFonts w:ascii="Times New Roman" w:hAnsi="Times New Roman" w:cs="Times New Roman" w:eastAsia="Times New Roman" w:hint="default"/>
        </w:rPr>
        <w:t>1,069,866.67</w:t>
      </w:r>
      <w:r>
        <w:rPr/>
        <w:t>元，比期初数减少</w:t>
      </w:r>
      <w:r>
        <w:rPr>
          <w:rFonts w:ascii="Times New Roman" w:hAnsi="Times New Roman" w:cs="Times New Roman" w:eastAsia="Times New Roman" w:hint="default"/>
        </w:rPr>
        <w:t>60.29%</w:t>
      </w:r>
      <w:r>
        <w:rPr/>
        <w:t>，其主要原因是本期短期融资券应付利息已支付到</w:t>
      </w:r>
      <w:r>
        <w:rPr>
          <w:rFonts w:ascii="Times New Roman" w:hAnsi="Times New Roman" w:cs="Times New Roman" w:eastAsia="Times New Roman" w:hint="default"/>
        </w:rPr>
        <w:t>11</w:t>
      </w:r>
    </w:p>
    <w:p>
      <w:pPr>
        <w:spacing w:after="0" w:line="240" w:lineRule="auto"/>
        <w:jc w:val="left"/>
        <w:rPr>
          <w:rFonts w:ascii="Times New Roman" w:hAnsi="Times New Roman" w:cs="Times New Roman" w:eastAsia="Times New Roman" w:hint="default"/>
        </w:rPr>
        <w:sectPr>
          <w:pgSz w:w="11910" w:h="16840"/>
          <w:pgMar w:header="745" w:footer="979" w:top="1060" w:bottom="1160" w:left="1020" w:right="94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94"/>
        <w:jc w:val="left"/>
      </w:pPr>
      <w:r>
        <w:rPr/>
        <w:t>月</w:t>
      </w:r>
      <w:r>
        <w:rPr>
          <w:rFonts w:ascii="Times New Roman" w:hAnsi="Times New Roman" w:cs="Times New Roman" w:eastAsia="Times New Roman" w:hint="default"/>
        </w:rPr>
        <w:t>30</w:t>
      </w:r>
      <w:r>
        <w:rPr/>
        <w:t>日，导致期末应付利息较少。</w:t>
      </w:r>
    </w:p>
    <w:p>
      <w:pPr>
        <w:pStyle w:val="BodyText"/>
        <w:spacing w:line="300" w:lineRule="auto" w:before="63"/>
        <w:ind w:right="231" w:firstLine="362"/>
        <w:jc w:val="both"/>
      </w:pPr>
      <w:r>
        <w:rPr>
          <w:spacing w:val="-1"/>
        </w:rPr>
        <w:t>（</w:t>
      </w:r>
      <w:r>
        <w:rPr>
          <w:rFonts w:ascii="Times New Roman" w:hAnsi="Times New Roman" w:cs="Times New Roman" w:eastAsia="Times New Roman" w:hint="default"/>
          <w:spacing w:val="-1"/>
        </w:rPr>
        <w:t>9</w:t>
      </w:r>
      <w:r>
        <w:rPr>
          <w:spacing w:val="-1"/>
        </w:rPr>
        <w:t>）长期借款期末金额为</w:t>
      </w:r>
      <w:r>
        <w:rPr>
          <w:rFonts w:ascii="Times New Roman" w:hAnsi="Times New Roman" w:cs="Times New Roman" w:eastAsia="Times New Roman" w:hint="default"/>
          <w:spacing w:val="-1"/>
        </w:rPr>
        <w:t>5,370,233.15</w:t>
      </w:r>
      <w:r>
        <w:rPr>
          <w:spacing w:val="-1"/>
        </w:rPr>
        <w:t>元，比期初数减少</w:t>
      </w:r>
      <w:r>
        <w:rPr>
          <w:rFonts w:ascii="Times New Roman" w:hAnsi="Times New Roman" w:cs="Times New Roman" w:eastAsia="Times New Roman" w:hint="default"/>
          <w:spacing w:val="-1"/>
        </w:rPr>
        <w:t>79.31%</w:t>
      </w:r>
      <w:r>
        <w:rPr>
          <w:spacing w:val="-1"/>
        </w:rPr>
        <w:t>，其主要原因是向富滇银行的借款于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月到期，</w:t>
      </w:r>
      <w:r>
        <w:rPr/>
        <w:t> 重分类调整到一年以内到期的非流动负债。</w:t>
      </w:r>
    </w:p>
    <w:p>
      <w:pPr>
        <w:pStyle w:val="BodyText"/>
        <w:spacing w:line="300" w:lineRule="auto" w:before="31"/>
        <w:ind w:right="94" w:firstLine="362"/>
        <w:jc w:val="left"/>
      </w:pPr>
      <w:r>
        <w:rPr/>
        <w:t>（</w:t>
      </w:r>
      <w:r>
        <w:rPr>
          <w:rFonts w:ascii="Times New Roman" w:hAnsi="Times New Roman" w:cs="Times New Roman" w:eastAsia="Times New Roman" w:hint="default"/>
        </w:rPr>
        <w:t>10</w:t>
      </w:r>
      <w:r>
        <w:rPr/>
        <w:t>）营业收入本期发生额为</w:t>
      </w:r>
      <w:r>
        <w:rPr>
          <w:rFonts w:ascii="Times New Roman" w:hAnsi="Times New Roman" w:cs="Times New Roman" w:eastAsia="Times New Roman" w:hint="default"/>
        </w:rPr>
        <w:t>1,826,566,611.11</w:t>
      </w:r>
      <w:r>
        <w:rPr/>
        <w:t>元，较上年减少</w:t>
      </w:r>
      <w:r>
        <w:rPr>
          <w:rFonts w:ascii="Times New Roman" w:hAnsi="Times New Roman" w:cs="Times New Roman" w:eastAsia="Times New Roman" w:hint="default"/>
        </w:rPr>
        <w:t>31.25%</w:t>
      </w:r>
      <w:r>
        <w:rPr/>
        <w:t>；营业成本本期发生额为</w:t>
      </w:r>
      <w:r>
        <w:rPr>
          <w:rFonts w:ascii="Times New Roman" w:hAnsi="Times New Roman" w:cs="Times New Roman" w:eastAsia="Times New Roman" w:hint="default"/>
        </w:rPr>
        <w:t>1,416,519,647.64</w:t>
      </w:r>
      <w:r>
        <w:rPr/>
        <w:t>元，较 </w:t>
      </w:r>
      <w:r>
        <w:rPr>
          <w:spacing w:val="-1"/>
        </w:rPr>
        <w:t>上期减少</w:t>
      </w:r>
      <w:r>
        <w:rPr>
          <w:rFonts w:ascii="Times New Roman" w:hAnsi="Times New Roman" w:cs="Times New Roman" w:eastAsia="Times New Roman" w:hint="default"/>
          <w:spacing w:val="-1"/>
        </w:rPr>
        <w:t>35.12%</w:t>
      </w:r>
      <w:r>
        <w:rPr>
          <w:spacing w:val="-1"/>
        </w:rPr>
        <w:t>；其主要是本期云南医药工业股份有限公司不再纳入合并范围，导致本年营业收入及营业成本较上年下滑。</w:t>
      </w:r>
    </w:p>
    <w:p>
      <w:pPr>
        <w:pStyle w:val="BodyText"/>
        <w:spacing w:line="300" w:lineRule="auto" w:before="13"/>
        <w:ind w:right="191" w:firstLine="362"/>
        <w:jc w:val="both"/>
      </w:pPr>
      <w:r>
        <w:rPr>
          <w:spacing w:val="-1"/>
        </w:rPr>
        <w:t>（</w:t>
      </w:r>
      <w:r>
        <w:rPr>
          <w:rFonts w:ascii="Times New Roman" w:hAnsi="Times New Roman" w:cs="Times New Roman" w:eastAsia="Times New Roman" w:hint="default"/>
          <w:spacing w:val="-1"/>
        </w:rPr>
        <w:t>11</w:t>
      </w:r>
      <w:r>
        <w:rPr>
          <w:spacing w:val="-1"/>
        </w:rPr>
        <w:t>）营业税金及附加本期发生额为</w:t>
      </w:r>
      <w:r>
        <w:rPr>
          <w:rFonts w:ascii="Times New Roman" w:hAnsi="Times New Roman" w:cs="Times New Roman" w:eastAsia="Times New Roman" w:hint="default"/>
          <w:spacing w:val="-1"/>
        </w:rPr>
        <w:t>15,090,799.07</w:t>
      </w:r>
      <w:r>
        <w:rPr>
          <w:spacing w:val="-1"/>
        </w:rPr>
        <w:t>元，较上年减少</w:t>
      </w:r>
      <w:r>
        <w:rPr>
          <w:rFonts w:ascii="Times New Roman" w:hAnsi="Times New Roman" w:cs="Times New Roman" w:eastAsia="Times New Roman" w:hint="default"/>
          <w:spacing w:val="-1"/>
        </w:rPr>
        <w:t>39.22%</w:t>
      </w:r>
      <w:r>
        <w:rPr>
          <w:spacing w:val="-1"/>
        </w:rPr>
        <w:t>；由于北京市</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日开始实施</w:t>
      </w:r>
      <w:r>
        <w:rPr>
          <w:rFonts w:ascii="Times New Roman" w:hAnsi="Times New Roman" w:cs="Times New Roman" w:eastAsia="Times New Roman" w:hint="default"/>
          <w:spacing w:val="-1"/>
        </w:rPr>
        <w:t>“</w:t>
      </w:r>
      <w:r>
        <w:rPr>
          <w:spacing w:val="-1"/>
        </w:rPr>
        <w:t>营改增</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1"/>
          <w:w w:val="95"/>
        </w:rPr>
        <w:t>税收政策及软件开发收入免征营业税的征收方式改变（</w:t>
      </w:r>
      <w:r>
        <w:rPr>
          <w:rFonts w:ascii="Times New Roman" w:hAnsi="Times New Roman" w:cs="Times New Roman" w:eastAsia="Times New Roman" w:hint="default"/>
          <w:spacing w:val="-1"/>
          <w:w w:val="95"/>
        </w:rPr>
        <w:t>2011</w:t>
      </w:r>
      <w:r>
        <w:rPr>
          <w:spacing w:val="-1"/>
          <w:w w:val="95"/>
        </w:rPr>
        <w:t>年度免征的营业税实行先征后返，</w:t>
      </w:r>
      <w:r>
        <w:rPr>
          <w:rFonts w:ascii="Times New Roman" w:hAnsi="Times New Roman" w:cs="Times New Roman" w:eastAsia="Times New Roman" w:hint="default"/>
          <w:spacing w:val="-1"/>
          <w:w w:val="95"/>
        </w:rPr>
        <w:t>2012</w:t>
      </w:r>
      <w:r>
        <w:rPr>
          <w:spacing w:val="-1"/>
          <w:w w:val="95"/>
        </w:rPr>
        <w:t>年直接减免营业税金），</w:t>
      </w:r>
      <w:r>
        <w:rPr>
          <w:spacing w:val="30"/>
          <w:w w:val="95"/>
        </w:rPr>
        <w:t> </w:t>
      </w:r>
      <w:r>
        <w:rPr>
          <w:spacing w:val="30"/>
          <w:w w:val="95"/>
        </w:rPr>
      </w:r>
      <w:r>
        <w:rPr>
          <w:spacing w:val="-2"/>
        </w:rPr>
        <w:t>导致本公司之子公司北京南天软件有限公司</w:t>
      </w:r>
      <w:r>
        <w:rPr>
          <w:rFonts w:ascii="Times New Roman" w:hAnsi="Times New Roman" w:cs="Times New Roman" w:eastAsia="Times New Roman" w:hint="default"/>
          <w:spacing w:val="-2"/>
        </w:rPr>
        <w:t>2012</w:t>
      </w:r>
      <w:r>
        <w:rPr>
          <w:spacing w:val="-2"/>
        </w:rPr>
        <w:t>年度营业税金大幅度减少；另一方面，本公司之子公司上海南天电脑系统有</w:t>
      </w:r>
      <w:r>
        <w:rPr>
          <w:spacing w:val="-63"/>
        </w:rPr>
        <w:t> </w:t>
      </w:r>
      <w:r>
        <w:rPr>
          <w:spacing w:val="-63"/>
        </w:rPr>
      </w:r>
      <w:r>
        <w:rPr/>
        <w:t>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日开始实施</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税收政策，导致营业税金大幅度减少。</w:t>
      </w:r>
    </w:p>
    <w:p>
      <w:pPr>
        <w:pStyle w:val="BodyText"/>
        <w:spacing w:line="300" w:lineRule="auto" w:before="13"/>
        <w:ind w:right="192" w:firstLine="362"/>
        <w:jc w:val="both"/>
      </w:pPr>
      <w:r>
        <w:rPr>
          <w:spacing w:val="-2"/>
        </w:rPr>
        <w:t>（</w:t>
      </w:r>
      <w:r>
        <w:rPr>
          <w:rFonts w:ascii="Times New Roman" w:hAnsi="Times New Roman" w:cs="Times New Roman" w:eastAsia="Times New Roman" w:hint="default"/>
          <w:spacing w:val="-2"/>
        </w:rPr>
        <w:t>12</w:t>
      </w:r>
      <w:r>
        <w:rPr>
          <w:spacing w:val="-2"/>
        </w:rPr>
        <w:t>）资产减值损失本期发生额为</w:t>
      </w:r>
      <w:r>
        <w:rPr>
          <w:rFonts w:ascii="Times New Roman" w:hAnsi="Times New Roman" w:cs="Times New Roman" w:eastAsia="Times New Roman" w:hint="default"/>
          <w:spacing w:val="-2"/>
        </w:rPr>
        <w:t>21,989,643.59</w:t>
      </w:r>
      <w:r>
        <w:rPr>
          <w:spacing w:val="-2"/>
        </w:rPr>
        <w:t>元，较上年增加</w:t>
      </w:r>
      <w:r>
        <w:rPr>
          <w:rFonts w:ascii="Times New Roman" w:hAnsi="Times New Roman" w:cs="Times New Roman" w:eastAsia="Times New Roman" w:hint="default"/>
          <w:spacing w:val="-2"/>
        </w:rPr>
        <w:t>75.38%</w:t>
      </w:r>
      <w:r>
        <w:rPr>
          <w:spacing w:val="-2"/>
        </w:rPr>
        <w:t>；其主要原因是应收账款账龄增长，导致应收账</w:t>
      </w:r>
      <w:r>
        <w:rPr/>
        <w:t> 款计提的坏账准备增加；另一方面，本年度对与支付业务相关的无形资产计提了无形资产减值准备</w:t>
      </w:r>
      <w:r>
        <w:rPr>
          <w:rFonts w:ascii="Times New Roman" w:hAnsi="Times New Roman" w:cs="Times New Roman" w:eastAsia="Times New Roman" w:hint="default"/>
        </w:rPr>
        <w:t>8,420,475.00</w:t>
      </w:r>
      <w:r>
        <w:rPr/>
        <w:t>元。</w:t>
      </w:r>
    </w:p>
    <w:p>
      <w:pPr>
        <w:pStyle w:val="BodyText"/>
        <w:spacing w:line="300" w:lineRule="auto" w:before="13"/>
        <w:ind w:right="192" w:firstLine="362"/>
        <w:jc w:val="both"/>
      </w:pPr>
      <w:r>
        <w:rPr>
          <w:spacing w:val="-2"/>
        </w:rPr>
        <w:t>（</w:t>
      </w:r>
      <w:r>
        <w:rPr>
          <w:rFonts w:ascii="Times New Roman" w:hAnsi="Times New Roman" w:cs="Times New Roman" w:eastAsia="Times New Roman" w:hint="default"/>
          <w:spacing w:val="-2"/>
        </w:rPr>
        <w:t>13</w:t>
      </w:r>
      <w:r>
        <w:rPr>
          <w:spacing w:val="-2"/>
        </w:rPr>
        <w:t>）投资收益本期发生额为</w:t>
      </w:r>
      <w:r>
        <w:rPr>
          <w:rFonts w:ascii="Times New Roman" w:hAnsi="Times New Roman" w:cs="Times New Roman" w:eastAsia="Times New Roman" w:hint="default"/>
          <w:spacing w:val="-2"/>
        </w:rPr>
        <w:t>22,110,060.74</w:t>
      </w:r>
      <w:r>
        <w:rPr>
          <w:spacing w:val="-2"/>
        </w:rPr>
        <w:t>元，较上年减少</w:t>
      </w:r>
      <w:r>
        <w:rPr>
          <w:rFonts w:ascii="Times New Roman" w:hAnsi="Times New Roman" w:cs="Times New Roman" w:eastAsia="Times New Roman" w:hint="default"/>
          <w:spacing w:val="-2"/>
        </w:rPr>
        <w:t>71.14%</w:t>
      </w:r>
      <w:r>
        <w:rPr>
          <w:spacing w:val="-2"/>
        </w:rPr>
        <w:t>；主要是本公司上年处置云南医药工业股份有限公司</w:t>
      </w:r>
      <w:r>
        <w:rPr/>
        <w:t> 部分股权及云南医药工业股份有限公司处置部分联营企业股权导致上年投资收益较大。</w:t>
      </w:r>
    </w:p>
    <w:p>
      <w:pPr>
        <w:pStyle w:val="BodyText"/>
        <w:spacing w:line="300" w:lineRule="auto" w:before="31"/>
        <w:ind w:right="231" w:firstLine="362"/>
        <w:jc w:val="both"/>
      </w:pPr>
      <w:r>
        <w:rPr>
          <w:spacing w:val="-1"/>
        </w:rPr>
        <w:t>（</w:t>
      </w:r>
      <w:r>
        <w:rPr>
          <w:rFonts w:ascii="Times New Roman" w:hAnsi="Times New Roman" w:cs="Times New Roman" w:eastAsia="Times New Roman" w:hint="default"/>
          <w:spacing w:val="-1"/>
        </w:rPr>
        <w:t>14</w:t>
      </w:r>
      <w:r>
        <w:rPr>
          <w:spacing w:val="-1"/>
        </w:rPr>
        <w:t>）所得税费用本期发生额为</w:t>
      </w:r>
      <w:r>
        <w:rPr>
          <w:rFonts w:ascii="Times New Roman" w:hAnsi="Times New Roman" w:cs="Times New Roman" w:eastAsia="Times New Roman" w:hint="default"/>
          <w:spacing w:val="-1"/>
        </w:rPr>
        <w:t>1,008,266.70</w:t>
      </w:r>
      <w:r>
        <w:rPr>
          <w:spacing w:val="-1"/>
        </w:rPr>
        <w:t>元，较上年减少</w:t>
      </w:r>
      <w:r>
        <w:rPr>
          <w:rFonts w:ascii="Times New Roman" w:hAnsi="Times New Roman" w:cs="Times New Roman" w:eastAsia="Times New Roman" w:hint="default"/>
          <w:spacing w:val="-1"/>
        </w:rPr>
        <w:t>94.30%</w:t>
      </w:r>
      <w:r>
        <w:rPr>
          <w:spacing w:val="-1"/>
        </w:rPr>
        <w:t>；其主要是本年云南医药工业股份有限公司不再纳</w:t>
      </w:r>
      <w:r>
        <w:rPr/>
        <w:t> 入合并范围；另一方面，本期利润下滑，导致本期所得税费用减少。</w:t>
      </w:r>
    </w:p>
    <w:p>
      <w:pPr>
        <w:pStyle w:val="BodyText"/>
        <w:spacing w:line="240" w:lineRule="auto" w:before="31"/>
        <w:ind w:left="475" w:right="94"/>
        <w:jc w:val="left"/>
      </w:pPr>
      <w:r>
        <w:rPr/>
        <w:t>（</w:t>
      </w:r>
      <w:r>
        <w:rPr>
          <w:rFonts w:ascii="Times New Roman" w:hAnsi="Times New Roman" w:cs="Times New Roman" w:eastAsia="Times New Roman" w:hint="default"/>
        </w:rPr>
        <w:t>15</w:t>
      </w:r>
      <w:r>
        <w:rPr/>
        <w:t>）收到的税费返还</w:t>
      </w:r>
      <w:r>
        <w:rPr>
          <w:rFonts w:ascii="Times New Roman" w:hAnsi="Times New Roman" w:cs="Times New Roman" w:eastAsia="Times New Roman" w:hint="default"/>
        </w:rPr>
        <w:t>4,682,106.39</w:t>
      </w:r>
      <w:r>
        <w:rPr/>
        <w:t>元，较上年减少</w:t>
      </w:r>
      <w:r>
        <w:rPr>
          <w:rFonts w:ascii="Times New Roman" w:hAnsi="Times New Roman" w:cs="Times New Roman" w:eastAsia="Times New Roman" w:hint="default"/>
        </w:rPr>
        <w:t>80.66%</w:t>
      </w:r>
      <w:r>
        <w:rPr/>
        <w:t>；其主要是本年软件退税减少，导致本年收到的税收返还减</w:t>
      </w:r>
    </w:p>
    <w:p>
      <w:pPr>
        <w:pStyle w:val="BodyText"/>
        <w:spacing w:line="240" w:lineRule="auto" w:before="63"/>
        <w:ind w:right="94"/>
        <w:jc w:val="left"/>
      </w:pPr>
      <w:r>
        <w:rPr/>
        <w:t>少。</w:t>
      </w:r>
    </w:p>
    <w:p>
      <w:pPr>
        <w:pStyle w:val="BodyText"/>
        <w:spacing w:line="240" w:lineRule="auto" w:before="76"/>
        <w:ind w:left="475" w:right="94"/>
        <w:jc w:val="left"/>
      </w:pPr>
      <w:r>
        <w:rPr/>
        <w:t>（</w:t>
      </w:r>
      <w:r>
        <w:rPr>
          <w:rFonts w:ascii="Times New Roman" w:hAnsi="Times New Roman" w:cs="Times New Roman" w:eastAsia="Times New Roman" w:hint="default"/>
        </w:rPr>
        <w:t>16</w:t>
      </w:r>
      <w:r>
        <w:rPr/>
        <w:t>）收到其他与经营活动有关的现金</w:t>
      </w:r>
      <w:r>
        <w:rPr>
          <w:rFonts w:ascii="Times New Roman" w:hAnsi="Times New Roman" w:cs="Times New Roman" w:eastAsia="Times New Roman" w:hint="default"/>
        </w:rPr>
        <w:t>27,685,970.97</w:t>
      </w:r>
      <w:r>
        <w:rPr/>
        <w:t>元，较上年减少</w:t>
      </w:r>
      <w:r>
        <w:rPr>
          <w:rFonts w:ascii="Times New Roman" w:hAnsi="Times New Roman" w:cs="Times New Roman" w:eastAsia="Times New Roman" w:hint="default"/>
        </w:rPr>
        <w:t>47.96%</w:t>
      </w:r>
      <w:r>
        <w:rPr/>
        <w:t>；其主要是本年云南医药工业股份有限公司</w:t>
      </w:r>
    </w:p>
    <w:p>
      <w:pPr>
        <w:pStyle w:val="BodyText"/>
        <w:spacing w:line="240" w:lineRule="auto" w:before="63"/>
        <w:ind w:right="94"/>
        <w:jc w:val="left"/>
      </w:pPr>
      <w:r>
        <w:rPr/>
        <w:t>不再纳入合并范围。</w:t>
      </w:r>
    </w:p>
    <w:p>
      <w:pPr>
        <w:pStyle w:val="BodyText"/>
        <w:spacing w:line="300" w:lineRule="auto" w:before="76"/>
        <w:ind w:right="94" w:firstLine="362"/>
        <w:jc w:val="left"/>
      </w:pPr>
      <w:r>
        <w:rPr>
          <w:spacing w:val="-1"/>
        </w:rPr>
        <w:t>（</w:t>
      </w:r>
      <w:r>
        <w:rPr>
          <w:rFonts w:ascii="Times New Roman" w:hAnsi="Times New Roman" w:cs="Times New Roman" w:eastAsia="Times New Roman" w:hint="default"/>
          <w:spacing w:val="-1"/>
        </w:rPr>
        <w:t>17</w:t>
      </w:r>
      <w:r>
        <w:rPr>
          <w:spacing w:val="-1"/>
        </w:rPr>
        <w:t>）取得投资收益收到的现金</w:t>
      </w:r>
      <w:r>
        <w:rPr>
          <w:rFonts w:ascii="Times New Roman" w:hAnsi="Times New Roman" w:cs="Times New Roman" w:eastAsia="Times New Roman" w:hint="default"/>
          <w:spacing w:val="-1"/>
        </w:rPr>
        <w:t>8,832,029.21</w:t>
      </w:r>
      <w:r>
        <w:rPr>
          <w:spacing w:val="-1"/>
        </w:rPr>
        <w:t>元，较上年减少</w:t>
      </w:r>
      <w:r>
        <w:rPr>
          <w:rFonts w:ascii="Times New Roman" w:hAnsi="Times New Roman" w:cs="Times New Roman" w:eastAsia="Times New Roman" w:hint="default"/>
          <w:spacing w:val="-1"/>
        </w:rPr>
        <w:t>66.74%</w:t>
      </w:r>
      <w:r>
        <w:rPr>
          <w:spacing w:val="-1"/>
        </w:rPr>
        <w:t>；其主要是本年云南医药工业股份有限公司不再纳</w:t>
      </w:r>
      <w:r>
        <w:rPr/>
        <w:t> 入合并范围。</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18</w:t>
      </w:r>
      <w:r>
        <w:rPr>
          <w:spacing w:val="-1"/>
        </w:rPr>
        <w:t>）投资支付的现金</w:t>
      </w:r>
      <w:r>
        <w:rPr>
          <w:rFonts w:ascii="Times New Roman" w:hAnsi="Times New Roman" w:cs="Times New Roman" w:eastAsia="Times New Roman" w:hint="default"/>
          <w:spacing w:val="-1"/>
        </w:rPr>
        <w:t>21,000,000.00</w:t>
      </w:r>
      <w:r>
        <w:rPr>
          <w:spacing w:val="-1"/>
        </w:rPr>
        <w:t>元，较上年增加</w:t>
      </w:r>
      <w:r>
        <w:rPr>
          <w:rFonts w:ascii="Times New Roman" w:hAnsi="Times New Roman" w:cs="Times New Roman" w:eastAsia="Times New Roman" w:hint="default"/>
          <w:spacing w:val="-1"/>
        </w:rPr>
        <w:t>5,752.84%</w:t>
      </w:r>
      <w:r>
        <w:rPr>
          <w:spacing w:val="-1"/>
        </w:rPr>
        <w:t>；其主要是本年对联营企业云南东盟公共物流信息有限</w:t>
      </w:r>
      <w:r>
        <w:rPr/>
        <w:t> 公司投资现金</w:t>
      </w:r>
      <w:r>
        <w:rPr>
          <w:rFonts w:ascii="Times New Roman" w:hAnsi="Times New Roman" w:cs="Times New Roman" w:eastAsia="Times New Roman" w:hint="default"/>
        </w:rPr>
        <w:t>21,000,000.00</w:t>
      </w:r>
      <w:r>
        <w:rPr/>
        <w:t>元。</w:t>
      </w:r>
    </w:p>
    <w:p>
      <w:pPr>
        <w:pStyle w:val="BodyText"/>
        <w:spacing w:line="300" w:lineRule="auto" w:before="13"/>
        <w:ind w:right="94" w:firstLine="362"/>
        <w:jc w:val="left"/>
      </w:pPr>
      <w:r>
        <w:rPr>
          <w:spacing w:val="-2"/>
        </w:rPr>
        <w:t>（</w:t>
      </w:r>
      <w:r>
        <w:rPr>
          <w:rFonts w:ascii="Times New Roman" w:hAnsi="Times New Roman" w:cs="Times New Roman" w:eastAsia="Times New Roman" w:hint="default"/>
          <w:spacing w:val="-2"/>
        </w:rPr>
        <w:t>19</w:t>
      </w:r>
      <w:r>
        <w:rPr>
          <w:spacing w:val="-2"/>
        </w:rPr>
        <w:t>）支付其他与投资活动有关的现金</w:t>
      </w:r>
      <w:r>
        <w:rPr>
          <w:rFonts w:ascii="Times New Roman" w:hAnsi="Times New Roman" w:cs="Times New Roman" w:eastAsia="Times New Roman" w:hint="default"/>
          <w:spacing w:val="-2"/>
        </w:rPr>
        <w:t>0.00</w:t>
      </w:r>
      <w:r>
        <w:rPr>
          <w:spacing w:val="-2"/>
        </w:rPr>
        <w:t>元，较上年减少</w:t>
      </w:r>
      <w:r>
        <w:rPr>
          <w:rFonts w:ascii="Times New Roman" w:hAnsi="Times New Roman" w:cs="Times New Roman" w:eastAsia="Times New Roman" w:hint="default"/>
          <w:spacing w:val="-2"/>
        </w:rPr>
        <w:t>224,947,319.14</w:t>
      </w:r>
      <w:r>
        <w:rPr>
          <w:spacing w:val="-2"/>
        </w:rPr>
        <w:t>元，其主要是上期本公司处置云南医药工业股</w:t>
      </w:r>
      <w:r>
        <w:rPr/>
        <w:t> 份有限公司，处置日云南医药工业股份有限公司账面的现金及现金等价物。</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20</w:t>
      </w:r>
      <w:r>
        <w:rPr>
          <w:spacing w:val="-1"/>
        </w:rPr>
        <w:t>）吸收投资收到的现金</w:t>
      </w:r>
      <w:r>
        <w:rPr>
          <w:rFonts w:ascii="Times New Roman" w:hAnsi="Times New Roman" w:cs="Times New Roman" w:eastAsia="Times New Roman" w:hint="default"/>
          <w:spacing w:val="-1"/>
        </w:rPr>
        <w:t>0.00</w:t>
      </w:r>
      <w:r>
        <w:rPr>
          <w:spacing w:val="-1"/>
        </w:rPr>
        <w:t>元，较上年减少</w:t>
      </w:r>
      <w:r>
        <w:rPr>
          <w:rFonts w:ascii="Times New Roman" w:hAnsi="Times New Roman" w:cs="Times New Roman" w:eastAsia="Times New Roman" w:hint="default"/>
          <w:spacing w:val="-1"/>
        </w:rPr>
        <w:t>182,500,000.00</w:t>
      </w:r>
      <w:r>
        <w:rPr>
          <w:spacing w:val="-1"/>
        </w:rPr>
        <w:t>元</w:t>
      </w:r>
      <w:r>
        <w:rPr>
          <w:rFonts w:ascii="Times New Roman" w:hAnsi="Times New Roman" w:cs="Times New Roman" w:eastAsia="Times New Roman" w:hint="default"/>
          <w:spacing w:val="-1"/>
        </w:rPr>
        <w:t>,</w:t>
      </w:r>
      <w:r>
        <w:rPr>
          <w:spacing w:val="-1"/>
        </w:rPr>
        <w:t>为上年云南医药工业股份有限公司收到云南省工业投</w:t>
      </w:r>
      <w:r>
        <w:rPr/>
        <w:t> 资控股集团有限公司增资款。</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21</w:t>
      </w:r>
      <w:r>
        <w:rPr>
          <w:spacing w:val="-1"/>
        </w:rPr>
        <w:t>）取得借款收到的现金</w:t>
      </w:r>
      <w:r>
        <w:rPr>
          <w:rFonts w:ascii="Times New Roman" w:hAnsi="Times New Roman" w:cs="Times New Roman" w:eastAsia="Times New Roman" w:hint="default"/>
          <w:spacing w:val="-1"/>
        </w:rPr>
        <w:t>347,243,462.36</w:t>
      </w:r>
      <w:r>
        <w:rPr>
          <w:spacing w:val="-1"/>
        </w:rPr>
        <w:t>元，较上年减少</w:t>
      </w:r>
      <w:r>
        <w:rPr>
          <w:rFonts w:ascii="Times New Roman" w:hAnsi="Times New Roman" w:cs="Times New Roman" w:eastAsia="Times New Roman" w:hint="default"/>
          <w:spacing w:val="-1"/>
        </w:rPr>
        <w:t>51.38%</w:t>
      </w:r>
      <w:r>
        <w:rPr>
          <w:spacing w:val="-1"/>
        </w:rPr>
        <w:t>；其主要是本年云南医药工业股份有限公司不再纳入</w:t>
      </w:r>
      <w:r>
        <w:rPr/>
        <w:t> 合并范围。</w:t>
      </w:r>
    </w:p>
    <w:p>
      <w:pPr>
        <w:pStyle w:val="BodyText"/>
        <w:spacing w:line="300" w:lineRule="auto" w:before="31"/>
        <w:ind w:right="94" w:firstLine="362"/>
        <w:jc w:val="left"/>
      </w:pPr>
      <w:r>
        <w:rPr>
          <w:spacing w:val="-1"/>
        </w:rPr>
        <w:t>（</w:t>
      </w:r>
      <w:r>
        <w:rPr>
          <w:rFonts w:ascii="Times New Roman" w:hAnsi="Times New Roman" w:cs="Times New Roman" w:eastAsia="Times New Roman" w:hint="default"/>
          <w:spacing w:val="-1"/>
        </w:rPr>
        <w:t>22</w:t>
      </w:r>
      <w:r>
        <w:rPr>
          <w:spacing w:val="-1"/>
        </w:rPr>
        <w:t>）收到其他与筹资活动有关的现金</w:t>
      </w:r>
      <w:r>
        <w:rPr>
          <w:rFonts w:ascii="Times New Roman" w:hAnsi="Times New Roman" w:cs="Times New Roman" w:eastAsia="Times New Roman" w:hint="default"/>
          <w:spacing w:val="-1"/>
        </w:rPr>
        <w:t>0.00</w:t>
      </w:r>
      <w:r>
        <w:rPr>
          <w:spacing w:val="-1"/>
        </w:rPr>
        <w:t>元，较上年减少</w:t>
      </w:r>
      <w:r>
        <w:rPr>
          <w:rFonts w:ascii="Times New Roman" w:hAnsi="Times New Roman" w:cs="Times New Roman" w:eastAsia="Times New Roman" w:hint="default"/>
          <w:spacing w:val="-1"/>
        </w:rPr>
        <w:t>15,000,000.00</w:t>
      </w:r>
      <w:r>
        <w:rPr>
          <w:spacing w:val="-1"/>
        </w:rPr>
        <w:t>元，其主要是为云南医药工业股份有限公司上</w:t>
      </w:r>
      <w:r>
        <w:rPr/>
        <w:t> 年收到南天电子信息产业集团有限公司的借款</w:t>
      </w:r>
      <w:r>
        <w:rPr>
          <w:rFonts w:ascii="Times New Roman" w:hAnsi="Times New Roman" w:cs="Times New Roman" w:eastAsia="Times New Roman" w:hint="default"/>
        </w:rPr>
        <w:t>15,000,000.00</w:t>
      </w:r>
      <w:r>
        <w:rPr/>
        <w:t>元。</w:t>
      </w:r>
    </w:p>
    <w:p>
      <w:pPr>
        <w:pStyle w:val="BodyText"/>
        <w:spacing w:line="300" w:lineRule="auto" w:before="13"/>
        <w:ind w:right="94" w:firstLine="362"/>
        <w:jc w:val="left"/>
      </w:pPr>
      <w:r>
        <w:rPr>
          <w:spacing w:val="-1"/>
        </w:rPr>
        <w:t>（</w:t>
      </w:r>
      <w:r>
        <w:rPr>
          <w:rFonts w:ascii="Times New Roman" w:hAnsi="Times New Roman" w:cs="Times New Roman" w:eastAsia="Times New Roman" w:hint="default"/>
          <w:spacing w:val="-1"/>
        </w:rPr>
        <w:t>23</w:t>
      </w:r>
      <w:r>
        <w:rPr>
          <w:spacing w:val="-1"/>
        </w:rPr>
        <w:t>）偿还债务支付的现金</w:t>
      </w:r>
      <w:r>
        <w:rPr>
          <w:rFonts w:ascii="Times New Roman" w:hAnsi="Times New Roman" w:cs="Times New Roman" w:eastAsia="Times New Roman" w:hint="default"/>
          <w:spacing w:val="-1"/>
        </w:rPr>
        <w:t>287,328,566.26</w:t>
      </w:r>
      <w:r>
        <w:rPr>
          <w:spacing w:val="-1"/>
        </w:rPr>
        <w:t>元，较上年减少</w:t>
      </w:r>
      <w:r>
        <w:rPr>
          <w:rFonts w:ascii="Times New Roman" w:hAnsi="Times New Roman" w:cs="Times New Roman" w:eastAsia="Times New Roman" w:hint="default"/>
          <w:spacing w:val="-1"/>
        </w:rPr>
        <w:t>56.47%</w:t>
      </w:r>
      <w:r>
        <w:rPr>
          <w:spacing w:val="-1"/>
        </w:rPr>
        <w:t>，其主要是一方面本年云南医药工业股份有限公司不</w:t>
      </w:r>
      <w:r>
        <w:rPr/>
        <w:t> 再纳入合并范围；另一方面，上年偿还长短期借款</w:t>
      </w:r>
      <w:r>
        <w:rPr>
          <w:rFonts w:ascii="Times New Roman" w:hAnsi="Times New Roman" w:cs="Times New Roman" w:eastAsia="Times New Roman" w:hint="default"/>
        </w:rPr>
        <w:t>1.5</w:t>
      </w:r>
      <w:r>
        <w:rPr/>
        <w:t>亿元导致。</w:t>
      </w:r>
    </w:p>
    <w:p>
      <w:pPr>
        <w:spacing w:after="0" w:line="300" w:lineRule="auto"/>
        <w:jc w:val="left"/>
        <w:sectPr>
          <w:pgSz w:w="11910" w:h="16840"/>
          <w:pgMar w:header="745" w:footer="979"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456" w:lineRule="exact"/>
        <w:ind w:left="3247" w:right="99"/>
        <w:jc w:val="left"/>
        <w:rPr>
          <w:b w:val="0"/>
          <w:bCs w:val="0"/>
        </w:rPr>
      </w:pPr>
      <w:bookmarkStart w:name="第十一节备查文件目录" w:id="391"/>
      <w:bookmarkEnd w:id="391"/>
      <w:r>
        <w:rPr>
          <w:b w:val="0"/>
          <w:bCs w:val="0"/>
        </w:rPr>
      </w:r>
      <w:bookmarkStart w:name="_bookmark2" w:id="392"/>
      <w:bookmarkEnd w:id="392"/>
      <w:r>
        <w:rPr>
          <w:b w:val="0"/>
          <w:bCs w:val="0"/>
        </w:rPr>
      </w:r>
      <w:r>
        <w:rPr/>
        <w:t>第十一节 </w:t>
      </w:r>
      <w:r>
        <w:rPr>
          <w:spacing w:val="7"/>
        </w:rPr>
        <w:t> </w:t>
      </w:r>
      <w:r>
        <w:rPr/>
        <w:t>备查文件目录</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Heading3"/>
        <w:spacing w:line="240" w:lineRule="auto" w:before="0"/>
        <w:ind w:right="99"/>
        <w:jc w:val="left"/>
      </w:pPr>
      <w:r>
        <w:rPr/>
        <w:t>包括下列文件：</w:t>
      </w:r>
    </w:p>
    <w:p>
      <w:pPr>
        <w:spacing w:before="11"/>
        <w:ind w:left="112" w:right="99" w:firstLine="0"/>
        <w:jc w:val="left"/>
        <w:rPr>
          <w:rFonts w:ascii="宋体" w:hAnsi="宋体" w:cs="宋体" w:eastAsia="宋体" w:hint="default"/>
          <w:sz w:val="23"/>
          <w:szCs w:val="23"/>
        </w:rPr>
      </w:pPr>
      <w:r>
        <w:rPr>
          <w:rFonts w:ascii="宋体" w:hAnsi="宋体" w:cs="宋体" w:eastAsia="宋体" w:hint="default"/>
          <w:sz w:val="23"/>
          <w:szCs w:val="23"/>
        </w:rPr>
        <w:t>（一）载有法定代表人、主管会计工作负责人、会计机构负责人签名并盖章的会计报表；</w:t>
      </w:r>
    </w:p>
    <w:p>
      <w:pPr>
        <w:spacing w:before="11"/>
        <w:ind w:left="112" w:right="99" w:firstLine="0"/>
        <w:jc w:val="left"/>
        <w:rPr>
          <w:rFonts w:ascii="宋体" w:hAnsi="宋体" w:cs="宋体" w:eastAsia="宋体" w:hint="default"/>
          <w:sz w:val="23"/>
          <w:szCs w:val="23"/>
        </w:rPr>
      </w:pPr>
      <w:r>
        <w:rPr>
          <w:rFonts w:ascii="宋体" w:hAnsi="宋体" w:cs="宋体" w:eastAsia="宋体" w:hint="default"/>
          <w:sz w:val="23"/>
          <w:szCs w:val="23"/>
        </w:rPr>
        <w:t>（二）载有会计师事务所盖章、注册会计师签名并盖章的审计报告原件；</w:t>
      </w:r>
    </w:p>
    <w:p>
      <w:pPr>
        <w:spacing w:line="249" w:lineRule="auto" w:before="11"/>
        <w:ind w:left="112" w:right="99" w:firstLine="0"/>
        <w:jc w:val="left"/>
        <w:rPr>
          <w:rFonts w:ascii="宋体" w:hAnsi="宋体" w:cs="宋体" w:eastAsia="宋体" w:hint="default"/>
          <w:sz w:val="23"/>
          <w:szCs w:val="23"/>
        </w:rPr>
      </w:pPr>
      <w:r>
        <w:rPr>
          <w:rFonts w:ascii="宋体" w:hAnsi="宋体" w:cs="宋体" w:eastAsia="宋体" w:hint="default"/>
          <w:spacing w:val="-1"/>
          <w:sz w:val="23"/>
          <w:szCs w:val="23"/>
        </w:rPr>
        <w:t>（三）报告期内在《中国证券报》、《证券时报》上公开披露过的所有公司文件的正本及公告的</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sz w:val="23"/>
          <w:szCs w:val="23"/>
        </w:rPr>
        <w:t>原稿。</w:t>
      </w:r>
    </w:p>
    <w:p>
      <w:pPr>
        <w:spacing w:before="2"/>
        <w:ind w:left="112" w:right="99" w:firstLine="0"/>
        <w:jc w:val="left"/>
        <w:rPr>
          <w:rFonts w:ascii="宋体" w:hAnsi="宋体" w:cs="宋体" w:eastAsia="宋体" w:hint="default"/>
          <w:sz w:val="23"/>
          <w:szCs w:val="23"/>
        </w:rPr>
      </w:pPr>
      <w:r>
        <w:rPr>
          <w:rFonts w:ascii="宋体" w:hAnsi="宋体" w:cs="宋体" w:eastAsia="宋体" w:hint="default"/>
          <w:sz w:val="23"/>
          <w:szCs w:val="23"/>
        </w:rPr>
        <w:t>文件存放地：公司董事会办公室</w:t>
      </w:r>
    </w:p>
    <w:sectPr>
      <w:pgSz w:w="11910" w:h="16840"/>
      <w:pgMar w:header="745" w:footer="979"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908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5pt;height:11pt;mso-position-horizontal-relative:page;mso-position-vertical-relative:page;z-index:-908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4pt;height:11pt;mso-position-horizontal-relative:page;mso-position-vertical-relative:page;z-index:-908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5pt;height:11pt;mso-position-horizontal-relative:page;mso-position-vertical-relative:page;z-index:-908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5pt;height:11pt;mso-position-horizontal-relative:page;mso-position-vertical-relative:page;z-index:-908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1.957947pt;width:8.5pt;height:11pt;mso-position-horizontal-relative:page;mso-position-vertical-relative:page;z-index:-908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2pt;height:11pt;mso-position-horizontal-relative:page;mso-position-vertical-relative:page;z-index:-908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908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265648pt;width:222.45pt;height:11.5pt;mso-position-horizontal-relative:page;mso-position-vertical-relative:page;z-index:-908512" type="#_x0000_t202" filled="false" stroked="false">
          <v:textbox inset="0,0,0,0">
            <w:txbxContent>
              <w:p>
                <w:pPr>
                  <w:pStyle w:val="BodyText"/>
                  <w:spacing w:line="214" w:lineRule="exact"/>
                  <w:ind w:left="20" w:right="0"/>
                  <w:jc w:val="left"/>
                </w:pPr>
                <w:r>
                  <w:rPr/>
                  <w:t>云南南天电子信息产业股份有限公司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12"/>
    </w:pPr>
    <w:rPr>
      <w:rFonts w:ascii="Microsoft JhengHei" w:hAnsi="Microsoft JhengHei" w:eastAsia="Microsoft JhengHei"/>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032"/>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12"/>
      <w:outlineLvl w:val="2"/>
    </w:pPr>
    <w:rPr>
      <w:rFonts w:ascii="Microsoft JhengHei" w:hAnsi="Microsoft JhengHei" w:eastAsia="Microsoft JhengHei"/>
      <w:b/>
      <w:bCs/>
      <w:sz w:val="24"/>
      <w:szCs w:val="24"/>
    </w:rPr>
  </w:style>
  <w:style w:styleId="Heading3" w:type="paragraph">
    <w:name w:val="Heading 3"/>
    <w:basedOn w:val="Normal"/>
    <w:uiPriority w:val="1"/>
    <w:qFormat/>
    <w:pPr>
      <w:spacing w:before="11"/>
      <w:ind w:left="112"/>
      <w:outlineLvl w:val="3"/>
    </w:pPr>
    <w:rPr>
      <w:rFonts w:ascii="宋体" w:hAnsi="宋体" w:eastAsia="宋体"/>
      <w:sz w:val="23"/>
      <w:szCs w:val="23"/>
    </w:rPr>
  </w:style>
  <w:style w:styleId="Heading4" w:type="paragraph">
    <w:name w:val="Heading 4"/>
    <w:basedOn w:val="Normal"/>
    <w:uiPriority w:val="1"/>
    <w:qFormat/>
    <w:pPr>
      <w:ind w:left="112"/>
      <w:outlineLvl w:val="4"/>
    </w:pPr>
    <w:rPr>
      <w:rFonts w:ascii="Microsoft JhengHei" w:hAnsi="Microsoft JhengHei" w:eastAsia="Microsoft JhengHei"/>
      <w:b/>
      <w:bCs/>
      <w:sz w:val="21"/>
      <w:szCs w:val="21"/>
    </w:rPr>
  </w:style>
  <w:style w:styleId="Heading5" w:type="paragraph">
    <w:name w:val="Heading 5"/>
    <w:basedOn w:val="Normal"/>
    <w:uiPriority w:val="1"/>
    <w:qFormat/>
    <w:pPr>
      <w:ind w:left="595"/>
      <w:outlineLvl w:val="5"/>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nantian.com.cn/" TargetMode="External"/><Relationship Id="rId11" Type="http://schemas.openxmlformats.org/officeDocument/2006/relationships/hyperlink" Target="mailto:000948@nantian.com.cn" TargetMode="External"/><Relationship Id="rId12" Type="http://schemas.openxmlformats.org/officeDocument/2006/relationships/hyperlink" Target="mailto:jiangdong@nantian.com.cn" TargetMode="External"/><Relationship Id="rId13" Type="http://schemas.openxmlformats.org/officeDocument/2006/relationships/hyperlink" Target="mailto:shily@nantian.com.cn" TargetMode="External"/><Relationship Id="rId14" Type="http://schemas.openxmlformats.org/officeDocument/2006/relationships/hyperlink" Target="mailto:shensh@nantian.com.cn"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2.jpeg"/><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yperlink" Target="http://stock.jrj.com.cn/warrant/" TargetMode="External"/><Relationship Id="rId33"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2020-05-03T23:46:55Z</dcterms:created>
  <dcterms:modified xsi:type="dcterms:W3CDTF">2020-05-03T23:46:55Z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WPS Office 个人版</vt:lpwstr>
  </property>
  <property fmtid="{D5CDD505-2E9C-101B-9397-08002B2CF9AE}" pid="4" name="LastSaved">
    <vt:filetime>2013-03-27T00:00:00Z</vt:filetime>
  </property>
</Properties>
</file>