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116" w:right="2093"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云南南天电子信息产业股份有限公司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116" w:right="209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116" w:right="209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公司负责人雷坚、主管会计工作负责人徐宏灿及会计机构负责人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刘涓声明：保证年度报告中财务报告的真实、准确、完整。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公司本年度报告中涉及的未来计划、业绩预测等方面的内容，均不构成公</w:t>
      </w:r>
      <w:r>
        <w:rPr>
          <w:rFonts w:ascii="宋体" w:hAnsi="宋体" w:cs="宋体" w:eastAsia="宋体" w:hint="default"/>
          <w:spacing w:val="3"/>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2"/>
          <w:w w:val="95"/>
          <w:sz w:val="28"/>
          <w:szCs w:val="28"/>
        </w:rPr>
        <w:t>司对投资者及相关人士的实质承诺，敬请投资者注意投资风险，并请理解计划、</w:t>
      </w:r>
      <w:r>
        <w:rPr>
          <w:rFonts w:ascii="宋体" w:hAnsi="宋体" w:cs="宋体" w:eastAsia="宋体" w:hint="default"/>
          <w:b/>
          <w:bCs/>
          <w:spacing w:val="67"/>
          <w:w w:val="95"/>
          <w:sz w:val="28"/>
          <w:szCs w:val="28"/>
        </w:rPr>
        <w:t> </w:t>
      </w:r>
      <w:r>
        <w:rPr>
          <w:rFonts w:ascii="宋体" w:hAnsi="宋体" w:cs="宋体" w:eastAsia="宋体" w:hint="default"/>
          <w:b/>
          <w:bCs/>
          <w:spacing w:val="67"/>
          <w:w w:val="95"/>
          <w:sz w:val="28"/>
          <w:szCs w:val="28"/>
        </w:rPr>
      </w:r>
      <w:r>
        <w:rPr>
          <w:rFonts w:ascii="宋体" w:hAnsi="宋体" w:cs="宋体" w:eastAsia="宋体" w:hint="default"/>
          <w:b/>
          <w:bCs/>
          <w:sz w:val="28"/>
          <w:szCs w:val="28"/>
        </w:rPr>
        <w:t>预测与承诺之间的差异。</w:t>
      </w:r>
      <w:r>
        <w:rPr>
          <w:rFonts w:ascii="宋体" w:hAnsi="宋体" w:cs="宋体" w:eastAsia="宋体" w:hint="default"/>
          <w:sz w:val="28"/>
          <w:szCs w:val="28"/>
        </w:rPr>
      </w:r>
    </w:p>
    <w:p>
      <w:pPr>
        <w:spacing w:line="398" w:lineRule="auto" w:before="158"/>
        <w:ind w:left="153" w:right="1134" w:firstLine="562"/>
        <w:jc w:val="both"/>
        <w:rPr>
          <w:rFonts w:ascii="宋体" w:hAnsi="宋体" w:cs="宋体" w:eastAsia="宋体" w:hint="default"/>
          <w:sz w:val="28"/>
          <w:szCs w:val="28"/>
        </w:rPr>
      </w:pPr>
      <w:r>
        <w:rPr>
          <w:rFonts w:ascii="宋体" w:hAnsi="宋体" w:cs="宋体" w:eastAsia="宋体" w:hint="default"/>
          <w:b/>
          <w:bCs/>
          <w:spacing w:val="-4"/>
          <w:w w:val="99"/>
          <w:sz w:val="28"/>
          <w:szCs w:val="28"/>
        </w:rPr>
        <w:t>《证券时报》、《中国证券报》和巨潮资讯网（</w:t>
      </w:r>
      <w:hyperlink r:id="rId8">
        <w:r>
          <w:rPr>
            <w:rFonts w:ascii="Times New Roman" w:hAnsi="Times New Roman" w:cs="Times New Roman" w:eastAsia="Times New Roman" w:hint="default"/>
            <w:b/>
            <w:bCs/>
            <w:spacing w:val="-4"/>
            <w:w w:val="99"/>
            <w:sz w:val="28"/>
            <w:szCs w:val="28"/>
          </w:rPr>
          <w:t>http://www.cninfo.com.cn</w:t>
        </w:r>
      </w:hyperlink>
      <w:r>
        <w:rPr>
          <w:rFonts w:ascii="宋体" w:hAnsi="宋体" w:cs="宋体" w:eastAsia="宋体" w:hint="default"/>
          <w:b/>
          <w:bCs/>
          <w:spacing w:val="-4"/>
          <w:w w:val="99"/>
          <w:sz w:val="28"/>
          <w:szCs w:val="28"/>
        </w:rPr>
        <w:t>）</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为本公司选定的信息披露媒体，本公司所有信息均以在上述选定媒体刊登的信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息为准，敬请投资者注意投资风险。</w:t>
      </w:r>
      <w:r>
        <w:rPr>
          <w:rFonts w:ascii="宋体" w:hAnsi="宋体" w:cs="宋体" w:eastAsia="宋体" w:hint="default"/>
          <w:sz w:val="28"/>
          <w:szCs w:val="28"/>
        </w:rPr>
      </w:r>
    </w:p>
    <w:p>
      <w:pPr>
        <w:spacing w:before="171"/>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246,606,046</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86" w:lineRule="auto" w:before="236"/>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6"/>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0.4</w:t>
      </w:r>
      <w:r>
        <w:rPr>
          <w:rFonts w:ascii="Times New Roman" w:hAnsi="Times New Roman" w:cs="Times New Roman" w:eastAsia="Times New Roman" w:hint="default"/>
          <w:b/>
          <w:bCs/>
          <w:spacing w:val="6"/>
          <w:w w:val="99"/>
          <w:sz w:val="28"/>
          <w:szCs w:val="28"/>
        </w:rPr>
        <w:t> </w:t>
      </w:r>
      <w:r>
        <w:rPr>
          <w:rFonts w:ascii="宋体" w:hAnsi="宋体" w:cs="宋体" w:eastAsia="宋体" w:hint="default"/>
          <w:b/>
          <w:bCs/>
          <w:spacing w:val="-16"/>
          <w:w w:val="99"/>
          <w:sz w:val="28"/>
          <w:szCs w:val="28"/>
        </w:rPr>
        <w:t>元（含税），送红股</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6"/>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116" w:right="209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TOC_250009">
            <w:r>
              <w:rPr/>
              <w:t>第二节</w:t>
            </w:r>
            <w:r>
              <w:rPr>
                <w:spacing w:val="-19"/>
              </w:rPr>
              <w:t> </w:t>
            </w:r>
            <w:r>
              <w:rPr/>
              <w:t>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TOC_250008">
            <w:r>
              <w:rPr/>
              <w:t>第三节</w:t>
            </w:r>
            <w:r>
              <w:rPr>
                <w:spacing w:val="-19"/>
              </w:rPr>
              <w:t> </w:t>
            </w:r>
            <w:r>
              <w:rPr/>
              <w:t>公司业务概要</w:t>
            </w:r>
            <w:r>
              <w:rPr>
                <w:rFonts w:ascii="宋体" w:hAnsi="宋体" w:cs="宋体" w:eastAsia="宋体" w:hint="default"/>
              </w:rPr>
              <w:tab/>
              <w:t>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7">
            <w:r>
              <w:rPr/>
              <w:t>第四节</w:t>
            </w:r>
            <w:r>
              <w:rPr>
                <w:spacing w:val="-19"/>
              </w:rPr>
              <w:t> </w:t>
            </w:r>
            <w:r>
              <w:rPr/>
              <w:t>管理层讨论与分析</w:t>
            </w:r>
            <w:r>
              <w:rPr>
                <w:rFonts w:ascii="宋体" w:hAnsi="宋体" w:cs="宋体" w:eastAsia="宋体" w:hint="default"/>
              </w:rPr>
              <w:tab/>
              <w:t>12</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6">
            <w:r>
              <w:rPr/>
              <w:t>第五节</w:t>
            </w:r>
            <w:r>
              <w:rPr>
                <w:spacing w:val="-19"/>
              </w:rPr>
              <w:t> </w:t>
            </w:r>
            <w:r>
              <w:rPr/>
              <w:t>重要事项</w:t>
            </w:r>
            <w:r>
              <w:rPr>
                <w:rFonts w:ascii="宋体" w:hAnsi="宋体" w:cs="宋体" w:eastAsia="宋体" w:hint="default"/>
              </w:rPr>
              <w:tab/>
              <w:t>27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5">
            <w:r>
              <w:rPr/>
              <w:t>第六节</w:t>
            </w:r>
            <w:r>
              <w:rPr>
                <w:spacing w:val="-19"/>
              </w:rPr>
              <w:t> </w:t>
            </w:r>
            <w:r>
              <w:rPr/>
              <w:t>股份变动及股东情况</w:t>
            </w:r>
            <w:r>
              <w:rPr>
                <w:rFonts w:ascii="宋体" w:hAnsi="宋体" w:cs="宋体" w:eastAsia="宋体" w:hint="default"/>
              </w:rPr>
              <w:tab/>
              <w:t>39</w:t>
            </w:r>
            <w:r>
              <w:rPr>
                <w:rFonts w:ascii="宋体" w:hAnsi="宋体" w:cs="宋体" w:eastAsia="宋体"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170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1116" w:right="209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公司、本公司、南天、南天信息、企业集团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工投集团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中审亚太</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中审亚太会计师事务所（特殊普通合伙）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中审众环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四川农信项目</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171"/>
              <w:jc w:val="left"/>
              <w:rPr>
                <w:rFonts w:ascii="宋体" w:hAnsi="宋体" w:cs="宋体" w:eastAsia="宋体" w:hint="default"/>
                <w:sz w:val="18"/>
                <w:szCs w:val="18"/>
              </w:rPr>
            </w:pPr>
            <w:r>
              <w:rPr>
                <w:rFonts w:ascii="宋体" w:hAnsi="宋体" w:cs="宋体" w:eastAsia="宋体" w:hint="default"/>
                <w:sz w:val="18"/>
                <w:szCs w:val="18"/>
              </w:rPr>
              <w:t>公司承揽并实施的四川省农村信用社联合社银行计算机系统软件项 目</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昆明南天</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昆明南天电脑系统有限公司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重庆南天</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重庆南天数据资讯服务有限公司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上海南天</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上海南天电脑系统有限公司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佳杰科技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佳杰科技（上海）有限公司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汇美卓信公司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北京汇美卓信科技有限公司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三元达公司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福建三元达软件有限公司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邮储银行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中国邮政储蓄银行</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汇付天下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汇付天下有限公司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05092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南天信息</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000948</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南天信息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YUNNAN NANTIAN ELECTRONICS INFORMATION</w:t>
            </w:r>
            <w:r>
              <w:rPr>
                <w:rFonts w:ascii="Times New Roman"/>
                <w:spacing w:val="-21"/>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NANTIAN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雷坚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昆明高新技术产业开发区产业研发基地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650000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昆明市环城东路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650041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http://www.nantian.com.cn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000948@nantian.com.cn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赵起高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施丽媛、沈硕</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昆明市环城东路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昆明市环城东路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63366327</w:t>
            </w:r>
            <w:r>
              <w:rPr>
                <w:rFonts w:ascii="宋体" w:hAnsi="宋体" w:cs="宋体" w:eastAsia="宋体" w:hint="default"/>
                <w:sz w:val="18"/>
                <w:szCs w:val="18"/>
              </w:rPr>
              <w:t>、</w:t>
            </w:r>
            <w:r>
              <w:rPr>
                <w:rFonts w:ascii="Times New Roman" w:hAnsi="Times New Roman" w:cs="Times New Roman" w:eastAsia="Times New Roman" w:hint="default"/>
                <w:sz w:val="18"/>
                <w:szCs w:val="18"/>
              </w:rPr>
              <w:t>68279182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63366327</w:t>
            </w:r>
            <w:r>
              <w:rPr>
                <w:rFonts w:ascii="宋体" w:hAnsi="宋体" w:cs="宋体" w:eastAsia="宋体" w:hint="default"/>
                <w:sz w:val="18"/>
                <w:szCs w:val="18"/>
              </w:rPr>
              <w:t>、</w:t>
            </w:r>
            <w:r>
              <w:rPr>
                <w:rFonts w:ascii="Times New Roman" w:hAnsi="Times New Roman" w:cs="Times New Roman" w:eastAsia="Times New Roman" w:hint="default"/>
                <w:sz w:val="18"/>
                <w:szCs w:val="18"/>
              </w:rPr>
              <w:t>68279182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63317397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63317397</w:t>
            </w:r>
          </w:p>
        </w:tc>
      </w:tr>
      <w:tr>
        <w:trPr>
          <w:trHeight w:val="161"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hyperlink r:id="rId10">
              <w:r>
                <w:rPr>
                  <w:rFonts w:ascii="Times New Roman"/>
                  <w:sz w:val="18"/>
                </w:rPr>
                <w:t>000948@nantian.com.cn</w:t>
              </w:r>
            </w:hyperlink>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shily@nantian.com.cn</w:t>
              </w:r>
            </w:hyperlink>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w:t>
            </w:r>
          </w:p>
          <w:p>
            <w:pPr>
              <w:pStyle w:val="TableParagraph"/>
              <w:spacing w:line="240" w:lineRule="auto" w:before="102"/>
              <w:ind w:left="22" w:right="0"/>
              <w:jc w:val="left"/>
              <w:rPr>
                <w:rFonts w:ascii="Times New Roman" w:hAnsi="Times New Roman" w:cs="Times New Roman" w:eastAsia="Times New Roman" w:hint="default"/>
                <w:sz w:val="18"/>
                <w:szCs w:val="18"/>
              </w:rPr>
            </w:pPr>
            <w:hyperlink r:id="rId12">
              <w:r>
                <w:rPr>
                  <w:rFonts w:ascii="Times New Roman"/>
                  <w:sz w:val="18"/>
                </w:rPr>
                <w:t>shensh@nantian.com.cn</w:t>
              </w:r>
            </w:hyperlink>
          </w:p>
        </w:tc>
      </w:tr>
      <w:tr>
        <w:trPr>
          <w:trHeight w:val="392"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8">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71340150-9</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中审众环会计师事务所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武汉市武昌区东湖路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号中审众环大厦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肖勇、徐毅</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2,138,014,376.25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1,828,726,398.53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2,156,192,464.26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18,561,982.18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11,845,160.65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9,477,743.36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-37,825,842.97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-16,583,895.50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-47,455,350.71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73,117,215.19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-28,243,104.39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133,754,829.77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2,607,623,976.77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2,606,244,687.27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2,567,273,557.86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1,428,055,157.55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1,416,879,359.32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1,405,263,534.87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307,625,638.85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779,803,873.55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1,276,536,782.83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2,138,014,376.25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-63,093,732.20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-48,242,034.68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-49,246,764.03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18,561,982.18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-63,758,045.74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-50,391,717.01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-52,138,538.17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-37,825,842.97</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-309,598,837.43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-424,586,552.05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-341,265,030.36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73,117,215.19</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47,109,861.27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14,149,170.38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52,148,791.96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12,039,425.58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17,652,559.79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20,294,167.77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9,339.63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1,223.80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9,309.59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-1,949,531.23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-973,472.52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-498,928.08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806,064.40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2,390,468.10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14,964,495.81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15,205.70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9,957.20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55,751.36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56,387,825.15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28,429,056.15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56,933,094.07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8"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439" w:lineRule="auto"/>
        <w:ind w:left="444" w:right="7582" w:hanging="291"/>
        <w:jc w:val="left"/>
      </w:pPr>
      <w:r>
        <w:rPr/>
        <w:t>（一）报告期内公司主要业务情况 报告期内，公司主营业务情况如下：</w:t>
      </w:r>
    </w:p>
    <w:p>
      <w:pPr>
        <w:pStyle w:val="BodyText"/>
        <w:spacing w:line="240" w:lineRule="auto" w:before="47"/>
        <w:ind w:left="574" w:right="0"/>
        <w:jc w:val="left"/>
      </w:pPr>
      <w:r>
        <w:rPr>
          <w:rFonts w:ascii="Times New Roman" w:hAnsi="Times New Roman" w:cs="Times New Roman" w:eastAsia="Times New Roman" w:hint="default"/>
        </w:rPr>
        <w:t>1</w:t>
      </w:r>
      <w:r>
        <w:rPr/>
        <w:t>、信息产品业务</w:t>
      </w:r>
    </w:p>
    <w:p>
      <w:pPr>
        <w:spacing w:line="240" w:lineRule="auto" w:before="13"/>
        <w:rPr>
          <w:rFonts w:ascii="宋体" w:hAnsi="宋体" w:cs="宋体" w:eastAsia="宋体" w:hint="default"/>
          <w:sz w:val="13"/>
          <w:szCs w:val="13"/>
        </w:rPr>
      </w:pPr>
    </w:p>
    <w:p>
      <w:pPr>
        <w:pStyle w:val="BodyText"/>
        <w:spacing w:line="309" w:lineRule="auto"/>
        <w:ind w:right="1132" w:firstLine="290"/>
        <w:jc w:val="both"/>
      </w:pPr>
      <w:r>
        <w:rPr>
          <w:spacing w:val="-2"/>
        </w:rPr>
        <w:t>公司信息产品包括：</w:t>
      </w:r>
      <w:r>
        <w:rPr>
          <w:rFonts w:ascii="Times New Roman" w:hAnsi="Times New Roman" w:cs="Times New Roman" w:eastAsia="Times New Roman" w:hint="default"/>
          <w:spacing w:val="-2"/>
        </w:rPr>
        <w:t>PR</w:t>
      </w:r>
      <w:r>
        <w:rPr>
          <w:spacing w:val="-2"/>
        </w:rPr>
        <w:t>系列存折打印机、自助服务设备、自动柜员机设备、柜面设备、网点排队、回单打印机、自助发</w:t>
      </w:r>
      <w:r>
        <w:rPr/>
        <w:t> </w:t>
      </w:r>
      <w:r>
        <w:rPr>
          <w:spacing w:val="-2"/>
        </w:rPr>
        <w:t>卡机、网银终端、自助缴费机、机场自助值机、轨道交通设备等各类信息设备产品及解决方案，广泛应用于金融、政府、电</w:t>
      </w:r>
      <w:r>
        <w:rPr>
          <w:spacing w:val="-71"/>
        </w:rPr>
        <w:t> </w:t>
      </w:r>
      <w:r>
        <w:rPr>
          <w:spacing w:val="-71"/>
        </w:rPr>
      </w:r>
      <w:r>
        <w:rPr/>
        <w:t>信、交通等领域，满足用户在专用存折打印、自助服务终端、磁条读写、轨道交通设备等多层次多方面的需要。</w:t>
      </w:r>
    </w:p>
    <w:p>
      <w:pPr>
        <w:pStyle w:val="BodyText"/>
        <w:spacing w:line="300" w:lineRule="auto" w:before="144"/>
        <w:ind w:right="1130" w:firstLine="145"/>
        <w:jc w:val="both"/>
      </w:pPr>
      <w:r>
        <w:rPr>
          <w:spacing w:val="-2"/>
        </w:rPr>
        <w:t>报告期内公司加强新产品的落地和推广，存折证卡扫描打印一体机</w:t>
      </w:r>
      <w:r>
        <w:rPr>
          <w:rFonts w:ascii="Times New Roman" w:hAnsi="Times New Roman" w:cs="Times New Roman" w:eastAsia="Times New Roman" w:hint="default"/>
          <w:spacing w:val="-2"/>
        </w:rPr>
        <w:t>MX20</w:t>
      </w:r>
      <w:r>
        <w:rPr>
          <w:spacing w:val="-2"/>
        </w:rPr>
        <w:t>落地销售，存折证卡扫描打印一体机</w:t>
      </w:r>
      <w:r>
        <w:rPr>
          <w:rFonts w:ascii="Times New Roman" w:hAnsi="Times New Roman" w:cs="Times New Roman" w:eastAsia="Times New Roman" w:hint="default"/>
          <w:spacing w:val="-2"/>
        </w:rPr>
        <w:t>MX60</w:t>
      </w:r>
      <w:r>
        <w:rPr>
          <w:spacing w:val="-2"/>
        </w:rPr>
        <w:t>完成样</w:t>
      </w:r>
      <w:r>
        <w:rPr/>
        <w:t> 机，便携打印机完成</w:t>
      </w:r>
      <w:r>
        <w:rPr>
          <w:rFonts w:ascii="Times New Roman" w:hAnsi="Times New Roman" w:cs="Times New Roman" w:eastAsia="Times New Roman" w:hint="default"/>
        </w:rPr>
        <w:t>3C</w:t>
      </w:r>
      <w:r>
        <w:rPr/>
        <w:t>认证；软件业务、渠道业务和服务业务进一步开拓，实施了中银自助通二期项目、南天二代证读写</w:t>
      </w:r>
      <w:r>
        <w:rPr>
          <w:spacing w:val="-33"/>
        </w:rPr>
        <w:t> </w:t>
      </w:r>
      <w:r>
        <w:rPr>
          <w:spacing w:val="-33"/>
        </w:rPr>
      </w:r>
      <w:r>
        <w:rPr/>
        <w:t>器等重大项目。</w:t>
      </w:r>
    </w:p>
    <w:p>
      <w:pPr>
        <w:pStyle w:val="BodyText"/>
        <w:spacing w:line="432" w:lineRule="exact" w:before="16"/>
        <w:ind w:left="444" w:right="1112" w:firstLine="129"/>
        <w:jc w:val="left"/>
      </w:pPr>
      <w:r>
        <w:rPr>
          <w:rFonts w:ascii="Times New Roman" w:hAnsi="Times New Roman" w:cs="Times New Roman" w:eastAsia="Times New Roman" w:hint="default"/>
        </w:rPr>
        <w:t>2</w:t>
      </w:r>
      <w:r>
        <w:rPr/>
        <w:t>、系统集成业务 公司系统集成业务是专业从事</w:t>
      </w:r>
      <w:r>
        <w:rPr>
          <w:rFonts w:ascii="Times New Roman" w:hAnsi="Times New Roman" w:cs="Times New Roman" w:eastAsia="Times New Roman" w:hint="default"/>
        </w:rPr>
        <w:t>IT</w:t>
      </w:r>
      <w:r>
        <w:rPr/>
        <w:t>基础架构建设和数据中心服务的业务单元，包括：主流厂商网络设备、系统设备、存储</w:t>
      </w:r>
    </w:p>
    <w:p>
      <w:pPr>
        <w:pStyle w:val="BodyText"/>
        <w:spacing w:line="240" w:lineRule="auto" w:before="15"/>
        <w:ind w:left="154" w:right="0"/>
        <w:jc w:val="both"/>
      </w:pPr>
      <w:r>
        <w:rPr/>
        <w:t>设备、呼叫中心系统、代理软件产品等的集成与解决方案，应用于各大商业银行数据中心建设和服务领域。</w:t>
      </w:r>
    </w:p>
    <w:p>
      <w:pPr>
        <w:spacing w:line="240" w:lineRule="auto" w:before="0"/>
        <w:rPr>
          <w:rFonts w:ascii="宋体" w:hAnsi="宋体" w:cs="宋体" w:eastAsia="宋体" w:hint="default"/>
          <w:sz w:val="15"/>
          <w:szCs w:val="15"/>
        </w:rPr>
      </w:pPr>
    </w:p>
    <w:p>
      <w:pPr>
        <w:pStyle w:val="BodyText"/>
        <w:spacing w:line="319" w:lineRule="auto"/>
        <w:ind w:right="1131" w:firstLine="217"/>
        <w:jc w:val="both"/>
      </w:pPr>
      <w:r>
        <w:rPr/>
        <w:t>报告期内成功获得招商证券、证通股份集成项目。非金融客户有了拓展，国家税务总局、海关总署、民航业带来的份额</w:t>
      </w:r>
      <w:r>
        <w:rPr>
          <w:spacing w:val="1"/>
        </w:rPr>
        <w:t> </w:t>
      </w:r>
      <w:r>
        <w:rPr>
          <w:spacing w:val="-2"/>
        </w:rPr>
        <w:t>逐步增加。尝试数据中心服务业务，承接了农业发展银行和信达资产数据中心整体外包服务，赢得中国银联总部备件更换服</w:t>
      </w:r>
      <w:r>
        <w:rPr>
          <w:spacing w:val="-66"/>
        </w:rPr>
        <w:t> </w:t>
      </w:r>
      <w:r>
        <w:rPr>
          <w:spacing w:val="-66"/>
        </w:rPr>
      </w:r>
      <w:r>
        <w:rPr/>
        <w:t>务项目。</w:t>
      </w:r>
    </w:p>
    <w:p>
      <w:pPr>
        <w:pStyle w:val="BodyText"/>
        <w:spacing w:line="432" w:lineRule="exact" w:before="1"/>
        <w:ind w:left="444" w:right="1118" w:firstLine="129"/>
        <w:jc w:val="left"/>
      </w:pPr>
      <w:r>
        <w:rPr>
          <w:rFonts w:ascii="Times New Roman" w:hAnsi="Times New Roman" w:cs="Times New Roman" w:eastAsia="Times New Roman" w:hint="default"/>
        </w:rPr>
        <w:t>3</w:t>
      </w:r>
      <w:r>
        <w:rPr/>
        <w:t>、软件业务 </w:t>
      </w:r>
      <w:r>
        <w:rPr>
          <w:spacing w:val="-1"/>
        </w:rPr>
        <w:t>公司软件业务包括：应用系统资讯与解决方案、南天信息自有软件产品销售、软件开发与软件服务、非自有软件产品技</w:t>
      </w:r>
    </w:p>
    <w:p>
      <w:pPr>
        <w:pStyle w:val="BodyText"/>
        <w:spacing w:line="316" w:lineRule="auto" w:before="15"/>
        <w:ind w:left="154" w:right="1130"/>
        <w:jc w:val="both"/>
      </w:pPr>
      <w:r>
        <w:rPr>
          <w:spacing w:val="-2"/>
        </w:rPr>
        <w:t>术开发和专业化软件服务等。南天信息软件广泛应用于国内大、中、小型银行、资产管理公司、政府机关、国有企事业单位</w:t>
      </w:r>
      <w:r>
        <w:rPr>
          <w:spacing w:val="-67"/>
        </w:rPr>
        <w:t> </w:t>
      </w:r>
      <w:r>
        <w:rPr>
          <w:spacing w:val="-67"/>
        </w:rPr>
      </w:r>
      <w:r>
        <w:rPr/>
        <w:t>等，是国内银行业十大解决方案主要提供商之一。</w:t>
      </w:r>
    </w:p>
    <w:p>
      <w:pPr>
        <w:pStyle w:val="BodyText"/>
        <w:spacing w:line="312" w:lineRule="auto" w:before="139"/>
        <w:ind w:right="1033" w:firstLine="145"/>
        <w:jc w:val="left"/>
      </w:pPr>
      <w:r>
        <w:rPr/>
        <w:t>报告期内，公司持续打造软件业务核心能力，规模、利润双提升。确立云应用、互联网及移动应用、关键业务应用、专业 应用、软件服务五大重点领域；贯彻国家</w:t>
      </w:r>
      <w:r>
        <w:rPr>
          <w:rFonts w:ascii="Times New Roman" w:hAnsi="Times New Roman" w:cs="Times New Roman" w:eastAsia="Times New Roman" w:hint="default"/>
        </w:rPr>
        <w:t>“</w:t>
      </w:r>
      <w:r>
        <w:rPr/>
        <w:t>自主可控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科技创新</w:t>
      </w:r>
      <w:r>
        <w:rPr>
          <w:rFonts w:ascii="Times New Roman" w:hAnsi="Times New Roman" w:cs="Times New Roman" w:eastAsia="Times New Roman" w:hint="default"/>
        </w:rPr>
        <w:t>”</w:t>
      </w:r>
      <w:r>
        <w:rPr/>
        <w:t>战略，研发基于云计算的银行核心业务系统，入选</w:t>
      </w:r>
      <w:r>
        <w:rPr>
          <w:rFonts w:ascii="Times New Roman" w:hAnsi="Times New Roman" w:cs="Times New Roman" w:eastAsia="Times New Roman" w:hint="default"/>
        </w:rPr>
        <w:t>2015</w:t>
      </w:r>
      <w:r>
        <w:rPr/>
        <w:t>年 </w:t>
      </w:r>
      <w:r>
        <w:rPr>
          <w:spacing w:val="-2"/>
        </w:rPr>
        <w:t>云南省十大科技进展项目；研发移动金融领域基础产品，并获得</w:t>
      </w:r>
      <w:r>
        <w:rPr>
          <w:rFonts w:ascii="Times New Roman" w:hAnsi="Times New Roman" w:cs="Times New Roman" w:eastAsia="Times New Roman" w:hint="default"/>
          <w:spacing w:val="-2"/>
        </w:rPr>
        <w:t>10</w:t>
      </w:r>
      <w:r>
        <w:rPr>
          <w:spacing w:val="-2"/>
        </w:rPr>
        <w:t>个项目应用；中国邮政储蓄银行基于开放式平台的新一代</w:t>
      </w:r>
      <w:r>
        <w:rPr>
          <w:spacing w:val="-64"/>
        </w:rPr>
        <w:t> </w:t>
      </w:r>
      <w:r>
        <w:rPr>
          <w:spacing w:val="-64"/>
        </w:rPr>
      </w:r>
      <w:r>
        <w:rPr>
          <w:spacing w:val="-2"/>
        </w:rPr>
        <w:t>核心系统全面推广应用；四川农信主机业务系统成功上线；与邮储银行签署全面战略合作协议；建立和完善软件业务市场营</w:t>
      </w:r>
      <w:r>
        <w:rPr>
          <w:spacing w:val="-66"/>
        </w:rPr>
        <w:t> </w:t>
      </w:r>
      <w:r>
        <w:rPr>
          <w:spacing w:val="-66"/>
        </w:rPr>
      </w:r>
      <w:r>
        <w:rPr>
          <w:spacing w:val="-4"/>
        </w:rPr>
        <w:t>销体系，保持并不断扩大邮储银行、中国光大银行、建设银行等战略客户的软件市场规模；成功开拓建设银行北京开发中心、</w:t>
      </w:r>
      <w:r>
        <w:rPr>
          <w:spacing w:val="-46"/>
        </w:rPr>
        <w:t> </w:t>
      </w:r>
      <w:r>
        <w:rPr>
          <w:spacing w:val="-46"/>
        </w:rPr>
      </w:r>
      <w:r>
        <w:rPr>
          <w:spacing w:val="-2"/>
        </w:rPr>
        <w:t>中国人民银行、中国金币总公司、中债公司、中国建银投资有限公司、中国人寿保险公司、桂林银行、农业银行村镇银行等</w:t>
      </w:r>
      <w:r>
        <w:rPr>
          <w:spacing w:val="-68"/>
        </w:rPr>
        <w:t> </w:t>
      </w:r>
      <w:r>
        <w:rPr>
          <w:spacing w:val="-68"/>
        </w:rPr>
      </w:r>
      <w:r>
        <w:rPr/>
        <w:t>新客户。</w:t>
      </w:r>
    </w:p>
    <w:p>
      <w:pPr>
        <w:pStyle w:val="BodyText"/>
        <w:spacing w:line="432" w:lineRule="exact" w:before="7"/>
        <w:ind w:left="444" w:right="1102"/>
        <w:jc w:val="left"/>
      </w:pPr>
      <w:r>
        <w:rPr/>
        <w:t>（二）行业竞争整体分析 随着行业不断发育成熟和客户需求的逐渐理性化，我国金融信息化市场的竞争方式已经由价格竞争过渡到技术、品牌、</w:t>
      </w:r>
    </w:p>
    <w:p>
      <w:pPr>
        <w:pStyle w:val="BodyText"/>
        <w:spacing w:line="309" w:lineRule="auto" w:before="15"/>
        <w:ind w:left="154" w:right="1131"/>
        <w:jc w:val="both"/>
      </w:pPr>
      <w:r>
        <w:rPr>
          <w:spacing w:val="-2"/>
        </w:rPr>
        <w:t>服务、业务经验及产品的全方位竞争。金融业客户在挑选其</w:t>
      </w:r>
      <w:r>
        <w:rPr>
          <w:rFonts w:ascii="Times New Roman" w:hAnsi="Times New Roman" w:cs="Times New Roman" w:eastAsia="Times New Roman" w:hint="default"/>
          <w:spacing w:val="-2"/>
        </w:rPr>
        <w:t>IT</w:t>
      </w:r>
      <w:r>
        <w:rPr>
          <w:spacing w:val="-2"/>
        </w:rPr>
        <w:t>服务商时，品牌知名度、是否拥有成熟的案例经验、已有产品</w:t>
      </w:r>
      <w:r>
        <w:rPr>
          <w:spacing w:val="-55"/>
        </w:rPr>
        <w:t> </w:t>
      </w:r>
      <w:r>
        <w:rPr>
          <w:spacing w:val="-55"/>
        </w:rPr>
      </w:r>
      <w:r>
        <w:rPr>
          <w:spacing w:val="-2"/>
        </w:rPr>
        <w:t>的适用性、服务的响应效率和质量等要素越来越成为重要的考察标准，长期来看，业内具有较高品牌知名度、完整产品线和</w:t>
      </w:r>
      <w:r>
        <w:rPr>
          <w:spacing w:val="-66"/>
        </w:rPr>
        <w:t> </w:t>
      </w:r>
      <w:r>
        <w:rPr>
          <w:spacing w:val="-66"/>
        </w:rPr>
      </w:r>
      <w:r>
        <w:rPr/>
        <w:t>丰富案例经验的行业领导企业将能够更大程度上满足客户的需求，赢得竞争优势。</w:t>
      </w:r>
    </w:p>
    <w:p>
      <w:pPr>
        <w:pStyle w:val="BodyText"/>
        <w:spacing w:line="316" w:lineRule="auto" w:before="144"/>
        <w:ind w:right="1133" w:firstLine="300"/>
        <w:jc w:val="both"/>
      </w:pPr>
      <w:r>
        <w:rPr>
          <w:spacing w:val="-1"/>
        </w:rPr>
        <w:t>信息技术正处于融合集成式创新和颠覆式创新发展的新时代，产业面对着很多新的挑战也产生了新的机遇。智能制造不</w:t>
      </w:r>
      <w:r>
        <w:rPr/>
        <w:t> </w:t>
      </w:r>
      <w:r>
        <w:rPr>
          <w:spacing w:val="-2"/>
        </w:rPr>
        <w:t>仅推动了制造业的信息化，更多的是给电子信息产业提出了颠覆性的新的要求；虚拟现实与人工智能进一步的结合，对显示</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设备、材料、集成电路等带来创新需求。平台化、生态化将成为电子信息产业发展的重要趋势。</w:t>
      </w:r>
    </w:p>
    <w:p>
      <w:pPr>
        <w:spacing w:line="240" w:lineRule="auto" w:before="0"/>
        <w:rPr>
          <w:rFonts w:ascii="宋体" w:hAnsi="宋体" w:cs="宋体" w:eastAsia="宋体" w:hint="default"/>
          <w:sz w:val="15"/>
          <w:szCs w:val="15"/>
        </w:rPr>
      </w:pPr>
    </w:p>
    <w:p>
      <w:pPr>
        <w:pStyle w:val="BodyText"/>
        <w:spacing w:line="316" w:lineRule="auto"/>
        <w:ind w:right="0" w:firstLine="300"/>
        <w:jc w:val="left"/>
      </w:pPr>
      <w:r>
        <w:rPr>
          <w:spacing w:val="-3"/>
        </w:rPr>
        <w:t>新一代信息技术正在步入加速成长期，泛在化、融合化、智能化和绿色化趋势更加突出，移动互联网、云计算、物联网、</w:t>
      </w:r>
      <w:r>
        <w:rPr/>
        <w:t> 大数据等信息技术在经济社会各领域正得到广泛应用。</w:t>
      </w:r>
    </w:p>
    <w:p>
      <w:pPr>
        <w:pStyle w:val="BodyText"/>
        <w:spacing w:line="307" w:lineRule="auto" w:before="139"/>
        <w:ind w:right="1129" w:firstLine="434"/>
        <w:jc w:val="both"/>
      </w:pP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时期，我国经济发展仍处于大有作为的战略机遇期，电子信息行业发展机遇与挑战并存，技术变革加快，为 </w:t>
      </w:r>
      <w:r>
        <w:rPr>
          <w:spacing w:val="-2"/>
        </w:rPr>
        <w:t>行业创造新的竞合空间；政策密集出台，给行业发展带来巨大机遇；经济社会转型，对行业发展提出更高要求；国际竞争加</w:t>
      </w:r>
      <w:r>
        <w:rPr>
          <w:spacing w:val="-66"/>
        </w:rPr>
        <w:t> </w:t>
      </w:r>
      <w:r>
        <w:rPr>
          <w:spacing w:val="-66"/>
        </w:rPr>
      </w:r>
      <w:r>
        <w:rPr>
          <w:spacing w:val="-2"/>
        </w:rPr>
        <w:t>剧，给行业发展带来诸多挑战。在整体经济放缓背景下，</w:t>
      </w:r>
      <w:r>
        <w:rPr>
          <w:rFonts w:ascii="Times New Roman" w:hAnsi="Times New Roman" w:cs="Times New Roman" w:eastAsia="Times New Roman" w:hint="default"/>
          <w:spacing w:val="-2"/>
        </w:rPr>
        <w:t>2016</w:t>
      </w:r>
      <w:r>
        <w:rPr>
          <w:spacing w:val="-2"/>
        </w:rPr>
        <w:t>年，全行业将保持中低速增长，但转型升级、结构调整必将会</w:t>
      </w:r>
      <w:r>
        <w:rPr>
          <w:spacing w:val="-63"/>
        </w:rPr>
        <w:t> </w:t>
      </w:r>
      <w:r>
        <w:rPr>
          <w:spacing w:val="-63"/>
        </w:rPr>
      </w:r>
      <w:r>
        <w:rPr/>
        <w:t>取得新的成效。</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6"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对一批技术已经落后，无法达到预期收益的无形资产计提减值准备</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033" w:firstLine="420"/>
        <w:jc w:val="left"/>
      </w:pPr>
      <w:r>
        <w:rPr/>
        <w:t>公司品牌</w:t>
      </w:r>
      <w:r>
        <w:rPr>
          <w:rFonts w:ascii="Times New Roman" w:hAnsi="Times New Roman" w:cs="Times New Roman" w:eastAsia="Times New Roman" w:hint="default"/>
        </w:rPr>
        <w:t>“</w:t>
      </w:r>
      <w:r>
        <w:rPr/>
        <w:t>南天</w:t>
      </w:r>
      <w:r>
        <w:rPr>
          <w:rFonts w:ascii="Times New Roman" w:hAnsi="Times New Roman" w:cs="Times New Roman" w:eastAsia="Times New Roman" w:hint="default"/>
        </w:rPr>
        <w:t>”</w:t>
      </w:r>
      <w:r>
        <w:rPr/>
        <w:t>在银行</w:t>
      </w:r>
      <w:r>
        <w:rPr>
          <w:rFonts w:ascii="Times New Roman" w:hAnsi="Times New Roman" w:cs="Times New Roman" w:eastAsia="Times New Roman" w:hint="default"/>
        </w:rPr>
        <w:t>IT</w:t>
      </w:r>
      <w:r>
        <w:rPr/>
        <w:t>领域具有很高的知名度和认可度，属于南天信息内部资源能力优势。南天信息三十多年在银</w:t>
      </w:r>
      <w:r>
        <w:rPr>
          <w:spacing w:val="1"/>
        </w:rPr>
        <w:t> </w:t>
      </w:r>
      <w:r>
        <w:rPr>
          <w:spacing w:val="-2"/>
        </w:rPr>
        <w:t>行业务上的发展，为南天积累了优质的客户资源，并且双方构成紧密黏度，是公司持续发展的基础。南天信息多年围绕着银</w:t>
      </w:r>
      <w:r>
        <w:rPr>
          <w:spacing w:val="-66"/>
        </w:rPr>
        <w:t> </w:t>
      </w:r>
      <w:r>
        <w:rPr>
          <w:spacing w:val="-66"/>
        </w:rPr>
      </w:r>
      <w:r>
        <w:rPr>
          <w:spacing w:val="-2"/>
        </w:rPr>
        <w:t>行业开展项目，形成对客户业务的深刻理解，是南天信息在这个行业继续深耕不可复制的核心能力。南天信息开展了大量的</w:t>
      </w:r>
      <w:r>
        <w:rPr>
          <w:spacing w:val="-66"/>
        </w:rPr>
        <w:t> </w:t>
      </w:r>
      <w:r>
        <w:rPr>
          <w:spacing w:val="-66"/>
        </w:rPr>
      </w:r>
      <w:r>
        <w:rPr/>
        <w:t>成功项目，这些项目经验转变成技术上的优势，未来，这些项目经验可以积累成成熟的产品，并进行复用。南天信息在</w:t>
      </w:r>
      <w:r>
        <w:rPr>
          <w:rFonts w:ascii="Times New Roman" w:hAnsi="Times New Roman" w:cs="Times New Roman" w:eastAsia="Times New Roman" w:hint="default"/>
        </w:rPr>
        <w:t>PR</w:t>
      </w:r>
      <w:r>
        <w:rPr>
          <w:rFonts w:ascii="Times New Roman" w:hAnsi="Times New Roman" w:cs="Times New Roman" w:eastAsia="Times New Roman" w:hint="default"/>
          <w:spacing w:val="2"/>
        </w:rPr>
        <w:t> </w:t>
      </w:r>
      <w:r>
        <w:rPr/>
        <w:t>打印机、</w:t>
      </w:r>
      <w:r>
        <w:rPr>
          <w:rFonts w:ascii="Times New Roman" w:hAnsi="Times New Roman" w:cs="Times New Roman" w:eastAsia="Times New Roman" w:hint="default"/>
        </w:rPr>
        <w:t>BP</w:t>
      </w:r>
      <w:r>
        <w:rPr/>
        <w:t>系列产品具有较高的市场占有率和知名度，公司在软件和集成方面具备良好的服务能力。南天信息和国内五大</w:t>
      </w:r>
      <w:r>
        <w:rPr>
          <w:spacing w:val="-45"/>
        </w:rPr>
        <w:t> </w:t>
      </w:r>
      <w:r>
        <w:rPr>
          <w:spacing w:val="-45"/>
        </w:rPr>
      </w:r>
      <w:r>
        <w:rPr/>
        <w:t>国有银行、主要股份制银行构建了紧密的客户关系。南天信息和工、农、中、建、交五大国有银行，邮储、国开行、光大、 民生、华夏、广发、中信、招商、四川农信、富滇银行、海峡银行等股份制银行、农信、城商行形成了紧密的客户黏度。</w:t>
      </w:r>
    </w:p>
    <w:p>
      <w:pPr>
        <w:pStyle w:val="BodyText"/>
        <w:spacing w:line="314" w:lineRule="auto" w:before="144"/>
        <w:ind w:right="0" w:firstLine="420"/>
        <w:jc w:val="left"/>
      </w:pPr>
      <w:r>
        <w:rPr>
          <w:spacing w:val="-2"/>
        </w:rPr>
        <w:t>在软件业务方面，南天是国内银行业十大解决方案主要提供商之一，开发了多个自有品牌的应用软件产品及解决方案，</w:t>
      </w:r>
      <w:r>
        <w:rPr/>
        <w:t> 实施的金融应用软件产品解决方案和计算机应用系统超过</w:t>
      </w:r>
      <w:r>
        <w:rPr>
          <w:rFonts w:ascii="Times New Roman" w:hAnsi="Times New Roman" w:cs="Times New Roman" w:eastAsia="Times New Roman" w:hint="default"/>
        </w:rPr>
        <w:t>1000</w:t>
      </w:r>
      <w:r>
        <w:rPr/>
        <w:t>余个，应用的网点达</w:t>
      </w:r>
      <w:r>
        <w:rPr>
          <w:rFonts w:ascii="Times New Roman" w:hAnsi="Times New Roman" w:cs="Times New Roman" w:eastAsia="Times New Roman" w:hint="default"/>
        </w:rPr>
        <w:t>5</w:t>
      </w:r>
      <w:r>
        <w:rPr/>
        <w:t>万个，产品深受国内银行认同。此外，</w:t>
      </w:r>
      <w:r>
        <w:rPr>
          <w:spacing w:val="-82"/>
        </w:rPr>
        <w:t> </w:t>
      </w:r>
      <w:r>
        <w:rPr>
          <w:spacing w:val="-82"/>
        </w:rPr>
      </w:r>
      <w:r>
        <w:rPr>
          <w:spacing w:val="-2"/>
        </w:rPr>
        <w:t>南天软件产品还广泛覆盖银行、政府、电信、医药、税务、石油、电力、制造业、资产管理公司、财务公司等多个行业。公</w:t>
      </w:r>
      <w:r>
        <w:rPr>
          <w:spacing w:val="-71"/>
        </w:rPr>
        <w:t> </w:t>
      </w:r>
      <w:r>
        <w:rPr>
          <w:spacing w:val="-71"/>
        </w:rPr>
      </w:r>
      <w:r>
        <w:rPr>
          <w:spacing w:val="-2"/>
        </w:rPr>
        <w:t>司可为客户量身定制成熟的应用系统资讯与解决方案，提供南天自有软件产品销售、软件开发与运维、非自有软件产品技术</w:t>
      </w:r>
      <w:r>
        <w:rPr>
          <w:spacing w:val="-66"/>
        </w:rPr>
        <w:t> </w:t>
      </w:r>
      <w:r>
        <w:rPr>
          <w:spacing w:val="-66"/>
        </w:rPr>
      </w:r>
      <w:r>
        <w:rPr/>
        <w:t>开发等专业化软件服务。</w:t>
      </w:r>
    </w:p>
    <w:p>
      <w:pPr>
        <w:pStyle w:val="BodyText"/>
        <w:spacing w:line="312" w:lineRule="auto" w:before="141"/>
        <w:ind w:left="154" w:right="0" w:firstLine="420"/>
        <w:jc w:val="left"/>
      </w:pPr>
      <w:r>
        <w:rPr>
          <w:spacing w:val="-2"/>
        </w:rPr>
        <w:t>在信息产品业务方面，南天是国内专业生产金融电子化专用设备的主导厂商，目前产品已全面覆盖国内各大商业银行、</w:t>
      </w:r>
      <w:r>
        <w:rPr/>
        <w:t> 专业银行及新生银行，并出口到二十多个国家和地区。公司所生产的</w:t>
      </w:r>
      <w:r>
        <w:rPr>
          <w:rFonts w:ascii="Times New Roman" w:hAnsi="Times New Roman" w:cs="Times New Roman" w:eastAsia="Times New Roman" w:hint="default"/>
        </w:rPr>
        <w:t>PR</w:t>
      </w:r>
      <w:r>
        <w:rPr/>
        <w:t>系列存折打印机、</w:t>
      </w:r>
      <w:r>
        <w:rPr>
          <w:rFonts w:ascii="Times New Roman" w:hAnsi="Times New Roman" w:cs="Times New Roman" w:eastAsia="Times New Roman" w:hint="default"/>
        </w:rPr>
        <w:t>BST</w:t>
      </w:r>
      <w:r>
        <w:rPr/>
        <w:t>银行自助服务终端、</w:t>
      </w:r>
      <w:r>
        <w:rPr>
          <w:rFonts w:ascii="Times New Roman" w:hAnsi="Times New Roman" w:cs="Times New Roman" w:eastAsia="Times New Roman" w:hint="default"/>
        </w:rPr>
        <w:t>BP</w:t>
      </w:r>
      <w:r>
        <w:rPr/>
        <w:t>磁条</w:t>
      </w:r>
      <w:r>
        <w:rPr>
          <w:spacing w:val="-47"/>
        </w:rPr>
        <w:t> </w:t>
      </w:r>
      <w:r>
        <w:rPr>
          <w:spacing w:val="-2"/>
        </w:rPr>
        <w:t>读写器多年来市场占有率居前。近年来，南天又根据市场发展趋势，研发和推出了网点排队预填机、回单打印机、城市信息</w:t>
      </w:r>
      <w:r>
        <w:rPr>
          <w:spacing w:val="-65"/>
        </w:rPr>
        <w:t> </w:t>
      </w:r>
      <w:r>
        <w:rPr>
          <w:spacing w:val="-65"/>
        </w:rPr>
      </w:r>
      <w:r>
        <w:rPr>
          <w:spacing w:val="-4"/>
        </w:rPr>
        <w:t>亭、轨道交通设备、自助发卡机、网银终端、自助缴费机、机场自助值机等产品，可满足客户和市场多层次、多方面的需求。</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31" w:firstLine="420"/>
        <w:jc w:val="both"/>
      </w:pPr>
      <w:r>
        <w:rPr/>
        <w:t>在集成业务方面，南天与</w:t>
      </w:r>
      <w:r>
        <w:rPr>
          <w:rFonts w:ascii="Times New Roman" w:hAnsi="Times New Roman" w:cs="Times New Roman" w:eastAsia="Times New Roman" w:hint="default"/>
        </w:rPr>
        <w:t>IBM</w:t>
      </w:r>
      <w:r>
        <w:rPr/>
        <w:t>、思科、</w:t>
      </w:r>
      <w:r>
        <w:rPr>
          <w:rFonts w:ascii="Times New Roman" w:hAnsi="Times New Roman" w:cs="Times New Roman" w:eastAsia="Times New Roman" w:hint="default"/>
        </w:rPr>
        <w:t>HP</w:t>
      </w:r>
      <w:r>
        <w:rPr/>
        <w:t>、</w:t>
      </w:r>
      <w:r>
        <w:rPr>
          <w:rFonts w:ascii="Times New Roman" w:hAnsi="Times New Roman" w:cs="Times New Roman" w:eastAsia="Times New Roman" w:hint="default"/>
        </w:rPr>
        <w:t>AVAYA</w:t>
      </w:r>
      <w:r>
        <w:rPr/>
        <w:t>、</w:t>
      </w:r>
      <w:r>
        <w:rPr>
          <w:rFonts w:ascii="Times New Roman" w:hAnsi="Times New Roman" w:cs="Times New Roman" w:eastAsia="Times New Roman" w:hint="default"/>
        </w:rPr>
        <w:t>BMC</w:t>
      </w:r>
      <w:r>
        <w:rPr/>
        <w:t>、</w:t>
      </w:r>
      <w:r>
        <w:rPr>
          <w:rFonts w:ascii="Times New Roman" w:hAnsi="Times New Roman" w:cs="Times New Roman" w:eastAsia="Times New Roman" w:hint="default"/>
        </w:rPr>
        <w:t>HDS</w:t>
      </w:r>
      <w:r>
        <w:rPr/>
        <w:t>等国际知名</w:t>
      </w:r>
      <w:r>
        <w:rPr>
          <w:rFonts w:ascii="Times New Roman" w:hAnsi="Times New Roman" w:cs="Times New Roman" w:eastAsia="Times New Roman" w:hint="default"/>
        </w:rPr>
        <w:t>IT</w:t>
      </w:r>
      <w:r>
        <w:rPr/>
        <w:t>厂商建立有长期而良好的战略合作伙 伴关系，具有思科金牌认证合作伙伴、</w:t>
      </w:r>
      <w:r>
        <w:rPr>
          <w:rFonts w:ascii="Times New Roman" w:hAnsi="Times New Roman" w:cs="Times New Roman" w:eastAsia="Times New Roman" w:hint="default"/>
        </w:rPr>
        <w:t>IBM </w:t>
      </w:r>
      <w:r>
        <w:rPr/>
        <w:t>主机技术合作中心等资质。公司可提供完备的主流厂商网络平台、系统平台、</w:t>
      </w:r>
      <w:r>
        <w:rPr>
          <w:spacing w:val="-70"/>
        </w:rPr>
        <w:t> </w:t>
      </w:r>
      <w:r>
        <w:rPr>
          <w:spacing w:val="-70"/>
        </w:rPr>
      </w:r>
      <w:r>
        <w:rPr>
          <w:spacing w:val="-2"/>
        </w:rPr>
        <w:t>存储平台、呼叫中心系统、代理软件产品等的集成与服务及整体服务解决方案。目前，公司已成为国内数据中心服务的主要</w:t>
      </w:r>
      <w:r>
        <w:rPr>
          <w:spacing w:val="-66"/>
        </w:rPr>
        <w:t> </w:t>
      </w:r>
      <w:r>
        <w:rPr>
          <w:spacing w:val="-66"/>
        </w:rPr>
      </w:r>
      <w:r>
        <w:rPr/>
        <w:t>提供商，业务已广泛渗透到国内各大商业银行的数据中心建设和服务领域。</w:t>
      </w:r>
    </w:p>
    <w:p>
      <w:pPr>
        <w:pStyle w:val="BodyText"/>
        <w:spacing w:line="300" w:lineRule="auto" w:before="146"/>
        <w:ind w:right="1129" w:firstLine="420"/>
        <w:jc w:val="both"/>
      </w:pPr>
      <w:r>
        <w:rPr/>
        <w:t>南天的</w:t>
      </w:r>
      <w:r>
        <w:rPr>
          <w:rFonts w:ascii="Times New Roman" w:hAnsi="Times New Roman" w:cs="Times New Roman" w:eastAsia="Times New Roman" w:hint="default"/>
        </w:rPr>
        <w:t>IT</w:t>
      </w:r>
      <w:r>
        <w:rPr/>
        <w:t>服务业务贯穿于以上三大业务之中，是公司未来的发展重点之一。公司将通过完善南天服务的规范性、流程 性、系统性，提高服务效率和服务质量，进而提高客户满意度，提升南天服务品牌。公司于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月首批加入了</w:t>
      </w:r>
      <w:r>
        <w:rPr>
          <w:rFonts w:ascii="Times New Roman" w:hAnsi="Times New Roman" w:cs="Times New Roman" w:eastAsia="Times New Roman" w:hint="default"/>
        </w:rPr>
        <w:t>ITSS</w:t>
      </w:r>
      <w:r>
        <w:rPr/>
        <w:t>标准 制修订工作（</w:t>
      </w:r>
      <w:r>
        <w:rPr>
          <w:rFonts w:ascii="Times New Roman" w:hAnsi="Times New Roman" w:cs="Times New Roman" w:eastAsia="Times New Roman" w:hint="default"/>
        </w:rPr>
        <w:t>ITSS</w:t>
      </w:r>
      <w:r>
        <w:rPr/>
        <w:t>是在工业和信息化部软件服务业司的指导下，由信息技术服务标准工作组组织研究制定的体系化信息技</w:t>
      </w:r>
      <w:r>
        <w:rPr>
          <w:spacing w:val="-17"/>
        </w:rPr>
        <w:t> </w:t>
      </w:r>
      <w:r>
        <w:rPr>
          <w:spacing w:val="-17"/>
        </w:rPr>
      </w:r>
      <w:r>
        <w:rPr/>
        <w:t>术服务标准库）。此后，南天积极参与和协助国家相关部门做好信息服务标准的制定和推广工作，是</w:t>
      </w:r>
      <w:r>
        <w:rPr>
          <w:rFonts w:ascii="Times New Roman" w:hAnsi="Times New Roman" w:cs="Times New Roman" w:eastAsia="Times New Roman" w:hint="default"/>
        </w:rPr>
        <w:t>ITSS</w:t>
      </w:r>
      <w:r>
        <w:rPr/>
        <w:t>《数据中心》标</w:t>
      </w:r>
      <w:r>
        <w:rPr>
          <w:spacing w:val="-9"/>
        </w:rPr>
        <w:t> </w:t>
      </w:r>
      <w:r>
        <w:rPr>
          <w:spacing w:val="-9"/>
        </w:rPr>
      </w:r>
      <w:r>
        <w:rPr/>
        <w:t>准的第一编制单位，同时还参与了《信息技术服务分类与代码》、《信息技术服务质量评价指标体系》等</w:t>
      </w:r>
      <w:r>
        <w:rPr>
          <w:rFonts w:ascii="Times New Roman" w:hAnsi="Times New Roman" w:cs="Times New Roman" w:eastAsia="Times New Roman" w:hint="default"/>
        </w:rPr>
        <w:t>6</w:t>
      </w:r>
      <w:r>
        <w:rPr/>
        <w:t>项标准的编制工</w:t>
      </w:r>
      <w:r>
        <w:rPr>
          <w:spacing w:val="-82"/>
        </w:rPr>
        <w:t> </w:t>
      </w:r>
      <w:r>
        <w:rPr>
          <w:spacing w:val="-82"/>
        </w:rPr>
      </w:r>
      <w:r>
        <w:rPr/>
        <w:t>作，是《</w:t>
      </w:r>
      <w:r>
        <w:rPr>
          <w:rFonts w:ascii="Times New Roman" w:hAnsi="Times New Roman" w:cs="Times New Roman" w:eastAsia="Times New Roman" w:hint="default"/>
        </w:rPr>
        <w:t>ITSS</w:t>
      </w:r>
      <w:r>
        <w:rPr/>
        <w:t>白皮书》核心编制单位，同时也是全国首批</w:t>
      </w:r>
      <w:r>
        <w:rPr>
          <w:rFonts w:ascii="Times New Roman" w:hAnsi="Times New Roman" w:cs="Times New Roman" w:eastAsia="Times New Roman" w:hint="default"/>
        </w:rPr>
        <w:t>18</w:t>
      </w:r>
      <w:r>
        <w:rPr/>
        <w:t>家通过《运维通用要求》符合性评估的单位之一。</w:t>
      </w:r>
    </w:p>
    <w:p>
      <w:pPr>
        <w:spacing w:after="0" w:line="3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_TOC_250007" w:id="23"/>
      <w:bookmarkStart w:name="第四节 管理层讨论与分析" w:id="24"/>
      <w:r>
        <w:rPr>
          <w:b w:val="0"/>
          <w:bCs w:val="0"/>
        </w:rPr>
      </w:r>
      <w:r>
        <w:rPr/>
        <w:t>第四节</w:t>
      </w:r>
      <w:r>
        <w:rPr>
          <w:spacing w:val="-9"/>
        </w:rPr>
        <w:t> </w:t>
      </w:r>
      <w:r>
        <w:rPr/>
        <w:t>管理层讨论与分析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440" w:lineRule="atLeast" w:before="157"/>
        <w:ind w:left="573" w:right="0" w:firstLine="0"/>
        <w:jc w:val="left"/>
        <w:rPr>
          <w:rFonts w:ascii="宋体" w:hAnsi="宋体" w:cs="宋体" w:eastAsia="宋体" w:hint="default"/>
          <w:sz w:val="21"/>
          <w:szCs w:val="21"/>
        </w:rPr>
      </w:pPr>
      <w:r>
        <w:rPr>
          <w:rFonts w:ascii="宋体" w:hAnsi="宋体" w:cs="宋体" w:eastAsia="宋体" w:hint="default"/>
          <w:b/>
          <w:bCs/>
          <w:sz w:val="21"/>
          <w:szCs w:val="21"/>
        </w:rPr>
        <w:t>（一）报告期内公司总体业务情况</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报告期内，公司实现营业收入</w:t>
      </w:r>
      <w:r>
        <w:rPr>
          <w:rFonts w:ascii="Times New Roman" w:hAnsi="Times New Roman" w:cs="Times New Roman" w:eastAsia="Times New Roman" w:hint="default"/>
          <w:spacing w:val="-1"/>
          <w:sz w:val="21"/>
          <w:szCs w:val="21"/>
        </w:rPr>
        <w:t>21.38</w:t>
      </w:r>
      <w:r>
        <w:rPr>
          <w:rFonts w:ascii="宋体" w:hAnsi="宋体" w:cs="宋体" w:eastAsia="宋体" w:hint="default"/>
          <w:spacing w:val="-1"/>
          <w:sz w:val="21"/>
          <w:szCs w:val="21"/>
        </w:rPr>
        <w:t>亿元，增长</w:t>
      </w:r>
      <w:r>
        <w:rPr>
          <w:rFonts w:ascii="Times New Roman" w:hAnsi="Times New Roman" w:cs="Times New Roman" w:eastAsia="Times New Roman" w:hint="default"/>
          <w:spacing w:val="-1"/>
          <w:sz w:val="21"/>
          <w:szCs w:val="21"/>
        </w:rPr>
        <w:t>16.91%</w:t>
      </w:r>
      <w:r>
        <w:rPr>
          <w:rFonts w:ascii="宋体" w:hAnsi="宋体" w:cs="宋体" w:eastAsia="宋体" w:hint="default"/>
          <w:spacing w:val="-1"/>
          <w:sz w:val="21"/>
          <w:szCs w:val="21"/>
        </w:rPr>
        <w:t>，利润总额</w:t>
      </w:r>
      <w:r>
        <w:rPr>
          <w:rFonts w:ascii="Times New Roman" w:hAnsi="Times New Roman" w:cs="Times New Roman" w:eastAsia="Times New Roman" w:hint="default"/>
          <w:spacing w:val="-1"/>
          <w:sz w:val="21"/>
          <w:szCs w:val="21"/>
        </w:rPr>
        <w:t>1794.66</w:t>
      </w:r>
      <w:r>
        <w:rPr>
          <w:rFonts w:ascii="宋体" w:hAnsi="宋体" w:cs="宋体" w:eastAsia="宋体" w:hint="default"/>
          <w:spacing w:val="-1"/>
          <w:sz w:val="21"/>
          <w:szCs w:val="21"/>
        </w:rPr>
        <w:t>万元，增长</w:t>
      </w:r>
      <w:r>
        <w:rPr>
          <w:rFonts w:ascii="Times New Roman" w:hAnsi="Times New Roman" w:cs="Times New Roman" w:eastAsia="Times New Roman" w:hint="default"/>
          <w:spacing w:val="-1"/>
          <w:sz w:val="21"/>
          <w:szCs w:val="21"/>
        </w:rPr>
        <w:t>16%</w:t>
      </w:r>
      <w:r>
        <w:rPr>
          <w:rFonts w:ascii="宋体" w:hAnsi="宋体" w:cs="宋体" w:eastAsia="宋体" w:hint="default"/>
          <w:spacing w:val="-1"/>
          <w:sz w:val="21"/>
          <w:szCs w:val="21"/>
        </w:rPr>
        <w:t>，截止期末，</w:t>
      </w:r>
    </w:p>
    <w:p>
      <w:pPr>
        <w:pStyle w:val="Heading5"/>
        <w:spacing w:line="240" w:lineRule="auto" w:before="21"/>
        <w:ind w:right="0"/>
        <w:jc w:val="left"/>
      </w:pPr>
      <w:r>
        <w:rPr/>
        <w:t>公司总资产</w:t>
      </w:r>
      <w:r>
        <w:rPr>
          <w:rFonts w:ascii="Times New Roman" w:hAnsi="Times New Roman" w:cs="Times New Roman" w:eastAsia="Times New Roman" w:hint="default"/>
        </w:rPr>
        <w:t>26.08</w:t>
      </w:r>
      <w:r>
        <w:rPr/>
        <w:t>亿元；总股本</w:t>
      </w:r>
      <w:r>
        <w:rPr>
          <w:rFonts w:ascii="Times New Roman" w:hAnsi="Times New Roman" w:cs="Times New Roman" w:eastAsia="Times New Roman" w:hint="default"/>
        </w:rPr>
        <w:t>2.46</w:t>
      </w:r>
      <w:r>
        <w:rPr/>
        <w:t>亿股；净资产</w:t>
      </w:r>
      <w:r>
        <w:rPr>
          <w:rFonts w:ascii="Times New Roman" w:hAnsi="Times New Roman" w:cs="Times New Roman" w:eastAsia="Times New Roman" w:hint="default"/>
        </w:rPr>
        <w:t>14.32</w:t>
      </w:r>
      <w:r>
        <w:rPr/>
        <w:t>亿元。</w:t>
      </w:r>
    </w:p>
    <w:p>
      <w:pPr>
        <w:pStyle w:val="Heading4"/>
        <w:spacing w:line="240" w:lineRule="auto" w:before="141"/>
        <w:ind w:left="573" w:right="0"/>
        <w:jc w:val="left"/>
        <w:rPr>
          <w:b w:val="0"/>
          <w:bCs w:val="0"/>
        </w:rPr>
      </w:pPr>
      <w:r>
        <w:rPr/>
        <w:t>（二）报告期内公司各业务情况</w:t>
      </w:r>
      <w:r>
        <w:rPr>
          <w:b w:val="0"/>
          <w:bCs w:val="0"/>
        </w:rPr>
      </w:r>
    </w:p>
    <w:p>
      <w:pPr>
        <w:pStyle w:val="Heading5"/>
        <w:spacing w:line="240" w:lineRule="auto" w:before="157"/>
        <w:ind w:left="573" w:right="0"/>
        <w:jc w:val="left"/>
      </w:pPr>
      <w:r>
        <w:rPr/>
        <w:t>集</w:t>
      </w:r>
      <w:r>
        <w:rPr>
          <w:spacing w:val="-78"/>
        </w:rPr>
        <w:t> </w:t>
      </w:r>
      <w:r>
        <w:rPr/>
        <w:t>成</w:t>
      </w:r>
      <w:r>
        <w:rPr>
          <w:spacing w:val="-78"/>
        </w:rPr>
        <w:t> </w:t>
      </w:r>
      <w:r>
        <w:rPr/>
        <w:t>与</w:t>
      </w:r>
      <w:r>
        <w:rPr>
          <w:spacing w:val="-78"/>
        </w:rPr>
        <w:t> </w:t>
      </w:r>
      <w:r>
        <w:rPr/>
        <w:t>服</w:t>
      </w:r>
      <w:r>
        <w:rPr>
          <w:spacing w:val="-78"/>
        </w:rPr>
        <w:t> </w:t>
      </w:r>
      <w:r>
        <w:rPr/>
        <w:t>务</w:t>
      </w:r>
      <w:r>
        <w:rPr>
          <w:spacing w:val="-77"/>
        </w:rPr>
        <w:t> </w:t>
      </w:r>
      <w:r>
        <w:rPr/>
        <w:t>业</w:t>
      </w:r>
      <w:r>
        <w:rPr>
          <w:spacing w:val="-78"/>
        </w:rPr>
        <w:t> </w:t>
      </w:r>
      <w:r>
        <w:rPr/>
        <w:t>务</w:t>
      </w:r>
      <w:r>
        <w:rPr>
          <w:spacing w:val="-78"/>
        </w:rPr>
        <w:t> </w:t>
      </w:r>
      <w:r>
        <w:rPr/>
        <w:t>逐</w:t>
      </w:r>
      <w:r>
        <w:rPr>
          <w:spacing w:val="-78"/>
        </w:rPr>
        <w:t> </w:t>
      </w:r>
      <w:r>
        <w:rPr/>
        <w:t>渐</w:t>
      </w:r>
      <w:r>
        <w:rPr>
          <w:spacing w:val="-78"/>
        </w:rPr>
        <w:t> </w:t>
      </w:r>
      <w:r>
        <w:rPr/>
        <w:t>成</w:t>
      </w:r>
      <w:r>
        <w:rPr>
          <w:spacing w:val="-77"/>
        </w:rPr>
        <w:t> </w:t>
      </w:r>
      <w:r>
        <w:rPr/>
        <w:t>长</w:t>
      </w:r>
      <w:r>
        <w:rPr>
          <w:spacing w:val="-78"/>
        </w:rPr>
        <w:t> </w:t>
      </w:r>
      <w:r>
        <w:rPr/>
        <w:t>为</w:t>
      </w:r>
      <w:r>
        <w:rPr>
          <w:spacing w:val="-78"/>
        </w:rPr>
        <w:t> </w:t>
      </w:r>
      <w:r>
        <w:rPr/>
        <w:t>公</w:t>
      </w:r>
      <w:r>
        <w:rPr>
          <w:spacing w:val="-78"/>
        </w:rPr>
        <w:t> </w:t>
      </w:r>
      <w:r>
        <w:rPr/>
        <w:t>司</w:t>
      </w:r>
      <w:r>
        <w:rPr>
          <w:spacing w:val="-78"/>
        </w:rPr>
        <w:t> </w:t>
      </w:r>
      <w:r>
        <w:rPr/>
        <w:t>的</w:t>
      </w:r>
      <w:r>
        <w:rPr>
          <w:spacing w:val="-77"/>
        </w:rPr>
        <w:t> </w:t>
      </w:r>
      <w:r>
        <w:rPr/>
        <w:t>主</w:t>
      </w:r>
      <w:r>
        <w:rPr>
          <w:spacing w:val="-73"/>
        </w:rPr>
        <w:t> </w:t>
      </w:r>
      <w:r>
        <w:rPr/>
        <w:t>要</w:t>
      </w:r>
      <w:r>
        <w:rPr>
          <w:spacing w:val="-78"/>
        </w:rPr>
        <w:t> </w:t>
      </w:r>
      <w:r>
        <w:rPr/>
        <w:t>收</w:t>
      </w:r>
      <w:r>
        <w:rPr>
          <w:spacing w:val="-78"/>
        </w:rPr>
        <w:t> </w:t>
      </w:r>
      <w:r>
        <w:rPr/>
        <w:t>入</w:t>
      </w:r>
      <w:r>
        <w:rPr>
          <w:spacing w:val="-78"/>
        </w:rPr>
        <w:t> </w:t>
      </w:r>
      <w:r>
        <w:rPr/>
        <w:t>来</w:t>
      </w:r>
      <w:r>
        <w:rPr>
          <w:spacing w:val="-77"/>
        </w:rPr>
        <w:t> </w:t>
      </w:r>
      <w:r>
        <w:rPr/>
        <w:t>源</w:t>
      </w:r>
      <w:r>
        <w:rPr>
          <w:spacing w:val="-78"/>
        </w:rPr>
        <w:t> </w:t>
      </w:r>
      <w:r>
        <w:rPr/>
        <w:t>，</w:t>
      </w:r>
      <w:r>
        <w:rPr>
          <w:spacing w:val="-78"/>
        </w:rPr>
        <w:t> </w:t>
      </w:r>
      <w:r>
        <w:rPr/>
        <w:t>系</w:t>
      </w:r>
      <w:r>
        <w:rPr>
          <w:spacing w:val="-78"/>
        </w:rPr>
        <w:t> </w:t>
      </w:r>
      <w:r>
        <w:rPr/>
        <w:t>统</w:t>
      </w:r>
      <w:r>
        <w:rPr>
          <w:spacing w:val="-78"/>
        </w:rPr>
        <w:t> </w:t>
      </w:r>
      <w:r>
        <w:rPr/>
        <w:t>集</w:t>
      </w:r>
      <w:r>
        <w:rPr>
          <w:spacing w:val="-77"/>
        </w:rPr>
        <w:t> </w:t>
      </w:r>
      <w:r>
        <w:rPr/>
        <w:t>成</w:t>
      </w:r>
      <w:r>
        <w:rPr>
          <w:spacing w:val="-78"/>
        </w:rPr>
        <w:t> </w:t>
      </w:r>
      <w:r>
        <w:rPr/>
        <w:t>及</w:t>
      </w:r>
      <w:r>
        <w:rPr>
          <w:spacing w:val="-78"/>
        </w:rPr>
        <w:t> </w:t>
      </w:r>
      <w:r>
        <w:rPr/>
        <w:t>服</w:t>
      </w:r>
      <w:r>
        <w:rPr>
          <w:spacing w:val="-78"/>
        </w:rPr>
        <w:t> </w:t>
      </w:r>
      <w:r>
        <w:rPr/>
        <w:t>务</w:t>
      </w:r>
      <w:r>
        <w:rPr>
          <w:spacing w:val="-78"/>
        </w:rPr>
        <w:t> </w:t>
      </w:r>
      <w:r>
        <w:rPr/>
        <w:t>的</w:t>
      </w:r>
      <w:r>
        <w:rPr>
          <w:spacing w:val="-77"/>
        </w:rPr>
        <w:t> </w:t>
      </w:r>
      <w:r>
        <w:rPr/>
        <w:t>销</w:t>
      </w:r>
      <w:r>
        <w:rPr>
          <w:spacing w:val="-78"/>
        </w:rPr>
        <w:t> </w:t>
      </w:r>
      <w:r>
        <w:rPr/>
        <w:t>售</w:t>
      </w:r>
      <w:r>
        <w:rPr>
          <w:spacing w:val="-78"/>
        </w:rPr>
        <w:t> </w:t>
      </w:r>
      <w:r>
        <w:rPr/>
        <w:t>收</w:t>
      </w:r>
      <w:r>
        <w:rPr>
          <w:spacing w:val="-78"/>
        </w:rPr>
        <w:t> </w:t>
      </w:r>
      <w:r>
        <w:rPr/>
        <w:t>入</w:t>
      </w:r>
      <w:r>
        <w:rPr>
          <w:spacing w:val="-78"/>
        </w:rPr>
        <w:t> </w:t>
      </w:r>
      <w:r>
        <w:rPr/>
        <w:t>由</w:t>
      </w:r>
      <w:r>
        <w:rPr>
          <w:spacing w:val="-7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spacing w:val="13"/>
        </w:rPr>
        <w:t>年的</w:t>
      </w:r>
      <w:r>
        <w:rPr>
          <w:spacing w:val="-78"/>
        </w:rPr>
        <w:t> </w:t>
      </w:r>
      <w:r>
        <w:rPr/>
      </w:r>
    </w:p>
    <w:p>
      <w:pPr>
        <w:pStyle w:val="Heading5"/>
        <w:spacing w:line="240" w:lineRule="auto" w:before="21"/>
        <w:ind w:right="0"/>
        <w:jc w:val="left"/>
      </w:pPr>
      <w:r>
        <w:rPr>
          <w:rFonts w:ascii="Times New Roman" w:hAnsi="Times New Roman" w:cs="Times New Roman" w:eastAsia="Times New Roman" w:hint="default"/>
        </w:rPr>
        <w:t>959,097,934.56</w:t>
      </w:r>
      <w:r>
        <w:rPr/>
        <w:t>元，上升到</w:t>
      </w:r>
      <w:r>
        <w:rPr>
          <w:rFonts w:ascii="Times New Roman" w:hAnsi="Times New Roman" w:cs="Times New Roman" w:eastAsia="Times New Roman" w:hint="default"/>
        </w:rPr>
        <w:t>2015</w:t>
      </w:r>
      <w:r>
        <w:rPr/>
        <w:t>年的</w:t>
      </w:r>
      <w:r>
        <w:rPr>
          <w:rFonts w:ascii="Times New Roman" w:hAnsi="Times New Roman" w:cs="Times New Roman" w:eastAsia="Times New Roman" w:hint="default"/>
        </w:rPr>
        <w:t>1,136,836,954.85</w:t>
      </w:r>
      <w:r>
        <w:rPr/>
        <w:t>元，增长幅度为</w:t>
      </w:r>
      <w:r>
        <w:rPr>
          <w:rFonts w:ascii="Times New Roman" w:hAnsi="Times New Roman" w:cs="Times New Roman" w:eastAsia="Times New Roman" w:hint="default"/>
        </w:rPr>
        <w:t>18.53%</w:t>
      </w:r>
      <w:r>
        <w:rPr/>
        <w:t>。</w:t>
      </w:r>
    </w:p>
    <w:p>
      <w:pPr>
        <w:spacing w:line="240" w:lineRule="auto" w:before="8"/>
        <w:rPr>
          <w:rFonts w:ascii="宋体" w:hAnsi="宋体" w:cs="宋体" w:eastAsia="宋体" w:hint="default"/>
          <w:sz w:val="24"/>
          <w:szCs w:val="24"/>
        </w:rPr>
      </w:pPr>
    </w:p>
    <w:p>
      <w:pPr>
        <w:pStyle w:val="Heading5"/>
        <w:spacing w:line="273" w:lineRule="auto"/>
        <w:ind w:right="0" w:firstLine="420"/>
        <w:jc w:val="left"/>
      </w:pPr>
      <w:bookmarkStart w:name="软件与服务业务集中展示了公司在业务理解、技术架构等方面的前沿实力，成为公司形象的" w:id="26"/>
      <w:bookmarkEnd w:id="26"/>
      <w:r>
        <w:rPr/>
      </w:r>
      <w:r>
        <w:rPr>
          <w:spacing w:val="-1"/>
        </w:rPr>
        <w:t>软件与服务业务集中展示了公司在业务理解、技术架构等方面的前沿实力，成为公司形象的招牌和窗</w:t>
      </w:r>
      <w:r>
        <w:rPr/>
        <w:t> 口，销售收入由</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年的</w:t>
      </w:r>
      <w:r>
        <w:rPr>
          <w:spacing w:val="-54"/>
        </w:rPr>
        <w:t> </w:t>
      </w:r>
      <w:r>
        <w:rPr>
          <w:rFonts w:ascii="Times New Roman" w:hAnsi="Times New Roman" w:cs="Times New Roman" w:eastAsia="Times New Roman" w:hint="default"/>
        </w:rPr>
        <w:t>291,489,485.60 </w:t>
      </w:r>
      <w:r>
        <w:rPr/>
        <w:t>元，上升到</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年的</w:t>
      </w:r>
      <w:r>
        <w:rPr>
          <w:spacing w:val="-54"/>
        </w:rPr>
        <w:t> </w:t>
      </w:r>
      <w:r>
        <w:rPr>
          <w:rFonts w:ascii="Times New Roman" w:hAnsi="Times New Roman" w:cs="Times New Roman" w:eastAsia="Times New Roman" w:hint="default"/>
        </w:rPr>
        <w:t>374,629,272.38 </w:t>
      </w:r>
      <w:r>
        <w:rPr/>
        <w:t>元，增长幅度为</w:t>
      </w:r>
      <w:r>
        <w:rPr>
          <w:spacing w:val="-54"/>
        </w:rPr>
        <w:t> </w:t>
      </w:r>
      <w:r>
        <w:rPr>
          <w:rFonts w:ascii="Times New Roman" w:hAnsi="Times New Roman" w:cs="Times New Roman" w:eastAsia="Times New Roman" w:hint="default"/>
        </w:rPr>
        <w:t>28.52%</w:t>
      </w:r>
      <w:r>
        <w:rPr/>
        <w:t>。</w:t>
      </w:r>
    </w:p>
    <w:p>
      <w:pPr>
        <w:spacing w:line="240" w:lineRule="auto" w:before="1"/>
        <w:rPr>
          <w:rFonts w:ascii="宋体" w:hAnsi="宋体" w:cs="宋体" w:eastAsia="宋体" w:hint="default"/>
          <w:sz w:val="22"/>
          <w:szCs w:val="22"/>
        </w:rPr>
      </w:pPr>
    </w:p>
    <w:p>
      <w:pPr>
        <w:pStyle w:val="Heading5"/>
        <w:spacing w:line="266" w:lineRule="auto"/>
        <w:ind w:right="1025" w:firstLine="420"/>
        <w:jc w:val="both"/>
      </w:pPr>
      <w:r>
        <w:rPr>
          <w:spacing w:val="-4"/>
        </w:rPr>
        <w:t>产品业务方面，南天</w:t>
      </w:r>
      <w:r>
        <w:rPr>
          <w:spacing w:val="-68"/>
        </w:rPr>
        <w:t> </w:t>
      </w:r>
      <w:r>
        <w:rPr>
          <w:rFonts w:ascii="Times New Roman" w:hAnsi="Times New Roman" w:cs="Times New Roman" w:eastAsia="Times New Roman" w:hint="default"/>
        </w:rPr>
        <w:t>PR</w:t>
      </w:r>
      <w:r>
        <w:rPr>
          <w:rFonts w:ascii="Times New Roman" w:hAnsi="Times New Roman" w:cs="Times New Roman" w:eastAsia="Times New Roman" w:hint="default"/>
          <w:spacing w:val="-16"/>
        </w:rPr>
        <w:t> </w:t>
      </w:r>
      <w:r>
        <w:rPr/>
        <w:t>产品继续保持国内市场占有率，自助产品不断探索多种类别产品和多种形态， </w:t>
      </w:r>
      <w:r>
        <w:rPr>
          <w:spacing w:val="-3"/>
        </w:rPr>
        <w:t>以满足不同需求，柜面产品市场占有率不断上升，产品质量获得客户良好口碑，但由于打印机市场的萎缩，</w:t>
      </w:r>
      <w:r>
        <w:rPr>
          <w:spacing w:val="-90"/>
        </w:rPr>
        <w:t> </w:t>
      </w:r>
      <w:r>
        <w:rPr>
          <w:spacing w:val="-90"/>
        </w:rPr>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年销售收入为</w:t>
      </w:r>
      <w:r>
        <w:rPr>
          <w:spacing w:val="-54"/>
        </w:rPr>
        <w:t> </w:t>
      </w:r>
      <w:r>
        <w:rPr>
          <w:rFonts w:ascii="Times New Roman" w:hAnsi="Times New Roman" w:cs="Times New Roman" w:eastAsia="Times New Roman" w:hint="default"/>
        </w:rPr>
        <w:t>549,306,516.00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年的销售收入为</w:t>
      </w:r>
      <w:r>
        <w:rPr>
          <w:spacing w:val="-55"/>
        </w:rPr>
        <w:t> </w:t>
      </w:r>
      <w:r>
        <w:rPr>
          <w:rFonts w:ascii="Times New Roman" w:hAnsi="Times New Roman" w:cs="Times New Roman" w:eastAsia="Times New Roman" w:hint="default"/>
        </w:rPr>
        <w:t>531,179,623.82</w:t>
      </w:r>
      <w:r>
        <w:rPr>
          <w:rFonts w:ascii="Times New Roman" w:hAnsi="Times New Roman" w:cs="Times New Roman" w:eastAsia="Times New Roman" w:hint="default"/>
          <w:spacing w:val="-1"/>
        </w:rPr>
        <w:t> </w:t>
      </w:r>
      <w:r>
        <w:rPr/>
        <w:t>元，降低</w:t>
      </w:r>
      <w:r>
        <w:rPr>
          <w:spacing w:val="-55"/>
        </w:rPr>
        <w:t> </w:t>
      </w:r>
      <w:r>
        <w:rPr>
          <w:rFonts w:ascii="Times New Roman" w:hAnsi="Times New Roman" w:cs="Times New Roman" w:eastAsia="Times New Roman" w:hint="default"/>
        </w:rPr>
        <w:t>3.30%</w:t>
      </w:r>
      <w:r>
        <w:rPr/>
        <w:t>。</w:t>
      </w:r>
    </w:p>
    <w:p>
      <w:pPr>
        <w:pStyle w:val="Heading5"/>
        <w:spacing w:line="273" w:lineRule="auto" w:before="34"/>
        <w:ind w:left="154" w:right="1023" w:firstLine="420"/>
        <w:jc w:val="left"/>
      </w:pPr>
      <w:r>
        <w:rPr/>
        <w:t>在业绩保持稳定的同时，南天与工行、农行、中行、建行、交行、光大银行、兴业银行、民生银行、 </w:t>
      </w:r>
      <w:r>
        <w:rPr>
          <w:spacing w:val="-3"/>
        </w:rPr>
        <w:t>招商银行、广东发展银行、中信银行、深圳发展银行等银行总行和地区分行继续保持友好稳定的合作关系，</w:t>
      </w:r>
      <w:r>
        <w:rPr>
          <w:spacing w:val="-90"/>
        </w:rPr>
        <w:t> </w:t>
      </w:r>
      <w:r>
        <w:rPr>
          <w:spacing w:val="-90"/>
        </w:rPr>
      </w:r>
      <w:r>
        <w:rPr/>
        <w:t>取得良好的客户满意度评价，成为南天持续发展的重要基础。</w:t>
      </w:r>
    </w:p>
    <w:p>
      <w:pPr>
        <w:spacing w:line="240" w:lineRule="auto" w:before="9"/>
        <w:rPr>
          <w:rFonts w:ascii="宋体" w:hAnsi="宋体" w:cs="宋体" w:eastAsia="宋体" w:hint="default"/>
          <w:sz w:val="21"/>
          <w:szCs w:val="21"/>
        </w:rPr>
      </w:pPr>
    </w:p>
    <w:p>
      <w:pPr>
        <w:pStyle w:val="Heading2"/>
        <w:spacing w:line="240" w:lineRule="auto"/>
        <w:ind w:left="154" w:right="0"/>
        <w:jc w:val="left"/>
        <w:rPr>
          <w:b w:val="0"/>
          <w:bCs w:val="0"/>
        </w:rPr>
      </w:pPr>
      <w:bookmarkStart w:name="二、主营业务分析" w:id="27"/>
      <w:bookmarkEnd w:id="27"/>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53" w:right="6653" w:firstLine="0"/>
        <w:jc w:val="left"/>
        <w:rPr>
          <w:rFonts w:ascii="宋体" w:hAnsi="宋体" w:cs="宋体" w:eastAsia="宋体" w:hint="default"/>
          <w:sz w:val="21"/>
          <w:szCs w:val="21"/>
        </w:rPr>
      </w:pPr>
      <w:bookmarkStart w:name="1、概述" w:id="28"/>
      <w:bookmarkEnd w:id="2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9"/>
      <w:bookmarkEnd w:id="29"/>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5"/>
        <w:ind w:right="0"/>
        <w:jc w:val="left"/>
        <w:rPr>
          <w:b w:val="0"/>
          <w:bCs w:val="0"/>
        </w:rPr>
      </w:pPr>
      <w:bookmarkStart w:name="（1）营业收入构成" w:id="30"/>
      <w:bookmarkEnd w:id="30"/>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600"/>
        <w:gridCol w:w="1589"/>
        <w:gridCol w:w="1600"/>
        <w:gridCol w:w="1583"/>
        <w:gridCol w:w="1601"/>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2,138,014,376.25</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1,828,726,398.53</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16.91%</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软件和信息技术服 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2,042,645,851.05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95.54%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1,799,893,936.16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98.42%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95,368,525.20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28,832,462.37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信息产品及服务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531,179,623.82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549,306,516.00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374,629,272.38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291,489,485.60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1,136,836,954.85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959,097,934.56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95,368,525.20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28,832,462.37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230.77%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803,123,999.30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754,880,968.03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322,026,908.12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231,207,572.78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392,752,384.40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369,000,529.00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474,995,211.90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400,721,511.27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16,003,837.28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25,172,452.56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33,743,510.05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18,910,902.52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95,368,525.20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28,832,462.37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230.77%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占公司营业收入或营业利润10%以上的行业、产品或地区情况" w:id="31"/>
      <w:bookmarkEnd w:id="31"/>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2,042,645,851.05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1,584,030,857.86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r>
      <w:tr>
        <w:trPr>
          <w:trHeight w:val="75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95,368,525.20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33,233,736.60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5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信息产品及服务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531,179,623.82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375,449,754.58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374,629,272.38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197,116,073.58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系统集成及服务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1,136,836,954.85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1,011,465,029.70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803,123,999.30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642,715,034.42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322,026,908.12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232,040,112.15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392,752,384.40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301,044,013.40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474,995,211.90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373,176,761.53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33,743,510.05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23,628,428.01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15.24%</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2"/>
      <w:bookmarkEnd w:id="32"/>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256,392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-5.48%</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254,811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-0.09%</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3"/>
      <w:bookmarkEnd w:id="33"/>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4"/>
      <w:bookmarkEnd w:id="34"/>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行业和产品分类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1,584,030,857.86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1,393,674,544.08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13.65%</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33,233,736.60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10,600,057.55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215.64%</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
              <w:jc w:val="center"/>
              <w:rPr>
                <w:rFonts w:ascii="宋体" w:hAnsi="宋体" w:cs="宋体" w:eastAsia="宋体" w:hint="default"/>
                <w:sz w:val="18"/>
                <w:szCs w:val="18"/>
              </w:rPr>
            </w:pPr>
            <w:r>
              <w:rPr>
                <w:rFonts w:ascii="宋体" w:hAnsi="宋体" w:cs="宋体" w:eastAsia="宋体" w:hint="default"/>
                <w:sz w:val="18"/>
                <w:szCs w:val="18"/>
              </w:rPr>
              <w:t>信息产品及服务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375,449,754.58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421,325,337.15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
              <w:jc w:val="center"/>
              <w:rPr>
                <w:rFonts w:ascii="宋体" w:hAnsi="宋体" w:cs="宋体" w:eastAsia="宋体" w:hint="default"/>
                <w:sz w:val="18"/>
                <w:szCs w:val="18"/>
              </w:rPr>
            </w:pPr>
            <w:r>
              <w:rPr>
                <w:rFonts w:ascii="宋体" w:hAnsi="宋体" w:cs="宋体" w:eastAsia="宋体" w:hint="default"/>
                <w:sz w:val="18"/>
                <w:szCs w:val="18"/>
              </w:rPr>
              <w:t>软件开发及服务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197,116,073.58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123,087,016.74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60.14%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
              <w:jc w:val="center"/>
              <w:rPr>
                <w:rFonts w:ascii="宋体" w:hAnsi="宋体" w:cs="宋体" w:eastAsia="宋体" w:hint="default"/>
                <w:sz w:val="18"/>
                <w:szCs w:val="18"/>
              </w:rPr>
            </w:pPr>
            <w:r>
              <w:rPr>
                <w:rFonts w:ascii="宋体" w:hAnsi="宋体" w:cs="宋体" w:eastAsia="宋体" w:hint="default"/>
                <w:sz w:val="18"/>
                <w:szCs w:val="18"/>
              </w:rPr>
              <w:t>系统集成及服务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1,011,465,029.70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849,333,090.51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19.09%</w:t>
            </w:r>
          </w:p>
        </w:tc>
      </w:tr>
    </w:tbl>
    <w:p>
      <w:pPr>
        <w:pStyle w:val="BodyText"/>
        <w:spacing w:line="240" w:lineRule="auto" w:before="51"/>
        <w:ind w:left="154" w:right="0"/>
        <w:jc w:val="left"/>
      </w:pPr>
      <w:r>
        <w:rPr/>
        <w:t>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6）报告期内合并范围是否发生变动" w:id="35"/>
      <w:bookmarkEnd w:id="35"/>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7）公司报告期内业务、产品或服务发生重大变化或调整有关情况" w:id="36"/>
      <w:bookmarkEnd w:id="36"/>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7"/>
      <w:bookmarkEnd w:id="37"/>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522,105,475.57</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24.42%</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国内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银行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155,532,592.35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国内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银行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123,393,136.00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国内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银行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92,006,842.93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国内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银行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79,127,969.94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政府某物资装备采购中心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72,044,934.35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522,105,475.57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24.42%</w:t>
            </w:r>
          </w:p>
        </w:tc>
      </w:tr>
    </w:tbl>
    <w:p>
      <w:pPr>
        <w:pStyle w:val="BodyText"/>
        <w:spacing w:line="240" w:lineRule="auto" w:before="51"/>
        <w:ind w:left="154" w:right="0"/>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406,834,517.64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25.68%</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142,166,189.47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106,844,406.97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60,111,000.00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54,761,498.33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42,951,422.87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406,834,517.64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25.68%</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8"/>
      <w:bookmarkEnd w:id="38"/>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148,113,536.92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130,706,828.19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305,989,113.24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274,764,282.58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20,765,701.69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21,830,080.85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4、研发投入" w:id="39"/>
      <w:bookmarkEnd w:id="39"/>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为完善研发管理机制和激励机制，推动公司内部形成良好的研发氛围，形成一批优势产品，报告期内公司继续加大研发</w:t>
      </w:r>
    </w:p>
    <w:p>
      <w:pPr>
        <w:pStyle w:val="BodyText"/>
        <w:spacing w:line="360" w:lineRule="auto" w:before="2"/>
        <w:ind w:left="444" w:right="0" w:hanging="291"/>
        <w:jc w:val="left"/>
      </w:pPr>
      <w:r>
        <w:rPr>
          <w:spacing w:val="-4"/>
        </w:rPr>
        <w:t>投入，对银行核心业务系统、个人核心业务系统、呼叫中心等开展进一步研究开发，并相应增加了部分研发人员的薪金报酬。</w:t>
      </w:r>
      <w:r>
        <w:rPr>
          <w:spacing w:val="-46"/>
        </w:rPr>
        <w:t> </w:t>
      </w:r>
      <w:r>
        <w:rPr>
          <w:spacing w:val="-46"/>
        </w:rPr>
      </w:r>
      <w:r>
        <w:rPr>
          <w:spacing w:val="-2"/>
        </w:rPr>
        <w:t>报告期内，公司研发支出总额</w:t>
      </w:r>
      <w:r>
        <w:rPr>
          <w:rFonts w:ascii="Times New Roman" w:hAnsi="Times New Roman" w:cs="Times New Roman" w:eastAsia="Times New Roman" w:hint="default"/>
          <w:spacing w:val="-2"/>
        </w:rPr>
        <w:t>1.83</w:t>
      </w:r>
      <w:r>
        <w:rPr>
          <w:spacing w:val="-2"/>
        </w:rPr>
        <w:t>亿元，分别占本期末净资产的</w:t>
      </w:r>
      <w:r>
        <w:rPr>
          <w:rFonts w:ascii="Times New Roman" w:hAnsi="Times New Roman" w:cs="Times New Roman" w:eastAsia="Times New Roman" w:hint="default"/>
          <w:spacing w:val="-2"/>
        </w:rPr>
        <w:t>12.78%</w:t>
      </w:r>
      <w:r>
        <w:rPr>
          <w:spacing w:val="-2"/>
        </w:rPr>
        <w:t>，占当期营业收入的</w:t>
      </w:r>
      <w:r>
        <w:rPr>
          <w:rFonts w:ascii="Times New Roman" w:hAnsi="Times New Roman" w:cs="Times New Roman" w:eastAsia="Times New Roman" w:hint="default"/>
          <w:spacing w:val="-2"/>
        </w:rPr>
        <w:t>8.56%</w:t>
      </w:r>
      <w:r>
        <w:rPr>
          <w:spacing w:val="-2"/>
        </w:rPr>
        <w:t>。目前已形成南天基于</w:t>
      </w:r>
    </w:p>
    <w:p>
      <w:pPr>
        <w:pStyle w:val="BodyText"/>
        <w:spacing w:line="211" w:lineRule="exact"/>
        <w:ind w:left="154" w:right="0"/>
        <w:jc w:val="left"/>
      </w:pPr>
      <w:r>
        <w:rPr/>
        <w:t>视频通讯的自助发卡应用软件</w:t>
      </w:r>
      <w:r>
        <w:rPr>
          <w:rFonts w:ascii="Times New Roman" w:hAnsi="Times New Roman" w:cs="Times New Roman" w:eastAsia="Times New Roman" w:hint="default"/>
        </w:rPr>
        <w:t>V1.0</w:t>
      </w:r>
      <w:r>
        <w:rPr/>
        <w:t>研发项目</w:t>
      </w:r>
      <w:r>
        <w:rPr>
          <w:spacing w:val="-77"/>
        </w:rPr>
        <w:t>、</w:t>
      </w:r>
      <w:r>
        <w:rPr/>
        <w:t>面向社会管理和服务的数据中心虚拟资源调度与管理系统研发及应用等产品及</w:t>
      </w:r>
    </w:p>
    <w:p>
      <w:pPr>
        <w:pStyle w:val="BodyText"/>
        <w:spacing w:line="357" w:lineRule="auto" w:before="64"/>
        <w:ind w:left="154" w:right="4812"/>
        <w:jc w:val="left"/>
      </w:pPr>
      <w:r>
        <w:rPr/>
        <w:t>技术，公司计划将上述研发成果陆续推向市场，以期给公司带来更好收益。 公司研发投入情况</w:t>
      </w: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183,085,167.81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138,882,063.94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15,562,357.25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7,777,667.06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w:t>
            </w:r>
          </w:p>
        </w:tc>
      </w:tr>
    </w:tbl>
    <w:p>
      <w:pPr>
        <w:pStyle w:val="BodyText"/>
        <w:spacing w:line="240" w:lineRule="auto" w:before="68"/>
        <w:ind w:left="15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现金流" w:id="40"/>
      <w:bookmarkEnd w:id="40"/>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2,570,053,577.40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2,104,876,485.63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2,496,936,362.21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2,133,119,590.02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73,117,215.19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-28,243,104.39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358.89%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83,005,401.17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12,801,512.16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25,005,747.73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22,044,550.76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57,999,653.44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-9,243,038.60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727.50%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564,771,448.23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632,239,727.53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483,656,896.39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-67,468,279.30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81,843,103.61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-182.44%</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64,676,087.90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44,318,122.47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45.94%</w:t>
            </w:r>
          </w:p>
        </w:tc>
      </w:tr>
    </w:tbl>
    <w:p>
      <w:pPr>
        <w:pStyle w:val="BodyText"/>
        <w:spacing w:line="240" w:lineRule="auto" w:before="51"/>
        <w:ind w:left="154" w:right="0"/>
        <w:jc w:val="left"/>
      </w:pPr>
      <w:r>
        <w:rPr/>
        <w:t>相关数据同比发生重大变动的主要影响因素说明</w:t>
      </w:r>
    </w:p>
    <w:p>
      <w:pPr>
        <w:pStyle w:val="BodyText"/>
        <w:spacing w:line="319"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、经营活动产生的现金流量增长较大的原因，为本报告期内应收账款回收状况良好，收入规模有所扩大，预收账款增长幅 度较大；</w:t>
      </w:r>
    </w:p>
    <w:p>
      <w:pPr>
        <w:pStyle w:val="BodyText"/>
        <w:spacing w:line="240" w:lineRule="auto" w:before="17"/>
        <w:ind w:right="0"/>
        <w:jc w:val="left"/>
      </w:pPr>
      <w:r>
        <w:rPr>
          <w:rFonts w:ascii="Times New Roman" w:hAnsi="Times New Roman" w:cs="Times New Roman" w:eastAsia="Times New Roman" w:hint="default"/>
        </w:rPr>
        <w:t>2</w:t>
      </w:r>
      <w:r>
        <w:rPr/>
        <w:t>、投资活动产生的现金流量增长较大的原因，为本年度出售广州南天房屋获得现金较多；</w:t>
      </w:r>
    </w:p>
    <w:p>
      <w:pPr>
        <w:pStyle w:val="BodyText"/>
        <w:spacing w:line="340" w:lineRule="auto" w:before="63"/>
        <w:ind w:right="2113"/>
        <w:jc w:val="left"/>
      </w:pPr>
      <w:r>
        <w:rPr>
          <w:rFonts w:ascii="Times New Roman" w:hAnsi="Times New Roman" w:cs="Times New Roman" w:eastAsia="Times New Roman" w:hint="default"/>
        </w:rPr>
        <w:t>3</w:t>
      </w:r>
      <w:r>
        <w:rPr/>
        <w:t>、筹资活动产生的现金流量为负的原因，为本年度偿还部分借款、归还非公开定向债务融资工具</w:t>
      </w:r>
      <w:r>
        <w:rPr>
          <w:rFonts w:ascii="Times New Roman" w:hAnsi="Times New Roman" w:cs="Times New Roman" w:eastAsia="Times New Roman" w:hint="default"/>
        </w:rPr>
        <w:t>2</w:t>
      </w:r>
      <w:r>
        <w:rPr/>
        <w:t>亿元所致。 报告期内公司经营活动产生的现金净流量与本年度净利润存在重大差异的原因说明</w:t>
      </w:r>
    </w:p>
    <w:p>
      <w:pPr>
        <w:pStyle w:val="BodyText"/>
        <w:spacing w:line="338" w:lineRule="auto" w:before="41"/>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本报告期内应收账款回收状况良好，收入规模有所扩大</w:t>
      </w:r>
    </w:p>
    <w:p>
      <w:pPr>
        <w:spacing w:line="240" w:lineRule="auto" w:before="7"/>
        <w:rPr>
          <w:rFonts w:ascii="宋体" w:hAnsi="宋体" w:cs="宋体" w:eastAsia="宋体" w:hint="default"/>
          <w:sz w:val="19"/>
          <w:szCs w:val="19"/>
        </w:rPr>
      </w:pPr>
    </w:p>
    <w:p>
      <w:pPr>
        <w:pStyle w:val="Heading2"/>
        <w:spacing w:line="240" w:lineRule="auto"/>
        <w:ind w:left="154" w:right="0"/>
        <w:jc w:val="left"/>
        <w:rPr>
          <w:b w:val="0"/>
          <w:bCs w:val="0"/>
        </w:rPr>
      </w:pPr>
      <w:bookmarkStart w:name="三、非主营业务分析" w:id="41"/>
      <w:bookmarkEnd w:id="41"/>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7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14,819,877.82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82.58%</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来自于联营企业云南医药 </w:t>
            </w:r>
            <w:r>
              <w:rPr>
                <w:rFonts w:ascii="宋体" w:hAnsi="宋体" w:cs="宋体" w:eastAsia="宋体" w:hint="default"/>
                <w:spacing w:val="-5"/>
                <w:sz w:val="18"/>
                <w:szCs w:val="18"/>
              </w:rPr>
              <w:t>工业股份公司、参股公司盈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富泰克创业投资公司和富 滇银行。</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47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6" w:right="0"/>
              <w:jc w:val="left"/>
              <w:rPr>
                <w:rFonts w:ascii="Times New Roman" w:hAnsi="Times New Roman" w:cs="Times New Roman" w:eastAsia="Times New Roman" w:hint="default"/>
                <w:sz w:val="18"/>
                <w:szCs w:val="18"/>
              </w:rPr>
            </w:pPr>
            <w:r>
              <w:rPr>
                <w:rFonts w:ascii="Times New Roman"/>
                <w:sz w:val="18"/>
              </w:rPr>
              <w:t>5,680.00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计入当期损益的金融资产</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43,691,580.53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243.45%</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本公司按照会计政策计提 </w:t>
            </w:r>
            <w:r>
              <w:rPr>
                <w:rFonts w:ascii="宋体" w:hAnsi="宋体" w:cs="宋体" w:eastAsia="宋体" w:hint="default"/>
                <w:spacing w:val="-5"/>
                <w:sz w:val="18"/>
                <w:szCs w:val="18"/>
              </w:rPr>
              <w:t>坏账损失，无形资产减值准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备</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12,809,225.26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71.37%</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报告期内，获得政府补助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2,675,201.31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14.91%</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5"/>
                <w:sz w:val="18"/>
                <w:szCs w:val="18"/>
              </w:rPr>
              <w:t>非流动资产处置损失，诉讼</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费用，存货核销进项税额转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出</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02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47,278,400.00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263.44%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5"/>
                <w:sz w:val="18"/>
                <w:szCs w:val="18"/>
              </w:rPr>
              <w:t>出售广州房产形成，因已在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投资性房地产列报，计入其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他业务收入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资产及负债状况" w:id="42"/>
      <w:bookmarkEnd w:id="42"/>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3"/>
      <w:bookmarkEnd w:id="43"/>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925,657,877.9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35.50%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825,271,019.37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31.67%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3.83%</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388,021,466.1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14.88%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382,486,694.47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14.68%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0.20%</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399,865,719.4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15.33%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436,321,621.42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16.74%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-1.41%</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 w:right="0"/>
              <w:jc w:val="left"/>
              <w:rPr>
                <w:rFonts w:ascii="Times New Roman" w:hAnsi="Times New Roman" w:cs="Times New Roman" w:eastAsia="Times New Roman" w:hint="default"/>
                <w:sz w:val="18"/>
                <w:szCs w:val="18"/>
              </w:rPr>
            </w:pPr>
            <w:r>
              <w:rPr>
                <w:rFonts w:ascii="Times New Roman"/>
                <w:sz w:val="18"/>
              </w:rPr>
              <w:t>58,255,026.19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2.23%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62,705,264.30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2.41%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-0.18%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318,286,728.5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12.21%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307,517,912.17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11.80%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0.41%</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289,189,394.2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11.09%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295,086,545.62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11.32%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-0.23%</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320,513,623.8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12.29%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275,500,000.00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10.57%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1.72%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147,469,842.1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5.66%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17,269,377.25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0.66%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5.00%</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以公允价值计量的资产和负债" w:id="44"/>
      <w:bookmarkEnd w:id="44"/>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投资状况" w:id="45"/>
      <w:bookmarkEnd w:id="45"/>
      <w:r>
        <w:rPr>
          <w:b w:val="0"/>
          <w:bCs w:val="0"/>
        </w:rPr>
      </w:r>
      <w:r>
        <w:rPr/>
        <w:t>五、投资状况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1650"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41" w:right="4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1" w:right="4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4" w:right="4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1" w:right="42"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4" w:right="4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3" w:right="4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5" w:right="4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3" w:right="4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 w:right="43"/>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3" w:right="42"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44" w:right="4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4" w:right="43"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44" w:right="4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43" w:right="43"/>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698"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上海汇 付互联 网金融 信息服 务创业 股权投 资中心</w:t>
            </w:r>
          </w:p>
          <w:p>
            <w:pPr>
              <w:pStyle w:val="TableParagraph"/>
              <w:spacing w:line="319" w:lineRule="auto" w:before="19"/>
              <w:ind w:left="22" w:right="60"/>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创业投 资、股 权投 资、实 业投 资、投 资管 理、投 资咨询</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62"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6"/>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9"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上海汇 付朗程 创业投 资管理 有限公 司、汇 付天下 有限公 司、上 海朗程 财务咨 询有限 公司、 文景易 盛投资 有限公 司、上 海新朋 实业股 份有限 公司、 上海紫 江创业 投资有 限公 司、上 海爱建 信托有 限责任 公司、 周晔、 王春 华、张 忠民</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基金份 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6"/>
              <w:ind w:left="23" w:right="65"/>
              <w:jc w:val="both"/>
              <w:rPr>
                <w:rFonts w:ascii="宋体" w:hAnsi="宋体" w:cs="宋体" w:eastAsia="宋体" w:hint="default"/>
                <w:sz w:val="18"/>
                <w:szCs w:val="18"/>
              </w:rPr>
            </w:pPr>
            <w:r>
              <w:rPr>
                <w:rFonts w:ascii="宋体" w:hAnsi="宋体" w:cs="宋体" w:eastAsia="宋体" w:hint="default"/>
                <w:sz w:val="18"/>
                <w:szCs w:val="18"/>
              </w:rPr>
              <w:t>目前投 资进度 较好</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北京新 医力科 技有限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61"/>
              <w:jc w:val="left"/>
              <w:rPr>
                <w:rFonts w:ascii="宋体" w:hAnsi="宋体" w:cs="宋体" w:eastAsia="宋体" w:hint="default"/>
                <w:sz w:val="18"/>
                <w:szCs w:val="18"/>
              </w:rPr>
            </w:pPr>
            <w:r>
              <w:rPr>
                <w:rFonts w:ascii="宋体" w:hAnsi="宋体" w:cs="宋体" w:eastAsia="宋体" w:hint="default"/>
                <w:sz w:val="18"/>
                <w:szCs w:val="18"/>
              </w:rPr>
              <w:t>计算机 软件技 术开 发、技</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4,150,0</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20.75%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62"/>
              <w:jc w:val="left"/>
              <w:rPr>
                <w:rFonts w:ascii="宋体" w:hAnsi="宋体" w:cs="宋体" w:eastAsia="宋体" w:hint="default"/>
                <w:sz w:val="18"/>
                <w:szCs w:val="18"/>
              </w:rPr>
            </w:pPr>
            <w:r>
              <w:rPr>
                <w:rFonts w:ascii="宋体" w:hAnsi="宋体" w:cs="宋体" w:eastAsia="宋体" w:hint="default"/>
                <w:sz w:val="18"/>
                <w:szCs w:val="18"/>
              </w:rPr>
              <w:t>自然人 付文 成，自 然人王</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65"/>
              <w:jc w:val="both"/>
              <w:rPr>
                <w:rFonts w:ascii="宋体" w:hAnsi="宋体" w:cs="宋体" w:eastAsia="宋体" w:hint="default"/>
                <w:sz w:val="18"/>
                <w:szCs w:val="18"/>
              </w:rPr>
            </w:pPr>
            <w:r>
              <w:rPr>
                <w:rFonts w:ascii="宋体" w:hAnsi="宋体" w:cs="宋体" w:eastAsia="宋体" w:hint="default"/>
                <w:sz w:val="18"/>
                <w:szCs w:val="18"/>
              </w:rPr>
              <w:t>项目正 常开展 中</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8787"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1"/>
              <w:jc w:val="left"/>
              <w:rPr>
                <w:rFonts w:ascii="宋体" w:hAnsi="宋体" w:cs="宋体" w:eastAsia="宋体" w:hint="default"/>
                <w:sz w:val="18"/>
                <w:szCs w:val="18"/>
              </w:rPr>
            </w:pPr>
            <w:r>
              <w:rPr>
                <w:rFonts w:ascii="宋体" w:hAnsi="宋体" w:cs="宋体" w:eastAsia="宋体" w:hint="default"/>
                <w:sz w:val="18"/>
                <w:szCs w:val="18"/>
              </w:rPr>
              <w:t>术咨 询；计 算机系 统集 成；医 院管 理；健 康咨询</w:t>
            </w:r>
          </w:p>
          <w:p>
            <w:pPr>
              <w:pStyle w:val="TableParagraph"/>
              <w:spacing w:line="316"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（须经 审批的 诊疗活 动除 </w:t>
            </w:r>
            <w:r>
              <w:rPr>
                <w:rFonts w:ascii="宋体" w:hAnsi="宋体" w:cs="宋体" w:eastAsia="宋体" w:hint="default"/>
                <w:spacing w:val="-36"/>
                <w:sz w:val="18"/>
                <w:szCs w:val="18"/>
              </w:rPr>
              <w:t>外）；批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发计算 机软件 及辅助 设备。</w:t>
            </w:r>
          </w:p>
          <w:p>
            <w:pPr>
              <w:pStyle w:val="TableParagraph"/>
              <w:spacing w:line="319"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（依法 须经批 准的项 目，经 相关部 门批准 后依批 准的内 容开展 经营活 </w:t>
            </w:r>
            <w:r>
              <w:rPr>
                <w:rFonts w:ascii="宋体" w:hAnsi="宋体" w:cs="宋体" w:eastAsia="宋体" w:hint="default"/>
                <w:spacing w:val="-30"/>
                <w:sz w:val="18"/>
                <w:szCs w:val="18"/>
              </w:rPr>
              <w:t>动。）</w:t>
            </w: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2"/>
              <w:jc w:val="both"/>
              <w:rPr>
                <w:rFonts w:ascii="宋体" w:hAnsi="宋体" w:cs="宋体" w:eastAsia="宋体" w:hint="default"/>
                <w:sz w:val="18"/>
                <w:szCs w:val="18"/>
              </w:rPr>
            </w:pPr>
            <w:r>
              <w:rPr>
                <w:rFonts w:ascii="宋体" w:hAnsi="宋体" w:cs="宋体" w:eastAsia="宋体" w:hint="default"/>
                <w:sz w:val="18"/>
                <w:szCs w:val="18"/>
              </w:rPr>
              <w:t>晓亮， 外籍自 然人许 文</w:t>
            </w: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19,150,</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金融资产投资" w:id="49"/>
      <w:bookmarkEnd w:id="49"/>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证券投资情况" w:id="50"/>
      <w:bookmarkEnd w:id="50"/>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衍生品投资情况" w:id="51"/>
      <w:bookmarkEnd w:id="5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5、募集资金使用情况" w:id="52"/>
      <w:bookmarkEnd w:id="52"/>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3"/>
      <w:bookmarkEnd w:id="53"/>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非公开发 行股票方 式</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11,447.57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11,820.49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11,447.57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8,648.4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center"/>
              <w:rPr>
                <w:rFonts w:ascii="Times New Roman" w:hAnsi="Times New Roman" w:cs="Times New Roman" w:eastAsia="Times New Roman" w:hint="default"/>
                <w:sz w:val="18"/>
                <w:szCs w:val="18"/>
              </w:rPr>
            </w:pPr>
            <w:r>
              <w:rPr>
                <w:rFonts w:ascii="Times New Roman"/>
                <w:sz w:val="18"/>
              </w:rPr>
              <w:t>11,820.49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7"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[2013]330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日以非公开发行股票的方式向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家特定</w:t>
            </w:r>
          </w:p>
          <w:p>
            <w:pPr>
              <w:pStyle w:val="TableParagraph"/>
              <w:spacing w:line="302"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投资者发行了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15,000,000</w:t>
            </w:r>
            <w:r>
              <w:rPr>
                <w:rFonts w:ascii="Times New Roman" w:hAnsi="Times New Roman" w:cs="Times New Roman" w:eastAsia="Times New Roman" w:hint="default"/>
                <w:spacing w:val="1"/>
                <w:sz w:val="18"/>
                <w:szCs w:val="18"/>
              </w:rPr>
              <w:t> </w:t>
            </w:r>
            <w:r>
              <w:rPr>
                <w:rFonts w:ascii="宋体" w:hAnsi="宋体" w:cs="宋体" w:eastAsia="宋体" w:hint="default"/>
                <w:spacing w:val="-3"/>
                <w:w w:val="99"/>
                <w:sz w:val="18"/>
                <w:szCs w:val="18"/>
              </w:rPr>
              <w:t>股人民币普通股（</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13"/>
                <w:sz w:val="18"/>
                <w:szCs w:val="18"/>
              </w:rPr>
              <w:t>股），募集资金总额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1.14</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亿元。募集资金主要用于投入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南天信息基于云计算</w:t>
            </w:r>
            <w:r>
              <w:rPr>
                <w:rFonts w:ascii="宋体" w:hAnsi="宋体" w:cs="宋体" w:eastAsia="宋体" w:hint="default"/>
                <w:sz w:val="18"/>
                <w:szCs w:val="18"/>
              </w:rPr>
              <w:t> 的银行核心业务系统项目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，截至目前，公司已累计投入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11,820.49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万元，投资进度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103.26%</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募集资金承诺项目情况" w:id="54"/>
      <w:bookmarkEnd w:id="54"/>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南天信息基于云计算 的银行核心业务系统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11,447.57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11,820.49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103.26%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2,486.23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left"/>
              <w:rPr>
                <w:rFonts w:ascii="Times New Roman" w:hAnsi="Times New Roman" w:cs="Times New Roman" w:eastAsia="Times New Roman" w:hint="default"/>
                <w:sz w:val="18"/>
                <w:szCs w:val="18"/>
              </w:rPr>
            </w:pPr>
            <w:r>
              <w:rPr>
                <w:rFonts w:ascii="Times New Roman"/>
                <w:sz w:val="18"/>
              </w:rPr>
              <w:t>11,447.57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8,648.4</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11,820.49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2,486.23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67"/>
        <w:gridCol w:w="791"/>
        <w:gridCol w:w="780"/>
        <w:gridCol w:w="779"/>
        <w:gridCol w:w="780"/>
        <w:gridCol w:w="780"/>
        <w:gridCol w:w="780"/>
        <w:gridCol w:w="780"/>
        <w:gridCol w:w="780"/>
        <w:gridCol w:w="780"/>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56" w:right="0"/>
              <w:jc w:val="left"/>
              <w:rPr>
                <w:rFonts w:ascii="Times New Roman" w:hAnsi="Times New Roman" w:cs="Times New Roman" w:eastAsia="Times New Roman" w:hint="default"/>
                <w:sz w:val="18"/>
                <w:szCs w:val="18"/>
              </w:rPr>
            </w:pPr>
            <w:r>
              <w:rPr>
                <w:rFonts w:ascii="Times New Roman"/>
                <w:sz w:val="18"/>
              </w:rPr>
              <w:t>14,200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11,447.57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8,648.4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11,820.49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2,486.23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29"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日，本公司第六届董事会第七次会议审议并通过《关于短期使用闲置募集资金补充 </w:t>
            </w:r>
            <w:r>
              <w:rPr>
                <w:rFonts w:ascii="宋体" w:hAnsi="宋体" w:cs="宋体" w:eastAsia="宋体" w:hint="default"/>
                <w:spacing w:val="-4"/>
                <w:w w:val="100"/>
                <w:sz w:val="18"/>
                <w:szCs w:val="18"/>
              </w:rPr>
              <w:t>流动资金的议案》，同意公司使用</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南天信息基于云计算的银行核心业务系统项目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部分闲置募集资金</w:t>
            </w:r>
            <w:r>
              <w:rPr>
                <w:rFonts w:ascii="宋体" w:hAnsi="宋体" w:cs="宋体" w:eastAsia="宋体" w:hint="default"/>
                <w:spacing w:val="-71"/>
                <w:w w:val="100"/>
                <w:sz w:val="18"/>
                <w:szCs w:val="18"/>
              </w:rPr>
              <w:t> </w:t>
            </w:r>
            <w:r>
              <w:rPr>
                <w:rFonts w:ascii="宋体" w:hAnsi="宋体" w:cs="宋体" w:eastAsia="宋体" w:hint="default"/>
                <w:sz w:val="18"/>
                <w:szCs w:val="18"/>
              </w:rPr>
              <w:t>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万元暂时补充流动资金，本次公司使用部分闲置募集资金暂时补充流动资金不影响募投</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z w:val="18"/>
                <w:szCs w:val="18"/>
              </w:rPr>
              <w:t>项目正常进行，期限自董事会审议通过之日起不超过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个月。公司已于</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日将上述</w:t>
            </w:r>
          </w:p>
          <w:p>
            <w:pPr>
              <w:pStyle w:val="TableParagraph"/>
              <w:spacing w:line="302" w:lineRule="auto" w:before="63"/>
              <w:ind w:left="16" w:right="69"/>
              <w:jc w:val="both"/>
              <w:rPr>
                <w:rFonts w:ascii="宋体" w:hAnsi="宋体" w:cs="宋体" w:eastAsia="宋体" w:hint="default"/>
                <w:sz w:val="18"/>
                <w:szCs w:val="18"/>
              </w:rPr>
            </w:pP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万元资金全部归还至募集资金专用账户，并将上述募集资金的归还情况及时通知了公司保荐 机构及保荐代表人并予以公告。</w:t>
            </w:r>
          </w:p>
        </w:tc>
      </w:tr>
      <w:tr>
        <w:trPr>
          <w:trHeight w:val="703"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vMerge/>
            <w:tcBorders>
              <w:left w:val="single" w:sz="9" w:space="0" w:color="D2D2D2"/>
              <w:right w:val="single" w:sz="4" w:space="0" w:color="000000"/>
            </w:tcBorders>
          </w:tcPr>
          <w:p>
            <w:pPr/>
          </w:p>
        </w:tc>
      </w:tr>
      <w:tr>
        <w:trPr>
          <w:trHeight w:val="830"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募集资金变更项目情况" w:id="55"/>
      <w:bookmarkEnd w:id="55"/>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6"/>
      <w:bookmarkEnd w:id="56"/>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7"/>
      <w:bookmarkEnd w:id="57"/>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3833"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2" w:right="4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31" w:right="42"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1" w:right="4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3" w:right="4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w:t>
            </w:r>
          </w:p>
          <w:p>
            <w:pPr>
              <w:pStyle w:val="TableParagraph"/>
              <w:spacing w:line="316" w:lineRule="auto" w:before="20"/>
              <w:ind w:left="43" w:right="42" w:hanging="168"/>
              <w:jc w:val="both"/>
              <w:rPr>
                <w:rFonts w:ascii="宋体" w:hAnsi="宋体" w:cs="宋体" w:eastAsia="宋体" w:hint="default"/>
                <w:sz w:val="18"/>
                <w:szCs w:val="18"/>
              </w:rPr>
            </w:pPr>
            <w:r>
              <w:rPr>
                <w:rFonts w:ascii="宋体" w:hAnsi="宋体" w:cs="宋体" w:eastAsia="宋体" w:hint="default"/>
                <w:spacing w:val="-4"/>
                <w:sz w:val="18"/>
                <w:szCs w:val="18"/>
              </w:rPr>
              <w:t>）占净利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润总额 的比例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3" w:right="4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5" w:right="43"/>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44" w:right="42"/>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3"/>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508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南天电 子信息 产业集 团公司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公司控 股子公 司广州 南天电 脑系统 有限公 司位于 广州市 天河区 建工路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r>
              <w:rPr>
                <w:rFonts w:ascii="Times New Roman" w:hAnsi="Times New Roman" w:cs="Times New Roman" w:eastAsia="Times New Roman" w:hint="default"/>
                <w:sz w:val="18"/>
                <w:szCs w:val="18"/>
              </w:rPr>
              <w:t>6 </w:t>
            </w:r>
            <w:r>
              <w:rPr>
                <w:rFonts w:ascii="宋体" w:hAnsi="宋体" w:cs="宋体" w:eastAsia="宋体" w:hint="default"/>
                <w:sz w:val="18"/>
                <w:szCs w:val="18"/>
              </w:rPr>
              <w:t>层房产 共计</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3,302.6</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6,648.2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250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本次处 置的房 产目前 主要用 于出 租，因 此处置 不会影 响公司 的正常 生产经 营</w:t>
            </w: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出售重大股权情况" w:id="58"/>
      <w:bookmarkEnd w:id="58"/>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9"/>
      <w:bookmarkEnd w:id="59"/>
      <w:r>
        <w:rPr>
          <w:b w:val="0"/>
          <w:bCs w:val="0"/>
        </w:rPr>
      </w:r>
      <w:r>
        <w:rPr/>
        <w:t>七、主要控股参股公司分析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北京南天信 息工程有限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27,561,847.8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103,986,192.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33,559,025.9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155,824,708.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-3,369,186.7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-3,387,514.9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广州南天电 脑系统有限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89,230,000.0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255,215,340.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43,137,611.1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421,864,411.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-7,449,843.0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-4,409,119.2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上海南天电 脑系统有限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102,094,284.</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169,178,332.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118,514,683.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260,220,059.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3,369,286.58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4,887,473.99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武汉南天电 脑系统有限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1,939,500.00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11,884,420.4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2,362,724.76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19,261,517.2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92,892.47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-40,845.18</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西安南天电 脑系统有限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3,121,482.00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16,056,907.2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-17,301,099.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22,305,348.6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-1,913,247.5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-1,868,021.7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昆明南天电 脑系统有限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63,984,693.3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7,732,371.61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104,305,563.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-1,496,470.2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855,198.36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深圳南天东 华科技有限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8,477,660.00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91,146,233.4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15,230,199.8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157,023,764.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3,656,785.59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4,183,776.60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北京南天软 件有限公司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160,301,176.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80,168,974.1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235,406,682.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16,321,170.8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14,178,346.8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云南南天信 息设备有限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48,482,019.6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20,801,082.7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123,886,669.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-74,439.34</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217,865.66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重庆南天数 据资讯服务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产品、软</w:t>
            </w:r>
            <w:r>
              <w:rPr>
                <w:rFonts w:ascii="宋体" w:hAnsi="宋体" w:cs="宋体" w:eastAsia="宋体" w:hint="default"/>
                <w:w w:val="99"/>
                <w:sz w:val="18"/>
                <w:szCs w:val="18"/>
              </w:rPr>
              <w:t> </w:t>
            </w:r>
            <w:r>
              <w:rPr>
                <w:rFonts w:ascii="宋体" w:hAnsi="宋体" w:cs="宋体" w:eastAsia="宋体" w:hint="default"/>
                <w:sz w:val="18"/>
                <w:szCs w:val="18"/>
              </w:rPr>
              <w:t>件、集成、</w:t>
            </w:r>
            <w:r>
              <w:rPr>
                <w:rFonts w:ascii="宋体" w:hAnsi="宋体" w:cs="宋体" w:eastAsia="宋体" w:hint="default"/>
                <w:w w:val="99"/>
                <w:sz w:val="18"/>
                <w:szCs w:val="18"/>
              </w:rPr>
              <w:t> </w:t>
            </w:r>
            <w:r>
              <w:rPr>
                <w:rFonts w:ascii="宋体" w:hAnsi="宋体" w:cs="宋体" w:eastAsia="宋体" w:hint="default"/>
                <w:sz w:val="18"/>
                <w:szCs w:val="18"/>
              </w:rPr>
              <w:t>服务等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3,803,378.88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-6,515,173.3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-1,090,621.8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-1,753,231.3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云南佳程防 伪科技有限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税控机等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66,500,394.5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65,517,756.3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517,388.02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-1,146,051.6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-1,083,622.2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云南医药工 业股份有限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药品制造、 销售，医药 商业流通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131,926,800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2,835,601,68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786,418,971.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2,168,314,22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2.43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-4,031,578.6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8,377,928.03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云南东盟公 共物流信息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物流信息等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49,066,000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70,994,910.1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54,885,262.5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12,181,014.0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-2,427,859.7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945,068.32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盈富泰克创 业投资有限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投资管理等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130,000,000</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富滇银行股 份有限公司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吸收公众存 款等</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报告期内取得和处置子公司的情况</w:t>
      </w:r>
    </w:p>
    <w:p>
      <w:pPr>
        <w:pStyle w:val="BodyText"/>
        <w:spacing w:line="338" w:lineRule="auto" w:before="117"/>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公司控制的结构化主体情况" w:id="60"/>
      <w:bookmarkEnd w:id="60"/>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61"/>
      <w:bookmarkEnd w:id="61"/>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spacing w:line="439" w:lineRule="auto" w:before="0"/>
        <w:ind w:left="573" w:right="7622" w:firstLine="0"/>
        <w:jc w:val="left"/>
        <w:rPr>
          <w:rFonts w:ascii="宋体" w:hAnsi="宋体" w:cs="宋体" w:eastAsia="宋体" w:hint="default"/>
          <w:sz w:val="18"/>
          <w:szCs w:val="18"/>
        </w:rPr>
      </w:pPr>
      <w:r>
        <w:rPr>
          <w:rFonts w:ascii="宋体" w:hAnsi="宋体" w:cs="宋体" w:eastAsia="宋体" w:hint="default"/>
          <w:b/>
          <w:bCs/>
          <w:sz w:val="18"/>
          <w:szCs w:val="18"/>
        </w:rPr>
        <w:t>（一）公司面临的外部机遇及挑战</w:t>
      </w:r>
      <w:r>
        <w:rPr>
          <w:rFonts w:ascii="宋体" w:hAnsi="宋体" w:cs="宋体" w:eastAsia="宋体" w:hint="default"/>
          <w:b/>
          <w:bCs/>
          <w:w w:val="99"/>
          <w:sz w:val="18"/>
          <w:szCs w:val="18"/>
        </w:rPr>
        <w:t> </w:t>
      </w:r>
      <w:r>
        <w:rPr>
          <w:rFonts w:ascii="宋体" w:hAnsi="宋体" w:cs="宋体" w:eastAsia="宋体" w:hint="default"/>
          <w:sz w:val="18"/>
          <w:szCs w:val="18"/>
        </w:rPr>
        <w:t>公司目前面临的机遇：</w:t>
      </w:r>
    </w:p>
    <w:p>
      <w:pPr>
        <w:pStyle w:val="BodyText"/>
        <w:spacing w:line="309" w:lineRule="auto" w:before="47"/>
        <w:ind w:right="1130" w:firstLine="420"/>
        <w:jc w:val="both"/>
      </w:pPr>
      <w:r>
        <w:rPr>
          <w:rFonts w:ascii="Times New Roman" w:hAnsi="Times New Roman" w:cs="Times New Roman" w:eastAsia="Times New Roman" w:hint="default"/>
          <w:spacing w:val="-1"/>
        </w:rPr>
        <w:t>1</w:t>
      </w:r>
      <w:r>
        <w:rPr>
          <w:spacing w:val="-1"/>
        </w:rPr>
        <w:t>、国家和云南省的政策均大力支持发展信息技术产业。南天信息作为云南省信息化服务产业的龙头、省内唯一一家国</w:t>
      </w:r>
      <w:r>
        <w:rPr/>
        <w:t> </w:t>
      </w:r>
      <w:r>
        <w:rPr>
          <w:spacing w:val="-2"/>
        </w:rPr>
        <w:t>家规划布局内重点软件企业、中国软件业务收入百强排名企业，面对省内信息化建设的采购，能够在智慧云南和信息服务平</w:t>
      </w:r>
      <w:r>
        <w:rPr>
          <w:spacing w:val="-66"/>
        </w:rPr>
        <w:t> </w:t>
      </w:r>
      <w:r>
        <w:rPr>
          <w:spacing w:val="-66"/>
        </w:rPr>
      </w:r>
      <w:r>
        <w:rPr/>
        <w:t>台的建设中大力发挥省属企业的作用。</w:t>
      </w:r>
    </w:p>
    <w:p>
      <w:pPr>
        <w:pStyle w:val="BodyText"/>
        <w:spacing w:line="300" w:lineRule="auto" w:before="144"/>
        <w:ind w:right="1132" w:firstLine="420"/>
        <w:jc w:val="both"/>
      </w:pPr>
      <w:r>
        <w:rPr>
          <w:rFonts w:ascii="Times New Roman" w:hAnsi="Times New Roman" w:cs="Times New Roman" w:eastAsia="Times New Roman" w:hint="default"/>
          <w:spacing w:val="-2"/>
        </w:rPr>
        <w:t>2</w:t>
      </w:r>
      <w:r>
        <w:rPr>
          <w:spacing w:val="-2"/>
        </w:rPr>
        <w:t>、在新一轮国企改革的背景下，南天信息在国企改革的大思路下，通过借鉴其他地区的改革举措，将在此轮改革中进</w:t>
      </w:r>
      <w:r>
        <w:rPr/>
        <w:t> 一步解决体制、机制的问题。</w:t>
      </w:r>
    </w:p>
    <w:p>
      <w:pPr>
        <w:spacing w:line="240" w:lineRule="auto" w:before="2"/>
        <w:rPr>
          <w:rFonts w:ascii="宋体" w:hAnsi="宋体" w:cs="宋体" w:eastAsia="宋体" w:hint="default"/>
          <w:sz w:val="8"/>
          <w:szCs w:val="8"/>
        </w:rPr>
      </w:pPr>
    </w:p>
    <w:p>
      <w:pPr>
        <w:pStyle w:val="BodyText"/>
        <w:spacing w:line="240" w:lineRule="auto" w:before="44"/>
        <w:ind w:left="573" w:right="0"/>
        <w:jc w:val="left"/>
      </w:pPr>
      <w:r>
        <w:rPr>
          <w:rFonts w:ascii="Times New Roman" w:hAnsi="Times New Roman" w:cs="Times New Roman" w:eastAsia="Times New Roman" w:hint="default"/>
        </w:rPr>
        <w:t>3</w:t>
      </w:r>
      <w:r>
        <w:rPr/>
        <w:t>、银行信息化行业庞大的年需求规模、国内非金融行业信息技术服务需求的快速增长，为公司提供更宽更大的发展方</w:t>
      </w:r>
    </w:p>
    <w:p>
      <w:pPr>
        <w:pStyle w:val="BodyText"/>
        <w:spacing w:line="240" w:lineRule="auto" w:before="63"/>
        <w:ind w:right="0"/>
        <w:jc w:val="left"/>
      </w:pPr>
      <w:r>
        <w:rPr/>
        <w:t>向。</w:t>
      </w:r>
    </w:p>
    <w:p>
      <w:pPr>
        <w:spacing w:line="240" w:lineRule="auto" w:before="8"/>
        <w:rPr>
          <w:rFonts w:ascii="宋体" w:hAnsi="宋体" w:cs="宋体" w:eastAsia="宋体" w:hint="default"/>
          <w:sz w:val="11"/>
          <w:szCs w:val="11"/>
        </w:rPr>
      </w:pPr>
    </w:p>
    <w:p>
      <w:pPr>
        <w:pStyle w:val="BodyText"/>
        <w:spacing w:line="240" w:lineRule="auto" w:before="44"/>
        <w:ind w:left="574" w:right="0"/>
        <w:jc w:val="left"/>
      </w:pPr>
      <w:r>
        <w:rPr/>
        <w:t>公司面临的挑战：</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rFonts w:ascii="Times New Roman" w:hAnsi="Times New Roman" w:cs="Times New Roman" w:eastAsia="Times New Roman" w:hint="default"/>
        </w:rPr>
        <w:t>1</w:t>
      </w:r>
      <w:r>
        <w:rPr/>
        <w:t>、宏观环境促使银行业的业态发生较大变化，对南天信息原有业务的理解造成新的挑战。</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rFonts w:ascii="Times New Roman" w:hAnsi="Times New Roman" w:cs="Times New Roman" w:eastAsia="Times New Roman" w:hint="default"/>
        </w:rPr>
        <w:t>2</w:t>
      </w:r>
      <w:r>
        <w:rPr/>
        <w:t>、需求和成本的不断压缩推动南天信息业务模式进行转型升级。</w:t>
      </w:r>
    </w:p>
    <w:p>
      <w:pPr>
        <w:spacing w:line="240" w:lineRule="auto" w:before="13"/>
        <w:rPr>
          <w:rFonts w:ascii="宋体" w:hAnsi="宋体" w:cs="宋体" w:eastAsia="宋体" w:hint="default"/>
          <w:sz w:val="13"/>
          <w:szCs w:val="13"/>
        </w:rPr>
      </w:pPr>
    </w:p>
    <w:p>
      <w:pPr>
        <w:pStyle w:val="BodyText"/>
        <w:spacing w:line="300" w:lineRule="auto"/>
        <w:ind w:right="0" w:firstLine="420"/>
        <w:jc w:val="left"/>
      </w:pPr>
      <w:r>
        <w:rPr>
          <w:rFonts w:ascii="Times New Roman" w:hAnsi="Times New Roman" w:cs="Times New Roman" w:eastAsia="Times New Roman" w:hint="default"/>
          <w:spacing w:val="-2"/>
        </w:rPr>
        <w:t>3</w:t>
      </w:r>
      <w:r>
        <w:rPr>
          <w:spacing w:val="-2"/>
        </w:rPr>
        <w:t>、金融信息化行业集中度低，且竞争激烈；金融机具部分领域市场空间有限等现实，需要公司尽快转变经营思路、运</w:t>
      </w:r>
      <w:r>
        <w:rPr/>
        <w:t> 营模式，加大各类系统的研发投入，提高产品竞争力。</w:t>
      </w:r>
    </w:p>
    <w:p>
      <w:pPr>
        <w:pStyle w:val="BodyText"/>
        <w:spacing w:line="432" w:lineRule="exact" w:before="16"/>
        <w:ind w:left="574" w:right="0"/>
        <w:jc w:val="left"/>
      </w:pPr>
      <w:r>
        <w:rPr>
          <w:rFonts w:ascii="宋体" w:hAnsi="宋体" w:cs="宋体" w:eastAsia="宋体" w:hint="default"/>
          <w:b/>
          <w:bCs/>
        </w:rPr>
        <w:t>（二）公司未来发展</w:t>
      </w:r>
      <w:r>
        <w:rPr>
          <w:rFonts w:ascii="宋体" w:hAnsi="宋体" w:cs="宋体" w:eastAsia="宋体" w:hint="default"/>
          <w:b/>
          <w:bCs/>
          <w:w w:val="99"/>
        </w:rPr>
        <w:t> </w:t>
      </w:r>
      <w:r>
        <w:rPr/>
        <w:t>随着公司战略发展布局要求，南天将进一步调整产业结构，实现业务的转型升级；高效运用资本运作平台，扩展规模</w:t>
      </w:r>
    </w:p>
    <w:p>
      <w:pPr>
        <w:pStyle w:val="BodyText"/>
        <w:spacing w:line="316" w:lineRule="auto" w:before="15"/>
        <w:ind w:left="154" w:right="1050"/>
        <w:jc w:val="both"/>
      </w:pPr>
      <w:r>
        <w:rPr>
          <w:spacing w:val="-2"/>
        </w:rPr>
        <w:t>并完善产业布局，并加大对新产品、新业务、新领域的投入；进一步完善体制机制建设，实现员工和企业共享发展红利；优</w:t>
      </w:r>
      <w:r>
        <w:rPr>
          <w:spacing w:val="-67"/>
        </w:rPr>
        <w:t> </w:t>
      </w:r>
      <w:r>
        <w:rPr>
          <w:spacing w:val="-67"/>
        </w:rPr>
      </w:r>
      <w:r>
        <w:rPr>
          <w:spacing w:val="-2"/>
        </w:rPr>
        <w:t>化管理平台，创新管理方式，有效实现战略、管控、组织、人力、财务、经营、品牌、信息化、区域平台能力等各管理模块</w:t>
      </w:r>
      <w:r>
        <w:rPr>
          <w:spacing w:val="-71"/>
        </w:rPr>
        <w:t> </w:t>
      </w:r>
      <w:r>
        <w:rPr>
          <w:spacing w:val="-71"/>
        </w:rPr>
      </w:r>
      <w:r>
        <w:rPr/>
        <w:t>的能力建设和高效运作，推动资源优化配置；通过人力资源开发手段，为各项业务发展和职能管理提供强有力的人才支撑。</w:t>
      </w:r>
    </w:p>
    <w:p>
      <w:pPr>
        <w:spacing w:line="240" w:lineRule="auto" w:before="10"/>
        <w:rPr>
          <w:rFonts w:ascii="宋体" w:hAnsi="宋体" w:cs="宋体" w:eastAsia="宋体" w:hint="default"/>
          <w:sz w:val="20"/>
          <w:szCs w:val="20"/>
        </w:rPr>
      </w:pPr>
    </w:p>
    <w:p>
      <w:pPr>
        <w:pStyle w:val="Heading2"/>
        <w:spacing w:line="240" w:lineRule="auto"/>
        <w:ind w:left="154" w:right="0"/>
        <w:jc w:val="both"/>
        <w:rPr>
          <w:b w:val="0"/>
          <w:bCs w:val="0"/>
        </w:rPr>
      </w:pPr>
      <w:bookmarkStart w:name="十、接待调研、沟通、采访等活动情况" w:id="62"/>
      <w:bookmarkEnd w:id="62"/>
      <w:r>
        <w:rPr>
          <w:b w:val="0"/>
          <w:bCs w:val="0"/>
        </w:rPr>
      </w: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both"/>
        <w:rPr>
          <w:b w:val="0"/>
          <w:bCs w:val="0"/>
        </w:rPr>
      </w:pPr>
      <w:bookmarkStart w:name="1、报告期内接待调研、沟通、采访等活动登记表" w:id="63"/>
      <w:bookmarkEnd w:id="63"/>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1538"/>
        <w:gridCol w:w="639"/>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内容刊登于深交所投资者互动平台</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内容刊登于深交所投资者互动平台</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内容刊登于深交所投资者互动平台</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内容刊登于深交所投资者互动平台</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094"/>
        <w:jc w:val="center"/>
        <w:rPr>
          <w:b w:val="0"/>
          <w:bCs w:val="0"/>
        </w:rPr>
      </w:pPr>
      <w:bookmarkStart w:name="_TOC_250006" w:id="64"/>
      <w:bookmarkStart w:name="第五节 重要事项" w:id="65"/>
      <w:r>
        <w:rPr>
          <w:b w:val="0"/>
          <w:bCs w:val="0"/>
        </w:rPr>
      </w:r>
      <w:r>
        <w:rPr/>
        <w:t>第五节</w:t>
      </w:r>
      <w:r>
        <w:rPr>
          <w:spacing w:val="-5"/>
        </w:rPr>
        <w:t> </w:t>
      </w:r>
      <w:r>
        <w:rPr/>
        <w:t>重要事项</w:t>
      </w:r>
      <w:bookmarkEnd w:id="64"/>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6"/>
      <w:bookmarkEnd w:id="66"/>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19"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公司根据中国证监会《关于进一步落实上市公司现金分红有关事项的通知》的相关要求，并结合公司实际情况，在《公司章</w:t>
      </w:r>
      <w:r>
        <w:rPr>
          <w:spacing w:val="-67"/>
        </w:rPr>
        <w:t> </w:t>
      </w:r>
      <w:r>
        <w:rPr>
          <w:spacing w:val="-67"/>
        </w:rPr>
      </w:r>
      <w:r>
        <w:rPr/>
        <w:t>程》中明确关于利润分配的相关条款。 报告期内，公司实施了</w:t>
      </w:r>
      <w:r>
        <w:rPr>
          <w:rFonts w:ascii="Times New Roman" w:hAnsi="Times New Roman" w:cs="Times New Roman" w:eastAsia="Times New Roman" w:hint="default"/>
        </w:rPr>
        <w:t>2014</w:t>
      </w:r>
      <w:r>
        <w:rPr/>
        <w:t>年度利润分配方案。经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日召开的</w:t>
      </w:r>
      <w:r>
        <w:rPr>
          <w:rFonts w:ascii="Times New Roman" w:hAnsi="Times New Roman" w:cs="Times New Roman" w:eastAsia="Times New Roman" w:hint="default"/>
        </w:rPr>
        <w:t>2014</w:t>
      </w:r>
      <w:r>
        <w:rPr/>
        <w:t>年度股东大会审议通过，公司</w:t>
      </w:r>
      <w:r>
        <w:rPr>
          <w:rFonts w:ascii="Times New Roman" w:hAnsi="Times New Roman" w:cs="Times New Roman" w:eastAsia="Times New Roman" w:hint="default"/>
        </w:rPr>
        <w:t>2014</w:t>
      </w:r>
      <w:r>
        <w:rPr/>
        <w:t>年度利润分 配方案为：以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246,606,046</w:t>
      </w:r>
      <w:r>
        <w:rPr/>
        <w:t>股为基数，向全体股东每</w:t>
      </w:r>
      <w:r>
        <w:rPr>
          <w:rFonts w:ascii="Times New Roman" w:hAnsi="Times New Roman" w:cs="Times New Roman" w:eastAsia="Times New Roman" w:hint="default"/>
        </w:rPr>
        <w:t>10</w:t>
      </w:r>
      <w:r>
        <w:rPr/>
        <w:t>股派发现金红利 </w:t>
      </w:r>
      <w:r>
        <w:rPr>
          <w:rFonts w:ascii="Times New Roman" w:hAnsi="Times New Roman" w:cs="Times New Roman" w:eastAsia="Times New Roman" w:hint="default"/>
        </w:rPr>
        <w:t>0.20</w:t>
      </w:r>
      <w:r>
        <w:rPr>
          <w:rFonts w:ascii="Times New Roman" w:hAnsi="Times New Roman" w:cs="Times New Roman" w:eastAsia="Times New Roman" w:hint="default"/>
          <w:spacing w:val="-8"/>
        </w:rPr>
        <w:t> </w:t>
      </w:r>
      <w:r>
        <w:rPr>
          <w:spacing w:val="-3"/>
        </w:rPr>
        <w:t>元（含税）</w:t>
      </w:r>
      <w:r>
        <w:rPr>
          <w:rFonts w:ascii="Times New Roman" w:hAnsi="Times New Roman" w:cs="Times New Roman" w:eastAsia="Times New Roman" w:hint="default"/>
          <w:spacing w:val="-3"/>
        </w:rPr>
        <w:t>,</w:t>
      </w:r>
      <w:r>
        <w:rPr>
          <w:spacing w:val="-3"/>
        </w:rPr>
        <w:t>合计派发现金</w:t>
      </w:r>
    </w:p>
    <w:p>
      <w:pPr>
        <w:pStyle w:val="BodyText"/>
        <w:spacing w:line="300" w:lineRule="auto"/>
        <w:ind w:right="1190"/>
        <w:jc w:val="left"/>
      </w:pPr>
      <w:r>
        <w:rPr/>
        <w:t>红利</w:t>
      </w:r>
      <w:r>
        <w:rPr>
          <w:rFonts w:ascii="Times New Roman" w:hAnsi="Times New Roman" w:cs="Times New Roman" w:eastAsia="Times New Roman" w:hint="default"/>
        </w:rPr>
        <w:t>4,932,120.92</w:t>
      </w:r>
      <w:r>
        <w:rPr/>
        <w:t>元（含税）。该方案已于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日实施完毕（详见公司于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日刊登在《证券时报》、《中 国证券报》及巨潮资讯网上的《</w:t>
      </w:r>
      <w:r>
        <w:rPr>
          <w:rFonts w:ascii="Times New Roman" w:hAnsi="Times New Roman" w:cs="Times New Roman" w:eastAsia="Times New Roman" w:hint="default"/>
        </w:rPr>
        <w:t>2014</w:t>
      </w:r>
      <w:r>
        <w:rPr/>
        <w:t>年年度分红派息实施公告》）。</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3"/>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年度利润分配预案：公司拟以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246,606,046</w:t>
      </w:r>
      <w:r>
        <w:rPr/>
        <w:t>股为基数，向全体股东每</w:t>
      </w:r>
      <w:r>
        <w:rPr>
          <w:rFonts w:ascii="Times New Roman" w:hAnsi="Times New Roman" w:cs="Times New Roman" w:eastAsia="Times New Roman" w:hint="default"/>
        </w:rPr>
        <w:t>10</w:t>
      </w:r>
      <w:r>
        <w:rPr/>
        <w:t>股派发现金红利</w:t>
      </w:r>
    </w:p>
    <w:p>
      <w:pPr>
        <w:pStyle w:val="BodyText"/>
        <w:spacing w:line="240" w:lineRule="auto" w:before="64"/>
        <w:ind w:right="0"/>
        <w:jc w:val="left"/>
      </w:pPr>
      <w:r>
        <w:rPr>
          <w:rFonts w:ascii="Times New Roman" w:hAnsi="Times New Roman" w:cs="Times New Roman" w:eastAsia="Times New Roman" w:hint="default"/>
        </w:rPr>
        <w:t>0.4</w:t>
      </w:r>
      <w:r>
        <w:rPr/>
        <w:t>元（含税），合计派发现金红利</w:t>
      </w:r>
      <w:r>
        <w:rPr>
          <w:rFonts w:ascii="Times New Roman" w:hAnsi="Times New Roman" w:cs="Times New Roman" w:eastAsia="Times New Roman" w:hint="default"/>
        </w:rPr>
        <w:t>9,864,241.84</w:t>
      </w:r>
      <w:r>
        <w:rPr/>
        <w:t>元（含税）。</w:t>
      </w:r>
    </w:p>
    <w:p>
      <w:pPr>
        <w:pStyle w:val="BodyText"/>
        <w:spacing w:line="240" w:lineRule="auto" w:before="101"/>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年度利润分配方案：公司以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246,606,046</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0.20</w:t>
      </w:r>
    </w:p>
    <w:p>
      <w:pPr>
        <w:pStyle w:val="BodyText"/>
        <w:spacing w:line="240" w:lineRule="auto" w:before="64"/>
        <w:ind w:left="154" w:right="0"/>
        <w:jc w:val="left"/>
      </w:pPr>
      <w:r>
        <w:rPr/>
        <w:t>元（含税），合计派发现金红利</w:t>
      </w:r>
      <w:r>
        <w:rPr>
          <w:rFonts w:ascii="Times New Roman" w:hAnsi="Times New Roman" w:cs="Times New Roman" w:eastAsia="Times New Roman" w:hint="default"/>
        </w:rPr>
        <w:t>4,932,120.92</w:t>
      </w:r>
      <w:r>
        <w:rPr/>
        <w:t>元（含税）。</w:t>
      </w:r>
    </w:p>
    <w:p>
      <w:pPr>
        <w:pStyle w:val="BodyText"/>
        <w:spacing w:line="240" w:lineRule="auto" w:before="102"/>
        <w:ind w:left="51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年度利润分配方案：以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246,606,046</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0.20</w:t>
      </w:r>
      <w:r>
        <w:rPr/>
        <w:t>元</w:t>
      </w:r>
    </w:p>
    <w:p>
      <w:pPr>
        <w:pStyle w:val="BodyText"/>
        <w:spacing w:line="240" w:lineRule="auto" w:before="64"/>
        <w:ind w:left="154" w:right="0"/>
        <w:jc w:val="left"/>
      </w:pPr>
      <w:r>
        <w:rPr/>
        <w:t>（含税），合计派发现金红利</w:t>
      </w:r>
      <w:r>
        <w:rPr>
          <w:rFonts w:ascii="Times New Roman" w:hAnsi="Times New Roman" w:cs="Times New Roman" w:eastAsia="Times New Roman" w:hint="default"/>
        </w:rPr>
        <w:t>4,932,120.92</w:t>
      </w:r>
      <w:r>
        <w:rPr/>
        <w:t>元（含税）。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154"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4"/>
        <w:gridCol w:w="1583"/>
        <w:gridCol w:w="1605"/>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58"/>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43"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9,864,241.84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18,561,982.18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53.14%</w:t>
            </w:r>
          </w:p>
        </w:tc>
        <w:tc>
          <w:tcPr>
            <w:tcW w:w="160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4,932,120.92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11,845,160.65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41.64%</w:t>
            </w:r>
          </w:p>
        </w:tc>
        <w:tc>
          <w:tcPr>
            <w:tcW w:w="160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99"/>
        <w:gridCol w:w="1594"/>
        <w:gridCol w:w="1595"/>
        <w:gridCol w:w="1594"/>
        <w:gridCol w:w="1594"/>
        <w:gridCol w:w="1595"/>
      </w:tblGrid>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4,932,120.92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9,477,743.36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52.04%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7"/>
      <w:bookmarkEnd w:id="67"/>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246,606,046</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9,864,241.84</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292,874,003.59</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6"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年度利润分配预案为：拟以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日的公司总股本为基数，向全体股东每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，本年度不送红股也不进行资本公积转增股本。该分配预案尚需经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年度股东大会审议批准方可实施。</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8"/>
      <w:bookmarkEnd w:id="68"/>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0"/>
        <w:jc w:val="left"/>
        <w:rPr>
          <w:b w:val="0"/>
          <w:bCs w:val="0"/>
        </w:rPr>
      </w:pPr>
      <w:bookmarkStart w:name="1、公司、股东、实际控制人、收购人、董事、监事、高级管理人员或其他关联方在报告期" w:id="69"/>
      <w:bookmarkEnd w:id="69"/>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9"/>
        </w:rPr>
        <w:t> </w:t>
      </w:r>
      <w:r>
        <w:rPr>
          <w:spacing w:val="-69"/>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25"/>
        <w:gridCol w:w="1126"/>
        <w:gridCol w:w="1126"/>
        <w:gridCol w:w="1127"/>
        <w:gridCol w:w="1126"/>
        <w:gridCol w:w="1121"/>
        <w:gridCol w:w="1108"/>
      </w:tblGrid>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42"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7" w:right="190"/>
              <w:jc w:val="both"/>
              <w:rPr>
                <w:rFonts w:ascii="宋体" w:hAnsi="宋体" w:cs="宋体" w:eastAsia="宋体" w:hint="default"/>
                <w:sz w:val="18"/>
                <w:szCs w:val="18"/>
              </w:rPr>
            </w:pPr>
            <w:r>
              <w:rPr>
                <w:rFonts w:ascii="宋体" w:hAnsi="宋体" w:cs="宋体" w:eastAsia="宋体" w:hint="default"/>
                <w:sz w:val="18"/>
                <w:szCs w:val="18"/>
              </w:rPr>
              <w:t>云南南天电 子信息产业 股份有限公 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不进行重大 资产重组承 诺</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自公司股票</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p>
          <w:p>
            <w:pPr>
              <w:pStyle w:val="TableParagraph"/>
              <w:spacing w:line="319"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日复牌之日 起六个月内， 不再筹划重 大资产重组 事项。</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91" w:hRule="exact"/>
        </w:trPr>
        <w:tc>
          <w:tcPr>
            <w:tcW w:w="28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941"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162"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316" w:lineRule="auto" w:before="71"/>
              <w:ind w:left="17" w:right="190"/>
              <w:jc w:val="left"/>
              <w:rPr>
                <w:rFonts w:ascii="宋体" w:hAnsi="宋体" w:cs="宋体" w:eastAsia="宋体" w:hint="default"/>
                <w:sz w:val="18"/>
                <w:szCs w:val="18"/>
              </w:rPr>
            </w:pPr>
            <w:r>
              <w:rPr>
                <w:rFonts w:ascii="宋体" w:hAnsi="宋体" w:cs="宋体" w:eastAsia="宋体" w:hint="default"/>
                <w:sz w:val="18"/>
                <w:szCs w:val="18"/>
              </w:rPr>
              <w:t>南天电子信 息产业集团</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00" w:lineRule="auto" w:before="71"/>
              <w:ind w:left="22" w:right="103"/>
              <w:jc w:val="left"/>
              <w:rPr>
                <w:rFonts w:ascii="宋体" w:hAnsi="宋体" w:cs="宋体" w:eastAsia="宋体" w:hint="default"/>
                <w:sz w:val="18"/>
                <w:szCs w:val="18"/>
              </w:rPr>
            </w:pPr>
            <w:r>
              <w:rPr>
                <w:rFonts w:ascii="宋体" w:hAnsi="宋体" w:cs="宋体" w:eastAsia="宋体" w:hint="default"/>
                <w:sz w:val="18"/>
                <w:szCs w:val="18"/>
              </w:rPr>
              <w:t>认购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定向发行的</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按承诺履行</w:t>
            </w:r>
          </w:p>
        </w:tc>
      </w:tr>
      <w:tr>
        <w:trPr>
          <w:trHeight w:val="391" w:hRule="exact"/>
        </w:trPr>
        <w:tc>
          <w:tcPr>
            <w:tcW w:w="28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62"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2"/>
                <w:sz w:val="18"/>
                <w:szCs w:val="18"/>
              </w:rPr>
              <w:t>公司、云南省</w:t>
            </w:r>
            <w:r>
              <w:rPr>
                <w:rFonts w:ascii="宋体" w:hAnsi="宋体" w:cs="宋体" w:eastAsia="宋体" w:hint="default"/>
                <w:sz w:val="18"/>
                <w:szCs w:val="18"/>
              </w:rPr>
              <w:t> 工业投资控 股集团有限 责任公司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股份，自本次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发行股份上 市之日起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 转让。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2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南天电子信 息产业集团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w:t>
            </w:r>
            <w:r>
              <w:rPr>
                <w:rFonts w:ascii="宋体" w:hAnsi="宋体" w:cs="宋体" w:eastAsia="宋体" w:hint="default"/>
                <w:spacing w:val="-2"/>
                <w:sz w:val="18"/>
                <w:szCs w:val="18"/>
              </w:rPr>
              <w:t>争、关联交易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、关于避免 同业竞争的 承诺：承诺公 司及公司控 制的全资或 控股子企业 目前没有，将 来亦不会在 中国境内外：</w:t>
            </w:r>
          </w:p>
          <w:p>
            <w:pPr>
              <w:pStyle w:val="TableParagraph"/>
              <w:spacing w:line="316"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）以任何 方式直接或 间接控制任 何导致或可 能导致与南 天信息（包括 南天信息控 股子公司，下 同）主营业务 直接或间接 产生竞争的 业务或活动 的企业，本公 司及本公司 控制的全资 或控股子企 业亦不生产 任何与南天 信息产品相 同或相似或 可以取代南 天信息公司 产品的产品；</w:t>
            </w:r>
          </w:p>
          <w:p>
            <w:pPr>
              <w:pStyle w:val="TableParagraph"/>
              <w:spacing w:line="314" w:lineRule="auto" w:before="19"/>
              <w:ind w:left="22" w:right="1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）如南天 信息认为本 公司及本公 司控制的全 资或控股子 企业从事了 对南天信息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按承诺履行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的业务构成</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全资或控股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子企业将愿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意以公平合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理的价格将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该等资产或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股权转让给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南天信息；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）如果本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公司及本公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司控制的全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资或控股子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企业将来可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能存在任何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与南天信息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务机会，应立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即通知南天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信息并尽力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促使该业务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机会按南天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信息能合理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接受的条款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和条件首先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提供给南天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信息，南天信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息对上述业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务享有优先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关于规范并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减少关联交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其他关联方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将尽量避免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与南天信息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之间发生关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确有必要且</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03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无法回避的 关联交易，均 按照公平、公 允和等价有 偿的原则进 行，交易价格 按市场公认 的合理价格 确定，并按相 关法律、法规 以及规范性 文件的规定 履行交易审 批程序及信 息披露义务， 切实保护上 市公司及中 小股东利益。</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）严格遵 守各类规范 性文件，依照 合法程序，与 其他股东一 样平等地行 使股东权利、 履行股东义 务，不利用控 股股东的地 位谋取不当 的利益，不损 害南天信息 及其他股东 的合法权益。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云南南天电 子信息产业 股份有限公 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严格遵守《公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8"/>
                <w:sz w:val="18"/>
                <w:szCs w:val="18"/>
              </w:rPr>
              <w:t>司法》、《证券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8"/>
                <w:sz w:val="18"/>
                <w:szCs w:val="18"/>
              </w:rPr>
              <w:t>法》、《上市公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司证券发行 </w:t>
            </w:r>
            <w:r>
              <w:rPr>
                <w:rFonts w:ascii="宋体" w:hAnsi="宋体" w:cs="宋体" w:eastAsia="宋体" w:hint="default"/>
                <w:spacing w:val="-2"/>
                <w:sz w:val="18"/>
                <w:szCs w:val="18"/>
              </w:rPr>
              <w:t>管理办法》等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法律、法规和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中国证监会 的有关规定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按承诺履行</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146"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南天电子信 息产业集团 </w:t>
            </w:r>
            <w:r>
              <w:rPr>
                <w:rFonts w:ascii="宋体" w:hAnsi="宋体" w:cs="宋体" w:eastAsia="宋体" w:hint="default"/>
                <w:spacing w:val="-2"/>
                <w:sz w:val="18"/>
                <w:szCs w:val="18"/>
              </w:rPr>
              <w:t>公司、云南省</w:t>
            </w:r>
            <w:r>
              <w:rPr>
                <w:rFonts w:ascii="宋体" w:hAnsi="宋体" w:cs="宋体" w:eastAsia="宋体" w:hint="default"/>
                <w:sz w:val="18"/>
                <w:szCs w:val="18"/>
              </w:rPr>
              <w:t> 工业投资控 股集团有限 责任公司及 本公司部分 董监高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基于对南天 信息未来发 </w:t>
            </w:r>
            <w:r>
              <w:rPr>
                <w:rFonts w:ascii="宋体" w:hAnsi="宋体" w:cs="宋体" w:eastAsia="宋体" w:hint="default"/>
                <w:spacing w:val="-2"/>
                <w:sz w:val="18"/>
                <w:szCs w:val="18"/>
              </w:rPr>
              <w:t>展的信心，合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计使用自有 资金不低于 人民币</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49,470,500</w:t>
            </w:r>
          </w:p>
          <w:p>
            <w:pPr>
              <w:pStyle w:val="TableParagraph"/>
              <w:spacing w:line="319" w:lineRule="auto" w:before="65"/>
              <w:ind w:left="22" w:right="21"/>
              <w:jc w:val="left"/>
              <w:rPr>
                <w:rFonts w:ascii="宋体" w:hAnsi="宋体" w:cs="宋体" w:eastAsia="宋体" w:hint="default"/>
                <w:sz w:val="18"/>
                <w:szCs w:val="18"/>
              </w:rPr>
            </w:pPr>
            <w:r>
              <w:rPr>
                <w:rFonts w:ascii="宋体" w:hAnsi="宋体" w:cs="宋体" w:eastAsia="宋体" w:hint="default"/>
                <w:spacing w:val="-2"/>
                <w:sz w:val="18"/>
                <w:szCs w:val="18"/>
              </w:rPr>
              <w:t>元，通过证券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公司或基金 公司的定向 资产管理计 划增持南天 信息股票。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190"/>
              <w:jc w:val="both"/>
              <w:rPr>
                <w:rFonts w:ascii="宋体" w:hAnsi="宋体" w:cs="宋体" w:eastAsia="宋体" w:hint="default"/>
                <w:sz w:val="18"/>
                <w:szCs w:val="18"/>
              </w:rPr>
            </w:pPr>
            <w:r>
              <w:rPr>
                <w:rFonts w:ascii="宋体" w:hAnsi="宋体" w:cs="宋体" w:eastAsia="宋体" w:hint="default"/>
                <w:sz w:val="18"/>
                <w:szCs w:val="18"/>
              </w:rPr>
              <w:t>云南南天电 子信息产业 股份有限公 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公司在三个 月内不会实 施重大资产 </w:t>
            </w:r>
            <w:r>
              <w:rPr>
                <w:rFonts w:ascii="宋体" w:hAnsi="宋体" w:cs="宋体" w:eastAsia="宋体" w:hint="default"/>
                <w:spacing w:val="-2"/>
                <w:sz w:val="18"/>
                <w:szCs w:val="18"/>
              </w:rPr>
              <w:t>重组、发行股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份、上市公司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收购等重大 事项。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5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41"/>
              <w:jc w:val="both"/>
              <w:rPr>
                <w:rFonts w:ascii="宋体" w:hAnsi="宋体" w:cs="宋体" w:eastAsia="宋体" w:hint="default"/>
                <w:sz w:val="18"/>
                <w:szCs w:val="18"/>
              </w:rPr>
            </w:pPr>
            <w:r>
              <w:rPr>
                <w:rFonts w:ascii="宋体" w:hAnsi="宋体" w:cs="宋体" w:eastAsia="宋体" w:hint="default"/>
                <w:sz w:val="18"/>
                <w:szCs w:val="18"/>
              </w:rPr>
              <w:t>南天电子信 息产业集团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云南省 工业投资控 股集团有限 责任公司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公司三个月 内不会实施 与南天信息 有关的重大 </w:t>
            </w:r>
            <w:r>
              <w:rPr>
                <w:rFonts w:ascii="宋体" w:hAnsi="宋体" w:cs="宋体" w:eastAsia="宋体" w:hint="default"/>
                <w:spacing w:val="-2"/>
                <w:sz w:val="18"/>
                <w:szCs w:val="18"/>
              </w:rPr>
              <w:t>资产重组、发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行股份、上市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公司收购等 重大事项。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54" w:right="0"/>
        <w:jc w:val="left"/>
        <w:rPr>
          <w:b w:val="0"/>
          <w:bCs w:val="0"/>
        </w:rPr>
      </w:pPr>
      <w:bookmarkStart w:name="2、公司资产或项目存在盈利预测，且报告期仍处在盈利预测期间，公司就资产或项目达到" w:id="70"/>
      <w:bookmarkEnd w:id="70"/>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控股股东及其关联方对上市公司的非经营性占用资金情况" w:id="71"/>
      <w:bookmarkEnd w:id="71"/>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2"/>
      <w:bookmarkEnd w:id="72"/>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与上年度财务报告相比，会计政策、会计估计和核算方法发生变化的情况说明" w:id="73"/>
      <w:bookmarkEnd w:id="73"/>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七、报告期内发生重大会计差错更正需追溯重述的情况说明" w:id="74"/>
      <w:bookmarkEnd w:id="74"/>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5"/>
      <w:bookmarkEnd w:id="75"/>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九、聘任、解聘会计师事务所情况" w:id="76"/>
      <w:bookmarkEnd w:id="76"/>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中审众环会计师事务所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肖勇、徐毅</w:t>
            </w:r>
          </w:p>
        </w:tc>
      </w:tr>
    </w:tbl>
    <w:p>
      <w:pPr>
        <w:pStyle w:val="BodyText"/>
        <w:spacing w:line="240" w:lineRule="auto" w:before="51"/>
        <w:ind w:left="154" w:right="0"/>
        <w:jc w:val="left"/>
      </w:pPr>
      <w:r>
        <w:rPr/>
        <w:t>当期是否改聘会计师事务所</w:t>
      </w:r>
    </w:p>
    <w:p>
      <w:pPr>
        <w:pStyle w:val="BodyText"/>
        <w:spacing w:line="338" w:lineRule="auto" w:before="117"/>
        <w:ind w:right="80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40" w:lineRule="auto" w:before="42"/>
        <w:ind w:right="78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38" w:lineRule="auto" w:before="40"/>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对改聘、变更会计师事务所情况的详细说明</w:t>
      </w:r>
    </w:p>
    <w:p>
      <w:pPr>
        <w:pStyle w:val="BodyText"/>
        <w:spacing w:line="300" w:lineRule="auto" w:before="42"/>
        <w:ind w:right="1131"/>
        <w:jc w:val="both"/>
      </w:pPr>
      <w:r>
        <w:rPr/>
        <w:t>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日召开的</w:t>
      </w:r>
      <w:r>
        <w:rPr>
          <w:rFonts w:ascii="Times New Roman" w:hAnsi="Times New Roman" w:cs="Times New Roman" w:eastAsia="Times New Roman" w:hint="default"/>
        </w:rPr>
        <w:t>2014</w:t>
      </w:r>
      <w:r>
        <w:rPr/>
        <w:t>年度股东大会审议通过，公司聘请中审亚太承担本公司</w:t>
      </w:r>
      <w:r>
        <w:rPr>
          <w:rFonts w:ascii="Times New Roman" w:hAnsi="Times New Roman" w:cs="Times New Roman" w:eastAsia="Times New Roman" w:hint="default"/>
        </w:rPr>
        <w:t>2015</w:t>
      </w:r>
      <w:r>
        <w:rPr/>
        <w:t>年度财务会计报告及内部控制 </w:t>
      </w:r>
      <w:r>
        <w:rPr>
          <w:spacing w:val="-2"/>
        </w:rPr>
        <w:t>的审计任务，由于负责公司</w:t>
      </w:r>
      <w:r>
        <w:rPr>
          <w:rFonts w:ascii="Times New Roman" w:hAnsi="Times New Roman" w:cs="Times New Roman" w:eastAsia="Times New Roman" w:hint="default"/>
          <w:spacing w:val="-2"/>
        </w:rPr>
        <w:t>2015</w:t>
      </w:r>
      <w:r>
        <w:rPr>
          <w:spacing w:val="-2"/>
        </w:rPr>
        <w:t>年度审计任务的中审亚太云南分所执业团队整体加入中审众环，原中审亚太云南分所业务将</w:t>
      </w:r>
      <w:r>
        <w:rPr>
          <w:spacing w:val="-60"/>
        </w:rPr>
        <w:t> </w:t>
      </w:r>
      <w:r>
        <w:rPr>
          <w:spacing w:val="-60"/>
        </w:rPr>
      </w:r>
      <w:r>
        <w:rPr>
          <w:spacing w:val="-2"/>
        </w:rPr>
        <w:t>转入中审众环执行。为保证审计工作的连续性，经公司</w:t>
      </w:r>
      <w:r>
        <w:rPr>
          <w:rFonts w:ascii="Times New Roman" w:hAnsi="Times New Roman" w:cs="Times New Roman" w:eastAsia="Times New Roman" w:hint="default"/>
          <w:spacing w:val="-2"/>
        </w:rPr>
        <w:t>2016</w:t>
      </w:r>
      <w:r>
        <w:rPr>
          <w:spacing w:val="-2"/>
        </w:rPr>
        <w:t>年第一次临时股东大会审议同意，公司</w:t>
      </w:r>
      <w:r>
        <w:rPr>
          <w:rFonts w:ascii="Times New Roman" w:hAnsi="Times New Roman" w:cs="Times New Roman" w:eastAsia="Times New Roman" w:hint="default"/>
          <w:spacing w:val="-2"/>
        </w:rPr>
        <w:t>2015</w:t>
      </w:r>
      <w:r>
        <w:rPr>
          <w:spacing w:val="-2"/>
        </w:rPr>
        <w:t>年度财务会计报告及</w:t>
      </w:r>
      <w:r>
        <w:rPr>
          <w:spacing w:val="-58"/>
        </w:rPr>
        <w:t> </w:t>
      </w:r>
      <w:r>
        <w:rPr>
          <w:spacing w:val="-2"/>
        </w:rPr>
        <w:t>内部控制的审计机构由中审亚太变更为中审众环，财务会计报告审计费用预计约</w:t>
      </w:r>
      <w:r>
        <w:rPr>
          <w:rFonts w:ascii="Times New Roman" w:hAnsi="Times New Roman" w:cs="Times New Roman" w:eastAsia="Times New Roman" w:hint="default"/>
          <w:spacing w:val="-2"/>
        </w:rPr>
        <w:t>65</w:t>
      </w:r>
      <w:r>
        <w:rPr>
          <w:spacing w:val="-2"/>
        </w:rPr>
        <w:t>万元人民币（不承担差旅费），内部控制</w:t>
      </w:r>
      <w:r>
        <w:rPr>
          <w:spacing w:val="-64"/>
        </w:rPr>
        <w:t> </w:t>
      </w:r>
      <w:r>
        <w:rPr>
          <w:spacing w:val="-64"/>
        </w:rPr>
      </w:r>
      <w:r>
        <w:rPr/>
        <w:t>审计费用预计约</w:t>
      </w:r>
      <w:r>
        <w:rPr>
          <w:rFonts w:ascii="Times New Roman" w:hAnsi="Times New Roman" w:cs="Times New Roman" w:eastAsia="Times New Roman" w:hint="default"/>
        </w:rPr>
        <w:t>30</w:t>
      </w:r>
      <w:r>
        <w:rPr/>
        <w:t>万元人民币（不承担差旅费）。</w:t>
      </w:r>
    </w:p>
    <w:p>
      <w:pPr>
        <w:pStyle w:val="BodyText"/>
        <w:spacing w:line="240" w:lineRule="auto" w:before="53"/>
        <w:ind w:left="154" w:right="0"/>
        <w:jc w:val="left"/>
      </w:pPr>
      <w:r>
        <w:rPr/>
        <w:t>聘请内部控制审计会计师事务所、财务顾问或保荐人情况</w:t>
      </w:r>
    </w:p>
    <w:p>
      <w:pPr>
        <w:pStyle w:val="BodyText"/>
        <w:spacing w:line="319"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本报告期，根据公司</w:t>
      </w:r>
      <w:r>
        <w:rPr>
          <w:rFonts w:ascii="Times New Roman" w:hAnsi="Times New Roman" w:cs="Times New Roman" w:eastAsia="Times New Roman" w:hint="default"/>
          <w:spacing w:val="-2"/>
        </w:rPr>
        <w:t>2016</w:t>
      </w:r>
      <w:r>
        <w:rPr>
          <w:spacing w:val="-2"/>
        </w:rPr>
        <w:t>年第一次临时股东大会决议，公司聘请中审众环担任公司</w:t>
      </w:r>
      <w:r>
        <w:rPr>
          <w:rFonts w:ascii="Times New Roman" w:hAnsi="Times New Roman" w:cs="Times New Roman" w:eastAsia="Times New Roman" w:hint="default"/>
          <w:spacing w:val="-2"/>
        </w:rPr>
        <w:t>2015</w:t>
      </w:r>
      <w:r>
        <w:rPr>
          <w:spacing w:val="-2"/>
        </w:rPr>
        <w:t>年度内部控制的审计机构，内部控制</w:t>
      </w:r>
      <w:r>
        <w:rPr>
          <w:spacing w:val="-58"/>
        </w:rPr>
        <w:t> </w:t>
      </w:r>
      <w:r>
        <w:rPr>
          <w:spacing w:val="-58"/>
        </w:rPr>
      </w:r>
      <w:r>
        <w:rPr/>
        <w:t>审计费用人民币</w:t>
      </w:r>
      <w:r>
        <w:rPr>
          <w:rFonts w:ascii="Times New Roman" w:hAnsi="Times New Roman" w:cs="Times New Roman" w:eastAsia="Times New Roman" w:hint="default"/>
        </w:rPr>
        <w:t>30</w:t>
      </w:r>
      <w:r>
        <w:rPr/>
        <w:t>万元。</w:t>
      </w:r>
    </w:p>
    <w:p>
      <w:pPr>
        <w:spacing w:line="240" w:lineRule="auto" w:before="1"/>
        <w:rPr>
          <w:rFonts w:ascii="宋体" w:hAnsi="宋体" w:cs="宋体" w:eastAsia="宋体" w:hint="default"/>
          <w:sz w:val="19"/>
          <w:szCs w:val="19"/>
        </w:rPr>
      </w:pPr>
    </w:p>
    <w:p>
      <w:pPr>
        <w:pStyle w:val="Heading2"/>
        <w:spacing w:line="240" w:lineRule="auto"/>
        <w:ind w:left="154" w:right="0"/>
        <w:jc w:val="left"/>
        <w:rPr>
          <w:b w:val="0"/>
          <w:bCs w:val="0"/>
        </w:rPr>
      </w:pPr>
      <w:bookmarkStart w:name="十、年度报告披露后面临暂停上市和终止上市情况" w:id="77"/>
      <w:bookmarkEnd w:id="77"/>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破产重整相关事项" w:id="78"/>
      <w:bookmarkEnd w:id="78"/>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9"/>
      <w:bookmarkEnd w:id="79"/>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十三、处罚及整改情况" w:id="80"/>
      <w:bookmarkEnd w:id="80"/>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81"/>
      <w:bookmarkEnd w:id="81"/>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报告期内，公司及公司控股股东、实际控制人不存在未履行法院生效判决、所负数额较大的债务到期未清偿等情况。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十五、公司股权激励计划、员工持股计划或其他员工激励措施的实施情况" w:id="82"/>
      <w:bookmarkEnd w:id="82"/>
      <w:r>
        <w:rPr>
          <w:b w:val="0"/>
          <w:bCs w:val="0"/>
        </w:rPr>
      </w:r>
      <w:r>
        <w:rPr/>
        <w:t>十五、公司股权激励计划、员工持股计划或其他员工激励措施的实施情况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关联交易" w:id="83"/>
      <w:bookmarkEnd w:id="83"/>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4"/>
      <w:bookmarkEnd w:id="8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资产或股权收购、出售发生的关联交易" w:id="85"/>
      <w:bookmarkEnd w:id="85"/>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6"/>
        <w:gridCol w:w="805"/>
        <w:gridCol w:w="796"/>
        <w:gridCol w:w="800"/>
        <w:gridCol w:w="796"/>
        <w:gridCol w:w="798"/>
        <w:gridCol w:w="797"/>
        <w:gridCol w:w="798"/>
        <w:gridCol w:w="796"/>
        <w:gridCol w:w="792"/>
      </w:tblGrid>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7" w:right="3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2"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3"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1" w:firstLine="9"/>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8"/>
                <w:sz w:val="18"/>
                <w:szCs w:val="18"/>
              </w:rPr>
              <w:t>值（万元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7"/>
              <w:ind w:left="3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2"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7"/>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1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南天电子 信息产业 集团公司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控股股东</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出售资产</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出售控股 子公司广 州南天电 脑系统有 限公司位</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282.83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6,648.26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6,648.26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4,727.84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50" w:lineRule="auto" w:before="17"/>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2"/>
                <w:sz w:val="18"/>
                <w:szCs w:val="18"/>
              </w:rPr>
              <w:t>www.cnin</w:t>
            </w:r>
            <w:r>
              <w:rPr>
                <w:rFonts w:ascii="Times New Roman" w:hAnsi="Times New Roman" w:cs="Times New Roman" w:eastAsia="Times New Roman" w:hint="default"/>
                <w:sz w:val="18"/>
                <w:szCs w:val="18"/>
              </w:rPr>
              <w:t> fo.com.cn</w:t>
            </w:r>
          </w:p>
        </w:tc>
      </w:tr>
    </w:tbl>
    <w:p>
      <w:pPr>
        <w:spacing w:after="0" w:line="35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6"/>
        <w:gridCol w:w="805"/>
        <w:gridCol w:w="796"/>
        <w:gridCol w:w="800"/>
        <w:gridCol w:w="796"/>
        <w:gridCol w:w="798"/>
        <w:gridCol w:w="797"/>
        <w:gridCol w:w="798"/>
        <w:gridCol w:w="796"/>
        <w:gridCol w:w="792"/>
      </w:tblGrid>
      <w:tr>
        <w:trPr>
          <w:trHeight w:val="1611"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50"/>
              <w:jc w:val="both"/>
              <w:rPr>
                <w:rFonts w:ascii="宋体" w:hAnsi="宋体" w:cs="宋体" w:eastAsia="宋体" w:hint="default"/>
                <w:sz w:val="18"/>
                <w:szCs w:val="18"/>
              </w:rPr>
            </w:pPr>
            <w:r>
              <w:rPr>
                <w:rFonts w:ascii="宋体" w:hAnsi="宋体" w:cs="宋体" w:eastAsia="宋体" w:hint="default"/>
                <w:sz w:val="18"/>
                <w:szCs w:val="18"/>
              </w:rPr>
              <w:t>于广州市 天河区建 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2" w:lineRule="auto"/>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pacing w:val="-21"/>
                <w:sz w:val="18"/>
                <w:szCs w:val="18"/>
              </w:rPr>
              <w:t>层、</w:t>
            </w:r>
            <w:r>
              <w:rPr>
                <w:rFonts w:ascii="Times New Roman" w:hAnsi="Times New Roman" w:cs="Times New Roman" w:eastAsia="Times New Roman" w:hint="default"/>
                <w:spacing w:val="-21"/>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 房产</w:t>
            </w:r>
          </w:p>
        </w:tc>
        <w:tc>
          <w:tcPr>
            <w:tcW w:w="796"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该房产购置时间早，折旧较大</w:t>
            </w:r>
          </w:p>
        </w:tc>
      </w:tr>
      <w:tr>
        <w:trPr>
          <w:trHeight w:val="402"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不会影响公司的正常生产经营</w:t>
            </w:r>
          </w:p>
        </w:tc>
      </w:tr>
      <w:tr>
        <w:trPr>
          <w:trHeight w:val="714"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未约定</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共同对外投资的关联交易" w:id="86"/>
      <w:bookmarkEnd w:id="8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4、关联债权债务往来" w:id="87"/>
      <w:bookmarkEnd w:id="8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5、其他重大关联交易" w:id="88"/>
      <w:bookmarkEnd w:id="8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9"/>
      <w:bookmarkEnd w:id="89"/>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90"/>
      <w:bookmarkEnd w:id="9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91"/>
      <w:bookmarkEnd w:id="9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承包情况" w:id="92"/>
      <w:bookmarkEnd w:id="9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租赁情况" w:id="93"/>
      <w:bookmarkEnd w:id="9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公司报告期不存在租赁情况。</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重大担保" w:id="94"/>
      <w:bookmarkEnd w:id="94"/>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担保情况" w:id="95"/>
      <w:bookmarkEnd w:id="95"/>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98"/>
        <w:gridCol w:w="920"/>
        <w:gridCol w:w="929"/>
        <w:gridCol w:w="1301"/>
        <w:gridCol w:w="1054"/>
        <w:gridCol w:w="1038"/>
        <w:gridCol w:w="1051"/>
        <w:gridCol w:w="790"/>
        <w:gridCol w:w="783"/>
      </w:tblGrid>
      <w:tr>
        <w:trPr>
          <w:trHeight w:val="40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9"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2"/>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5" w:hRule="exact"/>
        </w:trPr>
        <w:tc>
          <w:tcPr>
            <w:tcW w:w="1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54"/>
              <w:jc w:val="left"/>
              <w:rPr>
                <w:rFonts w:ascii="宋体" w:hAnsi="宋体" w:cs="宋体" w:eastAsia="宋体" w:hint="default"/>
                <w:sz w:val="18"/>
                <w:szCs w:val="18"/>
              </w:rPr>
            </w:pPr>
            <w:r>
              <w:rPr>
                <w:rFonts w:ascii="宋体" w:hAnsi="宋体" w:cs="宋体" w:eastAsia="宋体" w:hint="default"/>
                <w:sz w:val="18"/>
                <w:szCs w:val="18"/>
              </w:rPr>
              <w:t>北京南天软件有限公 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3" w:right="0"/>
              <w:jc w:val="left"/>
              <w:rPr>
                <w:rFonts w:ascii="Times New Roman" w:hAnsi="Times New Roman" w:cs="Times New Roman" w:eastAsia="Times New Roman" w:hint="default"/>
                <w:sz w:val="18"/>
                <w:szCs w:val="18"/>
              </w:rPr>
            </w:pPr>
            <w:r>
              <w:rPr>
                <w:rFonts w:ascii="Times New Roman"/>
                <w:sz w:val="18"/>
              </w:rPr>
              <w:t>3,000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2" w:right="0"/>
              <w:jc w:val="left"/>
              <w:rPr>
                <w:rFonts w:ascii="Times New Roman" w:hAnsi="Times New Roman" w:cs="Times New Roman" w:eastAsia="Times New Roman" w:hint="default"/>
                <w:sz w:val="18"/>
                <w:szCs w:val="18"/>
              </w:rPr>
            </w:pPr>
            <w:r>
              <w:rPr>
                <w:rFonts w:ascii="Times New Roman"/>
                <w:sz w:val="18"/>
              </w:rPr>
              <w:t>2,000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719"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698"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2"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98"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3"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57"/>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698"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1"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98"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714"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r>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2"/>
        <w:ind w:left="154" w:right="0"/>
        <w:jc w:val="left"/>
      </w:pPr>
      <w:r>
        <w:rPr/>
        <w:t>采用复合方式担保的具体情况说明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违规对外担保情况" w:id="96"/>
      <w:bookmarkEnd w:id="96"/>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委托他人进行现金资产管理情况" w:id="97"/>
      <w:bookmarkEnd w:id="97"/>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8"/>
      <w:bookmarkEnd w:id="98"/>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委托贷款情况" w:id="99"/>
      <w:bookmarkEnd w:id="99"/>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100"/>
      <w:bookmarkEnd w:id="100"/>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3"/>
          <w:szCs w:val="13"/>
        </w:rPr>
      </w:pPr>
    </w:p>
    <w:p>
      <w:pPr>
        <w:pStyle w:val="BodyText"/>
        <w:spacing w:line="309" w:lineRule="auto"/>
        <w:ind w:right="1130" w:firstLine="145"/>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18</w:t>
      </w:r>
      <w:r>
        <w:rPr>
          <w:spacing w:val="-1"/>
        </w:rPr>
        <w:t>日，公司与邮储银行签署了《战略合作协议》，合作的主要内容为：邮储银行将为本公司提供包括公司存</w:t>
      </w:r>
      <w:r>
        <w:rPr/>
        <w:t> </w:t>
      </w:r>
      <w:r>
        <w:rPr>
          <w:spacing w:val="-2"/>
        </w:rPr>
        <w:t>款业务、现金管理、综合授信、投资银行、财务顾问等金融服务，更好地支持本公司的全面发展；本公司将充分发挥在金融</w:t>
      </w:r>
      <w:r>
        <w:rPr>
          <w:spacing w:val="-68"/>
        </w:rPr>
        <w:t> </w:t>
      </w:r>
      <w:r>
        <w:rPr>
          <w:spacing w:val="-68"/>
        </w:rPr>
      </w:r>
      <w:r>
        <w:rPr>
          <w:spacing w:val="-2"/>
        </w:rPr>
        <w:t>信息化建设领域的专业优势，为邮储银行信息化建设及业务发展，在自主可控、科技创新、系统建设、专业服务、终端机具</w:t>
      </w:r>
      <w:r>
        <w:rPr>
          <w:spacing w:val="-68"/>
        </w:rPr>
        <w:t> </w:t>
      </w:r>
      <w:r>
        <w:rPr>
          <w:spacing w:val="-68"/>
        </w:rPr>
      </w:r>
      <w:r>
        <w:rPr>
          <w:spacing w:val="-2"/>
        </w:rPr>
        <w:t>等信息建设方面予以支持。具体详见公司于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日刊登在巨潮资讯网</w:t>
      </w:r>
      <w:hyperlink r:id="rId13">
        <w:r>
          <w:rPr>
            <w:rFonts w:ascii="Times New Roman" w:hAnsi="Times New Roman" w:cs="Times New Roman" w:eastAsia="Times New Roman" w:hint="default"/>
            <w:spacing w:val="-2"/>
          </w:rPr>
          <w:t>http://www.cninfo.com.cn</w:t>
        </w:r>
        <w:r>
          <w:rPr>
            <w:spacing w:val="-2"/>
          </w:rPr>
          <w:t>上的</w:t>
        </w:r>
      </w:hyperlink>
      <w:r>
        <w:rPr>
          <w:spacing w:val="-2"/>
        </w:rPr>
        <w:t>《关于签署战略合</w:t>
      </w:r>
      <w:r>
        <w:rPr>
          <w:spacing w:val="-40"/>
        </w:rPr>
        <w:t> </w:t>
      </w:r>
      <w:r>
        <w:rPr>
          <w:spacing w:val="-40"/>
        </w:rPr>
      </w:r>
      <w:r>
        <w:rPr/>
        <w:t>作协议的公告》。</w:t>
      </w:r>
    </w:p>
    <w:p>
      <w:pPr>
        <w:pStyle w:val="BodyText"/>
        <w:spacing w:line="312" w:lineRule="auto" w:before="144"/>
        <w:ind w:left="154" w:right="0" w:firstLine="29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日，公司与汇付天下签署了《战略合作协议》，合作的主要内容为：汇付天下将充分发挥其支付优势， </w:t>
      </w:r>
      <w:r>
        <w:rPr>
          <w:spacing w:val="-2"/>
        </w:rPr>
        <w:t>为南天信息开展互联网金融信息服务提供支付手段，并利用其庞大的客户群体，为南天信息开展互联网金融业务提供客户资</w:t>
      </w:r>
      <w:r>
        <w:rPr>
          <w:spacing w:val="-64"/>
        </w:rPr>
        <w:t> </w:t>
      </w:r>
      <w:r>
        <w:rPr>
          <w:spacing w:val="-64"/>
        </w:rPr>
      </w:r>
      <w:r>
        <w:rPr>
          <w:spacing w:val="-4"/>
        </w:rPr>
        <w:t>源。南天信息将充分发挥软件技术优势，为汇付天下相关金融类软件、信息提供技术支持，同时南天信息将在金融信息应用、</w:t>
      </w:r>
      <w:r>
        <w:rPr>
          <w:spacing w:val="-46"/>
        </w:rPr>
        <w:t> </w:t>
      </w:r>
      <w:r>
        <w:rPr>
          <w:spacing w:val="-46"/>
        </w:rPr>
      </w:r>
      <w:r>
        <w:rPr/>
        <w:t>数据管理方面为汇付天下提供服务和支持。具体详见公司于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日刊登在巨潮资讯网</w:t>
      </w:r>
      <w:hyperlink r:id="rId13">
        <w:r>
          <w:rPr>
            <w:rFonts w:ascii="Times New Roman" w:hAnsi="Times New Roman" w:cs="Times New Roman" w:eastAsia="Times New Roman" w:hint="default"/>
          </w:rPr>
          <w:t>http://www.cninfo.com.cn</w:t>
        </w:r>
        <w:r>
          <w:rPr/>
          <w:t>上的</w:t>
        </w:r>
      </w:hyperlink>
    </w:p>
    <w:p>
      <w:pPr>
        <w:pStyle w:val="BodyText"/>
        <w:spacing w:line="240" w:lineRule="auto" w:before="3"/>
        <w:ind w:left="154" w:right="0"/>
        <w:jc w:val="left"/>
      </w:pPr>
      <w:r>
        <w:rPr/>
        <w:t>《关于签署战略合作协议的公告》。</w:t>
      </w:r>
    </w:p>
    <w:p>
      <w:pPr>
        <w:spacing w:line="240" w:lineRule="auto" w:before="0"/>
        <w:rPr>
          <w:rFonts w:ascii="宋体" w:hAnsi="宋体" w:cs="宋体" w:eastAsia="宋体" w:hint="default"/>
          <w:sz w:val="15"/>
          <w:szCs w:val="15"/>
        </w:rPr>
      </w:pPr>
    </w:p>
    <w:p>
      <w:pPr>
        <w:pStyle w:val="BodyText"/>
        <w:spacing w:line="312" w:lineRule="auto"/>
        <w:ind w:left="154" w:right="1041" w:firstLine="217"/>
        <w:jc w:val="both"/>
      </w:pPr>
      <w:r>
        <w:rPr>
          <w:rFonts w:ascii="Times New Roman" w:hAnsi="Times New Roman" w:cs="Times New Roman" w:eastAsia="Times New Roman" w:hint="default"/>
        </w:rPr>
        <w:t>3</w:t>
      </w:r>
      <w:r>
        <w:rPr/>
        <w:t>、</w:t>
      </w:r>
      <w:r>
        <w:rPr>
          <w:spacing w:val="12"/>
        </w:rPr>
        <w:t> </w:t>
      </w:r>
      <w:r>
        <w:rPr/>
        <w:t>针对</w:t>
      </w:r>
      <w:r>
        <w:rPr>
          <w:rFonts w:ascii="Times New Roman" w:hAnsi="Times New Roman" w:cs="Times New Roman" w:eastAsia="Times New Roman" w:hint="default"/>
        </w:rPr>
        <w:t>2015</w:t>
      </w:r>
      <w:r>
        <w:rPr/>
        <w:t>年下半年证券市场的非理性波动，为了稳定市场预期，基于对公司未来发展前景的信心以及对公司价值的 </w:t>
      </w:r>
      <w:r>
        <w:rPr>
          <w:spacing w:val="-2"/>
        </w:rPr>
        <w:t>认可，为促进公司持续、稳定、健康发展以及维护公司股东利益，公司及控股股东、实际控制人、公司部分董事、监事、高</w:t>
      </w:r>
      <w:r>
        <w:rPr>
          <w:spacing w:val="-68"/>
        </w:rPr>
        <w:t> </w:t>
      </w:r>
      <w:r>
        <w:rPr>
          <w:spacing w:val="-68"/>
        </w:rPr>
      </w:r>
      <w:r>
        <w:rPr>
          <w:spacing w:val="-2"/>
        </w:rPr>
        <w:t>级管理人员采取增持公司股票、承诺半年内不减持公司股票等方式，维护公司股价稳定，树立良好的市场形象。具体详见公</w:t>
      </w:r>
      <w:r>
        <w:rPr>
          <w:spacing w:val="-66"/>
        </w:rPr>
        <w:t> </w:t>
      </w:r>
      <w:r>
        <w:rPr>
          <w:spacing w:val="-66"/>
        </w:rPr>
      </w:r>
      <w:r>
        <w:rPr>
          <w:spacing w:val="-2"/>
        </w:rPr>
        <w:t>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日刊登在巨潮资讯网</w:t>
      </w:r>
      <w:hyperlink r:id="rId13">
        <w:r>
          <w:rPr>
            <w:rFonts w:ascii="Times New Roman" w:hAnsi="Times New Roman" w:cs="Times New Roman" w:eastAsia="Times New Roman" w:hint="default"/>
            <w:spacing w:val="-2"/>
          </w:rPr>
          <w:t>http://www.cninfo.com.cn</w:t>
        </w:r>
        <w:r>
          <w:rPr>
            <w:spacing w:val="-2"/>
          </w:rPr>
          <w:t>上的</w:t>
        </w:r>
      </w:hyperlink>
      <w:r>
        <w:rPr>
          <w:spacing w:val="-2"/>
        </w:rPr>
        <w:t>《关于维护公司股价稳定方案的公告》、</w:t>
      </w:r>
    </w:p>
    <w:p>
      <w:pPr>
        <w:pStyle w:val="BodyText"/>
        <w:spacing w:line="240" w:lineRule="auto" w:before="3"/>
        <w:ind w:left="154" w:right="0"/>
        <w:jc w:val="left"/>
      </w:pPr>
      <w:r>
        <w:rPr/>
        <w:t>《关于大股东及管理层完成增持公司股份的公告》。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2"/>
        <w:spacing w:line="240" w:lineRule="auto"/>
        <w:ind w:left="154" w:right="0"/>
        <w:jc w:val="left"/>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2"/>
        <w:ind w:right="0" w:firstLine="360"/>
        <w:jc w:val="left"/>
      </w:pPr>
      <w:r>
        <w:rPr>
          <w:rFonts w:ascii="Times New Roman" w:hAnsi="Times New Roman" w:cs="Times New Roman" w:eastAsia="Times New Roman" w:hint="default"/>
          <w:spacing w:val="-2"/>
        </w:rPr>
        <w:t>1</w:t>
      </w:r>
      <w:r>
        <w:rPr>
          <w:spacing w:val="-2"/>
        </w:rPr>
        <w:t>、本公司全资子公司重庆南天与北京汇美卓信科技有限公司（以下简称</w:t>
      </w:r>
      <w:r>
        <w:rPr>
          <w:rFonts w:ascii="Times New Roman" w:hAnsi="Times New Roman" w:cs="Times New Roman" w:eastAsia="Times New Roman" w:hint="default"/>
          <w:spacing w:val="-2"/>
        </w:rPr>
        <w:t>“</w:t>
      </w:r>
      <w:r>
        <w:rPr>
          <w:spacing w:val="-2"/>
        </w:rPr>
        <w:t>汇美卓信公司</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2011</w:t>
      </w:r>
      <w:r>
        <w:rPr>
          <w:spacing w:val="-2"/>
        </w:rPr>
        <w:t>年签订《销售合同》，</w:t>
      </w:r>
      <w:r>
        <w:rPr/>
        <w:t> </w:t>
      </w:r>
      <w:r>
        <w:rPr>
          <w:spacing w:val="-2"/>
        </w:rPr>
        <w:t>因买卖合同货款纠纷，汇美卓信公司向重庆市渝北区人民法院提起诉讼，重庆南天在接到法院传票后对汇美卓信公司与重庆</w:t>
      </w:r>
      <w:r>
        <w:rPr>
          <w:spacing w:val="-64"/>
        </w:rPr>
        <w:t> </w:t>
      </w:r>
      <w:r>
        <w:rPr>
          <w:spacing w:val="-64"/>
        </w:rPr>
      </w:r>
      <w:r>
        <w:rPr/>
        <w:t>南天货款纠纷一案提起了反诉。具体详见公司于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22</w:t>
      </w:r>
      <w:r>
        <w:rPr/>
        <w:t>日《证券时报》、《中国证券报》及巨潮资讯网</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1"/>
        </w:rPr>
        <w:t>（</w:t>
      </w:r>
      <w:hyperlink r:id="rId8">
        <w:r>
          <w:rPr>
            <w:rFonts w:ascii="Times New Roman" w:hAnsi="Times New Roman" w:cs="Times New Roman" w:eastAsia="Times New Roman" w:hint="default"/>
            <w:spacing w:val="-1"/>
          </w:rPr>
          <w:t>www.cninfo.com.cn</w:t>
        </w:r>
      </w:hyperlink>
      <w:r>
        <w:rPr>
          <w:spacing w:val="-1"/>
        </w:rPr>
        <w:t>）上披露的《关于涉及诉讼的公告》。一审宣判后，重庆南天对一审判决提起上诉。</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17</w:t>
      </w:r>
      <w:r>
        <w:rPr>
          <w:spacing w:val="-1"/>
        </w:rPr>
        <w:t>日，</w:t>
      </w:r>
      <w:r>
        <w:rPr>
          <w:spacing w:val="-45"/>
        </w:rPr>
        <w:t> </w:t>
      </w:r>
      <w:r>
        <w:rPr/>
        <w:t>重庆南天收到重庆市第一中级人民法院（</w:t>
      </w:r>
      <w:r>
        <w:rPr>
          <w:rFonts w:ascii="Times New Roman" w:hAnsi="Times New Roman" w:cs="Times New Roman" w:eastAsia="Times New Roman" w:hint="default"/>
        </w:rPr>
        <w:t>2015</w:t>
      </w:r>
      <w:r>
        <w:rPr/>
        <w:t>）渝一中法民终字第 </w:t>
      </w:r>
      <w:r>
        <w:rPr>
          <w:rFonts w:ascii="Times New Roman" w:hAnsi="Times New Roman" w:cs="Times New Roman" w:eastAsia="Times New Roman" w:hint="default"/>
        </w:rPr>
        <w:t>04965</w:t>
      </w:r>
      <w:r>
        <w:rPr>
          <w:rFonts w:ascii="Times New Roman" w:hAnsi="Times New Roman" w:cs="Times New Roman" w:eastAsia="Times New Roman" w:hint="default"/>
          <w:spacing w:val="8"/>
        </w:rPr>
        <w:t> </w:t>
      </w:r>
      <w:r>
        <w:rPr/>
        <w:t>号民事判决书。判决驳回上诉，维持原判。具体</w:t>
      </w:r>
      <w:r>
        <w:rPr>
          <w:w w:val="99"/>
        </w:rPr>
        <w:t> </w:t>
      </w:r>
      <w:r>
        <w:rPr/>
        <w:t>情况详见公司于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日在《证券时报》、《中国证券报》及巨潮资讯网（</w:t>
      </w:r>
      <w:hyperlink r:id="rId8">
        <w:r>
          <w:rPr>
            <w:rFonts w:ascii="Times New Roman" w:hAnsi="Times New Roman" w:cs="Times New Roman" w:eastAsia="Times New Roman" w:hint="default"/>
          </w:rPr>
          <w:t>www.cninfo.com.cn</w:t>
        </w:r>
      </w:hyperlink>
      <w:r>
        <w:rPr/>
        <w:t>）上披露的《诉讼事 项进展公告》。</w:t>
      </w:r>
    </w:p>
    <w:p>
      <w:pPr>
        <w:pStyle w:val="BodyText"/>
        <w:spacing w:line="302" w:lineRule="auto" w:before="150"/>
        <w:ind w:right="1036" w:firstLine="362"/>
        <w:jc w:val="left"/>
      </w:pPr>
      <w:r>
        <w:rPr>
          <w:rFonts w:ascii="Times New Roman" w:hAnsi="Times New Roman" w:cs="Times New Roman" w:eastAsia="Times New Roman" w:hint="default"/>
          <w:spacing w:val="-3"/>
        </w:rPr>
        <w:t>2</w:t>
      </w:r>
      <w:r>
        <w:rPr>
          <w:spacing w:val="-3"/>
        </w:rPr>
        <w:t>、本公司于</w:t>
      </w:r>
      <w:r>
        <w:rPr>
          <w:spacing w:val="-3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32"/>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月与福建三元达软件有限公司（以下简称</w:t>
      </w:r>
      <w:r>
        <w:rPr>
          <w:rFonts w:ascii="Times New Roman" w:hAnsi="Times New Roman" w:cs="Times New Roman" w:eastAsia="Times New Roman" w:hint="default"/>
        </w:rPr>
        <w:t>“</w:t>
      </w:r>
      <w:r>
        <w:rPr/>
        <w:t>三元达公司</w:t>
      </w:r>
      <w:r>
        <w:rPr>
          <w:rFonts w:ascii="Times New Roman" w:hAnsi="Times New Roman" w:cs="Times New Roman" w:eastAsia="Times New Roman" w:hint="default"/>
        </w:rPr>
        <w:t>”</w:t>
      </w:r>
      <w:r>
        <w:rPr/>
        <w:t>）签署了《战略合作协议》，本公司之 全资子公司重庆南天数据资讯服务有限公司（以下简称</w:t>
      </w:r>
      <w:r>
        <w:rPr>
          <w:rFonts w:ascii="Times New Roman" w:hAnsi="Times New Roman" w:cs="Times New Roman" w:eastAsia="Times New Roman" w:hint="default"/>
        </w:rPr>
        <w:t>“</w:t>
      </w:r>
      <w:r>
        <w:rPr/>
        <w:t>重庆南天</w:t>
      </w:r>
      <w:r>
        <w:rPr>
          <w:rFonts w:ascii="Times New Roman" w:hAnsi="Times New Roman" w:cs="Times New Roman" w:eastAsia="Times New Roman" w:hint="default"/>
        </w:rPr>
        <w:t>”</w:t>
      </w:r>
      <w:r>
        <w:rPr/>
        <w:t>）与三元达公司于</w:t>
      </w:r>
      <w:r>
        <w:rPr>
          <w:rFonts w:ascii="Times New Roman" w:hAnsi="Times New Roman" w:cs="Times New Roman" w:eastAsia="Times New Roman" w:hint="default"/>
        </w:rPr>
        <w:t>2011</w:t>
      </w:r>
      <w:r>
        <w:rPr>
          <w:rFonts w:ascii="Times New Roman" w:hAnsi="Times New Roman" w:cs="Times New Roman" w:eastAsia="Times New Roman" w:hint="default"/>
          <w:spacing w:val="36"/>
        </w:rPr>
        <w:t> </w:t>
      </w:r>
      <w:r>
        <w:rPr/>
        <w:t>年</w:t>
      </w:r>
      <w:r>
        <w:rPr>
          <w:spacing w:val="-8"/>
        </w:rPr>
        <w:t> </w:t>
      </w:r>
      <w:r>
        <w:rPr>
          <w:rFonts w:ascii="Times New Roman" w:hAnsi="Times New Roman" w:cs="Times New Roman" w:eastAsia="Times New Roman" w:hint="default"/>
        </w:rPr>
        <w:t>4</w:t>
      </w:r>
      <w:r>
        <w:rPr>
          <w:rFonts w:ascii="Times New Roman" w:hAnsi="Times New Roman" w:cs="Times New Roman" w:eastAsia="Times New Roman" w:hint="default"/>
          <w:spacing w:val="35"/>
        </w:rPr>
        <w:t> </w:t>
      </w:r>
      <w:r>
        <w:rPr/>
        <w:t>月</w:t>
      </w:r>
      <w:r>
        <w:rPr>
          <w:spacing w:val="-8"/>
        </w:rPr>
        <w:t> </w:t>
      </w:r>
      <w:r>
        <w:rPr>
          <w:rFonts w:ascii="Times New Roman" w:hAnsi="Times New Roman" w:cs="Times New Roman" w:eastAsia="Times New Roman" w:hint="default"/>
        </w:rPr>
        <w:t>15</w:t>
      </w:r>
      <w:r>
        <w:rPr>
          <w:rFonts w:ascii="Times New Roman" w:hAnsi="Times New Roman" w:cs="Times New Roman" w:eastAsia="Times New Roman" w:hint="default"/>
          <w:spacing w:val="35"/>
        </w:rPr>
        <w:t> </w:t>
      </w:r>
      <w:r>
        <w:rPr/>
        <w:t>日签订《</w:t>
      </w:r>
      <w:r>
        <w:rPr>
          <w:rFonts w:ascii="Times New Roman" w:hAnsi="Times New Roman" w:cs="Times New Roman" w:eastAsia="Times New Roman" w:hint="default"/>
        </w:rPr>
        <w:t>ODM</w:t>
      </w:r>
      <w:r>
        <w:rPr>
          <w:rFonts w:ascii="Times New Roman" w:hAnsi="Times New Roman" w:cs="Times New Roman" w:eastAsia="Times New Roman" w:hint="default"/>
          <w:spacing w:val="37"/>
        </w:rPr>
        <w:t> </w:t>
      </w:r>
      <w:r>
        <w:rPr/>
        <w:t>采购</w:t>
      </w:r>
      <w:r>
        <w:rPr>
          <w:spacing w:val="-80"/>
        </w:rPr>
        <w:t> </w:t>
      </w:r>
      <w:r>
        <w:rPr>
          <w:spacing w:val="-2"/>
        </w:rPr>
        <w:t>协议》，因买卖合同货款纠纷，三元达公司向福州市鼓楼区人民法院提起诉讼，重庆南天在接到法院传票后对三元达公司与</w:t>
      </w:r>
      <w:r>
        <w:rPr>
          <w:spacing w:val="-66"/>
        </w:rPr>
        <w:t> </w:t>
      </w:r>
      <w:r>
        <w:rPr>
          <w:spacing w:val="-66"/>
        </w:rPr>
      </w:r>
      <w:r>
        <w:rPr/>
        <w:t>重庆南天货款纠纷一案提起了反诉。</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月，公司收到福州市鼓楼区人民法院（</w:t>
      </w:r>
      <w:r>
        <w:rPr>
          <w:rFonts w:ascii="Times New Roman" w:hAnsi="Times New Roman" w:cs="Times New Roman" w:eastAsia="Times New Roman" w:hint="default"/>
        </w:rPr>
        <w:t>2013</w:t>
      </w:r>
      <w:r>
        <w:rPr/>
        <w:t>）鼓民初字第</w:t>
      </w:r>
      <w:r>
        <w:rPr>
          <w:rFonts w:ascii="Times New Roman" w:hAnsi="Times New Roman" w:cs="Times New Roman" w:eastAsia="Times New Roman" w:hint="default"/>
        </w:rPr>
        <w:t>4831</w:t>
      </w:r>
      <w:r>
        <w:rPr/>
        <w:t>号一审判决。具</w:t>
      </w:r>
      <w:r>
        <w:rPr>
          <w:spacing w:val="-83"/>
        </w:rPr>
        <w:t> </w:t>
      </w:r>
      <w:r>
        <w:rPr>
          <w:spacing w:val="-83"/>
        </w:rPr>
      </w:r>
      <w:r>
        <w:rPr/>
        <w:t>体情况详见公司分别于 </w:t>
      </w:r>
      <w:r>
        <w:rPr>
          <w:rFonts w:ascii="Times New Roman" w:hAnsi="Times New Roman" w:cs="Times New Roman" w:eastAsia="Times New Roman" w:hint="default"/>
        </w:rPr>
        <w:t>2015 </w:t>
      </w:r>
      <w:r>
        <w:rPr>
          <w:spacing w:val="-6"/>
        </w:rPr>
        <w:t>年</w:t>
      </w:r>
      <w:r>
        <w:rPr>
          <w:rFonts w:ascii="Times New Roman" w:hAnsi="Times New Roman" w:cs="Times New Roman" w:eastAsia="Times New Roman" w:hint="default"/>
          <w:spacing w:val="-6"/>
        </w:rPr>
        <w:t>5</w:t>
      </w:r>
      <w:r>
        <w:rPr>
          <w:spacing w:val="-6"/>
        </w:rPr>
        <w:t>月</w:t>
      </w:r>
      <w:r>
        <w:rPr>
          <w:rFonts w:ascii="Times New Roman" w:hAnsi="Times New Roman" w:cs="Times New Roman" w:eastAsia="Times New Roman" w:hint="default"/>
          <w:spacing w:val="-6"/>
        </w:rPr>
        <w:t>22</w:t>
      </w:r>
      <w:r>
        <w:rPr>
          <w:spacing w:val="-6"/>
        </w:rPr>
        <w:t>日、</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6"/>
        </w:rPr>
        <w:t> </w:t>
      </w:r>
      <w:r>
        <w:rPr>
          <w:spacing w:val="-8"/>
          <w:w w:val="99"/>
        </w:rPr>
        <w:t>年</w:t>
      </w:r>
      <w:r>
        <w:rPr>
          <w:rFonts w:ascii="Times New Roman" w:hAnsi="Times New Roman" w:cs="Times New Roman" w:eastAsia="Times New Roman" w:hint="default"/>
          <w:spacing w:val="-8"/>
          <w:w w:val="99"/>
        </w:rPr>
        <w:t>7</w:t>
      </w:r>
      <w:r>
        <w:rPr>
          <w:spacing w:val="-8"/>
          <w:w w:val="99"/>
        </w:rPr>
        <w:t>月</w:t>
      </w:r>
      <w:r>
        <w:rPr>
          <w:rFonts w:ascii="Times New Roman" w:hAnsi="Times New Roman" w:cs="Times New Roman" w:eastAsia="Times New Roman" w:hint="default"/>
          <w:spacing w:val="-8"/>
          <w:w w:val="99"/>
        </w:rPr>
        <w:t>15</w:t>
      </w:r>
      <w:r>
        <w:rPr>
          <w:spacing w:val="-8"/>
          <w:w w:val="99"/>
        </w:rPr>
        <w:t>日在《证券时报》、《中国证券报》及巨潮资讯网（</w:t>
      </w:r>
      <w:hyperlink r:id="rId8">
        <w:r>
          <w:rPr>
            <w:rFonts w:ascii="Times New Roman" w:hAnsi="Times New Roman" w:cs="Times New Roman" w:eastAsia="Times New Roman" w:hint="default"/>
            <w:spacing w:val="-8"/>
            <w:w w:val="99"/>
          </w:rPr>
          <w:t>www.cninfo.com.cn</w:t>
        </w:r>
      </w:hyperlink>
      <w:r>
        <w:rPr>
          <w:spacing w:val="-8"/>
          <w:w w:val="99"/>
        </w:rPr>
        <w:t>）</w:t>
      </w:r>
      <w:r>
        <w:rPr>
          <w:w w:val="99"/>
        </w:rPr>
        <w:t> </w:t>
      </w:r>
      <w:r>
        <w:rPr>
          <w:spacing w:val="-3"/>
        </w:rPr>
        <w:t>上披露的《关于涉及诉讼的公告》及《诉讼事项进展公告》。</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23</w:t>
      </w:r>
      <w:r>
        <w:rPr>
          <w:spacing w:val="-3"/>
        </w:rPr>
        <w:t>日，公司收到福建省福州市中级人民法院（</w:t>
      </w:r>
      <w:r>
        <w:rPr>
          <w:rFonts w:ascii="Times New Roman" w:hAnsi="Times New Roman" w:cs="Times New Roman" w:eastAsia="Times New Roman" w:hint="default"/>
          <w:spacing w:val="-3"/>
        </w:rPr>
        <w:t>2015</w:t>
      </w:r>
      <w:r>
        <w:rPr>
          <w:spacing w:val="-3"/>
        </w:rPr>
        <w:t>）</w:t>
      </w:r>
      <w:r>
        <w:rPr>
          <w:spacing w:val="-82"/>
        </w:rPr>
        <w:t> </w:t>
      </w:r>
      <w:r>
        <w:rPr/>
        <w:t>榕民终字第</w:t>
      </w:r>
      <w:r>
        <w:rPr>
          <w:rFonts w:ascii="Times New Roman" w:hAnsi="Times New Roman" w:cs="Times New Roman" w:eastAsia="Times New Roman" w:hint="default"/>
        </w:rPr>
        <w:t>4170 </w:t>
      </w:r>
      <w:r>
        <w:rPr/>
        <w:t>号民事判决书。判决驳回上诉，维持原判。具体情况详见公司于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日在《证券时报》、《中国</w:t>
      </w:r>
      <w:r>
        <w:rPr>
          <w:spacing w:val="-86"/>
        </w:rPr>
        <w:t> </w:t>
      </w:r>
      <w:r>
        <w:rPr>
          <w:spacing w:val="-86"/>
        </w:rPr>
      </w:r>
      <w:r>
        <w:rPr/>
        <w:t>证券报》及巨潮资讯网（</w:t>
      </w:r>
      <w:hyperlink r:id="rId8">
        <w:r>
          <w:rPr>
            <w:rFonts w:ascii="Times New Roman" w:hAnsi="Times New Roman" w:cs="Times New Roman" w:eastAsia="Times New Roman" w:hint="default"/>
          </w:rPr>
          <w:t>www.cninfo.com.cn</w:t>
        </w:r>
      </w:hyperlink>
      <w:r>
        <w:rPr/>
        <w:t>）上披露的《诉讼事项进展公告》。</w:t>
      </w:r>
    </w:p>
    <w:p>
      <w:pPr>
        <w:pStyle w:val="BodyText"/>
        <w:spacing w:line="300" w:lineRule="auto" w:before="131"/>
        <w:ind w:right="1053" w:firstLine="290"/>
        <w:jc w:val="left"/>
      </w:pPr>
      <w:r>
        <w:rPr>
          <w:rFonts w:ascii="Times New Roman" w:hAnsi="Times New Roman" w:cs="Times New Roman" w:eastAsia="Times New Roman" w:hint="default"/>
        </w:rPr>
        <w:t>3</w:t>
      </w:r>
      <w:r>
        <w:rPr/>
        <w:t>、本公司控股子公司上海南天电脑系统有限公司（以下简称</w:t>
      </w:r>
      <w:r>
        <w:rPr>
          <w:rFonts w:ascii="Times New Roman" w:hAnsi="Times New Roman" w:cs="Times New Roman" w:eastAsia="Times New Roman" w:hint="default"/>
        </w:rPr>
        <w:t>“</w:t>
      </w:r>
      <w:r>
        <w:rPr/>
        <w:t>上海南天</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日与佳杰科技（上海）有限公 司（以下简称</w:t>
      </w:r>
      <w:r>
        <w:rPr>
          <w:rFonts w:ascii="Times New Roman" w:hAnsi="Times New Roman" w:cs="Times New Roman" w:eastAsia="Times New Roman" w:hint="default"/>
        </w:rPr>
        <w:t>“</w:t>
      </w:r>
      <w:r>
        <w:rPr/>
        <w:t>佳杰科技</w:t>
      </w:r>
      <w:r>
        <w:rPr>
          <w:rFonts w:ascii="Times New Roman" w:hAnsi="Times New Roman" w:cs="Times New Roman" w:eastAsia="Times New Roman" w:hint="default"/>
        </w:rPr>
        <w:t>”</w:t>
      </w:r>
      <w:r>
        <w:rPr/>
        <w:t>）签署了货物买卖合同，因佳杰科技履行合同的要求尚未达到付款条件，上海南天暂缓支付货款， </w:t>
      </w:r>
      <w:r>
        <w:rPr>
          <w:spacing w:val="-2"/>
        </w:rPr>
        <w:t>佳杰科技公司就货款纠纷向上海市长宁区人民法院提起诉讼，上海南天按时前往法院参加了诉讼。具体情况详见公司于</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4"/>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日在《证券时报》、《中国证券报》及巨潮资讯网（</w:t>
      </w:r>
      <w:hyperlink r:id="rId8">
        <w:r>
          <w:rPr>
            <w:rFonts w:ascii="Times New Roman" w:hAnsi="Times New Roman" w:cs="Times New Roman" w:eastAsia="Times New Roman" w:hint="default"/>
          </w:rPr>
          <w:t>www.cninfo.com.cn</w:t>
        </w:r>
      </w:hyperlink>
      <w:r>
        <w:rPr/>
        <w:t>）上披露的《关于涉及诉讼的公告》。</w:t>
      </w:r>
      <w:r>
        <w:rPr>
          <w:rFonts w:ascii="Times New Roman" w:hAnsi="Times New Roman" w:cs="Times New Roman" w:eastAsia="Times New Roman" w:hint="default"/>
        </w:rPr>
        <w:t>2015</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日，公司收到上海市长宁区人民法院（</w:t>
      </w:r>
      <w:r>
        <w:rPr>
          <w:rFonts w:ascii="Times New Roman" w:hAnsi="Times New Roman" w:cs="Times New Roman" w:eastAsia="Times New Roman" w:hint="default"/>
        </w:rPr>
        <w:t>2015</w:t>
      </w:r>
      <w:r>
        <w:rPr/>
        <w:t>）长民二（商）初字第 </w:t>
      </w:r>
      <w:r>
        <w:rPr>
          <w:rFonts w:ascii="Times New Roman" w:hAnsi="Times New Roman" w:cs="Times New Roman" w:eastAsia="Times New Roman" w:hint="default"/>
        </w:rPr>
        <w:t>8684</w:t>
      </w:r>
      <w:r>
        <w:rPr>
          <w:rFonts w:ascii="Times New Roman" w:hAnsi="Times New Roman" w:cs="Times New Roman" w:eastAsia="Times New Roman" w:hint="default"/>
          <w:spacing w:val="-26"/>
        </w:rPr>
        <w:t> </w:t>
      </w:r>
      <w:r>
        <w:rPr/>
        <w:t>号民事判决书。判决上海南天应于本判决</w:t>
      </w:r>
      <w:r>
        <w:rPr>
          <w:w w:val="99"/>
        </w:rPr>
        <w:t> </w:t>
      </w:r>
      <w:r>
        <w:rPr>
          <w:spacing w:val="-2"/>
        </w:rPr>
        <w:t>生效之日起十日内向原告佳杰科技公司支付逾期付款的违约金（以人民币</w:t>
      </w:r>
      <w:r>
        <w:rPr>
          <w:rFonts w:ascii="Times New Roman" w:hAnsi="Times New Roman" w:cs="Times New Roman" w:eastAsia="Times New Roman" w:hint="default"/>
          <w:spacing w:val="-2"/>
        </w:rPr>
        <w:t>680</w:t>
      </w:r>
      <w:r>
        <w:rPr>
          <w:spacing w:val="-2"/>
        </w:rPr>
        <w:t>万元为基数），自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24</w:t>
      </w:r>
      <w:r>
        <w:rPr>
          <w:spacing w:val="-2"/>
        </w:rPr>
        <w:t>日起至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6"/>
        </w:rPr>
        <w:t> </w:t>
      </w:r>
      <w:r>
        <w:rPr>
          <w:spacing w:val="5"/>
        </w:rPr>
        <w:t>月</w:t>
      </w:r>
      <w:r>
        <w:rPr>
          <w:rFonts w:ascii="Times New Roman" w:hAnsi="Times New Roman" w:cs="Times New Roman" w:eastAsia="Times New Roman" w:hint="default"/>
          <w:spacing w:val="5"/>
        </w:rPr>
        <w:t>16</w:t>
      </w:r>
      <w:r>
        <w:rPr>
          <w:spacing w:val="5"/>
        </w:rPr>
        <w:t>日止，按每日</w:t>
      </w:r>
      <w:r>
        <w:rPr>
          <w:rFonts w:ascii="Times New Roman" w:hAnsi="Times New Roman" w:cs="Times New Roman" w:eastAsia="Times New Roman" w:hint="default"/>
          <w:spacing w:val="5"/>
        </w:rPr>
        <w:t>0.05%</w:t>
      </w:r>
      <w:r>
        <w:rPr>
          <w:spacing w:val="5"/>
        </w:rPr>
        <w:t>计算）。具体情况详见公司于</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25</w:t>
      </w:r>
      <w:r>
        <w:rPr>
          <w:spacing w:val="5"/>
        </w:rPr>
        <w:t>日在《证券时报》、《中国证券报》及巨潮资讯网</w:t>
      </w:r>
    </w:p>
    <w:p>
      <w:pPr>
        <w:pStyle w:val="BodyText"/>
        <w:spacing w:line="240" w:lineRule="auto" w:before="13"/>
        <w:ind w:left="154" w:right="0"/>
        <w:jc w:val="left"/>
      </w:pPr>
      <w:r>
        <w:rPr/>
        <w:t>（</w:t>
      </w:r>
      <w:hyperlink r:id="rId8">
        <w:r>
          <w:rPr>
            <w:rFonts w:ascii="Times New Roman" w:hAnsi="Times New Roman" w:cs="Times New Roman" w:eastAsia="Times New Roman" w:hint="default"/>
          </w:rPr>
          <w:t>www.cninfo.com.cn</w:t>
        </w:r>
      </w:hyperlink>
      <w:r>
        <w:rPr/>
        <w:t>）上披露的《诉讼事项进展公告》。</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二十、社会责任情况" w:id="103"/>
      <w:bookmarkEnd w:id="103"/>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十一、公司债券相关情况" w:id="104"/>
      <w:bookmarkEnd w:id="104"/>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5" w:id="105"/>
      <w:bookmarkStart w:name="第六节 股份变动及股东情况" w:id="106"/>
      <w:r>
        <w:rPr>
          <w:b w:val="0"/>
          <w:bCs w:val="0"/>
        </w:rPr>
      </w:r>
      <w:r>
        <w:rPr/>
        <w:t>第六节</w:t>
      </w:r>
      <w:r>
        <w:rPr>
          <w:spacing w:val="-10"/>
        </w:rPr>
        <w:t> </w:t>
      </w:r>
      <w:r>
        <w:rPr/>
        <w:t>股份变动及股东情况</w:t>
      </w:r>
      <w:bookmarkEnd w:id="10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15,437,60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6.26%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-181,045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-181,045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6.18%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6.08%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6.08%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437,602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-181,045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-181,045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256,557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437,602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-181,045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-181,045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256,557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231,168,4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93.74%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181,045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181,045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231,349,4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93.81%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231,168,4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93.74%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181,045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181,045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231,349,4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93.81%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246,606,0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246,606,0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319" w:lineRule="auto" w:before="117"/>
        <w:ind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报告期内，公司限售股份减少</w:t>
      </w:r>
      <w:r>
        <w:rPr>
          <w:rFonts w:ascii="Times New Roman" w:hAnsi="Times New Roman" w:cs="Times New Roman" w:eastAsia="Times New Roman" w:hint="default"/>
        </w:rPr>
        <w:t>181,045</w:t>
      </w:r>
      <w:r>
        <w:rPr/>
        <w:t>股，其中</w:t>
      </w:r>
      <w:r>
        <w:rPr>
          <w:rFonts w:ascii="Times New Roman" w:hAnsi="Times New Roman" w:cs="Times New Roman" w:eastAsia="Times New Roman" w:hint="default"/>
        </w:rPr>
        <w:t>109,327</w:t>
      </w:r>
      <w:r>
        <w:rPr/>
        <w:t>股是公司董事、监事、高级管理人员所持限售股份在年初</w:t>
      </w:r>
      <w:r>
        <w:rPr>
          <w:rFonts w:ascii="Times New Roman" w:hAnsi="Times New Roman" w:cs="Times New Roman" w:eastAsia="Times New Roman" w:hint="default"/>
        </w:rPr>
        <w:t>25%</w:t>
      </w:r>
      <w:r>
        <w:rPr/>
        <w:t>解除限 售后进行了转让；</w:t>
      </w:r>
      <w:r>
        <w:rPr>
          <w:spacing w:val="-18"/>
        </w:rPr>
        <w:t> </w:t>
      </w:r>
      <w:r>
        <w:rPr/>
        <w:t>剩余的</w:t>
      </w:r>
      <w:r>
        <w:rPr>
          <w:rFonts w:ascii="Times New Roman" w:hAnsi="Times New Roman" w:cs="Times New Roman" w:eastAsia="Times New Roman" w:hint="default"/>
        </w:rPr>
        <w:t>71,718</w:t>
      </w:r>
      <w:r>
        <w:rPr/>
        <w:t>股，主要是公司原副董事长张锦鸿先生、原高管姜东先生离职半年后，年初所持的有限售</w:t>
      </w:r>
    </w:p>
    <w:p>
      <w:pPr>
        <w:pStyle w:val="BodyText"/>
        <w:spacing w:line="360" w:lineRule="auto"/>
        <w:ind w:right="9133"/>
        <w:jc w:val="left"/>
      </w:pPr>
      <w:r>
        <w:rPr/>
        <w:t>条件股份解禁。 股份变动的批准情况</w:t>
      </w:r>
    </w:p>
    <w:p>
      <w:pPr>
        <w:pStyle w:val="BodyText"/>
        <w:spacing w:line="338" w:lineRule="auto" w:before="2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138"/>
        <w:jc w:val="right"/>
      </w:pPr>
      <w:r>
        <w:rPr/>
        <w:pict>
          <v:shape style="position:absolute;margin-left:56.459999pt;margin-top:-36.568272pt;width:479.25pt;height:377.3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8"/>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1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78,750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高管锁定股份</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 董事所持股份每 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，即 </w:t>
                        </w:r>
                        <w:r>
                          <w:rPr>
                            <w:rFonts w:ascii="Times New Roman" w:hAnsi="Times New Roman" w:cs="Times New Roman" w:eastAsia="Times New Roman" w:hint="default"/>
                            <w:sz w:val="18"/>
                            <w:szCs w:val="18"/>
                          </w:rPr>
                          <w:t>19,688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股解除限</w:t>
                        </w:r>
                      </w:p>
                      <w:p>
                        <w:pPr>
                          <w:pStyle w:val="TableParagraph"/>
                          <w:spacing w:line="240" w:lineRule="auto" w:before="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售；</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日，董事离</w:t>
                        </w:r>
                        <w:r>
                          <w:rPr>
                            <w:rFonts w:ascii="宋体" w:hAnsi="宋体" w:cs="宋体" w:eastAsia="宋体" w:hint="default"/>
                            <w:sz w:val="18"/>
                            <w:szCs w:val="18"/>
                          </w:rPr>
                          <w:t> 职半年后所持股 份全部解锁，即 </w:t>
                        </w:r>
                        <w:r>
                          <w:rPr>
                            <w:rFonts w:ascii="Times New Roman" w:hAnsi="Times New Roman" w:cs="Times New Roman" w:eastAsia="Times New Roman" w:hint="default"/>
                            <w:sz w:val="18"/>
                            <w:szCs w:val="18"/>
                          </w:rPr>
                          <w:t>78,750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股解除限 售。</w:t>
                        </w:r>
                      </w:p>
                    </w:tc>
                  </w:tr>
                  <w:tr>
                    <w:trPr>
                      <w:trHeight w:val="321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16,875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高管锁定股份</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 高管所持股份每 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，即 </w:t>
                        </w:r>
                        <w:r>
                          <w:rPr>
                            <w:rFonts w:ascii="Times New Roman" w:hAnsi="Times New Roman" w:cs="Times New Roman" w:eastAsia="Times New Roman" w:hint="default"/>
                            <w:sz w:val="18"/>
                            <w:szCs w:val="18"/>
                          </w:rPr>
                          <w:t>4,219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股解除限 </w:t>
                        </w:r>
                        <w:r>
                          <w:rPr>
                            <w:rFonts w:ascii="宋体" w:hAnsi="宋体" w:cs="宋体" w:eastAsia="宋体" w:hint="default"/>
                            <w:spacing w:val="-3"/>
                            <w:sz w:val="18"/>
                            <w:szCs w:val="18"/>
                          </w:rPr>
                          <w:t>售；</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日，高管离职</w:t>
                        </w:r>
                        <w:r>
                          <w:rPr>
                            <w:rFonts w:ascii="宋体" w:hAnsi="宋体" w:cs="宋体" w:eastAsia="宋体" w:hint="default"/>
                            <w:sz w:val="18"/>
                            <w:szCs w:val="18"/>
                          </w:rPr>
                          <w:t> 半年后所持股份 全部解锁，即 </w:t>
                        </w:r>
                        <w:r>
                          <w:rPr>
                            <w:rFonts w:ascii="Times New Roman" w:hAnsi="Times New Roman" w:cs="Times New Roman" w:eastAsia="Times New Roman" w:hint="default"/>
                            <w:sz w:val="18"/>
                            <w:szCs w:val="18"/>
                          </w:rPr>
                          <w:t>16,875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股解除限 售。</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6"/>
        <w:ind w:left="154"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55.937012pt;margin-top:70.491699pt;width:79pt;height:31.2pt;mso-position-horizontal-relative:page;mso-position-vertical-relative:paragraph;z-index:-1050880"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9.119995pt;margin-top:70.491699pt;width:45.8pt;height:31.2pt;mso-position-horizontal-relative:page;mso-position-vertical-relative:paragraph;z-index:-1050856" coordorigin="9782,1410" coordsize="916,624">
            <v:shape style="position:absolute;left:9782;top:1410;width:916;height:624" coordorigin="9782,1410" coordsize="916,624" path="m9782,2034l10698,2034,10698,1410,9782,1410,9782,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268"/>
        <w:gridCol w:w="940"/>
        <w:gridCol w:w="472"/>
        <w:gridCol w:w="810"/>
        <w:gridCol w:w="764"/>
        <w:gridCol w:w="344"/>
        <w:gridCol w:w="445"/>
        <w:gridCol w:w="786"/>
        <w:gridCol w:w="208"/>
        <w:gridCol w:w="632"/>
        <w:gridCol w:w="455"/>
        <w:gridCol w:w="895"/>
        <w:gridCol w:w="412"/>
        <w:gridCol w:w="446"/>
        <w:gridCol w:w="491"/>
      </w:tblGrid>
      <w:tr>
        <w:trPr>
          <w:trHeight w:val="162" w:hRule="exact"/>
        </w:trPr>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57,359</w:t>
            </w:r>
          </w:p>
        </w:tc>
        <w:tc>
          <w:tcPr>
            <w:tcW w:w="1282" w:type="dxa"/>
            <w:gridSpan w:val="2"/>
            <w:vMerge w:val="restart"/>
            <w:tcBorders>
              <w:top w:val="single" w:sz="4" w:space="0" w:color="000000"/>
              <w:left w:val="single" w:sz="4" w:space="0" w:color="000000"/>
              <w:right w:val="single" w:sz="4" w:space="0" w:color="000000"/>
            </w:tcBorders>
            <w:shd w:val="clear" w:color="auto" w:fill="D2D2D2"/>
          </w:tcPr>
          <w:p>
            <w:pPr/>
          </w:p>
        </w:tc>
        <w:tc>
          <w:tcPr>
            <w:tcW w:w="110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54,670</w:t>
            </w:r>
          </w:p>
        </w:tc>
        <w:tc>
          <w:tcPr>
            <w:tcW w:w="143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46" w:type="dxa"/>
            <w:tcBorders>
              <w:top w:val="single" w:sz="4" w:space="0" w:color="000000"/>
              <w:left w:val="single" w:sz="13" w:space="0" w:color="D2D2D2"/>
              <w:bottom w:val="nil" w:sz="6" w:space="0" w:color="auto"/>
              <w:right w:val="nil" w:sz="6" w:space="0" w:color="auto"/>
            </w:tcBorders>
          </w:tcPr>
          <w:p>
            <w:pPr/>
          </w:p>
        </w:tc>
        <w:tc>
          <w:tcPr>
            <w:tcW w:w="49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bottom w:val="nil" w:sz="6" w:space="0" w:color="auto"/>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4"/>
                <w:sz w:val="18"/>
                <w:szCs w:val="18"/>
              </w:rPr>
              <w:t>东总数（如有）（参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val="restart"/>
            <w:tcBorders>
              <w:top w:val="nil" w:sz="6" w:space="0" w:color="auto"/>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02"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bottom w:val="nil" w:sz="6" w:space="0" w:color="auto"/>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val="restart"/>
            <w:tcBorders>
              <w:top w:val="nil" w:sz="6" w:space="0" w:color="auto"/>
              <w:left w:val="single" w:sz="4" w:space="0" w:color="000000"/>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202"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282" w:type="dxa"/>
            <w:gridSpan w:val="2"/>
            <w:vMerge/>
            <w:tcBorders>
              <w:left w:val="single" w:sz="4" w:space="0" w:color="000000"/>
              <w:bottom w:val="single" w:sz="4" w:space="0" w:color="000000"/>
              <w:right w:val="single" w:sz="4" w:space="0" w:color="000000"/>
            </w:tcBorders>
            <w:shd w:val="clear" w:color="auto" w:fill="D2D2D2"/>
          </w:tcPr>
          <w:p>
            <w:pPr/>
          </w:p>
        </w:tc>
        <w:tc>
          <w:tcPr>
            <w:tcW w:w="1108" w:type="dxa"/>
            <w:gridSpan w:val="2"/>
            <w:vMerge/>
            <w:tcBorders>
              <w:left w:val="single" w:sz="9" w:space="0" w:color="D2D2D2"/>
              <w:bottom w:val="single" w:sz="4" w:space="0" w:color="000000"/>
              <w:right w:val="single" w:sz="9" w:space="0" w:color="D2D2D2"/>
            </w:tcBorders>
          </w:tcPr>
          <w:p>
            <w:pPr/>
          </w:p>
        </w:tc>
        <w:tc>
          <w:tcPr>
            <w:tcW w:w="143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9" w:space="0" w:color="D2D2D2"/>
              <w:bottom w:val="single" w:sz="4" w:space="0" w:color="000000"/>
              <w:right w:val="single" w:sz="9"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446" w:type="dxa"/>
            <w:vMerge/>
            <w:tcBorders>
              <w:left w:val="single" w:sz="13" w:space="0" w:color="D2D2D2"/>
              <w:bottom w:val="single" w:sz="4" w:space="0" w:color="000000"/>
              <w:right w:val="nil" w:sz="6" w:space="0" w:color="auto"/>
            </w:tcBorders>
          </w:tcPr>
          <w:p>
            <w:pPr/>
          </w:p>
        </w:tc>
        <w:tc>
          <w:tcPr>
            <w:tcW w:w="491"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810" w:type="dxa"/>
            <w:vMerge w:val="restart"/>
            <w:tcBorders>
              <w:top w:val="single" w:sz="4" w:space="0" w:color="000000"/>
              <w:left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2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53"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64"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40"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南天电子信息产 业集团公司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26.88%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66,289,43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-4,349,28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5,000,000</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61,289,43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49" w:type="dxa"/>
            <w:gridSpan w:val="2"/>
            <w:tcBorders>
              <w:top w:val="single" w:sz="48" w:space="0" w:color="D2D2D2"/>
              <w:left w:val="single" w:sz="4" w:space="0" w:color="000000"/>
              <w:bottom w:val="single" w:sz="4" w:space="0" w:color="000000"/>
              <w:right w:val="single" w:sz="4" w:space="0" w:color="000000"/>
            </w:tcBorders>
          </w:tcPr>
          <w:p>
            <w:pPr/>
          </w:p>
        </w:tc>
        <w:tc>
          <w:tcPr>
            <w:tcW w:w="1349" w:type="dxa"/>
            <w:gridSpan w:val="3"/>
            <w:tcBorders>
              <w:top w:val="single" w:sz="48" w:space="0" w:color="D2D2D2"/>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云南省工业投资 控股集团有限责 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9.27%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22,870,21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-3,629,78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12,870,21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份有限公司－汇 添富外延增长主 题股票型证券投 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0.86%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2,118,390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2,118,390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罗彬</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4"/>
              <w:jc w:val="right"/>
              <w:rPr>
                <w:rFonts w:ascii="Times New Roman" w:hAnsi="Times New Roman" w:cs="Times New Roman" w:eastAsia="Times New Roman" w:hint="default"/>
                <w:sz w:val="18"/>
                <w:szCs w:val="18"/>
              </w:rPr>
            </w:pPr>
            <w:r>
              <w:rPr>
                <w:rFonts w:ascii="Times New Roman"/>
                <w:sz w:val="18"/>
              </w:rPr>
              <w:t>0.69%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1,712,400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Times New Roman" w:hAnsi="Times New Roman" w:cs="Times New Roman" w:eastAsia="Times New Roman" w:hint="default"/>
                <w:sz w:val="18"/>
                <w:szCs w:val="18"/>
              </w:rPr>
            </w:pPr>
            <w:r>
              <w:rPr>
                <w:rFonts w:ascii="Times New Roman"/>
                <w:sz w:val="18"/>
              </w:rPr>
              <w:t>1,712,400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份有限公司－华 商价值共享灵活 配置混合型发起 式证券投资基金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0.61%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1,504,191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1,504,191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中国证券金融股 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0.52%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1,288,000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1,288,000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蒋丽霞</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4"/>
              <w:jc w:val="right"/>
              <w:rPr>
                <w:rFonts w:ascii="Times New Roman" w:hAnsi="Times New Roman" w:cs="Times New Roman" w:eastAsia="Times New Roman" w:hint="default"/>
                <w:sz w:val="18"/>
                <w:szCs w:val="18"/>
              </w:rPr>
            </w:pPr>
            <w:r>
              <w:rPr>
                <w:rFonts w:ascii="Times New Roman"/>
                <w:sz w:val="18"/>
              </w:rPr>
              <w:t>0.47%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1,157,100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Times New Roman" w:hAnsi="Times New Roman" w:cs="Times New Roman" w:eastAsia="Times New Roman" w:hint="default"/>
                <w:sz w:val="18"/>
                <w:szCs w:val="18"/>
              </w:rPr>
            </w:pPr>
            <w:r>
              <w:rPr>
                <w:rFonts w:ascii="Times New Roman"/>
                <w:sz w:val="18"/>
              </w:rPr>
              <w:t>1,157,100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中国银行股份有 限公司－华宝兴 业先进成长混合 型证券投资基金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0.36%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899,945</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899,945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74"/>
              <w:jc w:val="both"/>
              <w:rPr>
                <w:rFonts w:ascii="宋体" w:hAnsi="宋体" w:cs="宋体" w:eastAsia="宋体" w:hint="default"/>
                <w:sz w:val="18"/>
                <w:szCs w:val="18"/>
              </w:rPr>
            </w:pPr>
            <w:r>
              <w:rPr>
                <w:rFonts w:ascii="宋体" w:hAnsi="宋体" w:cs="宋体" w:eastAsia="宋体" w:hint="default"/>
                <w:sz w:val="18"/>
                <w:szCs w:val="18"/>
              </w:rPr>
              <w:t>中国银行股份有 限公司－华宝兴 业国策导向混合 型证券投资基金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0.32%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800,000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6"/>
        <w:gridCol w:w="840"/>
        <w:gridCol w:w="1349"/>
        <w:gridCol w:w="1349"/>
      </w:tblGrid>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0.24%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599,525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117225</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1" w:right="0"/>
              <w:jc w:val="left"/>
              <w:rPr>
                <w:rFonts w:ascii="Times New Roman" w:hAnsi="Times New Roman" w:cs="Times New Roman" w:eastAsia="Times New Roman" w:hint="default"/>
                <w:sz w:val="18"/>
                <w:szCs w:val="18"/>
              </w:rPr>
            </w:pPr>
            <w:r>
              <w:rPr>
                <w:rFonts w:ascii="Times New Roman"/>
                <w:sz w:val="18"/>
              </w:rPr>
              <w:t>599,525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19" w:lineRule="auto" w:before="51"/>
              <w:ind w:left="15" w:right="21"/>
              <w:jc w:val="both"/>
              <w:rPr>
                <w:rFonts w:ascii="宋体" w:hAnsi="宋体" w:cs="宋体" w:eastAsia="宋体" w:hint="default"/>
                <w:sz w:val="18"/>
                <w:szCs w:val="18"/>
              </w:rPr>
            </w:pPr>
            <w:r>
              <w:rPr>
                <w:rFonts w:ascii="宋体" w:hAnsi="宋体" w:cs="宋体" w:eastAsia="宋体" w:hint="default"/>
                <w:spacing w:val="-1"/>
                <w:sz w:val="18"/>
                <w:szCs w:val="18"/>
              </w:rPr>
              <w:t>上述股东中，公司已知南天电子信息产业集团公司是云南省工业投资控股集团有限责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任公司的全资子公司，故云南省工业投资控股集团有限责任公司、南天电子信息产业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集团公司属于一致行动人；未知其他股东是否属于《上市公司股东持股变动信息披露</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管理办法》中规定的一致行动人；也未知以上其他股东之间是否存在关联关系。</w:t>
            </w:r>
          </w:p>
        </w:tc>
      </w:tr>
      <w:tr>
        <w:trPr>
          <w:trHeight w:val="705"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317"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61,289,431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61,289,431</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 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12,870,213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12,870,213</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中国工商银行股份有限公司－汇添 富外延增长主题股票型证券投资基 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2,118,390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2,118,390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罗彬</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1,712,400</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中国建设银行股份有限公司－华商 价值共享灵活配置混合型发起式证 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1,504,191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1,504,191</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1,288,000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蒋丽霞</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1,157,100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1,157,100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中国银行股份有限公司－华宝兴业 先进成长混合型证券投资基金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899,945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899,945</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中国银行股份有限公司－华宝兴业 国策导向混合型证券投资基金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599,525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599,525</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9" w:lineRule="auto" w:before="51"/>
              <w:ind w:left="15" w:right="21"/>
              <w:jc w:val="both"/>
              <w:rPr>
                <w:rFonts w:ascii="宋体" w:hAnsi="宋体" w:cs="宋体" w:eastAsia="宋体" w:hint="default"/>
                <w:sz w:val="18"/>
                <w:szCs w:val="18"/>
              </w:rPr>
            </w:pPr>
            <w:r>
              <w:rPr>
                <w:rFonts w:ascii="宋体" w:hAnsi="宋体" w:cs="宋体" w:eastAsia="宋体" w:hint="default"/>
                <w:spacing w:val="-1"/>
                <w:sz w:val="18"/>
                <w:szCs w:val="18"/>
              </w:rPr>
              <w:t>上述股东中，公司已知南天电子信息产业集团公司是云南省工业投资控股集团有限责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任公司的全资子公司，故云南省工业投资控股集团有限责任公司、南天电子信息产业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集团公司属于一致行动人；未知其他股东是否属于《上市公司股东持股变动信息披露</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管理办法》中规定的一致行动人；也未知以上其他股东之间是否存在关联关系。</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公司自然人股东罗彬通过投资者信用账户持有公司股票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1,712,400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股；自然人股东蒋</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丽霞通过投资者信用账户持有公司股票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1,157,100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54" w:right="0"/>
        <w:jc w:val="left"/>
      </w:pPr>
      <w:r>
        <w:rPr/>
        <w:t>注</w:t>
      </w:r>
      <w:r>
        <w:rPr>
          <w:spacing w:val="-82"/>
        </w:rPr>
        <w:t>：</w:t>
      </w:r>
      <w:r>
        <w:rPr/>
        <w:t>南天电子信息产业集团公司持股数</w:t>
      </w:r>
      <w:r>
        <w:rPr>
          <w:spacing w:val="-46"/>
        </w:rPr>
        <w:t> </w:t>
      </w:r>
      <w:r>
        <w:rPr>
          <w:rFonts w:ascii="Times New Roman" w:hAnsi="Times New Roman" w:cs="Times New Roman" w:eastAsia="Times New Roman" w:hint="default"/>
        </w:rPr>
        <w:t>66,289,431 </w:t>
      </w:r>
      <w:r>
        <w:rPr/>
        <w:t>股中含有南天信息管理层委托南天电子信息产业集团公司通过其资产管理</w:t>
      </w:r>
    </w:p>
    <w:p>
      <w:pPr>
        <w:pStyle w:val="BodyText"/>
        <w:spacing w:line="240" w:lineRule="auto" w:before="64"/>
        <w:ind w:left="154" w:right="0"/>
        <w:jc w:val="left"/>
      </w:pPr>
      <w:r>
        <w:rPr/>
        <w:t>计划增持的股份</w:t>
      </w:r>
      <w:r>
        <w:rPr>
          <w:spacing w:val="-46"/>
        </w:rPr>
        <w:t> </w:t>
      </w:r>
      <w:r>
        <w:rPr>
          <w:rFonts w:ascii="Times New Roman" w:hAnsi="Times New Roman" w:cs="Times New Roman" w:eastAsia="Times New Roman" w:hint="default"/>
        </w:rPr>
        <w:t>17,447</w:t>
      </w:r>
      <w:r>
        <w:rPr>
          <w:rFonts w:ascii="Times New Roman" w:hAnsi="Times New Roman" w:cs="Times New Roman" w:eastAsia="Times New Roman" w:hint="default"/>
          <w:spacing w:val="-1"/>
        </w:rPr>
        <w:t> </w:t>
      </w:r>
      <w:r>
        <w:rPr/>
        <w:t>股。</w:t>
      </w:r>
    </w:p>
    <w:p>
      <w:pPr>
        <w:pStyle w:val="BodyText"/>
        <w:spacing w:line="240" w:lineRule="auto" w:before="102"/>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控股股东性质：地方国有控股 控股股东类型：法人</w:t>
      </w:r>
    </w:p>
    <w:tbl>
      <w:tblPr>
        <w:tblW w:w="0" w:type="auto"/>
        <w:jc w:val="left"/>
        <w:tblInd w:w="149" w:type="dxa"/>
        <w:tblLayout w:type="fixed"/>
        <w:tblCellMar>
          <w:top w:w="0" w:type="dxa"/>
          <w:left w:w="0" w:type="dxa"/>
          <w:bottom w:w="0" w:type="dxa"/>
          <w:right w:w="0" w:type="dxa"/>
        </w:tblCellMar>
        <w:tblLook w:val="01E0"/>
      </w:tblPr>
      <w:tblGrid>
        <w:gridCol w:w="2265"/>
        <w:gridCol w:w="1616"/>
        <w:gridCol w:w="1722"/>
        <w:gridCol w:w="1880"/>
        <w:gridCol w:w="2087"/>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21653146-8</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电子计算机、机床自动化 设备、</w:t>
            </w:r>
            <w:r>
              <w:rPr>
                <w:rFonts w:ascii="Times New Roman" w:hAnsi="Times New Roman" w:cs="Times New Roman" w:eastAsia="Times New Roman" w:hint="default"/>
                <w:sz w:val="18"/>
                <w:szCs w:val="18"/>
              </w:rPr>
              <w:t>"</w:t>
            </w:r>
            <w:r>
              <w:rPr>
                <w:rFonts w:ascii="宋体" w:hAnsi="宋体" w:cs="宋体" w:eastAsia="宋体" w:hint="default"/>
                <w:sz w:val="18"/>
                <w:szCs w:val="18"/>
              </w:rPr>
              <w:t>三来一补</w:t>
            </w:r>
            <w:r>
              <w:rPr>
                <w:rFonts w:ascii="Times New Roman" w:hAnsi="Times New Roman" w:cs="Times New Roman" w:eastAsia="Times New Roman" w:hint="default"/>
                <w:sz w:val="18"/>
                <w:szCs w:val="18"/>
              </w:rPr>
              <w:t>"</w:t>
            </w:r>
            <w:r>
              <w:rPr>
                <w:rFonts w:ascii="宋体" w:hAnsi="宋体" w:cs="宋体" w:eastAsia="宋体" w:hint="default"/>
                <w:sz w:val="18"/>
                <w:szCs w:val="18"/>
              </w:rPr>
              <w:t>业务等</w:t>
            </w:r>
          </w:p>
        </w:tc>
      </w:tr>
      <w:tr>
        <w:trPr>
          <w:trHeight w:val="1026"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情况" w:id="117"/>
      <w:bookmarkEnd w:id="11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3"/>
        <w:jc w:val="left"/>
      </w:pPr>
      <w:r>
        <w:rPr/>
        <w:t>实际控制人性质：地方国资管理机构 实际控制人类型：法人</w:t>
      </w:r>
    </w:p>
    <w:tbl>
      <w:tblPr>
        <w:tblW w:w="0" w:type="auto"/>
        <w:jc w:val="left"/>
        <w:tblInd w:w="149" w:type="dxa"/>
        <w:tblLayout w:type="fixed"/>
        <w:tblCellMar>
          <w:top w:w="0" w:type="dxa"/>
          <w:left w:w="0" w:type="dxa"/>
          <w:bottom w:w="0" w:type="dxa"/>
          <w:right w:w="0" w:type="dxa"/>
        </w:tblCellMar>
        <w:tblLook w:val="01E0"/>
      </w:tblPr>
      <w:tblGrid>
        <w:gridCol w:w="2398"/>
        <w:gridCol w:w="1382"/>
        <w:gridCol w:w="1524"/>
        <w:gridCol w:w="1829"/>
        <w:gridCol w:w="2436"/>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15" w:right="29"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云南省人民政府国有资产监督 管理委员会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罗昭斌</w:t>
            </w:r>
          </w:p>
        </w:tc>
        <w:tc>
          <w:tcPr>
            <w:tcW w:w="152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国有资产管理</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1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68"/>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65" w:lineRule="exact"/>
        <w:ind w:left="1358"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0555" cy="25812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4" cstate="print"/>
                    <a:stretch>
                      <a:fillRect/>
                    </a:stretch>
                  </pic:blipFill>
                  <pic:spPr>
                    <a:xfrm>
                      <a:off x="0" y="0"/>
                      <a:ext cx="4590555" cy="258127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13"/>
        <w:rPr>
          <w:rFonts w:ascii="宋体" w:hAnsi="宋体" w:cs="宋体" w:eastAsia="宋体" w:hint="default"/>
          <w:sz w:val="21"/>
          <w:szCs w:val="21"/>
        </w:rPr>
      </w:pPr>
    </w:p>
    <w:p>
      <w:pPr>
        <w:pStyle w:val="Heading3"/>
        <w:spacing w:line="240" w:lineRule="auto" w:before="26"/>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4" w:id="120"/>
      <w:bookmarkStart w:name="第七节 优先股相关情况" w:id="121"/>
      <w:r>
        <w:rPr>
          <w:b w:val="0"/>
          <w:bCs w:val="0"/>
        </w:rPr>
      </w:r>
      <w:r>
        <w:rPr/>
        <w:t>第七节</w:t>
      </w:r>
      <w:r>
        <w:rPr>
          <w:spacing w:val="-8"/>
        </w:rPr>
        <w:t> </w:t>
      </w:r>
      <w:r>
        <w:rPr/>
        <w:t>优先股相关情况</w:t>
      </w:r>
      <w:bookmarkEnd w:id="120"/>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3" w:id="122"/>
      <w:bookmarkStart w:name="第八节 董事、监事、高级管理人员和员工情况" w:id="123"/>
      <w:r>
        <w:rPr>
          <w:b w:val="0"/>
          <w:bCs w:val="0"/>
        </w:rPr>
      </w:r>
      <w:r>
        <w:rPr/>
        <w:t>第八节</w:t>
      </w:r>
      <w:r>
        <w:rPr>
          <w:spacing w:val="-16"/>
        </w:rPr>
        <w:t> </w:t>
      </w:r>
      <w:r>
        <w:rPr/>
        <w:t>董事、监事、高级管理人员和员工情况</w:t>
      </w:r>
      <w:bookmarkEnd w:id="122"/>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56,289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78,750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78,750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吴蜀军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16,819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徐宏灿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26,156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高文凤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章维萍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冯卫华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6,825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25,312</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高级副总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裁</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宋卫权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16,875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陈德英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16,875</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420,827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164,270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256,557</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达到法定退休年龄离职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朱庆芬</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张春生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王海荣</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赵起高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both"/>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spacing w:line="240" w:lineRule="auto" w:before="1"/>
        <w:rPr>
          <w:rFonts w:ascii="宋体" w:hAnsi="宋体" w:cs="宋体" w:eastAsia="宋体" w:hint="default"/>
          <w:sz w:val="15"/>
          <w:szCs w:val="15"/>
        </w:rPr>
      </w:pPr>
    </w:p>
    <w:p>
      <w:pPr>
        <w:pStyle w:val="BodyText"/>
        <w:spacing w:line="300" w:lineRule="auto"/>
        <w:ind w:right="1130"/>
        <w:jc w:val="both"/>
      </w:pPr>
      <w:r>
        <w:rPr>
          <w:spacing w:val="-2"/>
        </w:rPr>
        <w:t>雷坚：</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5</w:t>
      </w:r>
      <w:r>
        <w:rPr>
          <w:spacing w:val="-2"/>
        </w:rPr>
        <w:t>月至今在云南南天电子信息产业股份有限公司任董事；</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月在云南南天电子信息产业股份</w:t>
      </w:r>
      <w:r>
        <w:rPr>
          <w:spacing w:val="-48"/>
        </w:rPr>
        <w:t> </w:t>
      </w:r>
      <w:r>
        <w:rPr>
          <w:spacing w:val="-2"/>
        </w:rPr>
        <w:t>有限公司任总裁；</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月至今在云南南天电子信息产业股份有限公司任董事长；</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28</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月在云南南天</w:t>
      </w:r>
      <w:r>
        <w:rPr>
          <w:spacing w:val="-46"/>
        </w:rPr>
        <w:t> </w:t>
      </w:r>
      <w:r>
        <w:rPr/>
        <w:t>电子信息产业股份有限公司代理董事会秘书职务。</w:t>
      </w:r>
    </w:p>
    <w:p>
      <w:pPr>
        <w:pStyle w:val="BodyText"/>
        <w:spacing w:line="240" w:lineRule="auto" w:before="151"/>
        <w:ind w:right="0"/>
        <w:jc w:val="both"/>
      </w:pPr>
      <w:r>
        <w:rPr/>
        <w:t>刘为：</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月在北京南天软件有限公司任总经理；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月在云南南天电子信息产业股份有</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9"/>
        <w:jc w:val="both"/>
      </w:pPr>
      <w:r>
        <w:rPr/>
        <w:t>限公司任董事；</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月在云南南天电子信息产业股份有限公司任高级副总裁；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月在</w:t>
      </w:r>
      <w:r>
        <w:rPr>
          <w:spacing w:val="-82"/>
        </w:rPr>
        <w:t> </w:t>
      </w:r>
      <w:r>
        <w:rPr/>
        <w:t>云南南天电子信息产业股份有限公司任副董事长。</w:t>
      </w:r>
    </w:p>
    <w:p>
      <w:pPr>
        <w:pStyle w:val="BodyText"/>
        <w:spacing w:line="300" w:lineRule="auto" w:before="151"/>
        <w:ind w:right="1129"/>
        <w:jc w:val="both"/>
      </w:pPr>
      <w:r>
        <w:rPr/>
        <w:t>张锦鸿：</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月在云南南天电子信息产业股份有限公司任董事；</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月在云南南天电子信</w:t>
      </w:r>
      <w:r>
        <w:rPr>
          <w:spacing w:val="-83"/>
        </w:rPr>
        <w:t> </w:t>
      </w:r>
      <w:r>
        <w:rPr>
          <w:spacing w:val="-83"/>
        </w:rPr>
      </w:r>
      <w:r>
        <w:rPr/>
        <w:t>息产业股份有限公司任副总裁；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月在云南南天电子信息产业股份有限公司任总裁；</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rFonts w:ascii="Times New Roman" w:hAnsi="Times New Roman" w:cs="Times New Roman" w:eastAsia="Times New Roman" w:hint="default"/>
          <w:spacing w:val="-38"/>
        </w:rPr>
        <w:t> </w:t>
      </w:r>
      <w:r>
        <w:rPr/>
        <w:t>年</w:t>
      </w:r>
      <w:r>
        <w:rPr>
          <w:rFonts w:ascii="Times New Roman" w:hAnsi="Times New Roman" w:cs="Times New Roman" w:eastAsia="Times New Roman" w:hint="default"/>
        </w:rPr>
        <w:t>4</w:t>
      </w:r>
      <w:r>
        <w:rPr/>
        <w:t>月在云南南天电子信息产业股份有限公司任副董事长。</w:t>
      </w:r>
    </w:p>
    <w:p>
      <w:pPr>
        <w:pStyle w:val="BodyText"/>
        <w:spacing w:line="300" w:lineRule="auto" w:before="133"/>
        <w:ind w:left="154" w:right="1131"/>
        <w:jc w:val="both"/>
      </w:pPr>
      <w:r>
        <w:rPr>
          <w:spacing w:val="-2"/>
        </w:rPr>
        <w:t>吴蜀军：</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月至今在云南南天电子信息产业股份有限公司任党委书记；</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月至今在云南南天电子信息产业股份</w:t>
      </w:r>
      <w:r>
        <w:rPr>
          <w:spacing w:val="-52"/>
        </w:rPr>
        <w:t> </w:t>
      </w:r>
      <w:r>
        <w:rPr/>
        <w:t>有限公司任董事；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月至今在云南南天电子信息产业股份有限公司任副董事长。</w:t>
      </w:r>
    </w:p>
    <w:p>
      <w:pPr>
        <w:pStyle w:val="BodyText"/>
        <w:spacing w:line="300" w:lineRule="auto" w:before="133"/>
        <w:ind w:right="1130"/>
        <w:jc w:val="both"/>
      </w:pPr>
      <w:r>
        <w:rPr/>
        <w:t>徐宏灿：</w:t>
      </w:r>
      <w:r>
        <w:rPr>
          <w:spacing w:val="-77"/>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月任云南南天电子信息产业股份有限公司软件事业部总经理；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月在云南 南天电子信息产业股份有限公司任副总裁；</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月至今在云南南天电子信息产业股份有限公司任董事；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月至今</w:t>
      </w:r>
      <w:r>
        <w:rPr>
          <w:spacing w:val="-85"/>
        </w:rPr>
        <w:t> </w:t>
      </w:r>
      <w:r>
        <w:rPr>
          <w:spacing w:val="-85"/>
        </w:rPr>
      </w:r>
      <w:r>
        <w:rPr/>
        <w:t>在云南南天电子信息产业股份有限公司任总裁；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月至今在云南南天电子信息产业股份有限公司任副董事长。</w:t>
      </w:r>
    </w:p>
    <w:p>
      <w:pPr>
        <w:pStyle w:val="BodyText"/>
        <w:spacing w:line="300" w:lineRule="auto" w:before="133"/>
        <w:ind w:right="1130"/>
        <w:jc w:val="both"/>
      </w:pPr>
      <w:r>
        <w:rPr>
          <w:spacing w:val="-2"/>
        </w:rPr>
        <w:t>林家宏：</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月在云南省工业投资控股集团有限责任公司工作，任企业管理部经理，兼任云南省节能投资有</w:t>
      </w:r>
      <w:r>
        <w:rPr>
          <w:spacing w:val="-56"/>
        </w:rPr>
        <w:t> </w:t>
      </w:r>
      <w:r>
        <w:rPr>
          <w:spacing w:val="-56"/>
        </w:rPr>
      </w:r>
      <w:r>
        <w:rPr>
          <w:spacing w:val="-2"/>
        </w:rPr>
        <w:t>限公司法定代表人、董事长；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月至今任云南省工业投资控股集团有限责任公司资产运营部总经理；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月至今任</w:t>
      </w:r>
      <w:r>
        <w:rPr>
          <w:spacing w:val="-55"/>
        </w:rPr>
        <w:t> </w:t>
      </w:r>
      <w:r>
        <w:rPr/>
        <w:t>云南医药工业股份有限公司董事长；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月至今在云南南天电子信息产业股份有限公司任董事。</w:t>
      </w:r>
    </w:p>
    <w:p>
      <w:pPr>
        <w:pStyle w:val="BodyText"/>
        <w:spacing w:line="300" w:lineRule="auto" w:before="133"/>
        <w:ind w:right="1130"/>
        <w:jc w:val="both"/>
      </w:pPr>
      <w:r>
        <w:rPr>
          <w:spacing w:val="-2"/>
        </w:rPr>
        <w:t>张涛：</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月任云南省工业投资控股集团有限责任公司投资发展部副经理；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月在云南省</w:t>
      </w:r>
      <w:r>
        <w:rPr>
          <w:spacing w:val="-43"/>
        </w:rPr>
        <w:t> </w:t>
      </w:r>
      <w:r>
        <w:rPr/>
        <w:t>工业投资控股集团有限责任公司投资发展部任总经理；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月至今任云南工投维骐投资管理有限公司董事、总经理、支</w:t>
      </w:r>
      <w:r>
        <w:rPr>
          <w:spacing w:val="-82"/>
        </w:rPr>
        <w:t> </w:t>
      </w:r>
      <w:r>
        <w:rPr>
          <w:spacing w:val="-82"/>
        </w:rPr>
      </w:r>
      <w:r>
        <w:rPr/>
        <w:t>部书记；</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月至今在云南南天电子信息产业股份有限公司任董事。</w:t>
      </w:r>
    </w:p>
    <w:p>
      <w:pPr>
        <w:pStyle w:val="BodyText"/>
        <w:spacing w:line="240" w:lineRule="auto" w:before="133"/>
        <w:ind w:right="0"/>
        <w:jc w:val="both"/>
      </w:pPr>
      <w:r>
        <w:rPr/>
        <w:t>母景平：</w:t>
      </w:r>
      <w:r>
        <w:rPr>
          <w:spacing w:val="-19"/>
        </w:rPr>
        <w:t> </w:t>
      </w:r>
      <w:r>
        <w:rPr/>
        <w:t>云南大学经济学院会计系主任、教授；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月至今在云南南天电子信息产业股份有限公司任独立董事。</w:t>
      </w:r>
    </w:p>
    <w:p>
      <w:pPr>
        <w:spacing w:line="240" w:lineRule="auto" w:before="13"/>
        <w:rPr>
          <w:rFonts w:ascii="宋体" w:hAnsi="宋体" w:cs="宋体" w:eastAsia="宋体" w:hint="default"/>
          <w:sz w:val="13"/>
          <w:szCs w:val="13"/>
        </w:rPr>
      </w:pPr>
    </w:p>
    <w:p>
      <w:pPr>
        <w:pStyle w:val="BodyText"/>
        <w:spacing w:line="300" w:lineRule="auto"/>
        <w:ind w:left="154" w:right="1132"/>
        <w:jc w:val="both"/>
      </w:pPr>
      <w:r>
        <w:rPr/>
        <w:t>安树昆：</w:t>
      </w:r>
      <w:r>
        <w:rPr>
          <w:spacing w:val="-42"/>
        </w:rPr>
        <w:t> </w:t>
      </w:r>
      <w:r>
        <w:rPr/>
        <w:t>云南行政学院教授；</w:t>
      </w:r>
      <w:r>
        <w:rPr>
          <w:rFonts w:ascii="Times New Roman" w:hAnsi="Times New Roman" w:cs="Times New Roman" w:eastAsia="Times New Roman" w:hint="default"/>
        </w:rPr>
        <w:t>1988</w:t>
      </w:r>
      <w:r>
        <w:rPr/>
        <w:t>年至今从事兼职律师业务；</w:t>
      </w:r>
      <w:r>
        <w:rPr>
          <w:spacing w:val="-42"/>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月至今在云南南天电子信息产业股份有限公司任独 立董事。</w:t>
      </w:r>
    </w:p>
    <w:p>
      <w:pPr>
        <w:pStyle w:val="BodyText"/>
        <w:spacing w:line="300" w:lineRule="auto" w:before="152"/>
        <w:ind w:right="1130"/>
        <w:jc w:val="both"/>
      </w:pPr>
      <w:r>
        <w:rPr>
          <w:spacing w:val="-5"/>
        </w:rPr>
        <w:t>刘汝林：</w:t>
      </w:r>
      <w:r>
        <w:rPr>
          <w:rFonts w:ascii="Times New Roman" w:hAnsi="Times New Roman" w:cs="Times New Roman" w:eastAsia="Times New Roman" w:hint="default"/>
          <w:spacing w:val="-5"/>
        </w:rPr>
        <w:t>2004</w:t>
      </w:r>
      <w:r>
        <w:rPr>
          <w:spacing w:val="-5"/>
        </w:rPr>
        <w:t>年</w:t>
      </w:r>
      <w:r>
        <w:rPr>
          <w:rFonts w:ascii="Times New Roman" w:hAnsi="Times New Roman" w:cs="Times New Roman" w:eastAsia="Times New Roman" w:hint="default"/>
          <w:spacing w:val="-5"/>
        </w:rPr>
        <w:t>11</w:t>
      </w:r>
      <w:r>
        <w:rPr>
          <w:spacing w:val="-5"/>
        </w:rPr>
        <w:t>月至</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4</w:t>
      </w:r>
      <w:r>
        <w:rPr>
          <w:spacing w:val="-5"/>
        </w:rPr>
        <w:t>月任中国电子学会秘书长，副理事长兼秘书长；</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4</w:t>
      </w:r>
      <w:r>
        <w:rPr>
          <w:spacing w:val="-5"/>
        </w:rPr>
        <w:t>月至今任中国电子学会副理事长；</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月在云南南天电子信息产业股份有限公司任独立董事。</w:t>
      </w:r>
    </w:p>
    <w:p>
      <w:pPr>
        <w:pStyle w:val="BodyText"/>
        <w:spacing w:line="300" w:lineRule="auto" w:before="133"/>
        <w:ind w:right="1129"/>
        <w:jc w:val="both"/>
      </w:pPr>
      <w:r>
        <w:rPr/>
        <w:t>朱庆芬：</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月在云南省会计学会任秘书长；</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月至今在云南民族大学、云南财经大学任客座教授、</w:t>
      </w:r>
      <w:r>
        <w:rPr>
          <w:spacing w:val="-83"/>
        </w:rPr>
        <w:t> </w:t>
      </w:r>
      <w:r>
        <w:rPr>
          <w:spacing w:val="-83"/>
        </w:rPr>
      </w:r>
      <w:r>
        <w:rPr/>
        <w:t>硕士研究生导师；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月至今任中国会计学会理事；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月在云南南天电子信息产业股份有限公司任</w:t>
      </w:r>
      <w:r>
        <w:rPr>
          <w:spacing w:val="-88"/>
        </w:rPr>
        <w:t> </w:t>
      </w:r>
      <w:r>
        <w:rPr>
          <w:spacing w:val="-88"/>
        </w:rPr>
      </w:r>
      <w:r>
        <w:rPr/>
        <w:t>独立董事。</w:t>
      </w:r>
    </w:p>
    <w:p>
      <w:pPr>
        <w:pStyle w:val="BodyText"/>
        <w:spacing w:line="300" w:lineRule="auto" w:before="151"/>
        <w:ind w:right="1129"/>
        <w:jc w:val="both"/>
      </w:pPr>
      <w:r>
        <w:rPr/>
        <w:t>张春生：</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月在工业和信息化部财务司综合处处长；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月在工业和信息化部财务司财</w:t>
      </w:r>
      <w:r>
        <w:rPr>
          <w:spacing w:val="-83"/>
        </w:rPr>
        <w:t> </w:t>
      </w:r>
      <w:r>
        <w:rPr>
          <w:spacing w:val="-83"/>
        </w:rPr>
      </w:r>
      <w:r>
        <w:rPr>
          <w:spacing w:val="-2"/>
        </w:rPr>
        <w:t>经政策处处长；</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月在中国电子信息产业发展研究院副院长；</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月至今在国家集成电路产业投资</w:t>
      </w:r>
      <w:r>
        <w:rPr>
          <w:spacing w:val="-46"/>
        </w:rPr>
        <w:t> </w:t>
      </w:r>
      <w:r>
        <w:rPr/>
        <w:t>基金股份有限公司副总经理；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月至今在云南南天电子信息产业股份有限公司任独立董事。</w:t>
      </w:r>
    </w:p>
    <w:p>
      <w:pPr>
        <w:pStyle w:val="BodyText"/>
        <w:spacing w:line="300" w:lineRule="auto" w:before="133"/>
        <w:ind w:left="154" w:right="1129"/>
        <w:jc w:val="both"/>
      </w:pPr>
      <w:r>
        <w:rPr/>
        <w:t>王海荣：</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2014</w:t>
      </w:r>
      <w:r>
        <w:rPr/>
        <w:t>年在北京国枫凯文律师事务所任合伙人；</w:t>
      </w:r>
      <w:r>
        <w:rPr>
          <w:rFonts w:ascii="Times New Roman" w:hAnsi="Times New Roman" w:cs="Times New Roman" w:eastAsia="Times New Roman" w:hint="default"/>
        </w:rPr>
        <w:t>2014</w:t>
      </w:r>
      <w:r>
        <w:rPr/>
        <w:t>年至今在北京市东卫律师事务所任合伙人；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spacing w:val="-85"/>
        </w:rPr>
        <w:t> </w:t>
      </w:r>
      <w:r>
        <w:rPr/>
        <w:t>至今在云南南天电子信息产业股份有限公司任独立董事。</w:t>
      </w:r>
    </w:p>
    <w:p>
      <w:pPr>
        <w:pStyle w:val="BodyText"/>
        <w:spacing w:line="300" w:lineRule="auto" w:before="151"/>
        <w:ind w:right="1129"/>
        <w:jc w:val="both"/>
      </w:pPr>
      <w:r>
        <w:rPr/>
        <w:t>高文凤：</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月至今在云南南天电子信息产业股份有限公司任监事会主席；</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月在云南南天电子信</w:t>
      </w:r>
      <w:r>
        <w:rPr>
          <w:spacing w:val="-83"/>
        </w:rPr>
        <w:t> </w:t>
      </w:r>
      <w:r>
        <w:rPr>
          <w:spacing w:val="-83"/>
        </w:rPr>
      </w:r>
      <w:r>
        <w:rPr/>
        <w:t>息产业股份有限公司经营审计部任总经理；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月在云南南天电子信息产业股份有限公司风险管理部任部</w:t>
      </w:r>
      <w:r>
        <w:rPr>
          <w:spacing w:val="-3"/>
        </w:rPr>
        <w:t> </w:t>
      </w:r>
      <w:r>
        <w:rPr>
          <w:spacing w:val="-3"/>
        </w:rPr>
      </w:r>
      <w:r>
        <w:rPr/>
        <w:t>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月至今在云南南天电子信息产业股份有限公司董事会所属审计部任总经理。</w:t>
      </w:r>
    </w:p>
    <w:p>
      <w:pPr>
        <w:pStyle w:val="BodyText"/>
        <w:spacing w:line="300" w:lineRule="auto" w:before="133"/>
        <w:ind w:right="1129"/>
        <w:jc w:val="both"/>
      </w:pPr>
      <w:r>
        <w:rPr/>
        <w:t>李云：</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月至今在云南南天电子信息产业股份有限公司任纪委书记；</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月在深圳南天东华科技有限</w:t>
      </w:r>
      <w:r>
        <w:rPr>
          <w:spacing w:val="-83"/>
        </w:rPr>
        <w:t> </w:t>
      </w:r>
      <w:r>
        <w:rPr>
          <w:spacing w:val="-83"/>
        </w:rPr>
      </w:r>
      <w:r>
        <w:rPr/>
        <w:t>公司任总经理；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月至今在云南南天电子信息产业股份有限公司任监事；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月至今在云南南天电子信息产业股</w:t>
      </w:r>
      <w:r>
        <w:rPr>
          <w:spacing w:val="-83"/>
        </w:rPr>
        <w:t> </w:t>
      </w:r>
      <w:r>
        <w:rPr>
          <w:spacing w:val="-83"/>
        </w:rPr>
      </w:r>
      <w:r>
        <w:rPr/>
        <w:t>份有限公司任工会主席。</w:t>
      </w:r>
    </w:p>
    <w:p>
      <w:pPr>
        <w:pStyle w:val="BodyText"/>
        <w:spacing w:line="300" w:lineRule="auto" w:before="152"/>
        <w:ind w:right="1129"/>
        <w:jc w:val="both"/>
      </w:pPr>
      <w:r>
        <w:rPr/>
        <w:t>张建生：</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月就职云南省工业投资控股集团有限责任公司；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月任云南省工业投资控</w:t>
      </w:r>
      <w:r>
        <w:rPr>
          <w:spacing w:val="-83"/>
        </w:rPr>
        <w:t> </w:t>
      </w:r>
      <w:r>
        <w:rPr>
          <w:spacing w:val="-83"/>
        </w:rPr>
      </w:r>
      <w:r>
        <w:rPr>
          <w:spacing w:val="-2"/>
        </w:rPr>
        <w:t>股集团有限责任公司财务管理部副总经理；</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月至今任云南南天电子信息产业股份有限公司监事；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月至今任</w:t>
      </w:r>
      <w:r>
        <w:rPr>
          <w:spacing w:val="-52"/>
        </w:rPr>
        <w:t> </w:t>
      </w:r>
      <w:r>
        <w:rPr/>
        <w:t>云南省工业投资控股集团有限责任公司财务管理部总经理。</w:t>
      </w:r>
    </w:p>
    <w:p>
      <w:pPr>
        <w:pStyle w:val="BodyText"/>
        <w:spacing w:line="240" w:lineRule="auto" w:before="151"/>
        <w:ind w:left="154" w:right="0"/>
        <w:jc w:val="both"/>
      </w:pPr>
      <w:r>
        <w:rPr/>
        <w:t>章维萍：</w:t>
      </w:r>
      <w:r>
        <w:rPr>
          <w:spacing w:val="-26"/>
        </w:rPr>
        <w:t> </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w:t>
      </w:r>
      <w:r>
        <w:rPr>
          <w:spacing w:val="-1"/>
        </w:rPr>
        <w:t>月至今在南天电子信息产业集团公司任董事；</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2</w:t>
      </w:r>
      <w:r>
        <w:rPr>
          <w:spacing w:val="-1"/>
        </w:rPr>
        <w:t>月至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月在云南南天电子信息产业股份有限公</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司任人力资源部经理；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月至今任云南南天电子信息产业股份有限公司监事。</w:t>
      </w:r>
    </w:p>
    <w:p>
      <w:pPr>
        <w:spacing w:line="240" w:lineRule="auto" w:before="13"/>
        <w:rPr>
          <w:rFonts w:ascii="宋体" w:hAnsi="宋体" w:cs="宋体" w:eastAsia="宋体" w:hint="default"/>
          <w:sz w:val="13"/>
          <w:szCs w:val="13"/>
        </w:rPr>
      </w:pPr>
    </w:p>
    <w:p>
      <w:pPr>
        <w:pStyle w:val="BodyText"/>
        <w:spacing w:line="300" w:lineRule="auto"/>
        <w:ind w:right="1130"/>
        <w:jc w:val="both"/>
      </w:pPr>
      <w:r>
        <w:rPr>
          <w:spacing w:val="-2"/>
        </w:rPr>
        <w:t>冯卫华：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月至今在云南南天电子信息产业股份有限公司任监事；</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月在云南南天电子信息产业股</w:t>
      </w:r>
      <w:r>
        <w:rPr>
          <w:spacing w:val="-48"/>
        </w:rPr>
        <w:t> </w:t>
      </w:r>
      <w:r>
        <w:rPr/>
        <w:t>份有限公司自助产品部任副总经理；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月至今在云南南天电子信息产业股份有限公司信息产品业务集团技术中心任总</w:t>
      </w:r>
      <w:r>
        <w:rPr>
          <w:spacing w:val="-83"/>
        </w:rPr>
        <w:t> </w:t>
      </w:r>
      <w:r>
        <w:rPr>
          <w:spacing w:val="-83"/>
        </w:rPr>
      </w:r>
      <w:r>
        <w:rPr/>
        <w:t>经理。</w:t>
      </w:r>
    </w:p>
    <w:p>
      <w:pPr>
        <w:pStyle w:val="BodyText"/>
        <w:spacing w:line="300" w:lineRule="auto" w:before="152"/>
        <w:ind w:right="1130"/>
        <w:jc w:val="both"/>
      </w:pPr>
      <w:r>
        <w:rPr/>
        <w:t>陈宇峰： </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月在云南南天电子信息产业股份有限公司任产品研发一部总经理；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40"/>
        </w:rPr>
        <w:t> </w:t>
      </w:r>
      <w:r>
        <w:rPr/>
        <w:t>月在云南南天电子信息产业股份有限公司任副总裁；</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月在云南南天电子信息产业股份有限公司任董</w:t>
      </w:r>
      <w:r>
        <w:rPr>
          <w:spacing w:val="-3"/>
        </w:rPr>
        <w:t> </w:t>
      </w:r>
      <w:r>
        <w:rPr>
          <w:spacing w:val="-3"/>
        </w:rPr>
      </w:r>
      <w:r>
        <w:rPr/>
        <w:t>事；</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月至今在云南南天电子信息产业股份有限公司任高级副总裁。</w:t>
      </w:r>
    </w:p>
    <w:p>
      <w:pPr>
        <w:pStyle w:val="BodyText"/>
        <w:spacing w:line="300" w:lineRule="auto" w:before="133"/>
        <w:ind w:right="1041"/>
        <w:jc w:val="both"/>
      </w:pPr>
      <w:r>
        <w:rPr>
          <w:spacing w:val="-2"/>
        </w:rPr>
        <w:t>陈智：</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3</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月在云南南天电子信息产业股份有限公司集成服务事业部任总经理；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月在云</w:t>
      </w:r>
      <w:r>
        <w:rPr>
          <w:spacing w:val="-43"/>
        </w:rPr>
        <w:t> </w:t>
      </w:r>
      <w:r>
        <w:rPr/>
        <w:t>南南天电子信息产业股份有限公司任副总裁；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月在云南南天电子信息产业股份有限公司任高级副总裁。</w:t>
      </w:r>
    </w:p>
    <w:p>
      <w:pPr>
        <w:pStyle w:val="BodyText"/>
        <w:spacing w:line="300" w:lineRule="auto" w:before="133"/>
        <w:ind w:right="1129"/>
        <w:jc w:val="both"/>
      </w:pPr>
      <w:r>
        <w:rPr/>
        <w:t>宋卫权：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月在云南南天电子信息产业股份有限公司自助产品中心任总经理；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月至今在云南南天</w:t>
      </w:r>
      <w:r>
        <w:rPr>
          <w:spacing w:val="-82"/>
        </w:rPr>
        <w:t> </w:t>
      </w:r>
      <w:r>
        <w:rPr>
          <w:spacing w:val="-82"/>
        </w:rPr>
      </w:r>
      <w:r>
        <w:rPr>
          <w:spacing w:val="-2"/>
        </w:rPr>
        <w:t>信息设备有限公司任总经理；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月至今在云南南天电子信息产业股份有限公司任副总裁；</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月在云</w:t>
      </w:r>
      <w:r>
        <w:rPr>
          <w:spacing w:val="-47"/>
        </w:rPr>
        <w:t> </w:t>
      </w:r>
      <w:r>
        <w:rPr/>
        <w:t>南南天电子信息产业股份有限公司任董事。</w:t>
      </w:r>
    </w:p>
    <w:p>
      <w:pPr>
        <w:pStyle w:val="BodyText"/>
        <w:spacing w:line="300" w:lineRule="auto" w:before="151"/>
        <w:ind w:right="1131"/>
        <w:jc w:val="both"/>
      </w:pPr>
      <w:r>
        <w:rPr/>
        <w:t>杨暾：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月在广州南天电脑系统有限公司任副总经理；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月在云南南天电子信息产业</w:t>
      </w:r>
      <w:r>
        <w:rPr>
          <w:spacing w:val="-86"/>
        </w:rPr>
        <w:t> </w:t>
      </w:r>
      <w:r>
        <w:rPr>
          <w:spacing w:val="-86"/>
        </w:rPr>
      </w:r>
      <w:r>
        <w:rPr/>
        <w:t>股份有限公司软件资源事业部任总经理；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月在云南南天电子信息产业股份有限公司任副总裁。</w:t>
      </w:r>
    </w:p>
    <w:p>
      <w:pPr>
        <w:pStyle w:val="BodyText"/>
        <w:spacing w:line="300" w:lineRule="auto" w:before="133"/>
        <w:ind w:right="1129"/>
        <w:jc w:val="both"/>
      </w:pPr>
      <w:r>
        <w:rPr/>
        <w:t>陈德英： </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2010</w:t>
      </w:r>
      <w:r>
        <w:rPr/>
        <w:t>年在云南南天电子信息股份有限公司任董事长助理；</w:t>
      </w:r>
      <w:r>
        <w:rPr>
          <w:rFonts w:ascii="Times New Roman" w:hAnsi="Times New Roman" w:cs="Times New Roman" w:eastAsia="Times New Roman" w:hint="default"/>
        </w:rPr>
        <w:t>2003</w:t>
      </w:r>
      <w:r>
        <w:rPr/>
        <w:t>年至今在云南南天电子信息产业股份有限</w:t>
      </w:r>
      <w:r>
        <w:rPr>
          <w:spacing w:val="-87"/>
        </w:rPr>
        <w:t> </w:t>
      </w:r>
      <w:r>
        <w:rPr>
          <w:spacing w:val="-87"/>
        </w:rPr>
      </w:r>
      <w:r>
        <w:rPr/>
        <w:t>公司任国际业务部任总经理；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月在云南南天电子信息产业股份有限公司任总裁助理；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月至今在</w:t>
      </w:r>
      <w:r>
        <w:rPr>
          <w:spacing w:val="-83"/>
        </w:rPr>
        <w:t> </w:t>
      </w:r>
      <w:r>
        <w:rPr/>
        <w:t>云南南天电子信息产业股份有限公司任副总裁。</w:t>
      </w:r>
    </w:p>
    <w:p>
      <w:pPr>
        <w:pStyle w:val="BodyText"/>
        <w:spacing w:line="300" w:lineRule="auto" w:before="151"/>
        <w:ind w:right="1130"/>
        <w:jc w:val="both"/>
      </w:pPr>
      <w:r>
        <w:rPr>
          <w:spacing w:val="-2"/>
        </w:rPr>
        <w:t>刘涓：</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月在云南省工业投资控股集团有限责任公司财务管理部任会计；</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月至今在云南南天电子</w:t>
      </w:r>
      <w:r>
        <w:rPr>
          <w:spacing w:val="-47"/>
        </w:rPr>
        <w:t> </w:t>
      </w:r>
      <w:r>
        <w:rPr/>
        <w:t>信息产业股份有限公司任财务总监。</w:t>
      </w:r>
    </w:p>
    <w:p>
      <w:pPr>
        <w:pStyle w:val="BodyText"/>
        <w:spacing w:line="240" w:lineRule="auto" w:before="152"/>
        <w:ind w:right="0"/>
        <w:jc w:val="both"/>
      </w:pPr>
      <w:r>
        <w:rPr/>
        <w:t>姜东：</w:t>
      </w:r>
      <w:r>
        <w:rPr>
          <w:spacing w:val="-20"/>
        </w:rPr>
        <w:t>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月任云南南天电子信息产业股份有限公司董事会秘书。</w:t>
      </w:r>
    </w:p>
    <w:p>
      <w:pPr>
        <w:spacing w:line="240" w:lineRule="auto" w:before="13"/>
        <w:rPr>
          <w:rFonts w:ascii="宋体" w:hAnsi="宋体" w:cs="宋体" w:eastAsia="宋体" w:hint="default"/>
          <w:sz w:val="13"/>
          <w:szCs w:val="13"/>
        </w:rPr>
      </w:pPr>
    </w:p>
    <w:p>
      <w:pPr>
        <w:pStyle w:val="BodyText"/>
        <w:spacing w:line="300" w:lineRule="auto"/>
        <w:ind w:right="1130"/>
        <w:jc w:val="both"/>
      </w:pPr>
      <w:r>
        <w:rPr>
          <w:spacing w:val="-2"/>
        </w:rPr>
        <w:t>赵起高：</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月在北京海风联投资顾问有限公司担任副总裁；</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月在中科招商投资管理集</w:t>
      </w:r>
      <w:r>
        <w:rPr>
          <w:spacing w:val="-44"/>
        </w:rPr>
        <w:t> </w:t>
      </w:r>
      <w:r>
        <w:rPr>
          <w:spacing w:val="-2"/>
        </w:rPr>
        <w:t>团担任高级副总裁；</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月在北京海风联投资顾问有限公司担任执行总裁；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月至今在云南南天电子</w:t>
      </w:r>
      <w:r>
        <w:rPr>
          <w:spacing w:val="-47"/>
        </w:rPr>
        <w:t> </w:t>
      </w:r>
      <w:r>
        <w:rPr/>
        <w:t>信息产业股份有限公司任董事会秘书。</w:t>
      </w:r>
    </w:p>
    <w:p>
      <w:pPr>
        <w:pStyle w:val="BodyText"/>
        <w:spacing w:line="240" w:lineRule="auto" w:before="152"/>
        <w:ind w:right="0"/>
        <w:jc w:val="both"/>
      </w:pPr>
      <w:r>
        <w:rPr/>
        <w:t>在股东单位任职情况</w:t>
      </w:r>
    </w:p>
    <w:p>
      <w:pPr>
        <w:pStyle w:val="BodyText"/>
        <w:spacing w:line="240" w:lineRule="auto" w:before="11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章维萍</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林家宏</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资产运营部 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投资发展部 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张建生</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云南省工业投资控股集团有限责任公司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财务部总经</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362" w:hRule="exact"/>
        </w:trPr>
        <w:tc>
          <w:tcPr>
            <w:tcW w:w="1217"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母景平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云南大学会计系</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主任、教授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母景平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云南鸿翔一心堂药业（集团）股份有限公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安树昆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云南省委党校、云南行政学院法学教研部</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山东新北洋信息技术股份有限公司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张春生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国家集成电路产业投资基金股份有限公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北京东卫律师事务所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合伙人律师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林家宏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云南工投维骐投资管理有限公司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董事、总经 </w:t>
            </w:r>
            <w:r>
              <w:rPr>
                <w:rFonts w:ascii="宋体" w:hAnsi="宋体" w:cs="宋体" w:eastAsia="宋体" w:hint="default"/>
                <w:spacing w:val="-8"/>
                <w:sz w:val="18"/>
                <w:szCs w:val="18"/>
              </w:rPr>
              <w:t>理、支部书记</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赵起高</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烟台冰轮股份有限公司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w:t>
      </w:r>
      <w:r>
        <w:rPr>
          <w:spacing w:val="-2"/>
        </w:rPr>
        <w:t>报告期内，公司董事、监事及高级管理人员报酬的决策程序及确定依据按照《南天信息股份公司高级管理人员薪酬与绩效管</w:t>
      </w:r>
      <w:r>
        <w:rPr>
          <w:spacing w:val="-66"/>
        </w:rPr>
        <w:t> </w:t>
      </w:r>
      <w:r>
        <w:rPr>
          <w:spacing w:val="-66"/>
        </w:rPr>
      </w:r>
      <w:r>
        <w:rPr/>
        <w:t>理制度》执行。</w:t>
      </w: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吴蜀军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徐宏灿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林家宏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母景平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安树昆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朱庆芬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张春生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高文凤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章维萍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冯卫华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宋卫权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陈德英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赵起高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1,024.88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公司员工情况" w:id="128"/>
      <w:bookmarkEnd w:id="128"/>
      <w:r>
        <w:rPr>
          <w:b w:val="0"/>
          <w:bCs w:val="0"/>
        </w:rPr>
      </w:r>
      <w:r>
        <w:rPr/>
        <w:t>六、公司员工情况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3,829</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售后服务人员（含维修）</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专业技能</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3,829</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中专技校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3,829</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both"/>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jc w:val="both"/>
      </w:pPr>
      <w:r>
        <w:rPr>
          <w:spacing w:val="-2"/>
        </w:rPr>
        <w:t>公司逐步建立基于员工业绩与能力的薪酬分配体系，将岗位价值、能力价值、业绩价值进行系统整合，构建体现岗位价值并</w:t>
      </w:r>
      <w:r>
        <w:rPr>
          <w:spacing w:val="-66"/>
        </w:rPr>
        <w:t> </w:t>
      </w:r>
      <w:r>
        <w:rPr>
          <w:spacing w:val="-66"/>
        </w:rPr>
      </w:r>
      <w:r>
        <w:rPr>
          <w:spacing w:val="-2"/>
        </w:rPr>
        <w:t>与业绩挂钩的动态科学的薪酬管理体系；完善中长期激励机制，充分调动公司各级管理人员及骨干员工的主观能动性和积极</w:t>
      </w:r>
      <w:r>
        <w:rPr>
          <w:spacing w:val="-64"/>
        </w:rPr>
        <w:t> </w:t>
      </w:r>
      <w:r>
        <w:rPr>
          <w:spacing w:val="-64"/>
        </w:rPr>
      </w:r>
      <w:r>
        <w:rPr/>
        <w:t>性。</w:t>
      </w:r>
    </w:p>
    <w:p>
      <w:pPr>
        <w:spacing w:line="240" w:lineRule="auto" w:before="7"/>
        <w:rPr>
          <w:rFonts w:ascii="宋体" w:hAnsi="宋体" w:cs="宋体" w:eastAsia="宋体" w:hint="default"/>
          <w:sz w:val="22"/>
          <w:szCs w:val="22"/>
        </w:rPr>
      </w:pPr>
    </w:p>
    <w:p>
      <w:pPr>
        <w:pStyle w:val="Heading4"/>
        <w:spacing w:line="240" w:lineRule="auto"/>
        <w:ind w:left="154" w:right="0"/>
        <w:jc w:val="both"/>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130"/>
        <w:jc w:val="both"/>
      </w:pPr>
      <w:r>
        <w:rPr>
          <w:spacing w:val="-2"/>
        </w:rPr>
        <w:t>围绕公司</w:t>
      </w:r>
      <w:r>
        <w:rPr>
          <w:rFonts w:ascii="Times New Roman" w:hAnsi="Times New Roman" w:cs="Times New Roman" w:eastAsia="Times New Roman" w:hint="default"/>
          <w:spacing w:val="-2"/>
        </w:rPr>
        <w:t>“</w:t>
      </w:r>
      <w:r>
        <w:rPr>
          <w:spacing w:val="-2"/>
        </w:rPr>
        <w:t>以人为本，人尽其才</w:t>
      </w:r>
      <w:r>
        <w:rPr>
          <w:rFonts w:ascii="Times New Roman" w:hAnsi="Times New Roman" w:cs="Times New Roman" w:eastAsia="Times New Roman" w:hint="default"/>
          <w:spacing w:val="-2"/>
        </w:rPr>
        <w:t>”</w:t>
      </w:r>
      <w:r>
        <w:rPr>
          <w:spacing w:val="-2"/>
        </w:rPr>
        <w:t>的人才发展战略，推进专业化人才队伍的建设，将提升各类员工专业水平作为培训的工作重</w:t>
      </w:r>
      <w:r>
        <w:rPr>
          <w:spacing w:val="-43"/>
        </w:rPr>
        <w:t> </w:t>
      </w:r>
      <w:r>
        <w:rPr>
          <w:spacing w:val="-43"/>
        </w:rPr>
      </w:r>
      <w:r>
        <w:rPr>
          <w:spacing w:val="-2"/>
        </w:rPr>
        <w:t>点，建立分层分类、多形式、多渠道的人才培养机制，完善培训管理制度，构建系统健全的培训组织体系，培养能够顺应公</w:t>
      </w:r>
      <w:r>
        <w:rPr>
          <w:spacing w:val="-68"/>
        </w:rPr>
        <w:t> </w:t>
      </w:r>
      <w:r>
        <w:rPr>
          <w:spacing w:val="-68"/>
        </w:rPr>
      </w:r>
      <w:r>
        <w:rPr/>
        <w:t>司发展需求、支持公司组织战略目标达成的高素质人才。</w:t>
      </w:r>
    </w:p>
    <w:p>
      <w:pPr>
        <w:spacing w:line="240" w:lineRule="auto" w:before="3"/>
        <w:rPr>
          <w:rFonts w:ascii="宋体" w:hAnsi="宋体" w:cs="宋体" w:eastAsia="宋体" w:hint="default"/>
          <w:sz w:val="21"/>
          <w:szCs w:val="21"/>
        </w:rPr>
      </w:pPr>
    </w:p>
    <w:p>
      <w:pPr>
        <w:pStyle w:val="Heading2"/>
        <w:spacing w:line="240" w:lineRule="auto"/>
        <w:ind w:left="154" w:right="0"/>
        <w:jc w:val="both"/>
        <w:rPr>
          <w:b w:val="0"/>
          <w:bCs w:val="0"/>
        </w:rPr>
      </w:pPr>
      <w:bookmarkStart w:name="六、公司员工情况" w:id="132"/>
      <w:bookmarkEnd w:id="132"/>
      <w:r>
        <w:rPr>
          <w:b w:val="0"/>
          <w:bCs w:val="0"/>
        </w:rPr>
      </w:r>
      <w:r>
        <w:rPr/>
        <w:t>六、公司员工情况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both"/>
        <w:rPr>
          <w:b w:val="0"/>
          <w:bCs w:val="0"/>
        </w:rPr>
      </w:pPr>
      <w:bookmarkStart w:name="1、劳务外包情况" w:id="133"/>
      <w:bookmarkEnd w:id="133"/>
      <w:r>
        <w:rPr>
          <w:b w:val="0"/>
          <w:bCs w:val="0"/>
        </w:rPr>
      </w:r>
      <w:r>
        <w:rPr>
          <w:rFonts w:ascii="Times New Roman" w:hAnsi="Times New Roman" w:cs="Times New Roman" w:eastAsia="Times New Roman" w:hint="default"/>
        </w:rPr>
        <w:t>1</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094"/>
        <w:jc w:val="center"/>
        <w:rPr>
          <w:b w:val="0"/>
          <w:bCs w:val="0"/>
        </w:rPr>
      </w:pPr>
      <w:bookmarkStart w:name="_TOC_250002" w:id="134"/>
      <w:bookmarkStart w:name="第九节 公司治理" w:id="135"/>
      <w:r>
        <w:rPr>
          <w:b w:val="0"/>
          <w:bCs w:val="0"/>
        </w:rPr>
      </w:r>
      <w:r>
        <w:rPr/>
        <w:t>第九节</w:t>
      </w:r>
      <w:r>
        <w:rPr>
          <w:spacing w:val="-5"/>
        </w:rPr>
        <w:t> </w:t>
      </w:r>
      <w:r>
        <w:rPr/>
        <w:t>公司治理</w:t>
      </w:r>
      <w:bookmarkEnd w:id="13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420"/>
        <w:jc w:val="both"/>
      </w:pPr>
      <w:r>
        <w:rPr/>
        <w:t>报告期内，公司按照《公司法》、《证券法》等法律、法规和中国证监会有关法律法规的要求，确立了股东大会、董 </w:t>
      </w:r>
      <w:r>
        <w:rPr>
          <w:spacing w:val="-2"/>
        </w:rPr>
        <w:t>事会、监事会及经营管理层的分层治理结构，不断完善公司法人治理结构，建立健全公司内部控制制度，进一步规范公司运</w:t>
      </w:r>
      <w:r>
        <w:rPr>
          <w:spacing w:val="-66"/>
        </w:rPr>
        <w:t> </w:t>
      </w:r>
      <w:r>
        <w:rPr>
          <w:spacing w:val="-66"/>
        </w:rPr>
      </w:r>
      <w:r>
        <w:rPr/>
        <w:t>作，提高公司治理水平。公司治理的实际情况与《上市公司治理准则》等规范性文件的规定和要求相符。</w:t>
      </w:r>
    </w:p>
    <w:p>
      <w:pPr>
        <w:pStyle w:val="BodyText"/>
        <w:spacing w:line="309" w:lineRule="auto" w:before="19"/>
        <w:ind w:right="1130" w:firstLine="420"/>
        <w:jc w:val="both"/>
      </w:pPr>
      <w:r>
        <w:rPr>
          <w:rFonts w:ascii="Times New Roman" w:hAnsi="Times New Roman" w:cs="Times New Roman" w:eastAsia="Times New Roman" w:hint="default"/>
          <w:spacing w:val="-1"/>
        </w:rPr>
        <w:t>1</w:t>
      </w:r>
      <w:r>
        <w:rPr>
          <w:spacing w:val="-1"/>
        </w:rPr>
        <w:t>、股东与股东大会：公司根据《公司章程》和《股东大会议事规则》的规定和要求，规范股东大会的召集、召开和议</w:t>
      </w:r>
      <w:r>
        <w:rPr/>
        <w:t> </w:t>
      </w:r>
      <w:r>
        <w:rPr>
          <w:spacing w:val="-2"/>
        </w:rPr>
        <w:t>事程序，确保所有股东，特别是中小股东享有平等地位，充分行使自己的权利。报告期内，本公司召开的股东大会不存在违</w:t>
      </w:r>
      <w:r>
        <w:rPr>
          <w:spacing w:val="-66"/>
        </w:rPr>
        <w:t> </w:t>
      </w:r>
      <w:r>
        <w:rPr>
          <w:spacing w:val="-66"/>
        </w:rPr>
      </w:r>
      <w:r>
        <w:rPr>
          <w:spacing w:val="-1"/>
        </w:rPr>
        <w:t>反监管规则的情形，公司未发生单独或合并持有本公司有表决权股份总数</w:t>
      </w:r>
      <w:r>
        <w:rPr>
          <w:rFonts w:ascii="Times New Roman" w:hAnsi="Times New Roman" w:cs="Times New Roman" w:eastAsia="Times New Roman" w:hint="default"/>
          <w:spacing w:val="-1"/>
        </w:rPr>
        <w:t>10%</w:t>
      </w:r>
      <w:r>
        <w:rPr>
          <w:spacing w:val="-1"/>
        </w:rPr>
        <w:t>以上的股东请求召开临时股东大会的情形，也</w:t>
      </w:r>
      <w:r>
        <w:rPr/>
        <w:t> </w:t>
      </w:r>
      <w:r>
        <w:rPr>
          <w:spacing w:val="-2"/>
        </w:rPr>
        <w:t>无因监事会提议召开的股东大会。按照《公司法》、《公司章程》的规定应由股东大会审议的重大事项，本公司均通过了股</w:t>
      </w:r>
      <w:r>
        <w:rPr>
          <w:spacing w:val="-70"/>
        </w:rPr>
        <w:t> </w:t>
      </w:r>
      <w:r>
        <w:rPr>
          <w:spacing w:val="-70"/>
        </w:rPr>
      </w:r>
      <w:r>
        <w:rPr/>
        <w:t>东大会审议。所有的股东大会的召开，均请律师进行了现场见证。</w:t>
      </w:r>
    </w:p>
    <w:p>
      <w:pPr>
        <w:pStyle w:val="BodyText"/>
        <w:spacing w:line="300" w:lineRule="auto" w:before="24"/>
        <w:ind w:right="0" w:firstLine="360"/>
        <w:jc w:val="left"/>
      </w:pPr>
      <w:r>
        <w:rPr>
          <w:rFonts w:ascii="Times New Roman" w:hAnsi="Times New Roman" w:cs="Times New Roman" w:eastAsia="Times New Roman" w:hint="default"/>
        </w:rPr>
        <w:t>2</w:t>
      </w:r>
      <w:r>
        <w:rPr/>
        <w:t>、关于控股股东与上市公司关系：报告期内，控股股东行为规范，没有超越股东大会直接或间接干预公司决策和经营 </w:t>
      </w:r>
      <w:r>
        <w:rPr>
          <w:spacing w:val="-3"/>
        </w:rPr>
        <w:t>的活动；公司与控股股东在业务、人员、资产、机构、财务做到了</w:t>
      </w:r>
      <w:r>
        <w:rPr>
          <w:rFonts w:ascii="Times New Roman" w:hAnsi="Times New Roman" w:cs="Times New Roman" w:eastAsia="Times New Roman" w:hint="default"/>
          <w:spacing w:val="-3"/>
        </w:rPr>
        <w:t>“</w:t>
      </w:r>
      <w:r>
        <w:rPr>
          <w:spacing w:val="-3"/>
        </w:rPr>
        <w:t>五独立</w:t>
      </w:r>
      <w:r>
        <w:rPr>
          <w:rFonts w:ascii="Times New Roman" w:hAnsi="Times New Roman" w:cs="Times New Roman" w:eastAsia="Times New Roman" w:hint="default"/>
          <w:spacing w:val="-3"/>
        </w:rPr>
        <w:t>”</w:t>
      </w:r>
      <w:r>
        <w:rPr>
          <w:spacing w:val="-3"/>
        </w:rPr>
        <w:t>，公司董事会、监事会和内部机构能够独立运作；</w:t>
      </w:r>
      <w:r>
        <w:rPr>
          <w:spacing w:val="-78"/>
        </w:rPr>
        <w:t> </w:t>
      </w:r>
      <w:r>
        <w:rPr>
          <w:spacing w:val="-78"/>
        </w:rPr>
      </w:r>
      <w:r>
        <w:rPr>
          <w:spacing w:val="-4"/>
        </w:rPr>
        <w:t>不存在控股股东干涉公司的财务和会计活动的情况，不存在控股股东占用公司资金的现象，亦无为控股股东提供担保的情形。</w:t>
      </w:r>
    </w:p>
    <w:p>
      <w:pPr>
        <w:pStyle w:val="BodyText"/>
        <w:spacing w:line="312" w:lineRule="auto" w:before="31"/>
        <w:ind w:left="154" w:right="1042" w:firstLine="360"/>
        <w:jc w:val="both"/>
      </w:pPr>
      <w:r>
        <w:rPr>
          <w:rFonts w:ascii="Times New Roman" w:hAnsi="Times New Roman" w:cs="Times New Roman" w:eastAsia="Times New Roman" w:hint="default"/>
        </w:rPr>
        <w:t>3</w:t>
      </w:r>
      <w:r>
        <w:rPr/>
        <w:t>、关于董事和董事会：报告期内，公司董事会严格按照《公司章程》和《董事会工作细则》的有关规定履行职责，会 </w:t>
      </w:r>
      <w:r>
        <w:rPr>
          <w:spacing w:val="-2"/>
        </w:rPr>
        <w:t>议的召集、召开及形成决议均按有关规定程序操作，严格执行股东大会决议并依法行使职权，未出现越权行使股东大会权利</w:t>
      </w:r>
      <w:r>
        <w:rPr>
          <w:spacing w:val="-66"/>
        </w:rPr>
        <w:t> </w:t>
      </w:r>
      <w:r>
        <w:rPr>
          <w:spacing w:val="-66"/>
        </w:rPr>
      </w:r>
      <w:r>
        <w:rPr>
          <w:spacing w:val="-2"/>
        </w:rPr>
        <w:t>的行为，也未出现越权干预监事会运作和管理层的行为。公司各位董事能够以认真负责的态度出席董事会和股东大会，能够</w:t>
      </w:r>
      <w:r>
        <w:rPr>
          <w:spacing w:val="-66"/>
        </w:rPr>
        <w:t> </w:t>
      </w:r>
      <w:r>
        <w:rPr>
          <w:spacing w:val="-66"/>
        </w:rPr>
      </w:r>
      <w:r>
        <w:rPr>
          <w:spacing w:val="-4"/>
        </w:rPr>
        <w:t>积极参加有关培训，熟悉有关法律法规，了解作为董事的权利、义务和责任，一如既往、恪尽职守地履行了诚信、勤勉义务。</w:t>
      </w:r>
    </w:p>
    <w:p>
      <w:pPr>
        <w:pStyle w:val="BodyText"/>
        <w:spacing w:line="312" w:lineRule="auto" w:before="22"/>
        <w:ind w:left="154" w:right="1130" w:firstLine="360"/>
        <w:jc w:val="both"/>
      </w:pPr>
      <w:r>
        <w:rPr>
          <w:rFonts w:ascii="Times New Roman" w:hAnsi="Times New Roman" w:cs="Times New Roman" w:eastAsia="Times New Roman" w:hint="default"/>
        </w:rPr>
        <w:t>4</w:t>
      </w:r>
      <w:r>
        <w:rPr/>
        <w:t>、关于监事和监事会：报告期内，公司监事会严格按照《公司章程》和《监事会工作细则》的有关规定履行职责，会 </w:t>
      </w:r>
      <w:r>
        <w:rPr>
          <w:spacing w:val="-2"/>
        </w:rPr>
        <w:t>议的召集、召开及形成决议均按有关规定程序操作，监事会的人数和人员构成及任职资格均符合相关法律、法规的要求，公</w:t>
      </w:r>
      <w:r>
        <w:rPr>
          <w:spacing w:val="-66"/>
        </w:rPr>
        <w:t> </w:t>
      </w:r>
      <w:r>
        <w:rPr>
          <w:spacing w:val="-66"/>
        </w:rPr>
      </w:r>
      <w:r>
        <w:rPr>
          <w:spacing w:val="-2"/>
        </w:rPr>
        <w:t>司监事能够依据《监事会工作细则》等制度，认真履行自己的职责，对公司重大事项、财务状况、董事和高级管理人员的履</w:t>
      </w:r>
      <w:r>
        <w:rPr>
          <w:spacing w:val="-68"/>
        </w:rPr>
        <w:t> </w:t>
      </w:r>
      <w:r>
        <w:rPr>
          <w:spacing w:val="-68"/>
        </w:rPr>
      </w:r>
      <w:r>
        <w:rPr/>
        <w:t>行职责进行有效监督，并独立发表意见。</w:t>
      </w:r>
    </w:p>
    <w:p>
      <w:pPr>
        <w:pStyle w:val="BodyText"/>
        <w:spacing w:line="240" w:lineRule="auto" w:before="22"/>
        <w:ind w:left="497" w:right="0"/>
        <w:jc w:val="left"/>
      </w:pPr>
      <w:r>
        <w:rPr>
          <w:rFonts w:ascii="Times New Roman" w:hAnsi="Times New Roman" w:cs="Times New Roman" w:eastAsia="Times New Roman" w:hint="default"/>
        </w:rPr>
        <w:t>5</w:t>
      </w:r>
      <w:r>
        <w:rPr/>
        <w:t>、关于信息披露与透明度：报告期内，公司董事会秘书负责信息披露工作、接待股东来访和咨询工作，公司严格按照</w:t>
      </w:r>
    </w:p>
    <w:p>
      <w:pPr>
        <w:pStyle w:val="BodyText"/>
        <w:spacing w:line="316" w:lineRule="auto" w:before="63"/>
        <w:ind w:left="154" w:right="0"/>
        <w:jc w:val="left"/>
      </w:pPr>
      <w:r>
        <w:rPr>
          <w:spacing w:val="-2"/>
        </w:rPr>
        <w:t>《深圳证券交易所股票上市规则》等有关法律法规及公司制定的《信息披露管理办法》的要求，真实、准确、完整、及时的</w:t>
      </w:r>
      <w:r>
        <w:rPr>
          <w:spacing w:val="-72"/>
        </w:rPr>
        <w:t> </w:t>
      </w:r>
      <w:r>
        <w:rPr>
          <w:spacing w:val="-72"/>
        </w:rPr>
      </w:r>
      <w:r>
        <w:rPr/>
        <w:t>在指定报纸和网站披露有关信息，并确保所有股东有平等的机会获得信息，切实维护中小股东的利益。</w:t>
      </w:r>
    </w:p>
    <w:p>
      <w:pPr>
        <w:pStyle w:val="BodyText"/>
        <w:spacing w:line="309" w:lineRule="auto" w:before="19"/>
        <w:ind w:left="154" w:right="1033" w:firstLine="290"/>
        <w:jc w:val="left"/>
      </w:pPr>
      <w:r>
        <w:rPr>
          <w:rFonts w:ascii="Times New Roman" w:hAnsi="Times New Roman" w:cs="Times New Roman" w:eastAsia="Times New Roman" w:hint="default"/>
        </w:rPr>
        <w:t>6</w:t>
      </w:r>
      <w:r>
        <w:rPr/>
        <w:t>、关于绩效评价与激励约束机制：公司建立了绩效评价激励体系，董事会薪酬与考核委员会负责对公司的董事、高级 </w:t>
      </w:r>
      <w:r>
        <w:rPr>
          <w:spacing w:val="-4"/>
        </w:rPr>
        <w:t>管理人员进行绩效考核，公司现有的考核及激励约束机制符合公司的发展现状。高级管理人员的聘任公开、透明，符合法律、</w:t>
      </w:r>
      <w:r>
        <w:rPr>
          <w:spacing w:val="-46"/>
        </w:rPr>
        <w:t> </w:t>
      </w:r>
      <w:r>
        <w:rPr>
          <w:spacing w:val="-46"/>
        </w:rPr>
      </w:r>
      <w:r>
        <w:rPr/>
        <w:t>法规的规定。</w:t>
      </w:r>
    </w:p>
    <w:p>
      <w:pPr>
        <w:pStyle w:val="BodyText"/>
        <w:spacing w:line="300" w:lineRule="auto" w:before="24"/>
        <w:ind w:right="0" w:firstLine="315"/>
        <w:jc w:val="left"/>
      </w:pPr>
      <w:r>
        <w:rPr>
          <w:rFonts w:ascii="Times New Roman" w:hAnsi="Times New Roman" w:cs="Times New Roman" w:eastAsia="Times New Roman" w:hint="default"/>
        </w:rPr>
        <w:t>7</w:t>
      </w:r>
      <w:r>
        <w:rPr/>
        <w:t>、关于利益相关者：报告期内，公司能够充分尊重和维护利益相关者的合法权益，实现股东、员工、社会等各方利益 的协调平衡，共同推动公司持续、健康发展。</w:t>
      </w:r>
    </w:p>
    <w:p>
      <w:pPr>
        <w:pStyle w:val="BodyText"/>
        <w:spacing w:line="300" w:lineRule="auto" w:before="31"/>
        <w:ind w:right="0" w:firstLine="315"/>
        <w:jc w:val="left"/>
      </w:pPr>
      <w:r>
        <w:rPr>
          <w:rFonts w:ascii="Times New Roman" w:hAnsi="Times New Roman" w:cs="Times New Roman" w:eastAsia="Times New Roman" w:hint="default"/>
        </w:rPr>
        <w:t>8</w:t>
      </w:r>
      <w:r>
        <w:rPr/>
        <w:t>、以总裁为首的经营团队：总裁在董事会的领导下，执行董事会决议，不存在越权行使职权的行为。超越经营层权限 </w:t>
      </w:r>
      <w:r>
        <w:rPr>
          <w:spacing w:val="-3"/>
        </w:rPr>
        <w:t>的事项，公司一律提交董事会审议，不存在</w:t>
      </w:r>
      <w:r>
        <w:rPr>
          <w:rFonts w:ascii="Times New Roman" w:hAnsi="Times New Roman" w:cs="Times New Roman" w:eastAsia="Times New Roman" w:hint="default"/>
          <w:spacing w:val="-3"/>
        </w:rPr>
        <w:t>“</w:t>
      </w:r>
      <w:r>
        <w:rPr>
          <w:spacing w:val="-3"/>
        </w:rPr>
        <w:t>内部人控制</w:t>
      </w:r>
      <w:r>
        <w:rPr>
          <w:rFonts w:ascii="Times New Roman" w:hAnsi="Times New Roman" w:cs="Times New Roman" w:eastAsia="Times New Roman" w:hint="default"/>
          <w:spacing w:val="-3"/>
        </w:rPr>
        <w:t>”</w:t>
      </w:r>
      <w:r>
        <w:rPr>
          <w:spacing w:val="-3"/>
        </w:rPr>
        <w:t>的倾向。公司经营层兢兢业业，在日常经营过程中，加强规范运作，</w:t>
      </w:r>
      <w:r>
        <w:rPr>
          <w:spacing w:val="-79"/>
        </w:rPr>
        <w:t> </w:t>
      </w:r>
      <w:r>
        <w:rPr>
          <w:spacing w:val="-79"/>
        </w:rPr>
      </w:r>
      <w:r>
        <w:rPr/>
        <w:t>诚实守信经营，不存在未能忠实履行职务、违背诚信义务的情形。</w:t>
      </w:r>
    </w:p>
    <w:p>
      <w:pPr>
        <w:pStyle w:val="BodyText"/>
        <w:spacing w:line="240" w:lineRule="auto" w:before="72"/>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（一）人员独立性：公司总裁、高级副总裁、副总裁、财务总监、董事会秘书等高级管理人员均未在控股股东、实际控制人</w:t>
      </w:r>
      <w:r>
        <w:rPr>
          <w:spacing w:val="-72"/>
        </w:rPr>
        <w:t> </w:t>
      </w:r>
      <w:r>
        <w:rPr>
          <w:spacing w:val="-72"/>
        </w:rPr>
      </w:r>
      <w:r>
        <w:rPr>
          <w:spacing w:val="-2"/>
        </w:rPr>
        <w:t>及其控制的其它企业中担任职务，公司及其子公司的财务人员未在控股股东、实际控制人及其控制的其它企业中兼职。公司</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jc w:val="both"/>
      </w:pPr>
      <w:r>
        <w:rPr>
          <w:spacing w:val="-2"/>
        </w:rPr>
        <w:t>的高级管理人员在公司领取薪酬，未在控股股东、实际控制人及其控制的其它企业领取薪酬。公司的劳动、人事、工资报酬</w:t>
      </w:r>
      <w:r>
        <w:rPr>
          <w:spacing w:val="-66"/>
        </w:rPr>
        <w:t> </w:t>
      </w:r>
      <w:r>
        <w:rPr>
          <w:spacing w:val="-66"/>
        </w:rPr>
      </w:r>
      <w:r>
        <w:rPr/>
        <w:t>以及相应的社会保障独立管理，人员独立。</w:t>
      </w:r>
    </w:p>
    <w:p>
      <w:pPr>
        <w:pStyle w:val="BodyText"/>
        <w:spacing w:line="319" w:lineRule="auto" w:before="19"/>
        <w:ind w:right="1130"/>
        <w:jc w:val="both"/>
      </w:pPr>
      <w:r>
        <w:rPr>
          <w:spacing w:val="-2"/>
        </w:rPr>
        <w:t>（二）资产独立性：公司与控股股东产权关系明确，资产界定清晰，公司的实物资产和无形资产均产权完整、明确。公司拥</w:t>
      </w:r>
      <w:r>
        <w:rPr>
          <w:spacing w:val="-68"/>
        </w:rPr>
        <w:t> </w:t>
      </w:r>
      <w:r>
        <w:rPr>
          <w:spacing w:val="-68"/>
        </w:rPr>
      </w:r>
      <w:r>
        <w:rPr>
          <w:spacing w:val="-2"/>
        </w:rPr>
        <w:t>有独立完整的采购、生产、销售系统及配套设施，具有开展生产经营所必备的独立完整的资产，不存在控股股东或实际控制</w:t>
      </w:r>
      <w:r>
        <w:rPr>
          <w:spacing w:val="-66"/>
        </w:rPr>
        <w:t> </w:t>
      </w:r>
      <w:r>
        <w:rPr>
          <w:spacing w:val="-66"/>
        </w:rPr>
      </w:r>
      <w:r>
        <w:rPr/>
        <w:t>人违规占用公司资金、资产及其它资源的情况。</w:t>
      </w:r>
    </w:p>
    <w:p>
      <w:pPr>
        <w:pStyle w:val="BodyText"/>
        <w:spacing w:line="316" w:lineRule="auto" w:before="17"/>
        <w:ind w:right="1131"/>
        <w:jc w:val="both"/>
      </w:pPr>
      <w:r>
        <w:rPr>
          <w:spacing w:val="-2"/>
        </w:rPr>
        <w:t>（三）业务独立性：公司拥有独立的业务体系，在业务上与控股股东之间不存在竞争关系，也不存在对控股股东及其关联方</w:t>
      </w:r>
      <w:r>
        <w:rPr>
          <w:spacing w:val="-66"/>
        </w:rPr>
        <w:t> </w:t>
      </w:r>
      <w:r>
        <w:rPr>
          <w:spacing w:val="-66"/>
        </w:rPr>
      </w:r>
      <w:r>
        <w:rPr>
          <w:spacing w:val="-2"/>
        </w:rPr>
        <w:t>的依赖关系。公司独立开展自身业务，在生产及销售方面具有完整的业务流程、具有独立的生产经营场所，独立制定并下达</w:t>
      </w:r>
      <w:r>
        <w:rPr>
          <w:spacing w:val="-66"/>
        </w:rPr>
        <w:t> </w:t>
      </w:r>
      <w:r>
        <w:rPr>
          <w:spacing w:val="-66"/>
        </w:rPr>
      </w:r>
      <w:r>
        <w:rPr/>
        <w:t>经营计划，独立签订、独立履行业务经营合同。</w:t>
      </w:r>
    </w:p>
    <w:p>
      <w:pPr>
        <w:pStyle w:val="BodyText"/>
        <w:spacing w:line="316" w:lineRule="auto" w:before="19"/>
        <w:ind w:right="0"/>
        <w:jc w:val="left"/>
      </w:pPr>
      <w:r>
        <w:rPr>
          <w:spacing w:val="-4"/>
        </w:rPr>
        <w:t>（四）财务独立性：公司设立了独立的财务部门，并按照《企业会计制度》等有关法规的要求，建立了独立的财务核算体系，</w:t>
      </w:r>
      <w:r>
        <w:rPr>
          <w:spacing w:val="-44"/>
        </w:rPr>
        <w:t> </w:t>
      </w:r>
      <w:r>
        <w:rPr>
          <w:spacing w:val="-44"/>
        </w:rPr>
      </w:r>
      <w:r>
        <w:rPr>
          <w:spacing w:val="-2"/>
        </w:rPr>
        <w:t>制定了规范的财务会计制度和财务管理制度，独立进行财务决策。公司与控股股东在财务方面分账独立管理，财务人员未在</w:t>
      </w:r>
      <w:r>
        <w:rPr>
          <w:spacing w:val="-66"/>
        </w:rPr>
        <w:t> </w:t>
      </w:r>
      <w:r>
        <w:rPr>
          <w:spacing w:val="-66"/>
        </w:rPr>
      </w:r>
      <w:r>
        <w:rPr/>
        <w:t>股东单位兼职。公司开设了独立的银行账户，未与控股股东及其关联方共用银行账户；公司依法独立纳税。</w:t>
      </w:r>
    </w:p>
    <w:p>
      <w:pPr>
        <w:pStyle w:val="BodyText"/>
        <w:spacing w:line="316" w:lineRule="auto" w:before="19"/>
        <w:ind w:right="1130"/>
        <w:jc w:val="both"/>
      </w:pPr>
      <w:r>
        <w:rPr>
          <w:spacing w:val="-2"/>
        </w:rPr>
        <w:t>（五）机构独立性：公司拥有独立的生产经营和办公场所，不存在与控股股东及其它关联方混合经营、合署办公的情形。公</w:t>
      </w:r>
      <w:r>
        <w:rPr>
          <w:spacing w:val="-66"/>
        </w:rPr>
        <w:t> </w:t>
      </w:r>
      <w:r>
        <w:rPr>
          <w:spacing w:val="-66"/>
        </w:rPr>
      </w:r>
      <w:r>
        <w:rPr>
          <w:spacing w:val="-2"/>
        </w:rPr>
        <w:t>司建立了股东大会、董事会和监事会等机构并制定了相应的议事规则，各机构依照《公司法》及公司章程规定在各自职责范</w:t>
      </w:r>
      <w:r>
        <w:rPr>
          <w:spacing w:val="-66"/>
        </w:rPr>
        <w:t> </w:t>
      </w:r>
      <w:r>
        <w:rPr>
          <w:spacing w:val="-66"/>
        </w:rPr>
      </w:r>
      <w:r>
        <w:rPr>
          <w:spacing w:val="-2"/>
        </w:rPr>
        <w:t>围内独立决策。公司建立了适应自身发展需要的组织机构，明确了各机构的职能，公司决策管理机构、生产单位及各职能部</w:t>
      </w:r>
      <w:r>
        <w:rPr>
          <w:spacing w:val="-66"/>
        </w:rPr>
        <w:t> </w:t>
      </w:r>
      <w:r>
        <w:rPr>
          <w:spacing w:val="-66"/>
        </w:rPr>
      </w:r>
      <w:r>
        <w:rPr>
          <w:spacing w:val="-2"/>
        </w:rPr>
        <w:t>门与控股股东完全分开，独立运行，独立开展生产经营活动。公司及其职能部门与控股股东（包括其它关联方）及其职能部</w:t>
      </w:r>
      <w:r>
        <w:rPr>
          <w:spacing w:val="-66"/>
        </w:rPr>
        <w:t> </w:t>
      </w:r>
      <w:r>
        <w:rPr>
          <w:spacing w:val="-66"/>
        </w:rPr>
      </w:r>
      <w:r>
        <w:rPr/>
        <w:t>门之间不存在上下级关系，不存在大股东干预公司机构设置、生产经营活动的情况。</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sz w:val="18"/>
              </w:rPr>
              <w:t>.com.cn)</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sz w:val="18"/>
              </w:rPr>
              <w:t>.com.cn)</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sz w:val="18"/>
              </w:rPr>
              <w:t>.com.cn)</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sz w:val="18"/>
              </w:rPr>
              <w:t>.com.cn)</w:t>
            </w:r>
          </w:p>
        </w:tc>
      </w:tr>
    </w:tbl>
    <w:p>
      <w:pPr>
        <w:spacing w:line="240" w:lineRule="auto" w:before="3"/>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母景平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安树昆</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朱庆芬</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张春生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王海荣</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left="154"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0" w:firstLine="360"/>
        <w:jc w:val="both"/>
      </w:pPr>
      <w:r>
        <w:rPr>
          <w:spacing w:val="-2"/>
        </w:rPr>
        <w:t>报告期内，公司独立董事根据《公司法》、《证券法》、《深圳证券交易所股票上市规则》、《公司章程》及《南天信</w:t>
      </w:r>
      <w:r>
        <w:rPr/>
        <w:t> </w:t>
      </w:r>
      <w:r>
        <w:rPr>
          <w:spacing w:val="-2"/>
        </w:rPr>
        <w:t>息独立董事管理办法》等相关法律法规，关注公司运作，独立履行职责，对公司的制度完善和日常经营决策等方面提出了很</w:t>
      </w:r>
      <w:r>
        <w:rPr>
          <w:spacing w:val="-66"/>
        </w:rPr>
        <w:t> </w:t>
      </w:r>
      <w:r>
        <w:rPr>
          <w:spacing w:val="-66"/>
        </w:rPr>
      </w:r>
      <w:r>
        <w:rPr>
          <w:spacing w:val="-2"/>
        </w:rPr>
        <w:t>多宝贵的专业性的意见和建议，对报告期内公司发生的提名独立董事候选人、会计政策变更、公司内部控制评价报告、募集</w:t>
      </w:r>
      <w:r>
        <w:rPr>
          <w:spacing w:val="-66"/>
        </w:rPr>
        <w:t> </w:t>
      </w:r>
      <w:r>
        <w:rPr>
          <w:spacing w:val="-66"/>
        </w:rPr>
      </w:r>
      <w:r>
        <w:rPr>
          <w:spacing w:val="-2"/>
        </w:rPr>
        <w:t>资金使用、聘请年度报告审计机构、控股股东及其关联方非经营性资金占用情况、非经营性资产处置、关联交易、聘任高级</w:t>
      </w:r>
      <w:r>
        <w:rPr>
          <w:spacing w:val="-66"/>
        </w:rPr>
        <w:t> </w:t>
      </w:r>
      <w:r>
        <w:rPr>
          <w:spacing w:val="-66"/>
        </w:rPr>
      </w:r>
      <w:r>
        <w:rPr>
          <w:spacing w:val="-2"/>
        </w:rPr>
        <w:t>管理人员、其他需要独立董事发表意见的事项出具了独立、公正意见，为完善公司监督机制，维护公司和全体股东的合法权</w:t>
      </w:r>
      <w:r>
        <w:rPr>
          <w:spacing w:val="-66"/>
        </w:rPr>
        <w:t> </w:t>
      </w:r>
      <w:r>
        <w:rPr>
          <w:spacing w:val="-66"/>
        </w:rPr>
      </w:r>
      <w:r>
        <w:rPr/>
        <w:t>益发挥了积极的作用。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290"/>
        <w:jc w:val="both"/>
      </w:pPr>
      <w:r>
        <w:rPr>
          <w:spacing w:val="-1"/>
        </w:rPr>
        <w:t>本公司董事会下设战略委员会、审计委员会、提名委员会、薪酬与考核委员会、风险管理委员会，分别负责公司的发展</w:t>
      </w:r>
      <w:r>
        <w:rPr/>
        <w:t> 战略、审计、高级管理人员的提名推选、薪酬与考核、风险管理等工作，各委员会报告期内履行职责情况如下：</w:t>
      </w:r>
    </w:p>
    <w:p>
      <w:pPr>
        <w:pStyle w:val="BodyText"/>
        <w:spacing w:line="240" w:lineRule="auto" w:before="139"/>
        <w:ind w:right="0"/>
        <w:jc w:val="left"/>
      </w:pPr>
      <w:r>
        <w:rPr>
          <w:rFonts w:ascii="Times New Roman" w:hAnsi="Times New Roman" w:cs="Times New Roman" w:eastAsia="Times New Roman" w:hint="default"/>
        </w:rPr>
        <w:t>1</w:t>
      </w:r>
      <w:r>
        <w:rPr/>
        <w:t>、董事会审计委员会</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2" w:type="dxa"/>
        <w:tblLayout w:type="fixed"/>
        <w:tblCellMar>
          <w:top w:w="0" w:type="dxa"/>
          <w:left w:w="0" w:type="dxa"/>
          <w:bottom w:w="0" w:type="dxa"/>
          <w:right w:w="0" w:type="dxa"/>
        </w:tblCellMar>
        <w:tblLook w:val="01E0"/>
      </w:tblPr>
      <w:tblGrid>
        <w:gridCol w:w="1576"/>
        <w:gridCol w:w="1526"/>
        <w:gridCol w:w="4345"/>
        <w:gridCol w:w="1051"/>
      </w:tblGrid>
      <w:tr>
        <w:trPr>
          <w:trHeight w:val="580" w:hRule="exact"/>
        </w:trPr>
        <w:tc>
          <w:tcPr>
            <w:tcW w:w="1576" w:type="dxa"/>
            <w:tcBorders>
              <w:top w:val="nil" w:sz="6" w:space="0" w:color="auto"/>
              <w:left w:val="nil" w:sz="6" w:space="0" w:color="auto"/>
              <w:bottom w:val="single" w:sz="6" w:space="0" w:color="000000"/>
              <w:right w:val="single" w:sz="6" w:space="0" w:color="000000"/>
            </w:tcBorders>
          </w:tcPr>
          <w:p>
            <w:pPr>
              <w:pStyle w:val="TableParagraph"/>
              <w:spacing w:line="240" w:lineRule="auto" w:before="140"/>
              <w:ind w:left="20" w:right="0"/>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15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届次</w:t>
            </w:r>
            <w:r>
              <w:rPr>
                <w:rFonts w:ascii="宋体" w:hAnsi="宋体" w:cs="宋体" w:eastAsia="宋体" w:hint="default"/>
                <w:sz w:val="18"/>
                <w:szCs w:val="18"/>
              </w:rPr>
            </w:r>
          </w:p>
        </w:tc>
        <w:tc>
          <w:tcPr>
            <w:tcW w:w="43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议案</w:t>
            </w:r>
            <w:r>
              <w:rPr>
                <w:rFonts w:ascii="宋体" w:hAnsi="宋体" w:cs="宋体" w:eastAsia="宋体" w:hint="default"/>
                <w:sz w:val="18"/>
                <w:szCs w:val="18"/>
              </w:rPr>
            </w:r>
          </w:p>
        </w:tc>
        <w:tc>
          <w:tcPr>
            <w:tcW w:w="105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0"/>
              <w:ind w:left="157" w:right="0"/>
              <w:jc w:val="left"/>
              <w:rPr>
                <w:rFonts w:ascii="宋体" w:hAnsi="宋体" w:cs="宋体" w:eastAsia="宋体" w:hint="default"/>
                <w:sz w:val="18"/>
                <w:szCs w:val="18"/>
              </w:rPr>
            </w:pPr>
            <w:r>
              <w:rPr>
                <w:rFonts w:ascii="宋体" w:hAnsi="宋体" w:cs="宋体" w:eastAsia="宋体" w:hint="default"/>
                <w:b/>
                <w:bCs/>
                <w:sz w:val="18"/>
                <w:szCs w:val="18"/>
              </w:rPr>
              <w:t>表决情况</w:t>
            </w:r>
            <w:r>
              <w:rPr>
                <w:rFonts w:ascii="宋体" w:hAnsi="宋体" w:cs="宋体" w:eastAsia="宋体" w:hint="default"/>
                <w:sz w:val="18"/>
                <w:szCs w:val="18"/>
              </w:rPr>
            </w:r>
          </w:p>
        </w:tc>
      </w:tr>
      <w:tr>
        <w:trPr>
          <w:trHeight w:val="576" w:hRule="exact"/>
        </w:trPr>
        <w:tc>
          <w:tcPr>
            <w:tcW w:w="15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年第一次会议</w:t>
            </w:r>
          </w:p>
        </w:tc>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3" w:right="0"/>
              <w:jc w:val="left"/>
              <w:rPr>
                <w:rFonts w:ascii="宋体" w:hAnsi="宋体" w:cs="宋体" w:eastAsia="宋体" w:hint="default"/>
                <w:sz w:val="18"/>
                <w:szCs w:val="18"/>
              </w:rPr>
            </w:pPr>
            <w:r>
              <w:rPr>
                <w:rFonts w:ascii="宋体" w:hAnsi="宋体" w:cs="宋体" w:eastAsia="宋体" w:hint="default"/>
                <w:sz w:val="18"/>
                <w:szCs w:val="18"/>
              </w:rPr>
              <w:t>听取</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年财务报告阶段性审计情况汇报。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2" w:right="0"/>
              <w:jc w:val="left"/>
              <w:rPr>
                <w:rFonts w:ascii="宋体" w:hAnsi="宋体" w:cs="宋体" w:eastAsia="宋体" w:hint="default"/>
                <w:sz w:val="18"/>
                <w:szCs w:val="18"/>
              </w:rPr>
            </w:pPr>
            <w:r>
              <w:rPr>
                <w:rFonts w:ascii="宋体" w:hAnsi="宋体" w:cs="宋体" w:eastAsia="宋体" w:hint="default"/>
                <w:sz w:val="18"/>
                <w:szCs w:val="18"/>
              </w:rPr>
              <w:t>通过</w:t>
            </w:r>
          </w:p>
        </w:tc>
      </w:tr>
      <w:tr>
        <w:trPr>
          <w:trHeight w:val="890" w:hRule="exact"/>
        </w:trPr>
        <w:tc>
          <w:tcPr>
            <w:tcW w:w="15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年第二次会议</w:t>
            </w:r>
          </w:p>
        </w:tc>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、审议《南天信息</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年度财务报告》；</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、审议《关于聘任会计师事务所的议案》。</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left"/>
              <w:rPr>
                <w:rFonts w:ascii="宋体" w:hAnsi="宋体" w:cs="宋体" w:eastAsia="宋体" w:hint="default"/>
                <w:sz w:val="18"/>
                <w:szCs w:val="18"/>
              </w:rPr>
            </w:pPr>
            <w:r>
              <w:rPr>
                <w:rFonts w:ascii="宋体" w:hAnsi="宋体" w:cs="宋体" w:eastAsia="宋体" w:hint="default"/>
                <w:sz w:val="18"/>
                <w:szCs w:val="18"/>
              </w:rPr>
              <w:t>通过</w:t>
            </w:r>
          </w:p>
        </w:tc>
      </w:tr>
      <w:tr>
        <w:trPr>
          <w:trHeight w:val="889" w:hRule="exact"/>
        </w:trPr>
        <w:tc>
          <w:tcPr>
            <w:tcW w:w="15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年第三次会议</w:t>
            </w:r>
          </w:p>
        </w:tc>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31"/>
              <w:ind w:left="3" w:right="2"/>
              <w:jc w:val="left"/>
              <w:rPr>
                <w:rFonts w:ascii="宋体" w:hAnsi="宋体" w:cs="宋体" w:eastAsia="宋体" w:hint="default"/>
                <w:sz w:val="18"/>
                <w:szCs w:val="18"/>
              </w:rPr>
            </w:pPr>
            <w:r>
              <w:rPr>
                <w:rFonts w:ascii="宋体" w:hAnsi="宋体" w:cs="宋体" w:eastAsia="宋体" w:hint="default"/>
                <w:sz w:val="18"/>
                <w:szCs w:val="18"/>
              </w:rPr>
              <w:t>审议《南天信息</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年度财务报表审计（含内部控制审 计）总体审计计划》。</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left="2" w:right="0"/>
              <w:jc w:val="left"/>
              <w:rPr>
                <w:rFonts w:ascii="宋体" w:hAnsi="宋体" w:cs="宋体" w:eastAsia="宋体" w:hint="default"/>
                <w:sz w:val="18"/>
                <w:szCs w:val="18"/>
              </w:rPr>
            </w:pPr>
            <w:r>
              <w:rPr>
                <w:rFonts w:ascii="宋体" w:hAnsi="宋体" w:cs="宋体" w:eastAsia="宋体" w:hint="default"/>
                <w:sz w:val="18"/>
                <w:szCs w:val="18"/>
              </w:rPr>
              <w:t>通过</w:t>
            </w:r>
          </w:p>
        </w:tc>
      </w:tr>
      <w:tr>
        <w:trPr>
          <w:trHeight w:val="577" w:hRule="exact"/>
        </w:trPr>
        <w:tc>
          <w:tcPr>
            <w:tcW w:w="15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年第四次会议</w:t>
            </w:r>
          </w:p>
        </w:tc>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left="3" w:right="0"/>
              <w:jc w:val="left"/>
              <w:rPr>
                <w:rFonts w:ascii="宋体" w:hAnsi="宋体" w:cs="宋体" w:eastAsia="宋体" w:hint="default"/>
                <w:sz w:val="18"/>
                <w:szCs w:val="18"/>
              </w:rPr>
            </w:pPr>
            <w:r>
              <w:rPr>
                <w:rFonts w:ascii="宋体" w:hAnsi="宋体" w:cs="宋体" w:eastAsia="宋体" w:hint="default"/>
                <w:sz w:val="18"/>
                <w:szCs w:val="18"/>
              </w:rPr>
              <w:t>审议《关于改聘会计师事务所的议案</w:t>
            </w:r>
            <w:r>
              <w:rPr>
                <w:rFonts w:ascii="Times New Roman" w:hAnsi="Times New Roman" w:cs="Times New Roman" w:eastAsia="Times New Roman" w:hint="default"/>
                <w:sz w:val="18"/>
                <w:szCs w:val="18"/>
              </w:rPr>
              <w:t>&gt;</w:t>
            </w:r>
            <w:r>
              <w:rPr>
                <w:rFonts w:ascii="宋体" w:hAnsi="宋体" w:cs="宋体" w:eastAsia="宋体" w:hint="default"/>
                <w:sz w:val="18"/>
                <w:szCs w:val="18"/>
              </w:rPr>
              <w:t>。</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left="2" w:right="0"/>
              <w:jc w:val="left"/>
              <w:rPr>
                <w:rFonts w:ascii="宋体" w:hAnsi="宋体" w:cs="宋体" w:eastAsia="宋体" w:hint="default"/>
                <w:sz w:val="18"/>
                <w:szCs w:val="18"/>
              </w:rPr>
            </w:pPr>
            <w:r>
              <w:rPr>
                <w:rFonts w:ascii="宋体" w:hAnsi="宋体" w:cs="宋体" w:eastAsia="宋体" w:hint="default"/>
                <w:sz w:val="18"/>
                <w:szCs w:val="18"/>
              </w:rPr>
              <w:t>通过</w:t>
            </w:r>
          </w:p>
        </w:tc>
      </w:tr>
      <w:tr>
        <w:trPr>
          <w:trHeight w:val="1201" w:hRule="exact"/>
        </w:trPr>
        <w:tc>
          <w:tcPr>
            <w:tcW w:w="15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年第五次会议</w:t>
            </w:r>
          </w:p>
        </w:tc>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年公司资产核销的议案；</w:t>
            </w:r>
          </w:p>
          <w:p>
            <w:pPr>
              <w:pStyle w:val="TableParagraph"/>
              <w:spacing w:line="240" w:lineRule="auto" w:before="63"/>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、审议与中审众环会计师事务所</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特殊普通合伙</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就</w:t>
            </w:r>
            <w:r>
              <w:rPr>
                <w:rFonts w:ascii="Times New Roman" w:hAnsi="Times New Roman" w:cs="Times New Roman" w:eastAsia="Times New Roman" w:hint="default"/>
                <w:spacing w:val="-1"/>
                <w:sz w:val="18"/>
                <w:szCs w:val="18"/>
              </w:rPr>
              <w:t>2015</w:t>
            </w:r>
          </w:p>
          <w:p>
            <w:pPr>
              <w:pStyle w:val="TableParagraph"/>
              <w:spacing w:line="240" w:lineRule="auto" w:before="63"/>
              <w:ind w:left="3" w:right="0"/>
              <w:jc w:val="left"/>
              <w:rPr>
                <w:rFonts w:ascii="宋体" w:hAnsi="宋体" w:cs="宋体" w:eastAsia="宋体" w:hint="default"/>
                <w:sz w:val="18"/>
                <w:szCs w:val="18"/>
              </w:rPr>
            </w:pPr>
            <w:r>
              <w:rPr>
                <w:rFonts w:ascii="宋体" w:hAnsi="宋体" w:cs="宋体" w:eastAsia="宋体" w:hint="default"/>
                <w:sz w:val="18"/>
                <w:szCs w:val="18"/>
              </w:rPr>
              <w:t>年年报审计工作进行初次沟通。</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2" w:right="0"/>
              <w:jc w:val="left"/>
              <w:rPr>
                <w:rFonts w:ascii="宋体" w:hAnsi="宋体" w:cs="宋体" w:eastAsia="宋体" w:hint="default"/>
                <w:sz w:val="18"/>
                <w:szCs w:val="18"/>
              </w:rPr>
            </w:pPr>
            <w:r>
              <w:rPr>
                <w:rFonts w:ascii="宋体" w:hAnsi="宋体" w:cs="宋体" w:eastAsia="宋体" w:hint="default"/>
                <w:sz w:val="18"/>
                <w:szCs w:val="18"/>
              </w:rPr>
              <w:t>通过</w:t>
            </w:r>
          </w:p>
        </w:tc>
      </w:tr>
    </w:tbl>
    <w:p>
      <w:pPr>
        <w:spacing w:line="240" w:lineRule="auto" w:before="8"/>
        <w:rPr>
          <w:rFonts w:ascii="宋体" w:hAnsi="宋体" w:cs="宋体" w:eastAsia="宋体" w:hint="default"/>
          <w:sz w:val="6"/>
          <w:szCs w:val="6"/>
        </w:rPr>
      </w:pPr>
    </w:p>
    <w:p>
      <w:pPr>
        <w:pStyle w:val="BodyText"/>
        <w:spacing w:line="240" w:lineRule="auto" w:before="44"/>
        <w:ind w:left="154" w:right="0"/>
        <w:jc w:val="left"/>
      </w:pPr>
      <w:r>
        <w:rPr>
          <w:rFonts w:ascii="Times New Roman" w:hAnsi="Times New Roman" w:cs="Times New Roman" w:eastAsia="Times New Roman" w:hint="default"/>
        </w:rPr>
        <w:t>2</w:t>
      </w:r>
      <w:r>
        <w:rPr/>
        <w:t>、董事会提名委员会</w:t>
      </w:r>
    </w:p>
    <w:p>
      <w:pPr>
        <w:spacing w:line="240" w:lineRule="auto" w:before="2"/>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1684"/>
        <w:gridCol w:w="1726"/>
        <w:gridCol w:w="4215"/>
        <w:gridCol w:w="1232"/>
      </w:tblGrid>
      <w:tr>
        <w:trPr>
          <w:trHeight w:val="587"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宋体" w:hAnsi="宋体" w:cs="宋体" w:eastAsia="宋体" w:hint="default"/>
                <w:sz w:val="18"/>
                <w:szCs w:val="18"/>
              </w:rPr>
            </w:pPr>
            <w:r>
              <w:rPr>
                <w:rFonts w:ascii="宋体" w:hAnsi="宋体" w:cs="宋体" w:eastAsia="宋体" w:hint="default"/>
                <w:b/>
                <w:bCs/>
                <w:sz w:val="18"/>
                <w:szCs w:val="18"/>
              </w:rPr>
              <w:t>届次</w:t>
            </w:r>
            <w:r>
              <w:rPr>
                <w:rFonts w:ascii="宋体" w:hAnsi="宋体" w:cs="宋体" w:eastAsia="宋体" w:hint="default"/>
                <w:sz w:val="18"/>
                <w:szCs w:val="18"/>
              </w:rPr>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议案</w:t>
            </w:r>
            <w:r>
              <w:rPr>
                <w:rFonts w:ascii="宋体" w:hAnsi="宋体" w:cs="宋体" w:eastAsia="宋体" w:hint="default"/>
                <w:sz w:val="18"/>
                <w:szCs w:val="18"/>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8" w:right="0"/>
              <w:jc w:val="left"/>
              <w:rPr>
                <w:rFonts w:ascii="宋体" w:hAnsi="宋体" w:cs="宋体" w:eastAsia="宋体" w:hint="default"/>
                <w:sz w:val="18"/>
                <w:szCs w:val="18"/>
              </w:rPr>
            </w:pPr>
            <w:r>
              <w:rPr>
                <w:rFonts w:ascii="宋体" w:hAnsi="宋体" w:cs="宋体" w:eastAsia="宋体" w:hint="default"/>
                <w:b/>
                <w:bCs/>
                <w:sz w:val="18"/>
                <w:szCs w:val="18"/>
              </w:rPr>
              <w:t>表决情况</w:t>
            </w:r>
            <w:r>
              <w:rPr>
                <w:rFonts w:ascii="宋体" w:hAnsi="宋体" w:cs="宋体" w:eastAsia="宋体" w:hint="default"/>
                <w:sz w:val="18"/>
                <w:szCs w:val="18"/>
              </w:rPr>
            </w:r>
          </w:p>
        </w:tc>
      </w:tr>
      <w:tr>
        <w:trPr>
          <w:trHeight w:val="900"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年第一次会议</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1"/>
              <w:ind w:left="2" w:right="2"/>
              <w:jc w:val="left"/>
              <w:rPr>
                <w:rFonts w:ascii="宋体" w:hAnsi="宋体" w:cs="宋体" w:eastAsia="宋体" w:hint="default"/>
                <w:sz w:val="18"/>
                <w:szCs w:val="18"/>
              </w:rPr>
            </w:pPr>
            <w:r>
              <w:rPr>
                <w:rFonts w:ascii="宋体" w:hAnsi="宋体" w:cs="宋体" w:eastAsia="宋体" w:hint="default"/>
                <w:sz w:val="18"/>
                <w:szCs w:val="18"/>
              </w:rPr>
              <w:t>审议《关于推荐张春生先生、王海荣女士为公司第六</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届董事会独立董事候选人的议案》</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通过</w:t>
            </w:r>
          </w:p>
        </w:tc>
      </w:tr>
      <w:tr>
        <w:trPr>
          <w:trHeight w:val="1643"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年第二次会议</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40"/>
              <w:ind w:left="2"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、审议《关于推荐赵起高先生为公司董事会秘书的议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案》；</w:t>
            </w:r>
          </w:p>
          <w:p>
            <w:pPr>
              <w:pStyle w:val="TableParagraph"/>
              <w:spacing w:line="300" w:lineRule="auto" w:before="151"/>
              <w:ind w:left="2"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、审议《关于推荐陈宇峰先生为公司参股子公司云南</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东盟公共物流信息有限公司董事的议案》。</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宋体" w:hAnsi="宋体" w:cs="宋体" w:eastAsia="宋体" w:hint="default"/>
                <w:sz w:val="18"/>
                <w:szCs w:val="18"/>
              </w:rPr>
              <w:t>通过</w:t>
            </w:r>
          </w:p>
        </w:tc>
      </w:tr>
      <w:tr>
        <w:trPr>
          <w:trHeight w:val="899"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年第三次会议</w:t>
            </w:r>
          </w:p>
        </w:tc>
        <w:tc>
          <w:tcPr>
            <w:tcW w:w="42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1"/>
              <w:ind w:left="2" w:right="2"/>
              <w:jc w:val="left"/>
              <w:rPr>
                <w:rFonts w:ascii="宋体" w:hAnsi="宋体" w:cs="宋体" w:eastAsia="宋体" w:hint="default"/>
                <w:sz w:val="18"/>
                <w:szCs w:val="18"/>
              </w:rPr>
            </w:pPr>
            <w:r>
              <w:rPr>
                <w:rFonts w:ascii="宋体" w:hAnsi="宋体" w:cs="宋体" w:eastAsia="宋体" w:hint="default"/>
                <w:sz w:val="18"/>
                <w:szCs w:val="18"/>
              </w:rPr>
              <w:t>审议《关于推荐雷坚先生担任参股公司盈富泰克创业</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投资有限公司董事职务的议案》</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通过</w:t>
            </w:r>
          </w:p>
        </w:tc>
      </w:tr>
    </w:tbl>
    <w:p>
      <w:pPr>
        <w:spacing w:line="240" w:lineRule="auto" w:before="8"/>
        <w:rPr>
          <w:rFonts w:ascii="宋体" w:hAnsi="宋体" w:cs="宋体" w:eastAsia="宋体" w:hint="default"/>
          <w:sz w:val="6"/>
          <w:szCs w:val="6"/>
        </w:rPr>
      </w:pPr>
    </w:p>
    <w:p>
      <w:pPr>
        <w:pStyle w:val="BodyText"/>
        <w:spacing w:line="240" w:lineRule="auto" w:before="44"/>
        <w:ind w:left="154" w:right="0"/>
        <w:jc w:val="left"/>
      </w:pPr>
      <w:r>
        <w:rPr>
          <w:rFonts w:ascii="Times New Roman" w:hAnsi="Times New Roman" w:cs="Times New Roman" w:eastAsia="Times New Roman" w:hint="default"/>
        </w:rPr>
        <w:t>3</w:t>
      </w:r>
      <w:r>
        <w:rPr/>
        <w:t>、董事会薪酬与考核委员会</w:t>
      </w:r>
    </w:p>
    <w:p>
      <w:pPr>
        <w:spacing w:line="240" w:lineRule="auto" w:before="13"/>
        <w:rPr>
          <w:rFonts w:ascii="宋体" w:hAnsi="宋体" w:cs="宋体" w:eastAsia="宋体" w:hint="default"/>
          <w:sz w:val="13"/>
          <w:szCs w:val="13"/>
        </w:rPr>
      </w:pPr>
    </w:p>
    <w:p>
      <w:pPr>
        <w:pStyle w:val="BodyText"/>
        <w:spacing w:line="300" w:lineRule="auto"/>
        <w:ind w:left="154" w:right="0" w:firstLine="217"/>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23</w:t>
      </w:r>
      <w:r>
        <w:rPr>
          <w:spacing w:val="-1"/>
        </w:rPr>
        <w:t>日，公司董事会薪酬与考核委员会根据公司高级管理人员的主要职责范围、公司</w:t>
      </w:r>
      <w:r>
        <w:rPr>
          <w:rFonts w:ascii="Times New Roman" w:hAnsi="Times New Roman" w:cs="Times New Roman" w:eastAsia="Times New Roman" w:hint="default"/>
          <w:spacing w:val="-1"/>
        </w:rPr>
        <w:t>2014</w:t>
      </w:r>
      <w:r>
        <w:rPr>
          <w:spacing w:val="-1"/>
        </w:rPr>
        <w:t>年度经营业绩、重点工</w:t>
      </w:r>
      <w:r>
        <w:rPr/>
        <w:t> 作的完成等情况，完成对高级管理人员</w:t>
      </w:r>
      <w:r>
        <w:rPr>
          <w:rFonts w:ascii="Times New Roman" w:hAnsi="Times New Roman" w:cs="Times New Roman" w:eastAsia="Times New Roman" w:hint="default"/>
        </w:rPr>
        <w:t>2014</w:t>
      </w:r>
      <w:r>
        <w:rPr/>
        <w:t>年度绩效考核工作。</w:t>
      </w:r>
    </w:p>
    <w:p>
      <w:pPr>
        <w:pStyle w:val="BodyText"/>
        <w:spacing w:line="240" w:lineRule="auto" w:before="133"/>
        <w:ind w:left="154" w:right="0"/>
        <w:jc w:val="left"/>
      </w:pPr>
      <w:r>
        <w:rPr>
          <w:rFonts w:ascii="Times New Roman" w:hAnsi="Times New Roman" w:cs="Times New Roman" w:eastAsia="Times New Roman" w:hint="default"/>
        </w:rPr>
        <w:t>4</w:t>
      </w:r>
      <w:r>
        <w:rPr/>
        <w:t>、董事会风险管理委员会</w:t>
      </w:r>
    </w:p>
    <w:p>
      <w:pPr>
        <w:spacing w:line="240" w:lineRule="auto" w:before="13"/>
        <w:rPr>
          <w:rFonts w:ascii="宋体" w:hAnsi="宋体" w:cs="宋体" w:eastAsia="宋体" w:hint="default"/>
          <w:sz w:val="13"/>
          <w:szCs w:val="13"/>
        </w:rPr>
      </w:pPr>
    </w:p>
    <w:p>
      <w:pPr>
        <w:pStyle w:val="BodyText"/>
        <w:spacing w:line="300" w:lineRule="auto"/>
        <w:ind w:right="1118" w:firstLine="217"/>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日，公司董事会风险管理委员会对《南天信息</w:t>
      </w:r>
      <w:r>
        <w:rPr>
          <w:rFonts w:ascii="Times New Roman" w:hAnsi="Times New Roman" w:cs="Times New Roman" w:eastAsia="Times New Roman" w:hint="default"/>
        </w:rPr>
        <w:t>2014</w:t>
      </w:r>
      <w:r>
        <w:rPr/>
        <w:t>年度内部控制评价报告</w:t>
      </w:r>
      <w:r>
        <w:rPr>
          <w:rFonts w:ascii="Times New Roman" w:hAnsi="Times New Roman" w:cs="Times New Roman" w:eastAsia="Times New Roman" w:hint="default"/>
        </w:rPr>
        <w:t>(</w:t>
      </w:r>
      <w:r>
        <w:rPr/>
        <w:t>征求意见稿</w:t>
      </w:r>
      <w:r>
        <w:rPr>
          <w:rFonts w:ascii="Times New Roman" w:hAnsi="Times New Roman" w:cs="Times New Roman" w:eastAsia="Times New Roman" w:hint="default"/>
        </w:rPr>
        <w:t>)</w:t>
      </w:r>
      <w:r>
        <w:rPr/>
        <w:t>》进行了审阅，并表 示无异议。</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38"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公司已建立高级管理人员的绩效评价体系。公司董事会根据年初确定的工作计划和经营指标，对高级管理人员进行考核。董</w:t>
      </w:r>
      <w:r>
        <w:rPr>
          <w:spacing w:val="-66"/>
        </w:rPr>
        <w:t> </w:t>
      </w:r>
      <w:r>
        <w:rPr>
          <w:spacing w:val="-66"/>
        </w:rPr>
      </w:r>
      <w:r>
        <w:rPr>
          <w:spacing w:val="-2"/>
        </w:rPr>
        <w:t>事会下设薪酬与考核委员会，薪酬委以《南天信息股份公司高级管理人员薪酬与绩效管理制度》为考核规范，根据公司年度</w:t>
      </w:r>
      <w:r>
        <w:rPr>
          <w:spacing w:val="-66"/>
        </w:rPr>
        <w:t> </w:t>
      </w:r>
      <w:r>
        <w:rPr>
          <w:spacing w:val="-66"/>
        </w:rPr>
      </w:r>
      <w:r>
        <w:rPr>
          <w:spacing w:val="-2"/>
        </w:rPr>
        <w:t>财务报告的各项考核指标和年度经营计划目标，对公司高级管理人员及其所负责的单位进行经营业绩和管理指标的考核，以</w:t>
      </w:r>
      <w:r>
        <w:rPr>
          <w:spacing w:val="-64"/>
        </w:rPr>
        <w:t> </w:t>
      </w:r>
      <w:r>
        <w:rPr>
          <w:spacing w:val="-64"/>
        </w:rPr>
      </w:r>
      <w:r>
        <w:rPr>
          <w:spacing w:val="-2"/>
        </w:rPr>
        <w:t>此作为奖惩依据。公司将继续按照市场化取向，逐步建立更加完善的激励和约束机制，以促使高级管理人员勤勉尽责，提高</w:t>
      </w:r>
      <w:r>
        <w:rPr>
          <w:spacing w:val="-66"/>
        </w:rPr>
        <w:t> </w:t>
      </w:r>
      <w:r>
        <w:rPr>
          <w:spacing w:val="-66"/>
        </w:rPr>
      </w:r>
      <w:r>
        <w:rPr/>
        <w:t>公司法人治理水平，实现股东利益和公司利益最大化。</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bookmarkStart w:name="九、内部控制情况" w:id="149"/>
      <w:bookmarkEnd w:id="149"/>
      <w:r>
        <w:rPr>
          <w:b w:val="0"/>
          <w:bCs w:val="0"/>
        </w:rPr>
      </w:r>
      <w:r>
        <w:rPr/>
        <w:t>九、内部控制情况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39"/>
        <w:jc w:val="right"/>
      </w:pPr>
      <w:r>
        <w:rPr/>
        <w:pict>
          <v:shape style="position:absolute;margin-left:56.459999pt;margin-top:-215.068283pt;width:479.2pt;height:451.2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97.32%</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97.23%</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79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07" w:lineRule="auto"/>
                          <w:ind w:left="22" w:right="18"/>
                          <w:jc w:val="left"/>
                          <w:rPr>
                            <w:rFonts w:ascii="宋体" w:hAnsi="宋体" w:cs="宋体" w:eastAsia="宋体" w:hint="default"/>
                            <w:sz w:val="18"/>
                            <w:szCs w:val="18"/>
                          </w:rPr>
                        </w:pPr>
                        <w:r>
                          <w:rPr>
                            <w:rFonts w:ascii="宋体" w:hAnsi="宋体" w:cs="宋体" w:eastAsia="宋体" w:hint="default"/>
                            <w:sz w:val="18"/>
                            <w:szCs w:val="18"/>
                          </w:rPr>
                          <w:t>财务报告重大缺陷的迹象包括：</w:t>
                        </w:r>
                        <w:r>
                          <w:rPr>
                            <w:rFonts w:ascii="Times New Roman" w:hAnsi="Times New Roman" w:cs="Times New Roman" w:eastAsia="Times New Roman" w:hint="default"/>
                            <w:sz w:val="18"/>
                            <w:szCs w:val="18"/>
                          </w:rPr>
                          <w:t>(1)</w:t>
                        </w:r>
                        <w:r>
                          <w:rPr>
                            <w:rFonts w:ascii="宋体" w:hAnsi="宋体" w:cs="宋体" w:eastAsia="宋体" w:hint="default"/>
                            <w:sz w:val="18"/>
                            <w:szCs w:val="18"/>
                          </w:rPr>
                          <w:t>董事、 监事和高级管理人员舞弊</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 公布的财务报告</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注册会计师发现当期 财务报告存在重大错报</w:t>
                        </w:r>
                        <w:r>
                          <w:rPr>
                            <w:rFonts w:ascii="Times New Roman" w:hAnsi="Times New Roman" w:cs="Times New Roman" w:eastAsia="Times New Roman" w:hint="default"/>
                            <w:sz w:val="18"/>
                            <w:szCs w:val="18"/>
                          </w:rPr>
                          <w:t>,</w:t>
                        </w:r>
                        <w:r>
                          <w:rPr>
                            <w:rFonts w:ascii="宋体" w:hAnsi="宋体" w:cs="宋体" w:eastAsia="宋体" w:hint="default"/>
                            <w:sz w:val="18"/>
                            <w:szCs w:val="18"/>
                          </w:rPr>
                          <w:t>而内部控制在运 行过程中未能发现该错报；</w:t>
                        </w:r>
                        <w:r>
                          <w:rPr>
                            <w:rFonts w:ascii="Times New Roman" w:hAnsi="Times New Roman" w:cs="Times New Roman" w:eastAsia="Times New Roman" w:hint="default"/>
                            <w:sz w:val="18"/>
                            <w:szCs w:val="18"/>
                          </w:rPr>
                          <w:t>(4)</w:t>
                        </w:r>
                        <w:r>
                          <w:rPr>
                            <w:rFonts w:ascii="宋体" w:hAnsi="宋体" w:cs="宋体" w:eastAsia="宋体" w:hint="default"/>
                            <w:sz w:val="18"/>
                            <w:szCs w:val="18"/>
                          </w:rPr>
                          <w:t>董事会及审 计部对内部控制的监督无效。财务报告重 要缺陷的迹象包括：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未依照公认会计准 则选择和应用会计政策、未建立反舞弊程 序和控制措施；</w:t>
                        </w:r>
                        <w:r>
                          <w:rPr>
                            <w:rFonts w:ascii="Times New Roman" w:hAnsi="Times New Roman" w:cs="Times New Roman" w:eastAsia="Times New Roman" w:hint="default"/>
                            <w:sz w:val="18"/>
                            <w:szCs w:val="18"/>
                          </w:rPr>
                          <w:t>(2)</w:t>
                        </w:r>
                        <w:r>
                          <w:rPr>
                            <w:rFonts w:ascii="宋体" w:hAnsi="宋体" w:cs="宋体" w:eastAsia="宋体" w:hint="default"/>
                            <w:sz w:val="18"/>
                            <w:szCs w:val="18"/>
                          </w:rPr>
                          <w:t>对于非常规或特殊交易 的账务处理没有建立相应的控制机制或没 有实施且没有相应的补偿性控制； </w:t>
                        </w:r>
                        <w:r>
                          <w:rPr>
                            <w:rFonts w:ascii="Times New Roman" w:hAnsi="Times New Roman" w:cs="Times New Roman" w:eastAsia="Times New Roman" w:hint="default"/>
                            <w:sz w:val="18"/>
                            <w:szCs w:val="18"/>
                          </w:rPr>
                          <w:t>(3)</w:t>
                        </w:r>
                        <w:r>
                          <w:rPr>
                            <w:rFonts w:ascii="宋体" w:hAnsi="宋体" w:cs="宋体" w:eastAsia="宋体" w:hint="default"/>
                            <w:sz w:val="18"/>
                            <w:szCs w:val="18"/>
                          </w:rPr>
                          <w:t>对 于期末财务报告过程的控制存在一项或多 项缺陷且不能合理保证编制的财务报表达 到真实、准确的目标。</w:t>
                        </w:r>
                      </w:p>
                    </w:tc>
                    <w:tc>
                      <w:tcPr>
                        <w:tcW w:w="3051" w:type="dxa"/>
                        <w:vMerge w:val="restart"/>
                        <w:tcBorders>
                          <w:top w:val="single" w:sz="4" w:space="0" w:color="000000"/>
                          <w:left w:val="single" w:sz="4" w:space="0" w:color="000000"/>
                          <w:right w:val="single" w:sz="4" w:space="0" w:color="000000"/>
                        </w:tcBorders>
                      </w:tcPr>
                      <w:p>
                        <w:pPr>
                          <w:pStyle w:val="TableParagraph"/>
                          <w:tabs>
                            <w:tab w:pos="1643" w:val="left" w:leader="none"/>
                          </w:tabs>
                          <w:spacing w:line="307" w:lineRule="auto" w:before="52"/>
                          <w:ind w:left="22" w:right="19"/>
                          <w:jc w:val="left"/>
                          <w:rPr>
                            <w:rFonts w:ascii="宋体" w:hAnsi="宋体" w:cs="宋体" w:eastAsia="宋体" w:hint="default"/>
                            <w:sz w:val="18"/>
                            <w:szCs w:val="18"/>
                          </w:rPr>
                        </w:pPr>
                        <w:r>
                          <w:rPr>
                            <w:rFonts w:ascii="宋体" w:hAnsi="宋体" w:cs="宋体" w:eastAsia="宋体" w:hint="default"/>
                            <w:sz w:val="18"/>
                            <w:szCs w:val="18"/>
                          </w:rPr>
                          <w:t>非财务报告重大缺陷的迹象包括：</w:t>
                        </w: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缺乏长远发展战略规划，没有切实可行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的战略目标</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公司决策程序不科学</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未有效执行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三重一大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决策程序，导致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决策失误，造成损失</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违犯国家法律</w:t>
                        </w:r>
                        <w:r>
                          <w:rPr>
                            <w:rFonts w:ascii="宋体" w:hAnsi="宋体" w:cs="宋体" w:eastAsia="宋体" w:hint="default"/>
                            <w:sz w:val="18"/>
                            <w:szCs w:val="18"/>
                          </w:rPr>
                          <w:t> 法规，并受到处罚</w:t>
                        </w:r>
                        <w:r>
                          <w:rPr>
                            <w:rFonts w:ascii="Times New Roman" w:hAnsi="Times New Roman" w:cs="Times New Roman" w:eastAsia="Times New Roman" w:hint="default"/>
                            <w:sz w:val="18"/>
                            <w:szCs w:val="18"/>
                          </w:rPr>
                          <w:t>;(4)</w:t>
                        </w:r>
                        <w:r>
                          <w:rPr>
                            <w:rFonts w:ascii="宋体" w:hAnsi="宋体" w:cs="宋体" w:eastAsia="宋体" w:hint="default"/>
                            <w:sz w:val="18"/>
                            <w:szCs w:val="18"/>
                          </w:rPr>
                          <w:t>中高级管理人员 和高级技术人员流失严重</w:t>
                        </w:r>
                        <w:r>
                          <w:rPr>
                            <w:rFonts w:ascii="Times New Roman" w:hAnsi="Times New Roman" w:cs="Times New Roman" w:eastAsia="Times New Roman" w:hint="default"/>
                            <w:sz w:val="18"/>
                            <w:szCs w:val="18"/>
                          </w:rPr>
                          <w:t>;(5)</w:t>
                        </w:r>
                        <w:r>
                          <w:rPr>
                            <w:rFonts w:ascii="宋体" w:hAnsi="宋体" w:cs="宋体" w:eastAsia="宋体" w:hint="default"/>
                            <w:sz w:val="18"/>
                            <w:szCs w:val="18"/>
                          </w:rPr>
                          <w:t>内部控制 评价的结果特别是重大或重要缺陷未 得到整改。</w:t>
                        </w:r>
                        <w:r>
                          <w:rPr>
                            <w:rFonts w:ascii="Times New Roman" w:hAnsi="Times New Roman" w:cs="Times New Roman" w:eastAsia="Times New Roman" w:hint="default"/>
                            <w:sz w:val="18"/>
                            <w:szCs w:val="18"/>
                          </w:rPr>
                          <w:t>(6)</w:t>
                        </w:r>
                        <w:r>
                          <w:rPr>
                            <w:rFonts w:ascii="宋体" w:hAnsi="宋体" w:cs="宋体" w:eastAsia="宋体" w:hint="default"/>
                            <w:sz w:val="18"/>
                            <w:szCs w:val="18"/>
                          </w:rPr>
                          <w:t>重要业务缺乏制度控制 </w:t>
                        </w:r>
                        <w:r>
                          <w:rPr>
                            <w:rFonts w:ascii="宋体" w:hAnsi="宋体" w:cs="宋体" w:eastAsia="宋体" w:hint="default"/>
                            <w:spacing w:val="-4"/>
                            <w:sz w:val="18"/>
                            <w:szCs w:val="18"/>
                          </w:rPr>
                          <w:t>或制度系统性失效。非财务报告重要缺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陷的迹象包括：</w:t>
                          <w:tab/>
                        </w:r>
                        <w:r>
                          <w:rPr>
                            <w:rFonts w:ascii="Times New Roman" w:hAnsi="Times New Roman" w:cs="Times New Roman" w:eastAsia="Times New Roman" w:hint="default"/>
                            <w:sz w:val="18"/>
                            <w:szCs w:val="18"/>
                          </w:rPr>
                          <w:t>(1)</w:t>
                        </w:r>
                        <w:r>
                          <w:rPr>
                            <w:rFonts w:ascii="宋体" w:hAnsi="宋体" w:cs="宋体" w:eastAsia="宋体" w:hint="default"/>
                            <w:sz w:val="18"/>
                            <w:szCs w:val="18"/>
                          </w:rPr>
                          <w:t>战略的制定较 </w:t>
                        </w:r>
                        <w:r>
                          <w:rPr>
                            <w:rFonts w:ascii="宋体" w:hAnsi="宋体" w:cs="宋体" w:eastAsia="宋体" w:hint="default"/>
                            <w:spacing w:val="-4"/>
                            <w:sz w:val="18"/>
                            <w:szCs w:val="18"/>
                          </w:rPr>
                          <w:t>为简单、粗略；制定的公司总体战略目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标不明确； </w:t>
                        </w:r>
                        <w:r>
                          <w:rPr>
                            <w:rFonts w:ascii="Times New Roman" w:hAnsi="Times New Roman" w:cs="Times New Roman" w:eastAsia="Times New Roman" w:hint="default"/>
                            <w:spacing w:val="-4"/>
                            <w:w w:val="100"/>
                            <w:sz w:val="18"/>
                            <w:szCs w:val="18"/>
                          </w:rPr>
                          <w:t>(2)</w:t>
                        </w:r>
                        <w:r>
                          <w:rPr>
                            <w:rFonts w:ascii="宋体" w:hAnsi="宋体" w:cs="宋体" w:eastAsia="宋体" w:hint="default"/>
                            <w:spacing w:val="-4"/>
                            <w:w w:val="100"/>
                            <w:sz w:val="18"/>
                            <w:szCs w:val="18"/>
                          </w:rPr>
                          <w:t>未有效执行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三重一大</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决策程序，导</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z w:val="18"/>
                            <w:szCs w:val="18"/>
                          </w:rPr>
                          <w:t>致决策失误，但尚未造成重大损失； </w:t>
                        </w:r>
                        <w:r>
                          <w:rPr>
                            <w:rFonts w:ascii="Times New Roman" w:hAnsi="Times New Roman" w:cs="Times New Roman" w:eastAsia="Times New Roman" w:hint="default"/>
                            <w:sz w:val="18"/>
                            <w:szCs w:val="18"/>
                          </w:rPr>
                          <w:t>(3)</w:t>
                        </w:r>
                        <w:r>
                          <w:rPr>
                            <w:rFonts w:ascii="宋体" w:hAnsi="宋体" w:cs="宋体" w:eastAsia="宋体" w:hint="default"/>
                            <w:sz w:val="18"/>
                            <w:szCs w:val="18"/>
                          </w:rPr>
                          <w:t>违反企业内部规章，形成损失； </w:t>
                        </w:r>
                        <w:r>
                          <w:rPr>
                            <w:rFonts w:ascii="Times New Roman" w:hAnsi="Times New Roman" w:cs="Times New Roman" w:eastAsia="Times New Roman" w:hint="default"/>
                            <w:sz w:val="18"/>
                            <w:szCs w:val="18"/>
                          </w:rPr>
                          <w:t>(4)</w:t>
                        </w:r>
                        <w:r>
                          <w:rPr>
                            <w:rFonts w:ascii="宋体" w:hAnsi="宋体" w:cs="宋体" w:eastAsia="宋体" w:hint="default"/>
                            <w:sz w:val="18"/>
                            <w:szCs w:val="18"/>
                          </w:rPr>
                          <w:t>关键岗位业务人员流失严重；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重要业务制度或系统存在缺陷； </w:t>
                        </w:r>
                        <w:r>
                          <w:rPr>
                            <w:rFonts w:ascii="Times New Roman" w:hAnsi="Times New Roman" w:cs="Times New Roman" w:eastAsia="Times New Roman" w:hint="default"/>
                            <w:sz w:val="18"/>
                            <w:szCs w:val="18"/>
                          </w:rPr>
                          <w:t>(6)</w:t>
                        </w:r>
                        <w:r>
                          <w:rPr>
                            <w:rFonts w:ascii="宋体" w:hAnsi="宋体" w:cs="宋体" w:eastAsia="宋体" w:hint="default"/>
                            <w:sz w:val="18"/>
                            <w:szCs w:val="18"/>
                          </w:rPr>
                          <w:t>内部控制重要或一般缺陷未得到整</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79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44"/>
        <w:ind w:left="0" w:right="1139"/>
        <w:jc w:val="right"/>
      </w:pPr>
      <w:r>
        <w:rPr/>
        <w:pict>
          <v:shape style="position:absolute;margin-left:56.459999pt;margin-top:-76.828278pt;width:479.2pt;height:524.7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317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tabs>
                            <w:tab w:pos="2393" w:val="left" w:leader="none"/>
                          </w:tabs>
                          <w:spacing w:line="307"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改。非财务报告一般缺陷的迹象包括：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战略分析、战略制定及战略实施方 面存在其他的影响实现战略目标的缺 陷； </w:t>
                        </w: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决策程序不规范，决策效率较低； </w:t>
                        </w:r>
                        <w:r>
                          <w:rPr>
                            <w:rFonts w:ascii="Times New Roman" w:hAnsi="Times New Roman" w:cs="Times New Roman" w:eastAsia="Times New Roman" w:hint="default"/>
                            <w:sz w:val="18"/>
                            <w:szCs w:val="18"/>
                          </w:rPr>
                          <w:t>(3)</w:t>
                        </w:r>
                        <w:r>
                          <w:rPr>
                            <w:rFonts w:ascii="宋体" w:hAnsi="宋体" w:cs="宋体" w:eastAsia="宋体" w:hint="default"/>
                            <w:sz w:val="18"/>
                            <w:szCs w:val="18"/>
                          </w:rPr>
                          <w:t>违反公司内部规章，但未形成损失 </w:t>
                        </w:r>
                        <w:r>
                          <w:rPr>
                            <w:rFonts w:ascii="Times New Roman" w:hAnsi="Times New Roman" w:cs="Times New Roman" w:eastAsia="Times New Roman" w:hint="default"/>
                            <w:sz w:val="18"/>
                            <w:szCs w:val="18"/>
                          </w:rPr>
                          <w:t>(4)</w:t>
                        </w:r>
                        <w:r>
                          <w:rPr>
                            <w:rFonts w:ascii="宋体" w:hAnsi="宋体" w:cs="宋体" w:eastAsia="宋体" w:hint="default"/>
                            <w:sz w:val="18"/>
                            <w:szCs w:val="18"/>
                          </w:rPr>
                          <w:t>一般岗位业务人员流失严重；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一般业务制度或系统存在缺陷； </w:t>
                        </w:r>
                        <w:r>
                          <w:rPr>
                            <w:rFonts w:ascii="Times New Roman" w:hAnsi="Times New Roman" w:cs="Times New Roman" w:eastAsia="Times New Roman" w:hint="default"/>
                            <w:sz w:val="18"/>
                            <w:szCs w:val="18"/>
                          </w:rPr>
                          <w:t>(6)</w:t>
                        </w:r>
                        <w:r>
                          <w:rPr>
                            <w:rFonts w:ascii="宋体" w:hAnsi="宋体" w:cs="宋体" w:eastAsia="宋体" w:hint="default"/>
                            <w:sz w:val="18"/>
                            <w:szCs w:val="18"/>
                          </w:rPr>
                          <w:t>一般缺陷未得到整改；</w:t>
                          <w:tab/>
                        </w:r>
                        <w:r>
                          <w:rPr>
                            <w:rFonts w:ascii="Times New Roman" w:hAnsi="Times New Roman" w:cs="Times New Roman" w:eastAsia="Times New Roman" w:hint="default"/>
                            <w:sz w:val="18"/>
                            <w:szCs w:val="18"/>
                          </w:rPr>
                          <w:t>(7)</w:t>
                        </w:r>
                        <w:r>
                          <w:rPr>
                            <w:rFonts w:ascii="宋体" w:hAnsi="宋体" w:cs="宋体" w:eastAsia="宋体" w:hint="default"/>
                            <w:sz w:val="18"/>
                            <w:szCs w:val="18"/>
                          </w:rPr>
                          <w:t>存在 的其他缺陷。</w:t>
                        </w:r>
                      </w:p>
                    </w:tc>
                  </w:tr>
                  <w:tr>
                    <w:trPr>
                      <w:trHeight w:val="570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1"/>
                          <w:ind w:left="23" w:right="21"/>
                          <w:jc w:val="left"/>
                          <w:rPr>
                            <w:rFonts w:ascii="宋体" w:hAnsi="宋体" w:cs="宋体" w:eastAsia="宋体" w:hint="default"/>
                            <w:sz w:val="18"/>
                            <w:szCs w:val="18"/>
                          </w:rPr>
                        </w:pPr>
                        <w:r>
                          <w:rPr>
                            <w:rFonts w:ascii="宋体" w:hAnsi="宋体" w:cs="宋体" w:eastAsia="宋体" w:hint="default"/>
                            <w:sz w:val="18"/>
                            <w:szCs w:val="18"/>
                          </w:rPr>
                          <w:t>根据错报、漏报造成的偏差，将财务报告 内部控制缺陷划分为重大缺陷、重要缺陷 和一般缺陷。公司以当年资产总额或当年 营业收入为基数进行定量判断，错报金额 大于资产总额的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或大于营业收入的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认定为重大缺陷；错报金额在资产总额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之间或在营业收入的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至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之间认定为重要缺陷；错报金额小于资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或小于营业收入的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 一般缺陷。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根据重大事故事件（未经授权、舞弊或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产品质量控制不善等）、对外投资失误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对外担保失误造成的直接财产损失</w:t>
                        </w:r>
                        <w:r>
                          <w:rPr>
                            <w:rFonts w:ascii="Times New Roman" w:hAnsi="Times New Roman" w:cs="Times New Roman" w:eastAsia="Times New Roman" w:hint="default"/>
                            <w:sz w:val="18"/>
                            <w:szCs w:val="18"/>
                          </w:rPr>
                          <w:t>,</w:t>
                        </w:r>
                        <w:r>
                          <w:rPr>
                            <w:rFonts w:ascii="宋体" w:hAnsi="宋体" w:cs="宋体" w:eastAsia="宋体" w:hint="default"/>
                            <w:sz w:val="18"/>
                            <w:szCs w:val="18"/>
                          </w:rPr>
                          <w:t>将 非财务报告内部控制缺陷划分为重大 </w:t>
                        </w:r>
                        <w:r>
                          <w:rPr>
                            <w:rFonts w:ascii="宋体" w:hAnsi="宋体" w:cs="宋体" w:eastAsia="宋体" w:hint="default"/>
                            <w:spacing w:val="-4"/>
                            <w:sz w:val="18"/>
                            <w:szCs w:val="18"/>
                          </w:rPr>
                          <w:t>缺陷、重要缺陷和一般缺陷。重大事故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事件（未经授权、舞弊或产品质量控制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不善等）造成直接财产损失的重大缺陷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标准</w:t>
                        </w:r>
                        <w:r>
                          <w:rPr>
                            <w:rFonts w:ascii="Times New Roman" w:hAnsi="Times New Roman" w:cs="Times New Roman" w:eastAsia="Times New Roman" w:hint="default"/>
                            <w:sz w:val="18"/>
                            <w:szCs w:val="18"/>
                          </w:rPr>
                          <w:t>--</w:t>
                        </w:r>
                        <w:r>
                          <w:rPr>
                            <w:rFonts w:ascii="宋体" w:hAnsi="宋体" w:cs="宋体" w:eastAsia="宋体" w:hint="default"/>
                            <w:sz w:val="18"/>
                            <w:szCs w:val="18"/>
                          </w:rPr>
                          <w:t>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万元；重要缺陷标准</w:t>
                        </w:r>
                      </w:p>
                      <w:p>
                        <w:pPr>
                          <w:pStyle w:val="TableParagraph"/>
                          <w:spacing w:line="300" w:lineRule="auto" w:before="1"/>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万元之间；一般缺陷</w:t>
                        </w:r>
                        <w:r>
                          <w:rPr>
                            <w:rFonts w:ascii="宋体" w:hAnsi="宋体" w:cs="宋体" w:eastAsia="宋体" w:hint="default"/>
                            <w:w w:val="99"/>
                            <w:sz w:val="18"/>
                            <w:szCs w:val="18"/>
                          </w:rPr>
                          <w:t> </w:t>
                        </w:r>
                        <w:r>
                          <w:rPr>
                            <w:rFonts w:ascii="宋体" w:hAnsi="宋体" w:cs="宋体" w:eastAsia="宋体" w:hint="default"/>
                            <w:sz w:val="18"/>
                            <w:szCs w:val="18"/>
                          </w:rPr>
                          <w:t>标准</w:t>
                        </w:r>
                        <w:r>
                          <w:rPr>
                            <w:rFonts w:ascii="Times New Roman" w:hAnsi="Times New Roman" w:cs="Times New Roman" w:eastAsia="Times New Roman" w:hint="default"/>
                            <w:sz w:val="18"/>
                            <w:szCs w:val="18"/>
                          </w:rPr>
                          <w:t>--10 </w:t>
                        </w:r>
                        <w:r>
                          <w:rPr>
                            <w:rFonts w:ascii="宋体" w:hAnsi="宋体" w:cs="宋体" w:eastAsia="宋体" w:hint="default"/>
                            <w:sz w:val="18"/>
                            <w:szCs w:val="18"/>
                          </w:rPr>
                          <w:t>万元至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pacing w:val="-7"/>
                            <w:sz w:val="18"/>
                            <w:szCs w:val="18"/>
                          </w:rPr>
                          <w:t>万元之间；对外投</w:t>
                        </w:r>
                        <w:r>
                          <w:rPr>
                            <w:rFonts w:ascii="宋体" w:hAnsi="宋体" w:cs="宋体" w:eastAsia="宋体" w:hint="default"/>
                            <w:w w:val="99"/>
                            <w:sz w:val="18"/>
                            <w:szCs w:val="18"/>
                          </w:rPr>
                          <w:t> </w:t>
                        </w:r>
                        <w:r>
                          <w:rPr>
                            <w:rFonts w:ascii="宋体" w:hAnsi="宋体" w:cs="宋体" w:eastAsia="宋体" w:hint="default"/>
                            <w:sz w:val="18"/>
                            <w:szCs w:val="18"/>
                          </w:rPr>
                          <w:t>资失误造成损失的重大缺陷标准</w:t>
                        </w:r>
                        <w:r>
                          <w:rPr>
                            <w:rFonts w:ascii="Times New Roman" w:hAnsi="Times New Roman" w:cs="Times New Roman" w:eastAsia="Times New Roman" w:hint="default"/>
                            <w:sz w:val="18"/>
                            <w:szCs w:val="18"/>
                          </w:rPr>
                          <w:t>--</w:t>
                        </w:r>
                        <w:r>
                          <w:rPr>
                            <w:rFonts w:ascii="宋体" w:hAnsi="宋体" w:cs="宋体" w:eastAsia="宋体" w:hint="default"/>
                            <w:sz w:val="18"/>
                            <w:szCs w:val="18"/>
                          </w:rPr>
                          <w:t>大</w:t>
                        </w:r>
                        <w:r>
                          <w:rPr>
                            <w:rFonts w:ascii="宋体" w:hAnsi="宋体" w:cs="宋体" w:eastAsia="宋体" w:hint="default"/>
                            <w:w w:val="99"/>
                            <w:sz w:val="18"/>
                            <w:szCs w:val="18"/>
                          </w:rPr>
                          <w:t> </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万元；重要缺陷标准</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w w:val="99"/>
                            <w:sz w:val="18"/>
                            <w:szCs w:val="18"/>
                          </w:rPr>
                          <w:t> </w:t>
                        </w:r>
                        <w:r>
                          <w:rPr>
                            <w:rFonts w:ascii="宋体" w:hAnsi="宋体" w:cs="宋体" w:eastAsia="宋体" w:hint="default"/>
                            <w:sz w:val="18"/>
                            <w:szCs w:val="18"/>
                          </w:rPr>
                          <w:t>元至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万元之间；一般缺陷标准</w:t>
                        </w:r>
                        <w:r>
                          <w:rPr>
                            <w:rFonts w:ascii="Times New Roman" w:hAnsi="Times New Roman" w:cs="Times New Roman" w:eastAsia="Times New Roman" w:hint="default"/>
                            <w:sz w:val="18"/>
                            <w:szCs w:val="18"/>
                          </w:rPr>
                          <w:t>--</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万元；对外担保失误造成损失</w:t>
                        </w:r>
                      </w:p>
                      <w:p>
                        <w:pPr>
                          <w:pStyle w:val="TableParagraph"/>
                          <w:spacing w:line="300"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的重大缺陷标准</w:t>
                        </w:r>
                        <w:r>
                          <w:rPr>
                            <w:rFonts w:ascii="Times New Roman" w:hAnsi="Times New Roman" w:cs="Times New Roman" w:eastAsia="Times New Roman" w:hint="default"/>
                            <w:sz w:val="18"/>
                            <w:szCs w:val="18"/>
                          </w:rPr>
                          <w:t>--</w:t>
                        </w:r>
                        <w:r>
                          <w:rPr>
                            <w:rFonts w:ascii="宋体" w:hAnsi="宋体" w:cs="宋体" w:eastAsia="宋体" w:hint="default"/>
                            <w:sz w:val="18"/>
                            <w:szCs w:val="18"/>
                          </w:rPr>
                          <w:t>大于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万元；重要 缺陷标准</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万元之间； 一般缺陷标准</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万元之 间。</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154" w:right="0"/>
        <w:jc w:val="left"/>
        <w:rPr>
          <w:b w:val="0"/>
          <w:bCs w:val="0"/>
        </w:rPr>
      </w:pPr>
      <w:bookmarkStart w:name="十、内部控制审计报告" w:id="152"/>
      <w:bookmarkEnd w:id="152"/>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南天信息按照《企业内部控制基本规范》及相关规定于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日在所有重大方面保持了与财务报表相关的有效 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会计师事务所是否出具非标准意见的内部控制审计报告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094"/>
        <w:jc w:val="center"/>
        <w:rPr>
          <w:b w:val="0"/>
          <w:bCs w:val="0"/>
        </w:rPr>
      </w:pPr>
      <w:bookmarkStart w:name="_TOC_250001" w:id="153"/>
      <w:bookmarkStart w:name="第十节 财务报告" w:id="154"/>
      <w:r>
        <w:rPr>
          <w:b w:val="0"/>
          <w:bCs w:val="0"/>
        </w:rPr>
      </w:r>
      <w:r>
        <w:rPr/>
        <w:t>第十节</w:t>
      </w:r>
      <w:r>
        <w:rPr>
          <w:spacing w:val="-5"/>
        </w:rPr>
        <w:t> </w:t>
      </w:r>
      <w:r>
        <w:rPr/>
        <w:t>财务报告</w:t>
      </w:r>
      <w:bookmarkEnd w:id="15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Times New Roman" w:hAnsi="Times New Roman" w:cs="Times New Roman" w:eastAsia="Times New Roman" w:hint="default"/>
                <w:sz w:val="18"/>
                <w:szCs w:val="18"/>
              </w:rPr>
              <w:t>(2016)160299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肖勇 徐毅</w:t>
            </w:r>
          </w:p>
        </w:tc>
      </w:tr>
    </w:tbl>
    <w:p>
      <w:pPr>
        <w:pStyle w:val="BodyText"/>
        <w:spacing w:line="240" w:lineRule="auto" w:before="51"/>
        <w:ind w:left="1116" w:right="2092"/>
        <w:jc w:val="center"/>
      </w:pPr>
      <w:r>
        <w:rPr/>
        <w:t>审计报告正文</w:t>
      </w:r>
    </w:p>
    <w:p>
      <w:pPr>
        <w:pStyle w:val="Heading5"/>
        <w:spacing w:line="273" w:lineRule="auto" w:before="89"/>
        <w:ind w:left="574" w:right="0" w:hanging="420"/>
        <w:jc w:val="left"/>
        <w:rPr>
          <w:rFonts w:ascii="Times New Roman" w:hAnsi="Times New Roman" w:cs="Times New Roman" w:eastAsia="Times New Roman" w:hint="default"/>
        </w:rPr>
      </w:pPr>
      <w:r>
        <w:rPr/>
        <w:t>云南南天电子信息产业股份有限公司全体股东： </w:t>
      </w:r>
      <w:r>
        <w:rPr>
          <w:spacing w:val="-1"/>
        </w:rPr>
        <w:t>我们审计了后附的云南南天电子信息产业股份有限公司（以下简称：南天信息）财务报表，包括</w:t>
      </w:r>
      <w:r>
        <w:rPr>
          <w:rFonts w:ascii="Times New Roman" w:hAnsi="Times New Roman" w:cs="Times New Roman" w:eastAsia="Times New Roman" w:hint="default"/>
          <w:spacing w:val="-1"/>
        </w:rPr>
        <w:t>2015</w:t>
      </w:r>
    </w:p>
    <w:p>
      <w:pPr>
        <w:pStyle w:val="Heading5"/>
        <w:spacing w:line="256" w:lineRule="auto"/>
        <w:ind w:right="0"/>
        <w:jc w:val="left"/>
      </w:pP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2015</w:t>
      </w:r>
      <w:r>
        <w:rPr>
          <w:spacing w:val="-1"/>
        </w:rPr>
        <w:t>年度的合并及母公司利润表、合并及母公司现金流量表、合</w:t>
      </w:r>
      <w:r>
        <w:rPr>
          <w:spacing w:val="-81"/>
        </w:rPr>
        <w:t> </w:t>
      </w:r>
      <w:r>
        <w:rPr>
          <w:spacing w:val="-81"/>
        </w:rPr>
      </w:r>
      <w:r>
        <w:rPr/>
        <w:t>并及母公司股东权益变动表，以及财务报表附注。</w:t>
      </w:r>
    </w:p>
    <w:p>
      <w:pPr>
        <w:spacing w:line="273" w:lineRule="auto" w:before="22"/>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编制和公允列报财务报表是南天信息管理层的责任，这种责任包括：（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）按照企业会计准则的规定</w:t>
      </w:r>
    </w:p>
    <w:p>
      <w:pPr>
        <w:pStyle w:val="Heading5"/>
        <w:spacing w:line="256" w:lineRule="auto"/>
        <w:ind w:right="0"/>
        <w:jc w:val="left"/>
      </w:pPr>
      <w:r>
        <w:rPr/>
        <w:t>编制财务报表，并使其实现公允反映；（</w:t>
      </w:r>
      <w:r>
        <w:rPr>
          <w:rFonts w:ascii="Times New Roman" w:hAnsi="Times New Roman" w:cs="Times New Roman" w:eastAsia="Times New Roman" w:hint="default"/>
        </w:rPr>
        <w:t>2</w:t>
      </w:r>
      <w:r>
        <w:rPr/>
        <w:t>）设计、执行和维护必要的内部控制，以使财务报表不存在由</w:t>
      </w:r>
      <w:r>
        <w:rPr>
          <w:spacing w:val="-29"/>
        </w:rPr>
        <w:t> </w:t>
      </w:r>
      <w:r>
        <w:rPr>
          <w:spacing w:val="-29"/>
        </w:rPr>
      </w:r>
      <w:r>
        <w:rPr/>
        <w:t>于舞弊或错误导致的重大错报。</w:t>
      </w:r>
    </w:p>
    <w:p>
      <w:pPr>
        <w:pStyle w:val="Heading5"/>
        <w:spacing w:line="273" w:lineRule="auto" w:before="23"/>
        <w:ind w:left="573" w:right="0"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w:t>
      </w:r>
    </w:p>
    <w:p>
      <w:pPr>
        <w:pStyle w:val="Heading5"/>
        <w:spacing w:line="273" w:lineRule="auto" w:before="7"/>
        <w:ind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Heading5"/>
        <w:spacing w:line="273" w:lineRule="auto" w:before="7"/>
        <w:ind w:right="113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会计师考虑与财务报表编制和公允列报相关的内部控制，以设计恰当的审计程序。审计工作还包括评价管</w:t>
      </w:r>
      <w:r>
        <w:rPr>
          <w:spacing w:val="-81"/>
        </w:rPr>
        <w:t> </w:t>
      </w:r>
      <w:r>
        <w:rPr>
          <w:spacing w:val="-81"/>
        </w:rPr>
      </w:r>
      <w:r>
        <w:rPr/>
        <w:t>理层选用会计政策的恰当性和作出会计估计的合理性，以及评价财务报表的总体列报。</w:t>
      </w:r>
    </w:p>
    <w:p>
      <w:pPr>
        <w:pStyle w:val="Heading5"/>
        <w:spacing w:line="273" w:lineRule="auto" w:before="7"/>
        <w:ind w:left="576" w:right="2983"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Heading5"/>
        <w:spacing w:line="240" w:lineRule="auto" w:before="7"/>
        <w:ind w:left="573" w:right="0"/>
        <w:jc w:val="left"/>
      </w:pPr>
      <w:r>
        <w:rPr>
          <w:spacing w:val="3"/>
        </w:rPr>
        <w:t>我们认为，南天信息财务报表在所有重大方面按照企业会计准则的规定编制，公允反映了南天信息</w:t>
      </w:r>
    </w:p>
    <w:p>
      <w:pPr>
        <w:pStyle w:val="Heading5"/>
        <w:spacing w:line="240" w:lineRule="auto" w:before="37"/>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2015</w:t>
      </w:r>
      <w:r>
        <w:rPr/>
        <w:t>年度的合并及母公司经营成果和现金流量。</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5"/>
        <w:tabs>
          <w:tab w:pos="4943" w:val="left" w:leader="none"/>
          <w:tab w:pos="6665" w:val="left" w:leader="none"/>
        </w:tabs>
        <w:spacing w:line="240" w:lineRule="auto"/>
        <w:ind w:left="573" w:right="0"/>
        <w:jc w:val="left"/>
      </w:pPr>
      <w:r>
        <w:rPr/>
        <w:t>中审众环会计师事务所（特殊普通合伙）</w:t>
        <w:tab/>
        <w:t>中国注册会计师</w:t>
        <w:tab/>
        <w:t>肖勇</w:t>
      </w:r>
    </w:p>
    <w:p>
      <w:pPr>
        <w:spacing w:line="240" w:lineRule="auto" w:before="9"/>
        <w:rPr>
          <w:rFonts w:ascii="宋体" w:hAnsi="宋体" w:cs="宋体" w:eastAsia="宋体" w:hint="default"/>
          <w:sz w:val="26"/>
          <w:szCs w:val="26"/>
        </w:rPr>
      </w:pPr>
    </w:p>
    <w:p>
      <w:pPr>
        <w:pStyle w:val="Heading5"/>
        <w:tabs>
          <w:tab w:pos="2837" w:val="left" w:leader="none"/>
        </w:tabs>
        <w:spacing w:line="240" w:lineRule="auto"/>
        <w:ind w:left="1116" w:right="0"/>
        <w:jc w:val="center"/>
      </w:pPr>
      <w:r>
        <w:rPr>
          <w:spacing w:val="-1"/>
        </w:rPr>
        <w:t>中国注册会计师</w:t>
        <w:tab/>
      </w:r>
      <w:r>
        <w:rPr/>
        <w:t>徐毅</w:t>
      </w:r>
    </w:p>
    <w:p>
      <w:pPr>
        <w:spacing w:line="240" w:lineRule="auto" w:before="9"/>
        <w:rPr>
          <w:rFonts w:ascii="宋体" w:hAnsi="宋体" w:cs="宋体" w:eastAsia="宋体" w:hint="default"/>
          <w:sz w:val="26"/>
          <w:szCs w:val="26"/>
        </w:rPr>
      </w:pPr>
    </w:p>
    <w:p>
      <w:pPr>
        <w:pStyle w:val="Heading5"/>
        <w:tabs>
          <w:tab w:pos="1429" w:val="left" w:leader="none"/>
          <w:tab w:pos="4268" w:val="left" w:leader="none"/>
        </w:tabs>
        <w:spacing w:line="240" w:lineRule="auto"/>
        <w:ind w:left="0" w:right="3426"/>
        <w:jc w:val="center"/>
      </w:pPr>
      <w:r>
        <w:rPr/>
        <w:t>中国</w:t>
        <w:tab/>
        <w:t>武汉</w:t>
        <w:tab/>
      </w:r>
      <w:r>
        <w:rPr>
          <w:rFonts w:ascii="Times New Roman" w:hAnsi="Times New Roman" w:cs="Times New Roman" w:eastAsia="Times New Roman" w:hint="default"/>
        </w:rPr>
        <w:t>2016</w:t>
      </w:r>
      <w:r>
        <w:rPr/>
        <w:t>年</w:t>
      </w:r>
      <w:r>
        <w:rPr>
          <w:spacing w:val="-23"/>
        </w:rPr>
        <w:t> </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w:t>
      </w:r>
    </w:p>
    <w:p>
      <w:pPr>
        <w:spacing w:after="0" w:line="240" w:lineRule="auto"/>
        <w:jc w:val="cente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6"/>
      <w:bookmarkEnd w:id="15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编制单位：云南南天电子信息产业股份有限公司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935" w:space="14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925,657,877.98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825,271,019.37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7,570.00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388,021,466.12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382,486,694.47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62,987,409.10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99,865,941.99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13,044,463.07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25,745,392.63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399,865,719.43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436,321,621.42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659,835.67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3,658,029.36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10,894,037.24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1,793,894,800.73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1,780,592,277.12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75,783,696.72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62,283,696.72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318,286,728.57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307,517,912.17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58,255,026.19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62,705,264.30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289,189,394.29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295,086,545.62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53,480,283.18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72,334,961.18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714,369.48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12,399,835.91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1,181,217.48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1,569,838.58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16,838,460.13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11,754,355.67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813,729,176.04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825,652,410.15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2,607,623,976.77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2,606,244,687.27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320,513,623.82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70,083,114.79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79,602,056.49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361,901,735.34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404,391,808.48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113,651,828.91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76,242,779.09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31,346,381.46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21,041,366.98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62,714,989.26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39,703,236.65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403,996.29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9,247,928.11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14,176,743.15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11,538,219.01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584,003.21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4,371,431.49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975,376,416.23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1,121,638,826.30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147,469,842.10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17,269,377.25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8,808,119.50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4,677,038.00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43,734,676.43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46,023,758.11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200,012,638.03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67,970,173.36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1,175,389,054.26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1,189,608,999.66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246,606,046.00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246,606,046.00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801,174,098.43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798,208,317.97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465,150.27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2,320,932.52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72,072,370.82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69,651,414.91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307,737,492.04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300,092,647.93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1,428,055,157.55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1,416,879,359.32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4,179,764.96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-243,671.71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1,432,234,922.51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1,416,635,687.61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2,607,623,976.77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2,606,244,687.27</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741" w:val="left" w:leader="none"/>
        </w:tabs>
        <w:spacing w:line="240" w:lineRule="auto" w:before="44"/>
        <w:ind w:left="0" w:right="1229"/>
        <w:jc w:val="right"/>
      </w:pPr>
      <w:r>
        <w:rPr/>
        <w:t>法定代表人：雷坚</w:t>
        <w:tab/>
        <w:t>主管会计工作负责人：徐宏灿</w:t>
        <w:tab/>
        <w:t>会计机构负责人：刘涓</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534,223,240.70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501,191,708.79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399,926,788.55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432,772,034.58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56,180,486.25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90,289,696.62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5,384,776.17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88,027,180.78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42,160,178.05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217,217,115.29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254,958,200.07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109,335.50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585,622.34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8,421,894.71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1,296,269,769.41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1,338,178,488.99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75,783,696.72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60,783,696.72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610,381,813.31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603,346,824.84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40,480,870.64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41,472,667.02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241,357,364.48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247,025,224.91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42,372,595.27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52,010,503.00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910,743.63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17,476,590.46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10,360,657.86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1,028,763,674.51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1,014,999,574.35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2,325,033,443.92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2,353,178,063.34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277,607,346.70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33,707,520.50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73,846,686.49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270,861,203.48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280,275,394.20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61,462,982.84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22,770,678.01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6,133,506.74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5,277,062.60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14,554,076.60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3,300,052.14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384,626.54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9,192,524.07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6,289,408.61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9,092,770.07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584,003.21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550,313.49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671,584,675.22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866,805,481.07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147,469,842.10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3,577,037.68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7,703,119.50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4,677,038.00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24,863,884.74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25,094,020.67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180,036,846.34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33,348,096.35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851,621,521.56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900,153,577.42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246,606,046.00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246,606,046.00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856,414,576.03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853,448,795.57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465,150.27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2,320,932.52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77,052,146.47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74,631,190.56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292,874,003.59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276,017,521.27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1,473,411,922.36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1,453,024,485.92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2,325,033,443.92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2,353,178,063.34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2,138,014,376.25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1,828,726,398.53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2,138,014,376.25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1,828,726,398.53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2,145,027,344.33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1,869,890,127.16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1,617,264,594.46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1,404,274,601.63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1050784"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21.320007pt;width:157.7pt;height:19.650pt;mso-position-horizontal-relative:page;mso-position-vertical-relative:page;z-index:-1050760" coordorigin="4242,10426" coordsize="3154,393">
            <v:shape style="position:absolute;left:4242;top:10426;width:3154;height:393" coordorigin="4242,10426" coordsize="3154,393" path="m4242,10819l7396,10819,7396,10426,4242,10426,4242,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9,202,817.49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9,047,624.26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148,113,536.92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130,706,828.19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305,989,113.24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274,764,282.58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20,765,701.69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21,830,080.85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43,691,580.53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29,266,709.65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14,819,877.82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21,643,919.83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5,508,818.19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14,617,976.03</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7,812,589.74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-19,518,528.80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12,809,225.26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36,453,332.46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238,650.31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14,222,440.97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2,675,201.31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1,465,913.81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407,223.89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77,281.60</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17,946,613.69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15,468,889.85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-1,474,744.89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5,778,447.99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19,421,358.58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9,690,441.86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18,561,982.18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11,845,160.65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859,376.40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-2,154,718.79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-1,855,782.25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1,393,984.71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-1,855,782.25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1,393,984.71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4"/>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-1,855,782.25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1,393,984.71</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-1,855,782.25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1,393,984.71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17,565,576.33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11,084,426.57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16,706,199.93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13,239,145.36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859,376.40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-2,154,718.79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bl>
    <w:p>
      <w:pPr>
        <w:pStyle w:val="BodyText"/>
        <w:tabs>
          <w:tab w:pos="3574" w:val="left" w:leader="none"/>
          <w:tab w:pos="78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法定代表人：雷坚</w:t>
        <w:tab/>
        <w:t>主管会计工作负责人：徐宏灿</w:t>
        <w:tab/>
        <w:t>会计机构负责人：刘涓 </w:t>
      </w:r>
      <w:bookmarkStart w:name="4、母公司利润表" w:id="160"/>
      <w:bookmarkEnd w:id="16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1,311,414,057.14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1,137,092,087.45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1,213,203,164.14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1,040,957,600.06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3,149,090.95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1,801,340.17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22,620,235.03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25,060,693.20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58,314,253.68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51,156,698.31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18,120,534.28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19,069,732.53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12,392,964.26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8,399,745.21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31,483,799.05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43,883,235.25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5,924,990.26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15,571,287.67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15,097,613.85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34,529,513.22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3,071,164.25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17,908,074.25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206,629.91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1,059,238.36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842,354.75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16,553.40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23,234.44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17,109,539.74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51,595,232.72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-7,100,019.38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980,607.50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24,209,559.12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50,614,625.22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-1,855,782.25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1,393,984.71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-1,855,782.25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1,393,984.71</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-1,855,782.25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1,393,984.71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22,353,776.87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52,008,609.93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2,470,980,176.84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2,015,636,040.44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12,198,837.93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6,392,000.87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86,874,562.63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82,848,444.32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2,570,053,577.40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2,104,876,485.63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1,739,143,970.62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1,449,403,649.48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487,609,908.70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440,451,898.94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69,324,413.19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82,353,072.70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200,858,069.70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160,910,968.90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2,496,936,362.21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2,133,119,590.02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73,117,215.19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-28,243,104.39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10,783.80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9,311,059.63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7,026,100.00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73,681,091.54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5,764,628.36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83,005,401.17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12,801,512.16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5,855,746.73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22,044,550.76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19,150,001.00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25,005,747.73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22,044,550.76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57,999,653.44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-9,243,038.60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564,771,448.23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564,771,448.23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593,649,911.98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462,380,937.64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38,589,815.55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20,675,958.75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632,239,727.53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483,656,896.39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-67,468,279.30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81,843,103.61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1,027,498.57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-38,838.15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64,676,087.90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44,318,122.47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805,471,393.11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761,153,270.64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870,147,481.01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805,471,393.11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1,530,805,490.83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1,159,763,197.56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8,304,423.33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5,080,211.99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95,477,472.87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106,100,632.27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1,634,587,387.03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1,270,944,041.82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1,296,587,203.16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1,212,834,634.89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40,503,992.65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34,576,028.73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9,245,150.32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8,294,476.91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214,658,937.00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96,878,017.52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1,560,995,283.13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1,352,583,158.05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73,592,103.90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-81,639,116.23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30,943,584.96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22,927,171.41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101,920.00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30,943,594.96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23,029,091.41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2,277,234.68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15,512,949.84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17,277,234.68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15,512,949.84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13,666,360.28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7,516,141.57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516,865,171.11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516,865,171.11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558,071,569.68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438,559,819.64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37,142,055.60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18,200,310.62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595,213,625.28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457,360,130.26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-78,348,454.17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95,139,869.74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1,027,471.82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-38,838.15</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9,937,481.83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20,978,056.93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490,782,254.79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469,804,197.86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500,719,736.62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490,782,254.79</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798,208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,317.97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2,320,9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32.52</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69,651,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414.91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300,092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,647.93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-243,67</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1.72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35,687.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798,208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,317.97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2,320,9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32.52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69,651,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414.91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300,092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,647.93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-243,67</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35,687.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2,965,7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80.46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-1,855,7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82.25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2,420,9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55.91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7,644,8</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44.11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4,423,4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36.67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15,599,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234.90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-1,855,7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82.25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18,561,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982.18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859,376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17,565,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576.33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2,420,9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55.91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-7,353,0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76.80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-4,932,1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20.89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2,420,9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55.91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-2,420,9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55.91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-4,932,1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20.89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-4,932,1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20.89</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2,965,7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80.46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-3,564,0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61.27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3,564,0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60.27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2,965,7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79.46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801,174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,098.43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465,150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72,072,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370.82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307,737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,492.04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4,179,7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64.95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34,922.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798,208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,317.97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926,947</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64,589,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952.39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298,241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,070.70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1,911,0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47.07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1,410,4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83,381.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798,208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,317.97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926,947</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64,589,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952.39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298,241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,070.70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1,911,0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47.07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1,410,4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83,381.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1,393,9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84.71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5,061,4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1,851,5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77.23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-2,154,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718.79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6,152,3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05.67</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1,393,9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84.71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11,845,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160.65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-2,154,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718.79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11,084,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426.57</w:t>
            </w: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5,061,4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-9,993,5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83.42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-4,932,1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20.90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5,061,4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-5,061,4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62.52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-4,932,1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20.90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-4,932,1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20.90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798,208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,317.97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2,320,9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32.52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69,651,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414.91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300,092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,647.93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-243,67</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1.72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35,687.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246,606,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046.00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853,448,7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95.57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sz w:val="18"/>
              </w:rPr>
              <w:t>2,320,932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.52</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74,631,19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0.56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276,017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,521.27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1,453,024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,485.92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246,606,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046.00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853,448,7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95.57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2,320,932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.52</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74,631,19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0.56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276,017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,521.27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1,453,024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,485.92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2,965,780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-1,855,78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2,420,955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16,856,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482.32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20,387,43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6.44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-1,855,78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24,209,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559.12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22,353,77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6.87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2,420,955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-7,353,0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76.80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-4,932,12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0.89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2,420,955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-2,420,9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55.91</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-4,932,1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20.89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-4,932,12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0.89</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2,965,780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2,965,780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246,606,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856,414,5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76.03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465,150.2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77,052,14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292,874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,003.59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1,473,411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,922.36</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246,606,</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046.00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853,448,7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95.57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926,947.8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69,569,72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235,396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,479.47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1,405,947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,996.89</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246,606,</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046.00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853,448,7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95.57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926,947.8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69,569,72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235,396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,479.47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1,405,947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,996.89</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1,393,984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5,061,462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40,621,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041.80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47,076,48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9.03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1,393,984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50,614,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625.22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52,008,60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9.93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5,061,462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-9,993,5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83.42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-4,932,12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0.90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5,061,462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-5,061,4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62.52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-4,932,1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20.90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-4,932,12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0.90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246,606,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853,448,7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95.57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2,320,932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74,631,19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0.56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276,017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,521.27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1,453,024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,485.92</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三、公司基本情况" w:id="165"/>
      <w:bookmarkEnd w:id="165"/>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left="573" w:right="0"/>
        <w:jc w:val="left"/>
      </w:pPr>
      <w:r>
        <w:rPr/>
        <w:t>（</w:t>
      </w:r>
      <w:r>
        <w:rPr>
          <w:rFonts w:ascii="Times New Roman" w:hAnsi="Times New Roman" w:cs="Times New Roman" w:eastAsia="Times New Roman" w:hint="default"/>
        </w:rPr>
        <w:t>1</w:t>
      </w:r>
      <w:r>
        <w:rPr/>
        <w:t>）企业注册地、组织形式和总部地址 云南南天电子信息产业股份有限公司（以下简称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南天信息</w:t>
      </w:r>
      <w:r>
        <w:rPr>
          <w:rFonts w:ascii="Times New Roman" w:hAnsi="Times New Roman" w:cs="Times New Roman" w:eastAsia="Times New Roman" w:hint="default"/>
        </w:rPr>
        <w:t>”</w:t>
      </w:r>
      <w:r>
        <w:rPr/>
        <w:t>）是经云南省人民政</w:t>
      </w:r>
    </w:p>
    <w:p>
      <w:pPr>
        <w:pStyle w:val="Heading5"/>
        <w:spacing w:line="261" w:lineRule="auto" w:before="5"/>
        <w:ind w:left="154" w:right="1130"/>
        <w:jc w:val="both"/>
      </w:pPr>
      <w:r>
        <w:rPr/>
        <w:t>府云政复（</w:t>
      </w:r>
      <w:r>
        <w:rPr>
          <w:rFonts w:ascii="Times New Roman" w:hAnsi="Times New Roman" w:cs="Times New Roman" w:eastAsia="Times New Roman" w:hint="default"/>
        </w:rPr>
        <w:t>1998</w:t>
      </w:r>
      <w:r>
        <w:rPr/>
        <w:t>）</w:t>
      </w:r>
      <w:r>
        <w:rPr>
          <w:rFonts w:ascii="Times New Roman" w:hAnsi="Times New Roman" w:cs="Times New Roman" w:eastAsia="Times New Roman" w:hint="default"/>
        </w:rPr>
        <w:t>118</w:t>
      </w:r>
      <w:r>
        <w:rPr/>
        <w:t>号文批准，由南天电子信息产业集团公司、珠海南方集团有限公司、云南医药工业</w:t>
      </w:r>
      <w:r>
        <w:rPr>
          <w:spacing w:val="-36"/>
        </w:rPr>
        <w:t> </w:t>
      </w:r>
      <w:r>
        <w:rPr>
          <w:spacing w:val="-36"/>
        </w:rPr>
      </w:r>
      <w:r>
        <w:rPr>
          <w:spacing w:val="-1"/>
        </w:rPr>
        <w:t>股份有限公司（原云南省医药医疗器械工业公司）、裴海平、李宏坤、周永泰、丁柏林共同发起设立的股</w:t>
      </w:r>
      <w:r>
        <w:rPr>
          <w:spacing w:val="-83"/>
        </w:rPr>
        <w:t> </w:t>
      </w:r>
      <w:r>
        <w:rPr>
          <w:spacing w:val="-83"/>
        </w:rPr>
      </w:r>
      <w:r>
        <w:rPr/>
        <w:t>份有限公司，</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日在云南省工商局登记注册，企业法人营业执照注册号为</w:t>
      </w:r>
      <w:r>
        <w:rPr>
          <w:rFonts w:ascii="Times New Roman" w:hAnsi="Times New Roman" w:cs="Times New Roman" w:eastAsia="Times New Roman" w:hint="default"/>
        </w:rPr>
        <w:t>530000000014595</w:t>
      </w:r>
      <w:r>
        <w:rPr/>
        <w:t>，</w:t>
      </w:r>
      <w:r>
        <w:rPr>
          <w:spacing w:val="-28"/>
        </w:rPr>
        <w:t> </w:t>
      </w:r>
      <w:r>
        <w:rPr/>
        <w:t>现法定代表人：雷坚。</w:t>
      </w:r>
    </w:p>
    <w:p>
      <w:pPr>
        <w:pStyle w:val="Heading5"/>
        <w:spacing w:line="273" w:lineRule="auto" w:before="18"/>
        <w:ind w:left="574" w:right="5502"/>
        <w:jc w:val="left"/>
      </w:pPr>
      <w:r>
        <w:rPr/>
        <w:t>公司注册地：昆明高新技术产业开发区产业研发基地 组织形式：股份有限公司 总部地址：云南省昆明市环城东路</w:t>
      </w:r>
      <w:r>
        <w:rPr>
          <w:rFonts w:ascii="Times New Roman" w:hAnsi="Times New Roman" w:cs="Times New Roman" w:eastAsia="Times New Roman" w:hint="default"/>
        </w:rPr>
        <w:t>455</w:t>
      </w:r>
      <w:r>
        <w:rPr/>
        <w:t>号</w:t>
      </w:r>
    </w:p>
    <w:p>
      <w:pPr>
        <w:pStyle w:val="Heading5"/>
        <w:spacing w:line="279" w:lineRule="exact"/>
        <w:ind w:left="574" w:right="0"/>
        <w:jc w:val="left"/>
      </w:pPr>
      <w:r>
        <w:rPr/>
        <w:t>（</w:t>
      </w:r>
      <w:r>
        <w:rPr>
          <w:rFonts w:ascii="Times New Roman" w:hAnsi="Times New Roman" w:cs="Times New Roman" w:eastAsia="Times New Roman" w:hint="default"/>
        </w:rPr>
        <w:t>2</w:t>
      </w:r>
      <w:r>
        <w:rPr/>
        <w:t>）企业的业务性质和主要经营活动</w:t>
      </w:r>
    </w:p>
    <w:p>
      <w:pPr>
        <w:spacing w:after="0" w:line="279" w:lineRule="exact"/>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73" w:lineRule="auto" w:before="35"/>
        <w:ind w:right="1018" w:firstLine="420"/>
        <w:jc w:val="left"/>
      </w:pPr>
      <w:r>
        <w:rPr>
          <w:spacing w:val="-3"/>
        </w:rPr>
        <w:t>公司所属行业为：软件和信息技术服务业。本公司及子公司主要业务包括：开发、生产、销售计算机、</w:t>
      </w:r>
      <w:r>
        <w:rPr/>
        <w:t> 硬件，外围设备、金融专用设备、智能、机电产品（含国产汽车不含小轿车），承接网络工程、信息系统 工程（不含管理项目）、技术服务及技术咨询，自产产品的安装、调试、维修，系统集成、网络设备、信 息产品；房屋租赁业务，培训业务；进出口业务。</w:t>
      </w:r>
    </w:p>
    <w:p>
      <w:pPr>
        <w:pStyle w:val="Heading5"/>
        <w:spacing w:line="273" w:lineRule="auto" w:before="8"/>
        <w:ind w:right="0" w:firstLine="420"/>
        <w:jc w:val="left"/>
      </w:pPr>
      <w:r>
        <w:rPr>
          <w:spacing w:val="-1"/>
        </w:rPr>
        <w:t>公司主要经营金融信息系统软件以及信息系统集成、金融终端产品、网络产品、专业存折打印机、自</w:t>
      </w:r>
      <w:r>
        <w:rPr/>
        <w:t> 动柜员机（</w:t>
      </w:r>
      <w:r>
        <w:rPr>
          <w:rFonts w:ascii="Times New Roman" w:hAnsi="Times New Roman" w:cs="Times New Roman" w:eastAsia="Times New Roman" w:hint="default"/>
        </w:rPr>
        <w:t>ATM</w:t>
      </w:r>
      <w:r>
        <w:rPr/>
        <w:t>）等。</w:t>
      </w:r>
    </w:p>
    <w:p>
      <w:pPr>
        <w:pStyle w:val="Heading5"/>
        <w:spacing w:line="256" w:lineRule="auto"/>
        <w:ind w:left="679" w:right="0" w:hanging="106"/>
        <w:jc w:val="left"/>
      </w:pPr>
      <w:r>
        <w:rPr/>
        <w:t>（</w:t>
      </w:r>
      <w:r>
        <w:rPr>
          <w:rFonts w:ascii="Times New Roman" w:hAnsi="Times New Roman" w:cs="Times New Roman" w:eastAsia="Times New Roman" w:hint="default"/>
        </w:rPr>
        <w:t>3</w:t>
      </w:r>
      <w:r>
        <w:rPr/>
        <w:t>）母公司以及集团最终母公司的名称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日，本公司股份总额为</w:t>
      </w:r>
      <w:r>
        <w:rPr>
          <w:rFonts w:ascii="Times New Roman" w:hAnsi="Times New Roman" w:cs="Times New Roman" w:eastAsia="Times New Roman" w:hint="default"/>
        </w:rPr>
        <w:t>246,606,046</w:t>
      </w:r>
      <w:r>
        <w:rPr/>
        <w:t>股。本公司的控股股东为南天电子信息产业集</w:t>
      </w:r>
    </w:p>
    <w:p>
      <w:pPr>
        <w:pStyle w:val="Heading5"/>
        <w:spacing w:line="261" w:lineRule="auto" w:before="5"/>
        <w:ind w:right="1131"/>
        <w:jc w:val="both"/>
      </w:pPr>
      <w:r>
        <w:rPr/>
        <w:t>团公司，其持有本公司股份</w:t>
      </w:r>
      <w:r>
        <w:rPr>
          <w:rFonts w:ascii="Times New Roman" w:hAnsi="Times New Roman" w:cs="Times New Roman" w:eastAsia="Times New Roman" w:hint="default"/>
        </w:rPr>
        <w:t>66,271,984</w:t>
      </w:r>
      <w:r>
        <w:rPr/>
        <w:t>股，占本公司总股本的</w:t>
      </w:r>
      <w:r>
        <w:rPr>
          <w:rFonts w:ascii="Times New Roman" w:hAnsi="Times New Roman" w:cs="Times New Roman" w:eastAsia="Times New Roman" w:hint="default"/>
        </w:rPr>
        <w:t>26.87%</w:t>
      </w:r>
      <w:r>
        <w:rPr/>
        <w:t>；云南省工业投资控股集团有限责任</w:t>
      </w:r>
      <w:r>
        <w:rPr>
          <w:spacing w:val="-49"/>
        </w:rPr>
        <w:t> </w:t>
      </w:r>
      <w:r>
        <w:rPr>
          <w:spacing w:val="-49"/>
        </w:rPr>
      </w:r>
      <w:r>
        <w:rPr>
          <w:spacing w:val="-1"/>
        </w:rPr>
        <w:t>公司是南天电子信息产业集团公司控股股东，云南省工业投资控股集团有限责任公司直接持有本公司股份</w:t>
      </w:r>
      <w:r>
        <w:rPr>
          <w:spacing w:val="-81"/>
        </w:rPr>
        <w:t> </w:t>
      </w:r>
      <w:r>
        <w:rPr>
          <w:spacing w:val="-81"/>
        </w:rPr>
      </w:r>
      <w:r>
        <w:rPr>
          <w:rFonts w:ascii="Times New Roman" w:hAnsi="Times New Roman" w:cs="Times New Roman" w:eastAsia="Times New Roman" w:hint="default"/>
          <w:spacing w:val="-1"/>
        </w:rPr>
        <w:t>21,499,813</w:t>
      </w:r>
      <w:r>
        <w:rPr>
          <w:spacing w:val="-1"/>
        </w:rPr>
        <w:t>股，占本公司总股本的</w:t>
      </w:r>
      <w:r>
        <w:rPr>
          <w:rFonts w:ascii="Times New Roman" w:hAnsi="Times New Roman" w:cs="Times New Roman" w:eastAsia="Times New Roman" w:hint="default"/>
          <w:spacing w:val="-1"/>
        </w:rPr>
        <w:t>8.72%</w:t>
      </w:r>
      <w:r>
        <w:rPr>
          <w:spacing w:val="-1"/>
        </w:rPr>
        <w:t>。云南省工业投资控股集团有限责任公司直接和间接持有本公司股</w:t>
      </w:r>
      <w:r>
        <w:rPr>
          <w:spacing w:val="-97"/>
        </w:rPr>
        <w:t> </w:t>
      </w:r>
      <w:r>
        <w:rPr>
          <w:spacing w:val="-97"/>
        </w:rPr>
      </w:r>
      <w:r>
        <w:rPr/>
        <w:t>份</w:t>
      </w:r>
      <w:r>
        <w:rPr>
          <w:rFonts w:ascii="Times New Roman" w:hAnsi="Times New Roman" w:cs="Times New Roman" w:eastAsia="Times New Roman" w:hint="default"/>
        </w:rPr>
        <w:t>87,771,797</w:t>
      </w:r>
      <w:r>
        <w:rPr/>
        <w:t>股，占本公司总股本的</w:t>
      </w:r>
      <w:r>
        <w:rPr>
          <w:rFonts w:ascii="Times New Roman" w:hAnsi="Times New Roman" w:cs="Times New Roman" w:eastAsia="Times New Roman" w:hint="default"/>
        </w:rPr>
        <w:t>35.59%</w:t>
      </w:r>
      <w:r>
        <w:rPr/>
        <w:t>。</w:t>
      </w:r>
    </w:p>
    <w:p>
      <w:pPr>
        <w:pStyle w:val="Heading5"/>
        <w:spacing w:line="273" w:lineRule="auto"/>
        <w:ind w:left="574" w:right="4452"/>
        <w:jc w:val="left"/>
      </w:pPr>
      <w:r>
        <w:rPr/>
        <w:t>控股股东名称：南天电子信息产业集团公司 公司的最终控制方：云南省人民政府国有资产监督管理委员会。</w:t>
      </w:r>
    </w:p>
    <w:p>
      <w:pPr>
        <w:pStyle w:val="Heading5"/>
        <w:spacing w:line="256" w:lineRule="auto" w:before="7"/>
        <w:ind w:left="573" w:right="0"/>
        <w:jc w:val="left"/>
      </w:pPr>
      <w:r>
        <w:rPr/>
        <w:t>（</w:t>
      </w:r>
      <w:r>
        <w:rPr>
          <w:rFonts w:ascii="Times New Roman" w:hAnsi="Times New Roman" w:cs="Times New Roman" w:eastAsia="Times New Roman" w:hint="default"/>
        </w:rPr>
        <w:t>5</w:t>
      </w:r>
      <w:r>
        <w:rPr/>
        <w:t>）公司股权变化情况 经中国证券监督管理委员会批准，本公司于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日以网上定价方式向社会公开发行人民币普</w:t>
      </w:r>
    </w:p>
    <w:p>
      <w:pPr>
        <w:pStyle w:val="Heading5"/>
        <w:spacing w:line="240" w:lineRule="auto" w:before="5"/>
        <w:ind w:right="0"/>
        <w:jc w:val="both"/>
      </w:pPr>
      <w:r>
        <w:rPr/>
        <w:t>通股</w:t>
      </w:r>
      <w:r>
        <w:rPr>
          <w:rFonts w:ascii="Times New Roman" w:hAnsi="Times New Roman" w:cs="Times New Roman" w:eastAsia="Times New Roman" w:hint="default"/>
        </w:rPr>
        <w:t>4,000</w:t>
      </w:r>
      <w:r>
        <w:rPr/>
        <w:t>万股，股本总额增至</w:t>
      </w:r>
      <w:r>
        <w:rPr>
          <w:rFonts w:ascii="Times New Roman" w:hAnsi="Times New Roman" w:cs="Times New Roman" w:eastAsia="Times New Roman" w:hint="default"/>
        </w:rPr>
        <w:t>140,000,551.00</w:t>
      </w:r>
      <w:r>
        <w:rPr/>
        <w:t>元，并于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日在深圳证券交易所上市交易。</w:t>
      </w:r>
    </w:p>
    <w:p>
      <w:pPr>
        <w:pStyle w:val="Heading5"/>
        <w:spacing w:line="256" w:lineRule="auto" w:before="21"/>
        <w:ind w:right="0" w:firstLine="420"/>
        <w:jc w:val="left"/>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日，本公司实施股权分置改革，以当时的流通股本</w:t>
      </w:r>
      <w:r>
        <w:rPr>
          <w:rFonts w:ascii="Times New Roman" w:hAnsi="Times New Roman" w:cs="Times New Roman" w:eastAsia="Times New Roman" w:hint="default"/>
          <w:spacing w:val="-2"/>
        </w:rPr>
        <w:t>4,000</w:t>
      </w:r>
      <w:r>
        <w:rPr>
          <w:spacing w:val="-2"/>
        </w:rPr>
        <w:t>万股为基数，向当时的全体流通股</w:t>
      </w:r>
      <w:r>
        <w:rPr/>
        <w:t> 股东转增股本，流通股股东持有每</w:t>
      </w:r>
      <w:r>
        <w:rPr>
          <w:rFonts w:ascii="Times New Roman" w:hAnsi="Times New Roman" w:cs="Times New Roman" w:eastAsia="Times New Roman" w:hint="default"/>
        </w:rPr>
        <w:t>10</w:t>
      </w:r>
      <w:r>
        <w:rPr/>
        <w:t>股流通股获得转增股份</w:t>
      </w:r>
      <w:r>
        <w:rPr>
          <w:rFonts w:ascii="Times New Roman" w:hAnsi="Times New Roman" w:cs="Times New Roman" w:eastAsia="Times New Roman" w:hint="default"/>
        </w:rPr>
        <w:t>5.1376</w:t>
      </w:r>
      <w:r>
        <w:rPr/>
        <w:t>股，共计转增</w:t>
      </w:r>
      <w:r>
        <w:rPr>
          <w:rFonts w:ascii="Times New Roman" w:hAnsi="Times New Roman" w:cs="Times New Roman" w:eastAsia="Times New Roman" w:hint="default"/>
        </w:rPr>
        <w:t>20,550,399</w:t>
      </w:r>
      <w:r>
        <w:rPr/>
        <w:t>股。</w:t>
      </w:r>
    </w:p>
    <w:p>
      <w:pPr>
        <w:pStyle w:val="Heading5"/>
        <w:spacing w:line="256" w:lineRule="auto" w:before="5"/>
        <w:ind w:left="154" w:right="0" w:firstLine="420"/>
        <w:jc w:val="left"/>
      </w:pPr>
      <w:r>
        <w:rPr/>
        <w:t>经中国证券监督管理委员会证监许可</w:t>
      </w:r>
      <w:r>
        <w:rPr>
          <w:rFonts w:ascii="Times New Roman" w:hAnsi="Times New Roman" w:cs="Times New Roman" w:eastAsia="Times New Roman" w:hint="default"/>
        </w:rPr>
        <w:t>[2008]492</w:t>
      </w:r>
      <w:r>
        <w:rPr/>
        <w:t>号文核准，公司于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日以非公开发行股票的 方式向</w:t>
      </w:r>
      <w:r>
        <w:rPr>
          <w:rFonts w:ascii="Times New Roman" w:hAnsi="Times New Roman" w:cs="Times New Roman" w:eastAsia="Times New Roman" w:hint="default"/>
        </w:rPr>
        <w:t>10</w:t>
      </w:r>
      <w:r>
        <w:rPr/>
        <w:t>家特定投资者发行了</w:t>
      </w:r>
      <w:r>
        <w:rPr>
          <w:rFonts w:ascii="Times New Roman" w:hAnsi="Times New Roman" w:cs="Times New Roman" w:eastAsia="Times New Roman" w:hint="default"/>
        </w:rPr>
        <w:t>5,000</w:t>
      </w:r>
      <w:r>
        <w:rPr/>
        <w:t>万股人民币普通股（</w:t>
      </w:r>
      <w:r>
        <w:rPr>
          <w:rFonts w:ascii="Times New Roman" w:hAnsi="Times New Roman" w:cs="Times New Roman" w:eastAsia="Times New Roman" w:hint="default"/>
        </w:rPr>
        <w:t>A</w:t>
      </w:r>
      <w:r>
        <w:rPr/>
        <w:t>股）。</w:t>
      </w:r>
    </w:p>
    <w:p>
      <w:pPr>
        <w:pStyle w:val="Heading5"/>
        <w:spacing w:line="256" w:lineRule="auto" w:before="5"/>
        <w:ind w:right="1040"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日，本公司召开的</w:t>
      </w:r>
      <w:r>
        <w:rPr>
          <w:rFonts w:ascii="Times New Roman" w:hAnsi="Times New Roman" w:cs="Times New Roman" w:eastAsia="Times New Roman" w:hint="default"/>
        </w:rPr>
        <w:t>2011</w:t>
      </w:r>
      <w:r>
        <w:rPr/>
        <w:t>年度股东大会审议通过</w:t>
      </w:r>
      <w:r>
        <w:rPr>
          <w:rFonts w:ascii="Times New Roman" w:hAnsi="Times New Roman" w:cs="Times New Roman" w:eastAsia="Times New Roman" w:hint="default"/>
        </w:rPr>
        <w:t>2011</w:t>
      </w:r>
      <w:r>
        <w:rPr/>
        <w:t>年度权益分派方案为：以公司现有总 股本</w:t>
      </w:r>
      <w:r>
        <w:rPr>
          <w:rFonts w:ascii="Times New Roman" w:hAnsi="Times New Roman" w:cs="Times New Roman" w:eastAsia="Times New Roman" w:hint="default"/>
        </w:rPr>
        <w:t>210,550,951</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.80</w:t>
      </w:r>
      <w:r>
        <w:rPr/>
        <w:t>元（含税）。同时进行资本公积转增股本， 以公司现有总股本</w:t>
      </w:r>
      <w:r>
        <w:rPr>
          <w:rFonts w:ascii="Times New Roman" w:hAnsi="Times New Roman" w:cs="Times New Roman" w:eastAsia="Times New Roman" w:hint="default"/>
        </w:rPr>
        <w:t>210,550,951</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w:t>
      </w:r>
      <w:r>
        <w:rPr/>
        <w:t>股，合计转增股本</w:t>
      </w:r>
      <w:r>
        <w:rPr>
          <w:rFonts w:ascii="Times New Roman" w:hAnsi="Times New Roman" w:cs="Times New Roman" w:eastAsia="Times New Roman" w:hint="default"/>
        </w:rPr>
        <w:t>21,055,095</w:t>
      </w:r>
      <w:r>
        <w:rPr/>
        <w:t>股，转增后 公司总股本增加至</w:t>
      </w:r>
      <w:r>
        <w:rPr>
          <w:rFonts w:ascii="Times New Roman" w:hAnsi="Times New Roman" w:cs="Times New Roman" w:eastAsia="Times New Roman" w:hint="default"/>
        </w:rPr>
        <w:t>231,606,046</w:t>
      </w:r>
      <w:r>
        <w:rPr/>
        <w:t>股。已经中瑞岳华会计师事务所（特殊普通合伙）审验，并于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27"/>
        </w:rPr>
        <w:t> </w:t>
      </w:r>
      <w:r>
        <w:rPr/>
        <w:t>日出具中瑞岳华验字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0149</w:t>
      </w:r>
      <w:r>
        <w:rPr/>
        <w:t>号验资报告。</w:t>
      </w:r>
    </w:p>
    <w:p>
      <w:pPr>
        <w:pStyle w:val="Heading5"/>
        <w:spacing w:line="256" w:lineRule="auto" w:before="5"/>
        <w:ind w:right="0" w:firstLine="420"/>
        <w:jc w:val="left"/>
      </w:pPr>
      <w:r>
        <w:rPr/>
        <w:t>经中国证券监督管理委员会证监许可</w:t>
      </w:r>
      <w:r>
        <w:rPr>
          <w:rFonts w:ascii="Times New Roman" w:hAnsi="Times New Roman" w:cs="Times New Roman" w:eastAsia="Times New Roman" w:hint="default"/>
        </w:rPr>
        <w:t>[2013]330</w:t>
      </w:r>
      <w:r>
        <w:rPr/>
        <w:t>号文核准，公司于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日以非公开发行股票的 方式向</w:t>
      </w:r>
      <w:r>
        <w:rPr>
          <w:rFonts w:ascii="Times New Roman" w:hAnsi="Times New Roman" w:cs="Times New Roman" w:eastAsia="Times New Roman" w:hint="default"/>
        </w:rPr>
        <w:t>2</w:t>
      </w:r>
      <w:r>
        <w:rPr/>
        <w:t>家特定投资者发行了</w:t>
      </w:r>
      <w:r>
        <w:rPr>
          <w:rFonts w:ascii="Times New Roman" w:hAnsi="Times New Roman" w:cs="Times New Roman" w:eastAsia="Times New Roman" w:hint="default"/>
        </w:rPr>
        <w:t>15,000,000</w:t>
      </w:r>
      <w:r>
        <w:rPr/>
        <w:t>股人民币普通股（</w:t>
      </w:r>
      <w:r>
        <w:rPr>
          <w:rFonts w:ascii="Times New Roman" w:hAnsi="Times New Roman" w:cs="Times New Roman" w:eastAsia="Times New Roman" w:hint="default"/>
        </w:rPr>
        <w:t>A</w:t>
      </w:r>
      <w:r>
        <w:rPr/>
        <w:t>股）。</w:t>
      </w:r>
    </w:p>
    <w:p>
      <w:pPr>
        <w:pStyle w:val="Heading5"/>
        <w:spacing w:line="256" w:lineRule="auto" w:before="5"/>
        <w:ind w:left="489" w:right="3802" w:firstLine="84"/>
        <w:jc w:val="left"/>
      </w:pPr>
      <w:r>
        <w:rPr/>
        <w:t>（</w:t>
      </w:r>
      <w:r>
        <w:rPr>
          <w:rFonts w:ascii="Times New Roman" w:hAnsi="Times New Roman" w:cs="Times New Roman" w:eastAsia="Times New Roman" w:hint="default"/>
        </w:rPr>
        <w:t>6</w:t>
      </w:r>
      <w:r>
        <w:rPr/>
        <w:t>）财务报告的批准报出者和批准报出日。 本财务报表于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日经公司第六届第二十二次董事会批准报出。</w:t>
      </w:r>
    </w:p>
    <w:p>
      <w:pPr>
        <w:pStyle w:val="BodyText"/>
        <w:spacing w:line="240" w:lineRule="auto" w:before="30"/>
        <w:ind w:left="154" w:right="0"/>
        <w:jc w:val="both"/>
      </w:pPr>
      <w:r>
        <w:rPr/>
        <w:t>本年度合并报表包含的子公司范围与上年度相同，详见本附注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6" w:right="0"/>
        <w:jc w:val="left"/>
      </w:pPr>
      <w:r>
        <w:rPr/>
        <w:t>公司财务报表以持续经营假设为基础，根据实际发生的交易和事项，按照财政部发布的《企业会计准则</w:t>
      </w:r>
      <w:r>
        <w:rPr>
          <w:rFonts w:ascii="Times New Roman" w:hAnsi="Times New Roman" w:cs="Times New Roman" w:eastAsia="Times New Roman" w:hint="default"/>
        </w:rPr>
        <w:t>——</w:t>
      </w:r>
      <w:r>
        <w:rPr/>
        <w:t>基本准则》</w:t>
      </w:r>
    </w:p>
    <w:p>
      <w:pPr>
        <w:pStyle w:val="BodyText"/>
        <w:spacing w:line="300" w:lineRule="auto" w:before="63"/>
        <w:ind w:right="1123"/>
        <w:jc w:val="left"/>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 应用指南、企业会计准则解释及其他相关规定（以下合称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）的披露规定编制。</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69" w:right="1167" w:hanging="316"/>
        <w:jc w:val="left"/>
      </w:pPr>
      <w:r>
        <w:rPr/>
        <w:t>具体会计政策和会计估计提示： 本公司按照财政部发布的《企业会计准则</w:t>
      </w: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p>
    <w:p>
      <w:pPr>
        <w:pStyle w:val="BodyText"/>
        <w:spacing w:line="215" w:lineRule="exact"/>
        <w:ind w:right="0"/>
        <w:jc w:val="left"/>
      </w:pP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项具体会计准则、企业会计准则应用指南、企业会计准则解释及其他相关规定（以下合称</w:t>
      </w:r>
      <w:r>
        <w:rPr>
          <w:rFonts w:ascii="Times New Roman" w:hAnsi="Times New Roman" w:cs="Times New Roman" w:eastAsia="Times New Roman" w:hint="default"/>
        </w:rPr>
        <w:t>“</w:t>
      </w:r>
      <w:r>
        <w:rPr/>
        <w:t>企业</w:t>
      </w:r>
    </w:p>
    <w:p>
      <w:pPr>
        <w:pStyle w:val="BodyText"/>
        <w:spacing w:line="300" w:lineRule="auto" w:before="63"/>
        <w:ind w:left="454" w:right="0" w:hanging="300"/>
        <w:jc w:val="left"/>
      </w:pPr>
      <w:r>
        <w:rPr/>
        <w:t>会计准则</w:t>
      </w:r>
      <w:r>
        <w:rPr>
          <w:rFonts w:ascii="Times New Roman" w:hAnsi="Times New Roman" w:cs="Times New Roman" w:eastAsia="Times New Roman" w:hint="default"/>
        </w:rPr>
        <w:t>”</w:t>
      </w:r>
      <w:r>
        <w:rPr/>
        <w:t>），编制公司财务会计报表。 </w:t>
      </w:r>
      <w:r>
        <w:rPr>
          <w:spacing w:val="-1"/>
        </w:rPr>
        <w:t>但：本公司及子公司根据具体情况，在应收款项坏账准备的风险组合、计提坏账准备的比例、固定资产折旧年限和残值</w:t>
      </w:r>
    </w:p>
    <w:p>
      <w:pPr>
        <w:pStyle w:val="BodyText"/>
        <w:spacing w:line="240" w:lineRule="auto" w:before="31"/>
        <w:ind w:left="154" w:right="0"/>
        <w:jc w:val="left"/>
      </w:pPr>
      <w:r>
        <w:rPr/>
        <w:t>率、无形资产摊销期限、收入的确认时点等方面选用了适合于本公司的具体方法，均在上述会计准则和相关规定范围之内。</w:t>
      </w:r>
    </w:p>
    <w:p>
      <w:pPr>
        <w:spacing w:line="240" w:lineRule="auto" w:before="12"/>
        <w:rPr>
          <w:rFonts w:ascii="宋体" w:hAnsi="宋体" w:cs="宋体" w:eastAsia="宋体" w:hint="default"/>
          <w:sz w:val="26"/>
          <w:szCs w:val="26"/>
        </w:rPr>
      </w:pPr>
    </w:p>
    <w:p>
      <w:pPr>
        <w:pStyle w:val="Heading4"/>
        <w:spacing w:line="240" w:lineRule="auto"/>
        <w:ind w:left="154" w:right="0"/>
        <w:jc w:val="left"/>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22" w:firstLine="270"/>
        <w:jc w:val="left"/>
      </w:pPr>
      <w:r>
        <w:rPr/>
        <w:t>本公司编制的财务报表符合企业会计准则的要求，真实、完整地反映了企业的财务状况、经营成果和现金流量等有关信 息。</w:t>
      </w:r>
    </w:p>
    <w:p>
      <w:pPr>
        <w:spacing w:line="240" w:lineRule="auto" w:before="4"/>
        <w:rPr>
          <w:rFonts w:ascii="宋体" w:hAnsi="宋体" w:cs="宋体" w:eastAsia="宋体" w:hint="default"/>
          <w:sz w:val="22"/>
          <w:szCs w:val="22"/>
        </w:rPr>
      </w:pPr>
    </w:p>
    <w:p>
      <w:pPr>
        <w:pStyle w:val="Heading4"/>
        <w:spacing w:line="240" w:lineRule="auto"/>
        <w:ind w:left="154" w:right="0"/>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0" w:firstLine="360"/>
        <w:jc w:val="left"/>
      </w:pPr>
      <w:r>
        <w:rPr>
          <w:spacing w:val="-4"/>
        </w:rPr>
        <w:t>本公司会计期间分为年度和中期。中期包括半年度、季度和月度。年度、半年度、季度、月度起止日期按公历日期确定。</w:t>
      </w:r>
      <w:r>
        <w:rPr/>
        <w:t> 公司会计年度为每年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4" w:right="1282" w:firstLine="290"/>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6"/>
        <w:rPr>
          <w:rFonts w:ascii="宋体" w:hAnsi="宋体" w:cs="宋体" w:eastAsia="宋体" w:hint="default"/>
          <w:sz w:val="23"/>
          <w:szCs w:val="23"/>
        </w:rPr>
      </w:pPr>
    </w:p>
    <w:p>
      <w:pPr>
        <w:pStyle w:val="Heading4"/>
        <w:spacing w:line="240" w:lineRule="auto"/>
        <w:ind w:left="154" w:right="0"/>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本公司以人民币为记账本位币。</w:t>
      </w:r>
    </w:p>
    <w:p>
      <w:pPr>
        <w:spacing w:line="240" w:lineRule="auto" w:before="12"/>
        <w:rPr>
          <w:rFonts w:ascii="宋体" w:hAnsi="宋体" w:cs="宋体" w:eastAsia="宋体" w:hint="default"/>
          <w:sz w:val="26"/>
          <w:szCs w:val="26"/>
        </w:rPr>
      </w:pPr>
    </w:p>
    <w:p>
      <w:pPr>
        <w:pStyle w:val="Heading4"/>
        <w:spacing w:line="240" w:lineRule="auto"/>
        <w:ind w:left="154" w:right="0"/>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spacing w:line="338" w:lineRule="auto" w:before="0"/>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5.1</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参与合并的企业在合并前后均受同一方或相同的多方最终控制且该控制并非暂时性的，为同一控制下的企业合并。通常</w:t>
      </w:r>
    </w:p>
    <w:p>
      <w:pPr>
        <w:pStyle w:val="BodyText"/>
        <w:spacing w:line="319" w:lineRule="auto" w:before="2"/>
        <w:ind w:left="154" w:right="1118"/>
        <w:jc w:val="left"/>
      </w:pPr>
      <w:r>
        <w:rPr>
          <w:spacing w:val="-2"/>
        </w:rPr>
        <w:t>情况下，同一控制下的企业合并是指发生在同一企业集团内部企业之间的合并，除此之外，一般不作为同一控制下的企业合</w:t>
      </w:r>
      <w:r>
        <w:rPr>
          <w:spacing w:val="-66"/>
        </w:rPr>
        <w:t> </w:t>
      </w:r>
      <w:r>
        <w:rPr>
          <w:spacing w:val="-66"/>
        </w:rPr>
      </w:r>
      <w:r>
        <w:rPr/>
        <w:t>并。</w:t>
      </w:r>
    </w:p>
    <w:p>
      <w:pPr>
        <w:pStyle w:val="BodyText"/>
        <w:spacing w:line="319" w:lineRule="auto" w:before="55"/>
        <w:ind w:left="154" w:right="1032" w:firstLine="360"/>
        <w:jc w:val="left"/>
      </w:pPr>
      <w:r>
        <w:rPr>
          <w:spacing w:val="-2"/>
        </w:rPr>
        <w:t>同一控制下的控股合并形成的长期股权投资，本公司在合并日以被合并方所有者权益在最终控制方合并财务报表中的账</w:t>
      </w:r>
      <w:r>
        <w:rPr/>
        <w:t> 面价值的份额作为形成长期股权投资的初始投资成本，相关会计处理见长期股权投资；同一控制下的吸收合并取得的资产、 </w:t>
      </w:r>
      <w:r>
        <w:rPr>
          <w:spacing w:val="-2"/>
        </w:rPr>
        <w:t>负债，在合并日按照被合并方所有者权益在最终控制方合并财务报表中的账面价值计量。本公司取得的净资产账面价值与支</w:t>
      </w:r>
      <w:r>
        <w:rPr>
          <w:spacing w:val="-64"/>
        </w:rPr>
        <w:t> </w:t>
      </w:r>
      <w:r>
        <w:rPr>
          <w:spacing w:val="-64"/>
        </w:rPr>
      </w:r>
      <w:r>
        <w:rPr/>
        <w:t>付的合并对价账面价值（或发行股份面值总额）的差额，调整资本公积（股本溢价）；资本公积（股本溢价）不足冲减的， 调整留存收益。</w:t>
      </w:r>
    </w:p>
    <w:p>
      <w:pPr>
        <w:pStyle w:val="BodyText"/>
        <w:spacing w:line="319" w:lineRule="auto" w:before="56"/>
        <w:ind w:right="0" w:firstLine="360"/>
        <w:jc w:val="left"/>
      </w:pPr>
      <w:r>
        <w:rPr>
          <w:spacing w:val="-2"/>
        </w:rPr>
        <w:t>本公司作为合并方为进行企业合并发生的各项直接相关费用，包括支付的审计费用、评估费用、法律服务费等，于发生</w:t>
      </w:r>
      <w:r>
        <w:rPr/>
        <w:t> 时计入当期损益。</w:t>
      </w:r>
    </w:p>
    <w:p>
      <w:pPr>
        <w:pStyle w:val="BodyText"/>
        <w:spacing w:line="319" w:lineRule="auto" w:before="55"/>
        <w:ind w:right="0" w:firstLine="360"/>
        <w:jc w:val="left"/>
      </w:pPr>
      <w:r>
        <w:rPr>
          <w:spacing w:val="-2"/>
        </w:rPr>
        <w:t>为企业合并发行的债券或承担其他债务支付的手续费、佣金等，计入所发行债券及其他债务的初始计量金额。企业合并</w:t>
      </w:r>
      <w:r>
        <w:rPr/>
        <w:t> 中发行权益性证券发生的手续费、佣金等费用，抵减权益性证券溢价收入，溢价收入不足冲减的，冲减留存收益。</w:t>
      </w:r>
    </w:p>
    <w:p>
      <w:pPr>
        <w:pStyle w:val="BodyText"/>
        <w:spacing w:line="240" w:lineRule="auto" w:before="55"/>
        <w:ind w:left="513" w:right="0"/>
        <w:jc w:val="left"/>
      </w:pPr>
      <w:r>
        <w:rPr/>
        <w:t>母公司在报告期内因同一控制下企业合并增加的子公司以及业务，编制合并资产负债表时，应当调整合并资产负债表的</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48" w:lineRule="auto" w:before="44"/>
        <w:ind w:left="513" w:right="1753" w:hanging="360"/>
        <w:jc w:val="left"/>
      </w:pPr>
      <w:r>
        <w:rPr/>
        <w:t>期初数，同时应当对比较报表的相关项目进行调整，视同合并后的报告主体自最终控制方开始控制时起一直存在。 </w:t>
      </w:r>
      <w:r>
        <w:rPr>
          <w:rFonts w:ascii="Times New Roman" w:hAnsi="Times New Roman" w:cs="Times New Roman" w:eastAsia="Times New Roman" w:hint="default"/>
          <w:b/>
          <w:bCs/>
        </w:rPr>
        <w:t>5.2</w:t>
      </w:r>
      <w:r>
        <w:rPr>
          <w:rFonts w:ascii="Times New Roman" w:hAnsi="Times New Roman" w:cs="Times New Roman" w:eastAsia="Times New Roman" w:hint="default"/>
          <w:b/>
          <w:bCs/>
          <w:spacing w:val="31"/>
        </w:rPr>
        <w:t> </w:t>
      </w:r>
      <w:r>
        <w:rPr>
          <w:rFonts w:ascii="宋体" w:hAnsi="宋体" w:cs="宋体" w:eastAsia="宋体" w:hint="default"/>
          <w:b/>
          <w:bCs/>
        </w:rPr>
        <w:t>非同一控制下的企业合并</w:t>
      </w:r>
      <w:r>
        <w:rPr>
          <w:rFonts w:ascii="宋体" w:hAnsi="宋体" w:cs="宋体" w:eastAsia="宋体" w:hint="default"/>
          <w:b/>
          <w:bCs/>
          <w:w w:val="99"/>
        </w:rPr>
        <w:t> </w:t>
      </w:r>
      <w:r>
        <w:rPr/>
        <w:t>参与合并的各方在合并前后不受同一方或相同的多方最终控制的，为非同一控制下的企业合并。</w:t>
      </w:r>
    </w:p>
    <w:p>
      <w:pPr>
        <w:pStyle w:val="BodyText"/>
        <w:spacing w:line="319" w:lineRule="auto" w:before="34"/>
        <w:ind w:right="1133" w:firstLine="360"/>
        <w:jc w:val="both"/>
      </w:pPr>
      <w:r>
        <w:rPr>
          <w:spacing w:val="-2"/>
        </w:rPr>
        <w:t>确定企业合并成本：企业合并成本包括购买方为进行企业合并支付的现金或非现金资产、发行或承担的债务、发行的权</w:t>
      </w:r>
      <w:r>
        <w:rPr/>
        <w:t> </w:t>
      </w:r>
      <w:r>
        <w:rPr>
          <w:spacing w:val="-2"/>
        </w:rPr>
        <w:t>益性证券等在购买日的公允价值。通过多次交换交易分步实现的企业合并，合并成本为每一单项交易成本之和。公司为进行</w:t>
      </w:r>
      <w:r>
        <w:rPr>
          <w:spacing w:val="-66"/>
        </w:rPr>
        <w:t> </w:t>
      </w:r>
      <w:r>
        <w:rPr>
          <w:spacing w:val="-66"/>
        </w:rPr>
      </w:r>
      <w:r>
        <w:rPr/>
        <w:t>企业合并发生的各项直接相关费用计入当期损益。</w:t>
      </w:r>
    </w:p>
    <w:p>
      <w:pPr>
        <w:pStyle w:val="BodyText"/>
        <w:spacing w:line="319" w:lineRule="auto" w:before="55"/>
        <w:ind w:right="1132" w:firstLine="360"/>
        <w:jc w:val="both"/>
      </w:pPr>
      <w:r>
        <w:rPr>
          <w:spacing w:val="-2"/>
        </w:rPr>
        <w:t>非同一控制下的控股合并取得的长期股权投资，本公司以购买日确定的企业合并成本，作为对被购买方长期股权投资的</w:t>
      </w:r>
      <w:r>
        <w:rPr/>
        <w:t> </w:t>
      </w:r>
      <w:r>
        <w:rPr>
          <w:spacing w:val="-2"/>
        </w:rPr>
        <w:t>初始投资成本；非同一控制下的吸收合并取得的符合确认条件的各项可辨认资产、负债，本公司在购买日按照公允价值确认</w:t>
      </w:r>
      <w:r>
        <w:rPr>
          <w:spacing w:val="-66"/>
        </w:rPr>
        <w:t> </w:t>
      </w:r>
      <w:r>
        <w:rPr>
          <w:spacing w:val="-66"/>
        </w:rPr>
      </w:r>
      <w:r>
        <w:rPr/>
        <w:t>为本企业的资产和负债。</w:t>
      </w:r>
    </w:p>
    <w:p>
      <w:pPr>
        <w:pStyle w:val="BodyText"/>
        <w:spacing w:line="319" w:lineRule="auto" w:before="56"/>
        <w:ind w:right="0" w:firstLine="360"/>
        <w:jc w:val="left"/>
      </w:pPr>
      <w:r>
        <w:rPr>
          <w:spacing w:val="-4"/>
        </w:rPr>
        <w:t>非同一控制下的企业合并中，企业合并成本大于合并中取得的被购买方可辨认净资产公允价值份额的差额，确认为商誉；</w:t>
      </w:r>
      <w:r>
        <w:rPr/>
        <w:t> </w:t>
      </w:r>
      <w:r>
        <w:rPr>
          <w:spacing w:val="-4"/>
        </w:rPr>
        <w:t>在吸收合并情况下，该差额在母公司个别财务报表中确认为商誉；在控股合并情况下，该差额在合并财务报表中列示为商誉。</w:t>
      </w:r>
      <w:r>
        <w:rPr>
          <w:spacing w:val="-44"/>
        </w:rPr>
        <w:t> </w:t>
      </w:r>
      <w:r>
        <w:rPr>
          <w:spacing w:val="-44"/>
        </w:rPr>
      </w:r>
      <w:r>
        <w:rPr>
          <w:spacing w:val="-2"/>
        </w:rPr>
        <w:t>企业合并成本小于合并中取得的被购买方可辨认净资产公允价值份额的差额，本公司计入合并当期损益（营业外收入）。在</w:t>
      </w:r>
      <w:r>
        <w:rPr>
          <w:spacing w:val="-66"/>
        </w:rPr>
        <w:t> </w:t>
      </w:r>
      <w:r>
        <w:rPr>
          <w:spacing w:val="-66"/>
        </w:rPr>
      </w:r>
      <w:r>
        <w:rPr/>
        <w:t>吸收合并情况下，该差额计入合并当期母公司个别利润表；在控股合并情况下，该差额计入合并当期的合并利润表。</w:t>
      </w:r>
    </w:p>
    <w:p>
      <w:pPr>
        <w:pStyle w:val="BodyText"/>
        <w:spacing w:line="338" w:lineRule="auto" w:before="56"/>
        <w:ind w:left="513" w:right="0" w:firstLine="1"/>
        <w:jc w:val="left"/>
      </w:pPr>
      <w:r>
        <w:rPr>
          <w:rFonts w:ascii="Times New Roman" w:hAnsi="Times New Roman" w:cs="Times New Roman" w:eastAsia="Times New Roman" w:hint="default"/>
          <w:b/>
          <w:bCs/>
        </w:rPr>
        <w:t>5.3</w:t>
      </w:r>
      <w:r>
        <w:rPr>
          <w:rFonts w:ascii="宋体" w:hAnsi="宋体" w:cs="宋体" w:eastAsia="宋体" w:hint="default"/>
          <w:b/>
          <w:bCs/>
        </w:rPr>
        <w:t>分步实现企业合并</w:t>
      </w:r>
      <w:r>
        <w:rPr>
          <w:rFonts w:ascii="宋体" w:hAnsi="宋体" w:cs="宋体" w:eastAsia="宋体" w:hint="default"/>
          <w:b/>
          <w:bCs/>
          <w:w w:val="99"/>
        </w:rPr>
        <w:t> </w:t>
      </w:r>
      <w:r>
        <w:rPr>
          <w:spacing w:val="-2"/>
        </w:rPr>
        <w:t>如果分步取得对子公司股权投资直至取得控制权的各项交易属于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，应当将各项交易作为一项取得子公司控</w:t>
      </w:r>
    </w:p>
    <w:p>
      <w:pPr>
        <w:pStyle w:val="BodyText"/>
        <w:spacing w:line="218" w:lineRule="exact"/>
        <w:ind w:right="0"/>
        <w:jc w:val="left"/>
      </w:pPr>
      <w:r>
        <w:rPr/>
        <w:t>制权的交易，并区分企业合并的类型分别进行会计处理。</w:t>
      </w:r>
    </w:p>
    <w:p>
      <w:pPr>
        <w:spacing w:line="338" w:lineRule="auto" w:before="117"/>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5.3.1</w:t>
      </w:r>
      <w:r>
        <w:rPr>
          <w:rFonts w:ascii="宋体" w:hAnsi="宋体" w:cs="宋体" w:eastAsia="宋体" w:hint="default"/>
          <w:b/>
          <w:bCs/>
          <w:sz w:val="18"/>
          <w:szCs w:val="18"/>
        </w:rPr>
        <w:t>分步实现同一控制下企业合并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如果不属于一揽子交易并形成同一控制下企业合并的，在取得控制权日，根据合并后应享有被合并方净资产在最终控制</w:t>
      </w:r>
    </w:p>
    <w:p>
      <w:pPr>
        <w:pStyle w:val="BodyText"/>
        <w:spacing w:line="319" w:lineRule="auto" w:before="2"/>
        <w:ind w:right="1033"/>
        <w:jc w:val="left"/>
      </w:pPr>
      <w:r>
        <w:rPr>
          <w:spacing w:val="-2"/>
        </w:rPr>
        <w:t>方合并财务报表中的账面价值的份额，确定长期股权投资的初始投资成本。合并日长期股权投资的初始投资成本，与达到合</w:t>
      </w:r>
      <w:r>
        <w:rPr>
          <w:spacing w:val="-66"/>
        </w:rPr>
        <w:t> </w:t>
      </w:r>
      <w:r>
        <w:rPr>
          <w:spacing w:val="-66"/>
        </w:rPr>
      </w:r>
      <w:r>
        <w:rPr>
          <w:spacing w:val="-2"/>
        </w:rPr>
        <w:t>并前的长期股权投资账面价值加上合并日进一步取得股份新支付对价的账面价值之和的差额，调整资本公积（资本溢价或股</w:t>
      </w:r>
      <w:r>
        <w:rPr>
          <w:spacing w:val="-64"/>
        </w:rPr>
        <w:t> </w:t>
      </w:r>
      <w:r>
        <w:rPr>
          <w:spacing w:val="-64"/>
        </w:rPr>
      </w:r>
      <w:r>
        <w:rPr>
          <w:spacing w:val="-2"/>
        </w:rPr>
        <w:t>本溢价），资本公积不足冲减的，冲减留存收益。合并日之前持有的股权投资，因采用权益法核算或金融工具确认和计量准</w:t>
      </w:r>
      <w:r>
        <w:rPr>
          <w:spacing w:val="-66"/>
        </w:rPr>
        <w:t> </w:t>
      </w:r>
      <w:r>
        <w:rPr>
          <w:spacing w:val="-66"/>
        </w:rPr>
      </w:r>
      <w:r>
        <w:rPr>
          <w:spacing w:val="-2"/>
        </w:rPr>
        <w:t>则核算而确认的其他综合收益，暂不进行会计处理，直至处置该项投资时采用与被投资单位直接处置相关资产或负债相同的</w:t>
      </w:r>
      <w:r>
        <w:rPr>
          <w:spacing w:val="-64"/>
        </w:rPr>
        <w:t> </w:t>
      </w:r>
      <w:r>
        <w:rPr>
          <w:spacing w:val="-64"/>
        </w:rPr>
      </w:r>
      <w:r>
        <w:rPr>
          <w:spacing w:val="-2"/>
        </w:rPr>
        <w:t>基础进行会计处理；因采用权益法核算而确认的被投资单位净资产中除净损益、其他综合收益和利润分配以外的所有者权益</w:t>
      </w:r>
      <w:r>
        <w:rPr>
          <w:spacing w:val="-64"/>
        </w:rPr>
        <w:t> </w:t>
      </w:r>
      <w:r>
        <w:rPr>
          <w:spacing w:val="-64"/>
        </w:rPr>
      </w:r>
      <w:r>
        <w:rPr/>
        <w:t>其他变动，暂不进行会计处理，直至处置该项投资时转入当期损益。其中，处置后的剩余股权采用成本法或权益法核算的， </w:t>
      </w:r>
      <w:r>
        <w:rPr>
          <w:spacing w:val="-2"/>
        </w:rPr>
        <w:t>其他综合收益和其他所有者权益应按比例结转，处置后的剩余股权改按金融工具确认和计量准则进行会计处理的，其他综合</w:t>
      </w:r>
      <w:r>
        <w:rPr>
          <w:spacing w:val="-63"/>
        </w:rPr>
        <w:t> </w:t>
      </w:r>
      <w:r>
        <w:rPr>
          <w:spacing w:val="-63"/>
        </w:rPr>
      </w:r>
      <w:r>
        <w:rPr/>
        <w:t>收益和其他所有者权益应全部结转。</w:t>
      </w:r>
    </w:p>
    <w:p>
      <w:pPr>
        <w:pStyle w:val="BodyText"/>
        <w:spacing w:line="314" w:lineRule="auto" w:before="55"/>
        <w:ind w:left="154" w:right="1032" w:firstLine="360"/>
        <w:jc w:val="left"/>
      </w:pPr>
      <w:r>
        <w:rPr>
          <w:spacing w:val="-2"/>
        </w:rPr>
        <w:t>合并日应当按照《企业会计准则第</w:t>
      </w:r>
      <w:r>
        <w:rPr>
          <w:rFonts w:ascii="Times New Roman" w:hAnsi="Times New Roman" w:cs="Times New Roman" w:eastAsia="Times New Roman" w:hint="default"/>
          <w:spacing w:val="-2"/>
        </w:rPr>
        <w:t>20</w:t>
      </w:r>
      <w:r>
        <w:rPr>
          <w:spacing w:val="-2"/>
        </w:rPr>
        <w:t>号一一企业合并》和合并财务报表准则的规定编制合并财务报表。在编制合并财务</w:t>
      </w:r>
      <w:r>
        <w:rPr/>
        <w:t> </w:t>
      </w:r>
      <w:r>
        <w:rPr>
          <w:spacing w:val="-2"/>
        </w:rPr>
        <w:t>报表时，应视同参与合并的各方在最终控制方开始控制时即以目前的状态存在进行调整，在编制比较报表时，以不早于合并</w:t>
      </w:r>
      <w:r>
        <w:rPr>
          <w:spacing w:val="-66"/>
        </w:rPr>
        <w:t> </w:t>
      </w:r>
      <w:r>
        <w:rPr>
          <w:spacing w:val="-66"/>
        </w:rPr>
      </w:r>
      <w:r>
        <w:rPr>
          <w:spacing w:val="-2"/>
        </w:rPr>
        <w:t>方和被合并方同处于最终控制方的控制之下的时点为限，将被合并方的有关资产、负债并入合并方合并财务报表的比较报表</w:t>
      </w:r>
      <w:r>
        <w:rPr>
          <w:spacing w:val="-64"/>
        </w:rPr>
        <w:t> </w:t>
      </w:r>
      <w:r>
        <w:rPr>
          <w:spacing w:val="-64"/>
        </w:rPr>
      </w:r>
      <w:r>
        <w:rPr/>
        <w:t>中，并将合并而增加的净资产在比较报表中调整所有者权益项下的相关项目。合并方在达到合并之前持有的长期股权投资， </w:t>
      </w:r>
      <w:r>
        <w:rPr>
          <w:spacing w:val="-2"/>
        </w:rPr>
        <w:t>在取得日与合并方与被合并方向处于同一最终控制之日孰晚日与合并日之间已确认有关损益、其他综合收益和其他所有者权</w:t>
      </w:r>
      <w:r>
        <w:rPr>
          <w:spacing w:val="-64"/>
        </w:rPr>
        <w:t> </w:t>
      </w:r>
      <w:r>
        <w:rPr>
          <w:spacing w:val="-64"/>
        </w:rPr>
      </w:r>
      <w:r>
        <w:rPr/>
        <w:t>益变动，应分别冲减比较报表期间的期初留存收益或当期损益。</w:t>
      </w:r>
    </w:p>
    <w:p>
      <w:pPr>
        <w:spacing w:line="338" w:lineRule="auto" w:before="61"/>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5.3.2</w:t>
      </w:r>
      <w:r>
        <w:rPr>
          <w:rFonts w:ascii="宋体" w:hAnsi="宋体" w:cs="宋体" w:eastAsia="宋体" w:hint="default"/>
          <w:b/>
          <w:bCs/>
          <w:sz w:val="18"/>
          <w:szCs w:val="18"/>
        </w:rPr>
        <w:t>分步实现非同一控制下企业合并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企业通过多次交易分步实现非同一控制下企业合并且不属于一揽子交易的，在编制个别财务报表时，应当按照原持有的</w:t>
      </w:r>
    </w:p>
    <w:p>
      <w:pPr>
        <w:pStyle w:val="BodyText"/>
        <w:spacing w:line="319" w:lineRule="auto" w:before="2"/>
        <w:ind w:left="154" w:right="1131"/>
        <w:jc w:val="both"/>
      </w:pPr>
      <w:r>
        <w:rPr>
          <w:spacing w:val="-2"/>
        </w:rPr>
        <w:t>股权投资的账面价值加上新增投资成本之和，作为改按成本法核算的初始投资成本。购买日之前持有的股权投资，采用金融</w:t>
      </w:r>
      <w:r>
        <w:rPr>
          <w:spacing w:val="-66"/>
        </w:rPr>
        <w:t> </w:t>
      </w:r>
      <w:r>
        <w:rPr>
          <w:spacing w:val="-66"/>
        </w:rPr>
      </w:r>
      <w:r>
        <w:rPr>
          <w:spacing w:val="-2"/>
        </w:rPr>
        <w:t>工具确认和计量准则进行会计处理的，应当将按照该准则确定的股权投资的公允价值加上新增投资成本之和，作为改按成本</w:t>
      </w:r>
      <w:r>
        <w:rPr>
          <w:spacing w:val="-64"/>
        </w:rPr>
        <w:t> </w:t>
      </w:r>
      <w:r>
        <w:rPr>
          <w:spacing w:val="-64"/>
        </w:rPr>
      </w:r>
      <w:r>
        <w:rPr>
          <w:spacing w:val="-2"/>
        </w:rPr>
        <w:t>法核算的初始投资成本，原持有股权的公允价值与账面价值之间的差额以及原计入其他综合收益的累计公允价值变动应当全</w:t>
      </w:r>
      <w:r>
        <w:rPr>
          <w:spacing w:val="-64"/>
        </w:rPr>
        <w:t> </w:t>
      </w:r>
      <w:r>
        <w:rPr>
          <w:spacing w:val="-64"/>
        </w:rPr>
      </w:r>
      <w:r>
        <w:rPr/>
        <w:t>部转入改按成本法核算的当期投资收益。</w:t>
      </w:r>
    </w:p>
    <w:p>
      <w:pPr>
        <w:pStyle w:val="BodyText"/>
        <w:spacing w:line="319" w:lineRule="auto" w:before="56"/>
        <w:ind w:left="154" w:right="1132" w:firstLine="360"/>
        <w:jc w:val="both"/>
      </w:pPr>
      <w:r>
        <w:rPr>
          <w:spacing w:val="-2"/>
        </w:rPr>
        <w:t>编制合并报表时，购买日之前持有的被购买方的股权，应当按照该股权在购买日的公允价值进行重新计量，公允价值与</w:t>
      </w:r>
      <w:r>
        <w:rPr/>
        <w:t> </w:t>
      </w:r>
      <w:r>
        <w:rPr>
          <w:spacing w:val="-2"/>
        </w:rPr>
        <w:t>其账面价值的差额计入当期投资收益；购买日之前持有的被购买方的股权涉及权益法核算下的其他综合收益、其他所有者权</w:t>
      </w:r>
      <w:r>
        <w:rPr>
          <w:spacing w:val="-64"/>
        </w:rPr>
        <w:t> </w:t>
      </w:r>
      <w:r>
        <w:rPr>
          <w:spacing w:val="-64"/>
        </w:rPr>
      </w:r>
      <w:r>
        <w:rPr>
          <w:spacing w:val="-2"/>
        </w:rPr>
        <w:t>益变动的，应当转为购买日所属当期收益，由于被投资方重新计量设定受益计划净负债或净资产变动而产生的其他综合收益</w:t>
      </w:r>
      <w:r>
        <w:rPr>
          <w:spacing w:val="-64"/>
        </w:rPr>
        <w:t> </w:t>
      </w:r>
      <w:r>
        <w:rPr>
          <w:spacing w:val="-64"/>
        </w:rPr>
      </w:r>
      <w:r>
        <w:rPr/>
        <w:t>除外。</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1118" w:firstLine="1"/>
        <w:jc w:val="left"/>
      </w:pPr>
      <w:r>
        <w:rPr>
          <w:rFonts w:ascii="Times New Roman" w:hAnsi="Times New Roman" w:cs="Times New Roman" w:eastAsia="Times New Roman" w:hint="default"/>
          <w:b/>
          <w:bCs/>
        </w:rPr>
        <w:t>6.1</w:t>
      </w:r>
      <w:r>
        <w:rPr>
          <w:rFonts w:ascii="宋体" w:hAnsi="宋体" w:cs="宋体" w:eastAsia="宋体" w:hint="default"/>
          <w:b/>
          <w:bCs/>
        </w:rPr>
        <w:t>合并范围</w:t>
      </w:r>
      <w:r>
        <w:rPr>
          <w:rFonts w:ascii="宋体" w:hAnsi="宋体" w:cs="宋体" w:eastAsia="宋体" w:hint="default"/>
          <w:b/>
          <w:bCs/>
          <w:w w:val="99"/>
        </w:rPr>
        <w:t> </w:t>
      </w:r>
      <w:r>
        <w:rPr>
          <w:spacing w:val="-2"/>
        </w:rPr>
        <w:t>合并财务报表的合并范围以控制为基础予以确定。控制是指本公司拥有对被投资单位的权力，通过参与被投资单位的相</w:t>
      </w:r>
    </w:p>
    <w:p>
      <w:pPr>
        <w:pStyle w:val="BodyText"/>
        <w:spacing w:line="319" w:lineRule="auto" w:before="3"/>
        <w:ind w:right="0"/>
        <w:jc w:val="left"/>
      </w:pPr>
      <w:r>
        <w:rPr>
          <w:spacing w:val="-4"/>
        </w:rPr>
        <w:t>关活动而享有可变回报，并且有能力运用对被投资单位的权力影响其回报金额。子公司，是指被本公司控制的主体（含企业、</w:t>
      </w:r>
      <w:r>
        <w:rPr>
          <w:spacing w:val="-46"/>
        </w:rPr>
        <w:t> </w:t>
      </w:r>
      <w:r>
        <w:rPr>
          <w:spacing w:val="-46"/>
        </w:rPr>
      </w:r>
      <w:r>
        <w:rPr/>
        <w:t>被投资单位中可分割的部分，以及企业所控制的结构化主体等）。</w:t>
      </w:r>
    </w:p>
    <w:p>
      <w:pPr>
        <w:spacing w:line="338" w:lineRule="auto" w:before="58"/>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6.2</w:t>
      </w:r>
      <w:r>
        <w:rPr>
          <w:rFonts w:ascii="宋体" w:hAnsi="宋体" w:cs="宋体" w:eastAsia="宋体" w:hint="default"/>
          <w:b/>
          <w:bCs/>
          <w:sz w:val="18"/>
          <w:szCs w:val="18"/>
        </w:rPr>
        <w:t>合并财务报表的编制方法</w:t>
      </w:r>
      <w:r>
        <w:rPr>
          <w:rFonts w:ascii="宋体" w:hAnsi="宋体" w:cs="宋体" w:eastAsia="宋体" w:hint="default"/>
          <w:b/>
          <w:bCs/>
          <w:w w:val="99"/>
          <w:sz w:val="18"/>
          <w:szCs w:val="18"/>
        </w:rPr>
        <w:t> </w:t>
      </w:r>
      <w:r>
        <w:rPr>
          <w:rFonts w:ascii="宋体" w:hAnsi="宋体" w:cs="宋体" w:eastAsia="宋体" w:hint="default"/>
          <w:spacing w:val="-4"/>
          <w:sz w:val="18"/>
          <w:szCs w:val="18"/>
        </w:rPr>
        <w:t>本公司合并财务报表以本公司和子公司的财务报表为基础，根据其他有关资料，由本公司编制。在编制合并财务报表时，</w:t>
      </w:r>
    </w:p>
    <w:p>
      <w:pPr>
        <w:pStyle w:val="BodyText"/>
        <w:spacing w:line="357" w:lineRule="auto" w:before="4"/>
        <w:ind w:left="513" w:right="1033" w:hanging="360"/>
        <w:jc w:val="left"/>
      </w:pPr>
      <w:r>
        <w:rPr/>
        <w:t>本公司和子公司的会计政策和会计期间要求保持一致，公司间的重大交易和往来余额予以抵销。 在报告期内因同一控制下企业合并增加的子公司以及业务，本公司将该子公司合并当期期初至报告期末的收入、费用、</w:t>
      </w:r>
    </w:p>
    <w:p>
      <w:pPr>
        <w:pStyle w:val="BodyText"/>
        <w:spacing w:line="224" w:lineRule="exact"/>
        <w:ind w:right="0"/>
        <w:jc w:val="left"/>
      </w:pPr>
      <w:r>
        <w:rPr/>
        <w:t>利润纳入合并利润表，将其现金流量纳入合并现金流量表；因非同一控制下企业合并增加的子公司以及业务，本公司将该子</w:t>
      </w:r>
    </w:p>
    <w:p>
      <w:pPr>
        <w:pStyle w:val="BodyText"/>
        <w:spacing w:line="357" w:lineRule="auto" w:before="77"/>
        <w:ind w:left="513" w:right="0" w:hanging="360"/>
        <w:jc w:val="left"/>
      </w:pPr>
      <w:r>
        <w:rPr/>
        <w:t>公司以及业务自购买日至报告期末的收入、费用、利润纳入合并利润表，将其现金流量纳入合并现金流量表。 </w:t>
      </w:r>
      <w:r>
        <w:rPr>
          <w:spacing w:val="-2"/>
        </w:rPr>
        <w:t>子公司的股东权益中不属于本公司所拥有的部分作为少数股东权益在合并资产负债表中股东权益项下单独列示。子公司</w:t>
      </w:r>
    </w:p>
    <w:p>
      <w:pPr>
        <w:pStyle w:val="BodyText"/>
        <w:spacing w:line="237" w:lineRule="exact"/>
        <w:ind w:right="0"/>
        <w:jc w:val="left"/>
      </w:pPr>
      <w:r>
        <w:rPr/>
        <w:t>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w:t>
      </w:r>
    </w:p>
    <w:p>
      <w:pPr>
        <w:pStyle w:val="BodyText"/>
        <w:spacing w:line="338" w:lineRule="auto" w:before="64"/>
        <w:ind w:right="0"/>
        <w:jc w:val="left"/>
      </w:pPr>
      <w:r>
        <w:rPr/>
        <w:t>的亏损超过了少数股东在该子公司期初所有者权益中所享有的份额，其余额仍冲减少数股东权益。 </w:t>
      </w:r>
      <w:r>
        <w:rPr>
          <w:spacing w:val="-2"/>
        </w:rPr>
        <w:t>对于购买子公司少数股权或因处置部分股权投资但没有丧失对该子公司控制权的交易，作为权益性交易核算，调整归属于母</w:t>
      </w:r>
      <w:r>
        <w:rPr>
          <w:spacing w:val="-64"/>
        </w:rPr>
        <w:t> </w:t>
      </w:r>
      <w:r>
        <w:rPr>
          <w:spacing w:val="-64"/>
        </w:rPr>
      </w:r>
      <w:r>
        <w:rPr/>
        <w:t>公司所有者权益和少数股东权益的账面价值以反映其在子公司中相关权益的变化。少数股东权益的调整额与支付</w:t>
      </w:r>
      <w:r>
        <w:rPr>
          <w:rFonts w:ascii="Times New Roman" w:hAnsi="Times New Roman" w:cs="Times New Roman" w:eastAsia="Times New Roman" w:hint="default"/>
        </w:rPr>
        <w:t>/</w:t>
      </w:r>
      <w:r>
        <w:rPr/>
        <w:t>收到对价</w:t>
      </w:r>
    </w:p>
    <w:p>
      <w:pPr>
        <w:pStyle w:val="BodyText"/>
        <w:spacing w:line="218" w:lineRule="exact"/>
        <w:ind w:right="0"/>
        <w:jc w:val="left"/>
      </w:pPr>
      <w:r>
        <w:rPr/>
        <w:t>的公允价值之间的差额调整资本公积，资本公积不足冲减的，调整留存收益。</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1" w:firstLine="360"/>
        <w:jc w:val="both"/>
      </w:pPr>
      <w:r>
        <w:rPr>
          <w:spacing w:val="-2"/>
        </w:rPr>
        <w:t>合营安排，是指一项由两个或两个以上的参与方共同控制的安排。合营安排分为共同经营和合营企业。如果合营方通过</w:t>
      </w:r>
      <w:r>
        <w:rPr/>
        <w:t> </w:t>
      </w:r>
      <w:r>
        <w:rPr>
          <w:spacing w:val="-2"/>
        </w:rPr>
        <w:t>对合营安排的资产享有权利，并对合营安排的义务承担责任来获得回报，则该合营安排应当被划分为共同经营；如果合营方</w:t>
      </w:r>
      <w:r>
        <w:rPr>
          <w:spacing w:val="-66"/>
        </w:rPr>
        <w:t> </w:t>
      </w:r>
      <w:r>
        <w:rPr>
          <w:spacing w:val="-66"/>
        </w:rPr>
      </w:r>
      <w:r>
        <w:rPr/>
        <w:t>仅对合营安排的净资产享有权利，则该合营安排应当被划分为合营企业。</w:t>
      </w:r>
    </w:p>
    <w:p>
      <w:pPr>
        <w:spacing w:line="338" w:lineRule="auto" w:before="56"/>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7.1</w:t>
      </w:r>
      <w:r>
        <w:rPr>
          <w:rFonts w:ascii="宋体" w:hAnsi="宋体" w:cs="宋体" w:eastAsia="宋体" w:hint="default"/>
          <w:b/>
          <w:bCs/>
          <w:sz w:val="18"/>
          <w:szCs w:val="18"/>
        </w:rPr>
        <w:t>共同经营中，合营方的会计处理</w:t>
      </w:r>
      <w:r>
        <w:rPr>
          <w:rFonts w:ascii="宋体" w:hAnsi="宋体" w:cs="宋体" w:eastAsia="宋体" w:hint="default"/>
          <w:b/>
          <w:bCs/>
          <w:w w:val="99"/>
          <w:sz w:val="18"/>
          <w:szCs w:val="18"/>
        </w:rPr>
        <w:t> </w:t>
      </w:r>
      <w:r>
        <w:rPr>
          <w:rFonts w:ascii="宋体" w:hAnsi="宋体" w:cs="宋体" w:eastAsia="宋体" w:hint="default"/>
          <w:spacing w:val="-2"/>
          <w:sz w:val="18"/>
          <w:szCs w:val="18"/>
        </w:rPr>
        <w:t>合营方应当确认其与共同经营中利益份额相关的下列项目，并按照相关企业会计准则的规定进行会计处理：一是确认单</w:t>
      </w:r>
    </w:p>
    <w:p>
      <w:pPr>
        <w:pStyle w:val="BodyText"/>
        <w:spacing w:line="319" w:lineRule="auto" w:before="2"/>
        <w:ind w:right="1130"/>
        <w:jc w:val="both"/>
      </w:pPr>
      <w:r>
        <w:rPr>
          <w:spacing w:val="-2"/>
        </w:rPr>
        <w:t>独所持有的资产，以及按其份额确认共同持有的资产；二是确认单独所承担的负债，以及按其份额确认共同承担的负债；三</w:t>
      </w:r>
      <w:r>
        <w:rPr>
          <w:spacing w:val="-66"/>
        </w:rPr>
        <w:t> </w:t>
      </w:r>
      <w:r>
        <w:rPr>
          <w:spacing w:val="-66"/>
        </w:rPr>
      </w:r>
      <w:r>
        <w:rPr>
          <w:spacing w:val="-2"/>
        </w:rPr>
        <w:t>是确认出售其享有的共同经营产出份额所产生的收入；四是按其份额确认共同经营因出售产出所产生的收入；五是确认单独</w:t>
      </w:r>
      <w:r>
        <w:rPr>
          <w:spacing w:val="-63"/>
        </w:rPr>
        <w:t> </w:t>
      </w:r>
      <w:r>
        <w:rPr>
          <w:spacing w:val="-63"/>
        </w:rPr>
      </w:r>
      <w:r>
        <w:rPr/>
        <w:t>所发生的费用，以及按其份额确认共同经营发生的费用。</w:t>
      </w:r>
    </w:p>
    <w:p>
      <w:pPr>
        <w:pStyle w:val="Heading6"/>
        <w:spacing w:line="240" w:lineRule="auto" w:before="56"/>
        <w:ind w:right="0"/>
        <w:jc w:val="left"/>
        <w:rPr>
          <w:b w:val="0"/>
          <w:bCs w:val="0"/>
        </w:rPr>
      </w:pPr>
      <w:r>
        <w:rPr>
          <w:rFonts w:ascii="Times New Roman" w:hAnsi="Times New Roman" w:cs="Times New Roman" w:eastAsia="Times New Roman" w:hint="default"/>
        </w:rPr>
        <w:t>7.2</w:t>
      </w:r>
      <w:r>
        <w:rPr/>
        <w:t>合营企业中，合营方的会计处理</w:t>
      </w:r>
      <w:r>
        <w:rPr>
          <w:b w:val="0"/>
          <w:bCs w:val="0"/>
        </w:rPr>
      </w:r>
    </w:p>
    <w:p>
      <w:pPr>
        <w:pStyle w:val="BodyText"/>
        <w:spacing w:line="240" w:lineRule="auto" w:before="102"/>
        <w:ind w:left="513" w:right="0"/>
        <w:jc w:val="left"/>
      </w:pPr>
      <w:r>
        <w:rPr/>
        <w:t>合营企业中，合营方应当按照《企业会计准则第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长期股权投资》的规定核算其对合营企业的投资。</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40" w:firstLine="73"/>
        <w:jc w:val="left"/>
      </w:pPr>
      <w:r>
        <w:rPr/>
        <w:t>现金，是指本公司库存现金以及可以随时用于支付的存款。现金等价物，是指本公司持有的同时具备期限短（一般指从购 入日起不超过</w:t>
      </w:r>
      <w:r>
        <w:rPr>
          <w:rFonts w:ascii="Times New Roman" w:hAnsi="Times New Roman" w:cs="Times New Roman" w:eastAsia="Times New Roman" w:hint="default"/>
        </w:rPr>
        <w:t>3</w:t>
      </w:r>
      <w:r>
        <w:rPr/>
        <w:t>个月内到期）、流动性强、易于转换为已知金额现金、价值变动风险很小的投资。</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6"/>
          <w:szCs w:val="26"/>
        </w:rPr>
      </w:pPr>
    </w:p>
    <w:p>
      <w:pPr>
        <w:spacing w:line="338" w:lineRule="auto" w:before="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9.1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发生外币交易时的折算方法</w:t>
      </w:r>
      <w:r>
        <w:rPr>
          <w:rFonts w:ascii="宋体" w:hAnsi="宋体" w:cs="宋体" w:eastAsia="宋体" w:hint="default"/>
          <w:b/>
          <w:bCs/>
          <w:w w:val="99"/>
          <w:sz w:val="18"/>
          <w:szCs w:val="18"/>
        </w:rPr>
        <w:t> </w:t>
      </w:r>
      <w:r>
        <w:rPr>
          <w:rFonts w:ascii="宋体" w:hAnsi="宋体" w:cs="宋体" w:eastAsia="宋体" w:hint="default"/>
          <w:spacing w:val="-4"/>
          <w:sz w:val="18"/>
          <w:szCs w:val="18"/>
        </w:rPr>
        <w:t>本公司发生的外币交易在初始确认时，按交易日的即期汇率（通常指中国人民银行公布的当日外汇牌价的中间价，下同）</w:t>
      </w:r>
    </w:p>
    <w:p>
      <w:pPr>
        <w:pStyle w:val="BodyText"/>
        <w:spacing w:line="240" w:lineRule="auto" w:before="4"/>
        <w:ind w:right="0"/>
        <w:jc w:val="left"/>
      </w:pPr>
      <w:r>
        <w:rPr/>
        <w:t>折算为人民币金额。</w:t>
      </w:r>
    </w:p>
    <w:p>
      <w:pPr>
        <w:pStyle w:val="Heading6"/>
        <w:spacing w:line="240" w:lineRule="auto" w:before="116"/>
        <w:ind w:right="0"/>
        <w:jc w:val="left"/>
        <w:rPr>
          <w:b w:val="0"/>
          <w:bCs w:val="0"/>
        </w:rPr>
      </w:pPr>
      <w:r>
        <w:rPr>
          <w:rFonts w:ascii="Times New Roman" w:hAnsi="Times New Roman" w:cs="Times New Roman" w:eastAsia="Times New Roman" w:hint="default"/>
        </w:rPr>
        <w:t>9.2</w:t>
      </w:r>
      <w:r>
        <w:rPr>
          <w:rFonts w:ascii="Times New Roman" w:hAnsi="Times New Roman" w:cs="Times New Roman" w:eastAsia="Times New Roman" w:hint="default"/>
          <w:spacing w:val="25"/>
        </w:rPr>
        <w:t> </w:t>
      </w:r>
      <w:r>
        <w:rPr/>
        <w:t>在资产负债表日对外币货币性项目和外币非货币性项目的处理方法</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14" w:lineRule="auto" w:before="44"/>
        <w:ind w:right="1131" w:firstLine="360"/>
        <w:jc w:val="both"/>
      </w:pPr>
      <w:r>
        <w:rPr>
          <w:spacing w:val="-2"/>
        </w:rPr>
        <w:t>外币货币性项目，采用资产负债表日即期汇率折算。因资产负债表日即期汇率与初始确认时或者前一资产负债表日即期</w:t>
      </w:r>
      <w:r>
        <w:rPr/>
        <w:t> </w:t>
      </w:r>
      <w:r>
        <w:rPr>
          <w:spacing w:val="-2"/>
        </w:rPr>
        <w:t>汇率不同而产生的汇兑差额，除了按照《企业会计准则第</w:t>
      </w:r>
      <w:r>
        <w:rPr>
          <w:rFonts w:ascii="Times New Roman" w:hAnsi="Times New Roman" w:cs="Times New Roman" w:eastAsia="Times New Roman" w:hint="default"/>
          <w:spacing w:val="-2"/>
        </w:rPr>
        <w:t>17</w:t>
      </w:r>
      <w:r>
        <w:rPr>
          <w:spacing w:val="-2"/>
        </w:rPr>
        <w:t>号</w:t>
      </w:r>
      <w:r>
        <w:rPr>
          <w:rFonts w:ascii="Times New Roman" w:hAnsi="Times New Roman" w:cs="Times New Roman" w:eastAsia="Times New Roman" w:hint="default"/>
          <w:spacing w:val="-2"/>
        </w:rPr>
        <w:t>——</w:t>
      </w:r>
      <w:r>
        <w:rPr>
          <w:spacing w:val="-2"/>
        </w:rPr>
        <w:t>借款费用》的规定，与购建或生产符合资本化条件的资产</w:t>
      </w:r>
      <w:r>
        <w:rPr>
          <w:spacing w:val="-64"/>
        </w:rPr>
        <w:t> </w:t>
      </w:r>
      <w:r>
        <w:rPr>
          <w:spacing w:val="-64"/>
        </w:rPr>
      </w:r>
      <w:r>
        <w:rPr>
          <w:spacing w:val="-2"/>
        </w:rPr>
        <w:t>相关的外币借款产生的汇兑差额予以资本化外，计入当期损益。以历史成本计量的外币非货币性项目，仍采用交易发生日的</w:t>
      </w:r>
      <w:r>
        <w:rPr>
          <w:spacing w:val="-66"/>
        </w:rPr>
        <w:t> </w:t>
      </w:r>
      <w:r>
        <w:rPr>
          <w:spacing w:val="-66"/>
        </w:rPr>
      </w:r>
      <w:r>
        <w:rPr>
          <w:spacing w:val="-2"/>
        </w:rPr>
        <w:t>即期汇率折算，不改变其记账本位币金额。以公允价值计量的股票、基金等外币非货币性项目，采用公允价值确定日的即期</w:t>
      </w:r>
      <w:r>
        <w:rPr>
          <w:spacing w:val="-66"/>
        </w:rPr>
        <w:t> </w:t>
      </w:r>
      <w:r>
        <w:rPr>
          <w:spacing w:val="-66"/>
        </w:rPr>
      </w:r>
      <w:r>
        <w:rPr/>
        <w:t>汇率折算，折算后记账本位币金额与原记账本位币金额的差额，作为公允价值变动（含汇率变动）处理，计入当期损益。</w:t>
      </w:r>
    </w:p>
    <w:p>
      <w:pPr>
        <w:spacing w:line="338" w:lineRule="auto" w:before="61"/>
        <w:ind w:left="513" w:right="3733" w:firstLine="9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9.3</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外币财务报表的折算方法</w:t>
      </w:r>
      <w:r>
        <w:rPr>
          <w:rFonts w:ascii="宋体" w:hAnsi="宋体" w:cs="宋体" w:eastAsia="宋体" w:hint="default"/>
          <w:b/>
          <w:bCs/>
          <w:w w:val="99"/>
          <w:sz w:val="18"/>
          <w:szCs w:val="18"/>
        </w:rPr>
        <w:t> </w:t>
      </w:r>
      <w:r>
        <w:rPr>
          <w:rFonts w:ascii="宋体" w:hAnsi="宋体" w:cs="宋体" w:eastAsia="宋体" w:hint="default"/>
          <w:sz w:val="18"/>
          <w:szCs w:val="18"/>
        </w:rPr>
        <w:t>本公司按照以下规定，将以外币表示的财务报表折算为人民币金额表示的财务报表。</w:t>
      </w:r>
    </w:p>
    <w:p>
      <w:pPr>
        <w:pStyle w:val="BodyText"/>
        <w:spacing w:line="312" w:lineRule="auto" w:before="43"/>
        <w:ind w:right="1129"/>
        <w:jc w:val="both"/>
      </w:pPr>
      <w:r>
        <w:rPr>
          <w:spacing w:val="-2"/>
        </w:rPr>
        <w:t>资产负债表中的资产和负债项目，采用资产负债表日的即期汇率折算；所有者权益类项目除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w:t>
      </w:r>
      <w:r>
        <w:rPr>
          <w:spacing w:val="-42"/>
        </w:rPr>
        <w:t> </w:t>
      </w:r>
      <w:r>
        <w:rPr>
          <w:spacing w:val="-42"/>
        </w:rPr>
      </w:r>
      <w:r>
        <w:rPr>
          <w:spacing w:val="-2"/>
        </w:rPr>
        <w:t>采用发生时的即期汇率折算。利润表中的收入和费用项目，采用交易发生日的即期汇率折算。按照上述方法折算产生的外币</w:t>
      </w:r>
      <w:r>
        <w:rPr>
          <w:spacing w:val="-65"/>
        </w:rPr>
        <w:t> </w:t>
      </w:r>
      <w:r>
        <w:rPr>
          <w:spacing w:val="-65"/>
        </w:rPr>
      </w:r>
      <w:r>
        <w:rPr>
          <w:spacing w:val="-2"/>
        </w:rPr>
        <w:t>财务报表折算差额，在资产负债表中所有者权益项目下单独列示。以外币表示的现金流量表采用现金流量发生日的即期汇率</w:t>
      </w:r>
      <w:r>
        <w:rPr>
          <w:spacing w:val="-64"/>
        </w:rPr>
        <w:t> </w:t>
      </w:r>
      <w:r>
        <w:rPr>
          <w:spacing w:val="-64"/>
        </w:rPr>
      </w:r>
      <w:r>
        <w:rPr/>
        <w:t>折算。汇率变动对现金的影响额作为调节项目，在现金流量表中单独列报。</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26"/>
          <w:szCs w:val="26"/>
        </w:rPr>
      </w:pPr>
    </w:p>
    <w:p>
      <w:pPr>
        <w:spacing w:line="338" w:lineRule="auto" w:before="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10.1</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金融工具的确认依据</w:t>
      </w:r>
      <w:r>
        <w:rPr>
          <w:rFonts w:ascii="宋体" w:hAnsi="宋体" w:cs="宋体" w:eastAsia="宋体" w:hint="default"/>
          <w:b/>
          <w:bCs/>
          <w:w w:val="99"/>
          <w:sz w:val="18"/>
          <w:szCs w:val="18"/>
        </w:rPr>
        <w:t> </w:t>
      </w:r>
      <w:r>
        <w:rPr>
          <w:rFonts w:ascii="宋体" w:hAnsi="宋体" w:cs="宋体" w:eastAsia="宋体" w:hint="default"/>
          <w:spacing w:val="-2"/>
          <w:sz w:val="18"/>
          <w:szCs w:val="18"/>
        </w:rPr>
        <w:t>金融工具是指形成一个企业的金融资产，并形成其他单位的金融负债或权益工具的合同。本公司于成为金融工具合同的</w:t>
      </w:r>
    </w:p>
    <w:p>
      <w:pPr>
        <w:pStyle w:val="BodyText"/>
        <w:spacing w:line="357" w:lineRule="auto" w:before="4"/>
        <w:ind w:left="513" w:right="0" w:hanging="360"/>
        <w:jc w:val="left"/>
      </w:pPr>
      <w:r>
        <w:rPr/>
        <w:t>一方时确认一项金融资产或金融负债。 </w:t>
      </w:r>
      <w:r>
        <w:rPr>
          <w:spacing w:val="-2"/>
        </w:rPr>
        <w:t>金融资产满足下列条件之一的，终止确认：收取该金融资产现金流量的合同权利终止；该金融资产已转移，且符合《企</w:t>
      </w:r>
    </w:p>
    <w:p>
      <w:pPr>
        <w:spacing w:line="348" w:lineRule="auto" w:before="0"/>
        <w:ind w:left="514" w:right="3912" w:hanging="36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Times New Roman" w:hAnsi="Times New Roman" w:cs="Times New Roman" w:eastAsia="Times New Roman" w:hint="default"/>
          <w:sz w:val="18"/>
          <w:szCs w:val="18"/>
        </w:rPr>
        <w:t>23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金融资产转移》规定的终止确认条件。 金融负债的现时义务全部或部分已经解除的，才终止确认该金融负债或其一部分。 </w:t>
      </w:r>
      <w:r>
        <w:rPr>
          <w:rFonts w:ascii="Times New Roman" w:hAnsi="Times New Roman" w:cs="Times New Roman" w:eastAsia="Times New Roman" w:hint="default"/>
          <w:b/>
          <w:bCs/>
          <w:sz w:val="18"/>
          <w:szCs w:val="18"/>
        </w:rPr>
        <w:t>10.2</w:t>
      </w:r>
      <w:r>
        <w:rPr>
          <w:rFonts w:ascii="Times New Roman" w:hAnsi="Times New Roman" w:cs="Times New Roman" w:eastAsia="Times New Roman" w:hint="default"/>
          <w:b/>
          <w:bCs/>
          <w:spacing w:val="29"/>
          <w:sz w:val="18"/>
          <w:szCs w:val="18"/>
        </w:rPr>
        <w:t> </w:t>
      </w:r>
      <w:r>
        <w:rPr>
          <w:rFonts w:ascii="宋体" w:hAnsi="宋体" w:cs="宋体" w:eastAsia="宋体" w:hint="default"/>
          <w:b/>
          <w:bCs/>
          <w:sz w:val="18"/>
          <w:szCs w:val="18"/>
        </w:rPr>
        <w:t>金融资产和金融负债的分类</w:t>
      </w:r>
      <w:r>
        <w:rPr>
          <w:rFonts w:ascii="宋体" w:hAnsi="宋体" w:cs="宋体" w:eastAsia="宋体" w:hint="default"/>
          <w:sz w:val="18"/>
          <w:szCs w:val="18"/>
        </w:rPr>
      </w:r>
    </w:p>
    <w:p>
      <w:pPr>
        <w:pStyle w:val="BodyText"/>
        <w:spacing w:line="316" w:lineRule="auto" w:before="13"/>
        <w:ind w:right="1050" w:firstLine="360"/>
        <w:jc w:val="both"/>
      </w:pPr>
      <w:r>
        <w:rPr/>
        <w:t>按照投资目的和经济实质将本公司拥有的金融资产划分为四类：①以公允价值计量且其变动计入当期损益的金融资产， 包括交易性金融资产和指定为以公允价值计量且其变动计入当期损益的金融资产；②持有至到期投资；③贷款和应收款项；</w:t>
      </w:r>
    </w:p>
    <w:p>
      <w:pPr>
        <w:pStyle w:val="BodyText"/>
        <w:spacing w:line="357" w:lineRule="auto" w:before="20"/>
        <w:ind w:left="513" w:right="0" w:hanging="360"/>
        <w:jc w:val="left"/>
      </w:pPr>
      <w:r>
        <w:rPr/>
        <w:t>④可供出售金融资产。 </w:t>
      </w:r>
      <w:r>
        <w:rPr>
          <w:spacing w:val="-2"/>
        </w:rPr>
        <w:t>按照经济实质将承担的金融负债划分为两类：①以公允价值计量且其变动计入当期损益的金融负债，包括交易性金融负</w:t>
      </w:r>
    </w:p>
    <w:p>
      <w:pPr>
        <w:pStyle w:val="BodyText"/>
        <w:spacing w:line="225" w:lineRule="exact"/>
        <w:ind w:right="0"/>
        <w:jc w:val="left"/>
      </w:pPr>
      <w:r>
        <w:rPr/>
        <w:t>债和指定为以公允价值计量且其变动计入当期损益的金融负债；②其他金融负债。</w:t>
      </w:r>
    </w:p>
    <w:p>
      <w:pPr>
        <w:spacing w:line="338" w:lineRule="auto" w:before="116"/>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10.3</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金融资产和金融负债的计量</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本公司初始确认金融资产或金融负债，按照公允价值计量。对于以公允价值计量且其变动计入当期损益的金融资产或金</w:t>
      </w:r>
    </w:p>
    <w:p>
      <w:pPr>
        <w:pStyle w:val="BodyText"/>
        <w:spacing w:line="357" w:lineRule="auto" w:before="4"/>
        <w:ind w:left="513" w:right="1573" w:hanging="360"/>
        <w:jc w:val="left"/>
      </w:pPr>
      <w:r>
        <w:rPr/>
        <w:t>融负债，相关交易费用直接计入当期损益；对于其他类别的金融资产或金融负债，相关交易费用计入初始确认金额。 本公司对金融资产和金融负债的后续计量主要方法：</w:t>
      </w:r>
    </w:p>
    <w:p>
      <w:pPr>
        <w:pStyle w:val="BodyText"/>
        <w:spacing w:line="302" w:lineRule="auto" w:before="26"/>
        <w:ind w:left="154" w:right="1131" w:firstLine="360"/>
        <w:jc w:val="both"/>
      </w:pPr>
      <w:r>
        <w:rPr/>
        <w:t>（</w:t>
      </w:r>
      <w:r>
        <w:rPr>
          <w:rFonts w:ascii="Times New Roman" w:hAnsi="Times New Roman" w:cs="Times New Roman" w:eastAsia="Times New Roman" w:hint="default"/>
        </w:rPr>
        <w:t>1</w:t>
      </w:r>
      <w:r>
        <w:rPr/>
        <w:t>）以公允价值计量且其变动计入当期损益的金融资产和金融负债，按照公允价值进行后续计量，公允价值变动计入 当期损益。</w:t>
      </w:r>
    </w:p>
    <w:p>
      <w:pPr>
        <w:pStyle w:val="BodyText"/>
        <w:spacing w:line="240" w:lineRule="auto" w:before="70"/>
        <w:ind w:left="514" w:right="0"/>
        <w:jc w:val="left"/>
      </w:pPr>
      <w:r>
        <w:rPr/>
        <w:t>（</w:t>
      </w:r>
      <w:r>
        <w:rPr>
          <w:rFonts w:ascii="Times New Roman" w:hAnsi="Times New Roman" w:cs="Times New Roman" w:eastAsia="Times New Roman" w:hint="default"/>
        </w:rPr>
        <w:t>2</w:t>
      </w:r>
      <w:r>
        <w:rPr/>
        <w:t>）持有至到期投资和应收款项，采用实际利率法，按摊余成本计量。</w:t>
      </w:r>
    </w:p>
    <w:p>
      <w:pPr>
        <w:pStyle w:val="BodyText"/>
        <w:spacing w:line="302" w:lineRule="auto" w:before="101"/>
        <w:ind w:left="154" w:right="1131" w:firstLine="360"/>
        <w:jc w:val="both"/>
      </w:pPr>
      <w:r>
        <w:rPr/>
        <w:t>（</w:t>
      </w:r>
      <w:r>
        <w:rPr>
          <w:rFonts w:ascii="Times New Roman" w:hAnsi="Times New Roman" w:cs="Times New Roman" w:eastAsia="Times New Roman" w:hint="default"/>
        </w:rPr>
        <w:t>3</w:t>
      </w:r>
      <w:r>
        <w:rPr/>
        <w:t>）可供出售金融资产原则上按照公允价值进行后续计量，公允价值变动形成的利得或损失，除减值损失和外币货币 性金融资产形成的汇兑损益外，直接计入所有者权益，在该金融资产终止确认时转出，计入当期损益。</w:t>
      </w:r>
    </w:p>
    <w:p>
      <w:pPr>
        <w:pStyle w:val="BodyText"/>
        <w:spacing w:line="302" w:lineRule="auto" w:before="68"/>
        <w:ind w:left="154" w:right="1131" w:firstLine="360"/>
        <w:jc w:val="both"/>
      </w:pPr>
      <w:r>
        <w:rPr/>
        <w:t>（</w:t>
      </w:r>
      <w:r>
        <w:rPr>
          <w:rFonts w:ascii="Times New Roman" w:hAnsi="Times New Roman" w:cs="Times New Roman" w:eastAsia="Times New Roman" w:hint="default"/>
        </w:rPr>
        <w:t>4</w:t>
      </w:r>
      <w:r>
        <w:rPr/>
        <w:t>）在活跃市场中没有报价且其公允价值不能可靠计量的权益工具投资，以及与该权益工具挂钩并须通过交付该权益 工具结算的衍生金融资产，按照成本计量。</w:t>
      </w:r>
    </w:p>
    <w:p>
      <w:pPr>
        <w:pStyle w:val="BodyText"/>
        <w:spacing w:line="240" w:lineRule="auto" w:before="70"/>
        <w:ind w:left="514" w:right="0"/>
        <w:jc w:val="left"/>
      </w:pPr>
      <w:r>
        <w:rPr/>
        <w:t>（</w:t>
      </w:r>
      <w:r>
        <w:rPr>
          <w:rFonts w:ascii="Times New Roman" w:hAnsi="Times New Roman" w:cs="Times New Roman" w:eastAsia="Times New Roman" w:hint="default"/>
        </w:rPr>
        <w:t>5</w:t>
      </w:r>
      <w:r>
        <w:rPr/>
        <w:t>）其他金融负债按摊余成本进行后续计量。但是下列情况除外：</w:t>
      </w:r>
    </w:p>
    <w:p>
      <w:pPr>
        <w:pStyle w:val="BodyText"/>
        <w:spacing w:line="319" w:lineRule="auto" w:before="101"/>
        <w:ind w:right="1132" w:firstLine="360"/>
        <w:jc w:val="both"/>
      </w:pPr>
      <w:r>
        <w:rPr>
          <w:spacing w:val="-2"/>
        </w:rPr>
        <w:t>①与在活跃市场中没有报价，公允价值不能可靠计量的权益工具挂钩并须通过交付该权益工具结算的衍生金融负债，按</w:t>
      </w:r>
      <w:r>
        <w:rPr/>
        <w:t> 照成本计量。</w:t>
      </w:r>
    </w:p>
    <w:p>
      <w:pPr>
        <w:pStyle w:val="BodyText"/>
        <w:spacing w:line="319" w:lineRule="auto" w:before="55"/>
        <w:ind w:right="1131" w:firstLine="360"/>
        <w:jc w:val="both"/>
      </w:pPr>
      <w:r>
        <w:rPr>
          <w:spacing w:val="-2"/>
        </w:rPr>
        <w:t>②不属于指定为以公允价值计量且其变动计入当期损益的金融负债的财务担保合同，或没有指定为以公允价值计量且其</w:t>
      </w:r>
      <w:r>
        <w:rPr/>
        <w:t> 变动计入当期损益并将以低于市场利率贷款的贷款承诺，在初始确认后按照下列两项金额之中的较高者进行后续计量：</w:t>
      </w:r>
    </w:p>
    <w:p>
      <w:pPr>
        <w:spacing w:after="0" w:line="319"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513" w:right="28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13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或有事项》确定的金额。 </w:t>
      </w:r>
      <w:r>
        <w:rPr>
          <w:rFonts w:ascii="Times New Roman" w:hAnsi="Times New Roman" w:cs="Times New Roman" w:eastAsia="Times New Roman" w:hint="default"/>
          <w:sz w:val="18"/>
          <w:szCs w:val="18"/>
        </w:rPr>
        <w:t>B.</w:t>
      </w:r>
      <w:r>
        <w:rPr>
          <w:rFonts w:ascii="宋体" w:hAnsi="宋体" w:cs="宋体" w:eastAsia="宋体" w:hint="default"/>
          <w:sz w:val="18"/>
          <w:szCs w:val="18"/>
        </w:rPr>
        <w:t>初始确认金额扣除按照《企业会计准则第</w:t>
      </w:r>
      <w:r>
        <w:rPr>
          <w:rFonts w:ascii="Times New Roman" w:hAnsi="Times New Roman" w:cs="Times New Roman" w:eastAsia="Times New Roman" w:hint="default"/>
          <w:sz w:val="18"/>
          <w:szCs w:val="18"/>
        </w:rPr>
        <w:t>14</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收入》的原则确定的累计摊销额后的余额。 </w:t>
      </w:r>
      <w:r>
        <w:rPr>
          <w:rFonts w:ascii="Times New Roman" w:hAnsi="Times New Roman" w:cs="Times New Roman" w:eastAsia="Times New Roman" w:hint="default"/>
          <w:b/>
          <w:bCs/>
          <w:sz w:val="18"/>
          <w:szCs w:val="18"/>
        </w:rPr>
        <w:t>10.4</w:t>
      </w:r>
      <w:r>
        <w:rPr>
          <w:rFonts w:ascii="Times New Roman" w:hAnsi="Times New Roman" w:cs="Times New Roman" w:eastAsia="Times New Roman" w:hint="default"/>
          <w:b/>
          <w:bCs/>
          <w:spacing w:val="28"/>
          <w:sz w:val="18"/>
          <w:szCs w:val="18"/>
        </w:rPr>
        <w:t> </w:t>
      </w:r>
      <w:r>
        <w:rPr>
          <w:rFonts w:ascii="宋体" w:hAnsi="宋体" w:cs="宋体" w:eastAsia="宋体" w:hint="default"/>
          <w:b/>
          <w:bCs/>
          <w:sz w:val="18"/>
          <w:szCs w:val="18"/>
        </w:rPr>
        <w:t>金融资产和金融负债的公允价值的确定方法</w:t>
      </w:r>
      <w:r>
        <w:rPr>
          <w:rFonts w:ascii="宋体" w:hAnsi="宋体" w:cs="宋体" w:eastAsia="宋体" w:hint="default"/>
          <w:sz w:val="18"/>
          <w:szCs w:val="18"/>
        </w:rPr>
      </w:r>
    </w:p>
    <w:p>
      <w:pPr>
        <w:pStyle w:val="BodyText"/>
        <w:spacing w:line="240" w:lineRule="auto" w:before="20"/>
        <w:ind w:left="513" w:right="0"/>
        <w:jc w:val="left"/>
      </w:pPr>
      <w:r>
        <w:rPr/>
        <w:t>（</w:t>
      </w:r>
      <w:r>
        <w:rPr>
          <w:rFonts w:ascii="Times New Roman" w:hAnsi="Times New Roman" w:cs="Times New Roman" w:eastAsia="Times New Roman" w:hint="default"/>
        </w:rPr>
        <w:t>1</w:t>
      </w:r>
      <w:r>
        <w:rPr/>
        <w:t>）存在活跃市场的金融资产或金融负债，以活跃市场中的报价确定公允价值。报价按照以下原则确定：</w:t>
      </w:r>
    </w:p>
    <w:p>
      <w:pPr>
        <w:pStyle w:val="BodyText"/>
        <w:spacing w:line="319" w:lineRule="auto" w:before="101"/>
        <w:ind w:right="0" w:firstLine="360"/>
        <w:jc w:val="left"/>
      </w:pPr>
      <w:r>
        <w:rPr>
          <w:spacing w:val="-2"/>
        </w:rPr>
        <w:t>①在活跃市场上，公司已持有的金融资产或拟承担的金融负债的报价，为市场中的现行出价；拟购入的金融资产或已承</w:t>
      </w:r>
      <w:r>
        <w:rPr/>
        <w:t> 担的金融负债的报价，为市场中的现行要价。</w:t>
      </w:r>
    </w:p>
    <w:p>
      <w:pPr>
        <w:pStyle w:val="BodyText"/>
        <w:spacing w:line="319" w:lineRule="auto" w:before="56"/>
        <w:ind w:right="0" w:firstLine="360"/>
        <w:jc w:val="left"/>
      </w:pPr>
      <w:r>
        <w:rPr>
          <w:spacing w:val="-2"/>
        </w:rPr>
        <w:t>②金融资产和金融负债没有现行出价或要价，采用最近交易的市场报价或经调整的最近交易的市场报价，除非存在明确</w:t>
      </w:r>
      <w:r>
        <w:rPr/>
        <w:t> 的证据表明该市场报价不是公允价值。</w:t>
      </w:r>
    </w:p>
    <w:p>
      <w:pPr>
        <w:pStyle w:val="BodyText"/>
        <w:spacing w:line="240" w:lineRule="auto" w:before="56"/>
        <w:ind w:left="513" w:right="0"/>
        <w:jc w:val="left"/>
      </w:pPr>
      <w:r>
        <w:rPr/>
        <w:t>（</w:t>
      </w:r>
      <w:r>
        <w:rPr>
          <w:rFonts w:ascii="Times New Roman" w:hAnsi="Times New Roman" w:cs="Times New Roman" w:eastAsia="Times New Roman" w:hint="default"/>
        </w:rPr>
        <w:t>2</w:t>
      </w:r>
      <w:r>
        <w:rPr/>
        <w:t>）金融资产或金融负债不存在活跃市场的，公司采用估值技术确定其公允价值。</w:t>
      </w:r>
    </w:p>
    <w:p>
      <w:pPr>
        <w:pStyle w:val="Heading6"/>
        <w:spacing w:line="240" w:lineRule="auto"/>
        <w:ind w:right="0"/>
        <w:jc w:val="left"/>
        <w:rPr>
          <w:b w:val="0"/>
          <w:bCs w:val="0"/>
        </w:rPr>
      </w:pPr>
      <w:r>
        <w:rPr>
          <w:rFonts w:ascii="Times New Roman" w:hAnsi="Times New Roman" w:cs="Times New Roman" w:eastAsia="Times New Roman" w:hint="default"/>
        </w:rPr>
        <w:t>10.5</w:t>
      </w:r>
      <w:r>
        <w:rPr>
          <w:rFonts w:ascii="Times New Roman" w:hAnsi="Times New Roman" w:cs="Times New Roman" w:eastAsia="Times New Roman" w:hint="default"/>
          <w:spacing w:val="29"/>
        </w:rPr>
        <w:t> </w:t>
      </w:r>
      <w:r>
        <w:rPr/>
        <w:t>金融资产减值准备计提方法</w:t>
      </w:r>
      <w:r>
        <w:rPr>
          <w:b w:val="0"/>
          <w:bCs w:val="0"/>
        </w:rPr>
      </w:r>
    </w:p>
    <w:p>
      <w:pPr>
        <w:pStyle w:val="BodyText"/>
        <w:spacing w:line="338" w:lineRule="auto" w:before="103"/>
        <w:ind w:left="514" w:right="0"/>
        <w:jc w:val="left"/>
      </w:pPr>
      <w:r>
        <w:rPr/>
        <w:t>（</w:t>
      </w:r>
      <w:r>
        <w:rPr>
          <w:rFonts w:ascii="Times New Roman" w:hAnsi="Times New Roman" w:cs="Times New Roman" w:eastAsia="Times New Roman" w:hint="default"/>
        </w:rPr>
        <w:t>1</w:t>
      </w:r>
      <w:r>
        <w:rPr/>
        <w:t>）持有至到期投资 </w:t>
      </w:r>
      <w:r>
        <w:rPr>
          <w:spacing w:val="-2"/>
        </w:rPr>
        <w:t>以摊余成本计量的持有至到期投资发生减值时，将其账面价值减记至预计未来现金流量（不包括尚未发生的未来信用损</w:t>
      </w:r>
    </w:p>
    <w:p>
      <w:pPr>
        <w:pStyle w:val="BodyText"/>
        <w:spacing w:line="319" w:lineRule="auto" w:before="2"/>
        <w:ind w:left="154" w:right="1132"/>
        <w:jc w:val="both"/>
      </w:pPr>
      <w:r>
        <w:rPr>
          <w:spacing w:val="-2"/>
        </w:rPr>
        <w:t>失）现值（折现利率采用原实际利率），减记的金额确认为资产减值损失，计入当期损益。计提减值准备时，对单项金额重</w:t>
      </w:r>
      <w:r>
        <w:rPr>
          <w:spacing w:val="-72"/>
        </w:rPr>
        <w:t> </w:t>
      </w:r>
      <w:r>
        <w:rPr>
          <w:spacing w:val="-72"/>
        </w:rPr>
      </w:r>
      <w:r>
        <w:rPr>
          <w:spacing w:val="-2"/>
        </w:rPr>
        <w:t>大的持有至到期投资单独进行减值测试；对单项金额不重大的持有至到期投资可以单独进行减值测试，或包括在具有类似信</w:t>
      </w:r>
      <w:r>
        <w:rPr>
          <w:spacing w:val="-64"/>
        </w:rPr>
        <w:t> </w:t>
      </w:r>
      <w:r>
        <w:rPr>
          <w:spacing w:val="-64"/>
        </w:rPr>
      </w:r>
      <w:r>
        <w:rPr>
          <w:spacing w:val="-2"/>
        </w:rPr>
        <w:t>用风险特征的组合中进行减值测试；单独测试未发生减值的持有至到期投资，需要按照包括在具有类似信用风险特征的组合</w:t>
      </w:r>
      <w:r>
        <w:rPr>
          <w:spacing w:val="-64"/>
        </w:rPr>
        <w:t> </w:t>
      </w:r>
      <w:r>
        <w:rPr>
          <w:spacing w:val="-64"/>
        </w:rPr>
      </w:r>
      <w:r>
        <w:rPr/>
        <w:t>中再进行测试；已单项确认减值损失的持有至到期投资，不再包括在具有类似信用风险特征的组合中进行减值测试。</w:t>
      </w:r>
    </w:p>
    <w:p>
      <w:pPr>
        <w:pStyle w:val="BodyText"/>
        <w:spacing w:line="340" w:lineRule="auto" w:before="56"/>
        <w:ind w:left="513" w:right="5668"/>
        <w:jc w:val="left"/>
      </w:pPr>
      <w:r>
        <w:rPr/>
        <w:t>（</w:t>
      </w:r>
      <w:r>
        <w:rPr>
          <w:rFonts w:ascii="Times New Roman" w:hAnsi="Times New Roman" w:cs="Times New Roman" w:eastAsia="Times New Roman" w:hint="default"/>
        </w:rPr>
        <w:t>2</w:t>
      </w:r>
      <w:r>
        <w:rPr/>
        <w:t>）应收款项 应收款项减值测试方法及减值准备计提方法参见附注五</w:t>
      </w:r>
      <w:r>
        <w:rPr>
          <w:rFonts w:ascii="Times New Roman" w:hAnsi="Times New Roman" w:cs="Times New Roman" w:eastAsia="Times New Roman" w:hint="default"/>
        </w:rPr>
        <w:t>.11</w:t>
      </w:r>
      <w:r>
        <w:rPr/>
        <w:t>。</w:t>
      </w:r>
    </w:p>
    <w:p>
      <w:pPr>
        <w:pStyle w:val="BodyText"/>
        <w:spacing w:line="338" w:lineRule="auto" w:before="18"/>
        <w:ind w:left="514" w:right="1032"/>
        <w:jc w:val="left"/>
      </w:pPr>
      <w:r>
        <w:rPr/>
        <w:t>（</w:t>
      </w:r>
      <w:r>
        <w:rPr>
          <w:rFonts w:ascii="Times New Roman" w:hAnsi="Times New Roman" w:cs="Times New Roman" w:eastAsia="Times New Roman" w:hint="default"/>
        </w:rPr>
        <w:t>3</w:t>
      </w:r>
      <w:r>
        <w:rPr/>
        <w:t>）可供出售金融资产 可供出售金融资产的公允价值发生较大幅度下降，或在综合考虑各种相关因素后，预期这种下降趋势属于非暂时性的，</w:t>
      </w:r>
    </w:p>
    <w:p>
      <w:pPr>
        <w:pStyle w:val="BodyText"/>
        <w:spacing w:line="319" w:lineRule="auto" w:before="3"/>
        <w:ind w:left="154" w:right="1131"/>
        <w:jc w:val="both"/>
      </w:pPr>
      <w:r>
        <w:rPr>
          <w:spacing w:val="-2"/>
        </w:rPr>
        <w:t>则按其公允价值低于其账面价值的差额，确认减值损失，计提减值准备。在确认减值损失时，将原直接计入所有者权益的公</w:t>
      </w:r>
      <w:r>
        <w:rPr>
          <w:spacing w:val="-66"/>
        </w:rPr>
        <w:t> </w:t>
      </w:r>
      <w:r>
        <w:rPr>
          <w:spacing w:val="-66"/>
        </w:rPr>
      </w:r>
      <w:r>
        <w:rPr/>
        <w:t>允价值下降形成的累计损失一并转出，计入减值损失。</w:t>
      </w:r>
    </w:p>
    <w:p>
      <w:pPr>
        <w:pStyle w:val="BodyText"/>
        <w:spacing w:line="319" w:lineRule="auto" w:before="56"/>
        <w:ind w:left="154" w:right="0" w:firstLine="360"/>
        <w:jc w:val="left"/>
      </w:pPr>
      <w:r>
        <w:rPr>
          <w:spacing w:val="-2"/>
        </w:rPr>
        <w:t>在活跃市场中没有报价且其公允价值不能可靠计量的权益工具投资，以及与该权益工具挂钩并须通过交付该权益工具结</w:t>
      </w:r>
      <w:r>
        <w:rPr/>
        <w:t> 算的衍生金融资产发生的减值损失不得转回</w:t>
      </w:r>
    </w:p>
    <w:p>
      <w:pPr>
        <w:pStyle w:val="BodyText"/>
        <w:spacing w:line="240" w:lineRule="auto" w:before="55"/>
        <w:ind w:left="514" w:right="0"/>
        <w:jc w:val="left"/>
      </w:pPr>
      <w:r>
        <w:rPr/>
        <w:t>应明确披露各类可供出售金融资产减值的各项认定标准。其中，对于权益工具投资，还应明确披露判断其公允价值发生</w:t>
      </w:r>
    </w:p>
    <w:p>
      <w:pPr>
        <w:pStyle w:val="BodyText"/>
        <w:spacing w:line="240" w:lineRule="auto" w:before="77"/>
        <w:ind w:left="154" w:right="0"/>
        <w:jc w:val="both"/>
      </w:pP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下跌的具体量化标准、成本的计算方法、期末公允价值的确定方法，以及持续下跌期间的确定依据。</w:t>
      </w:r>
    </w:p>
    <w:p>
      <w:pPr>
        <w:pStyle w:val="BodyText"/>
        <w:spacing w:line="338" w:lineRule="auto" w:before="102"/>
        <w:ind w:left="513" w:right="1118"/>
        <w:jc w:val="left"/>
      </w:pPr>
      <w:r>
        <w:rPr/>
        <w:t>（</w:t>
      </w:r>
      <w:r>
        <w:rPr>
          <w:rFonts w:ascii="Times New Roman" w:hAnsi="Times New Roman" w:cs="Times New Roman" w:eastAsia="Times New Roman" w:hint="default"/>
        </w:rPr>
        <w:t>4</w:t>
      </w:r>
      <w:r>
        <w:rPr/>
        <w:t>）其他 </w:t>
      </w:r>
      <w:r>
        <w:rPr>
          <w:spacing w:val="-2"/>
        </w:rPr>
        <w:t>在活跃市场中没有报价且其公允价值不能可靠计量的权益工具投资，或与该权益工具挂钩并须通过交付该权益工具结算</w:t>
      </w:r>
    </w:p>
    <w:p>
      <w:pPr>
        <w:pStyle w:val="BodyText"/>
        <w:spacing w:line="319" w:lineRule="auto" w:before="2"/>
        <w:ind w:right="1132"/>
        <w:jc w:val="both"/>
      </w:pPr>
      <w:r>
        <w:rPr>
          <w:spacing w:val="-2"/>
        </w:rPr>
        <w:t>的衍生金融资产发生减值时，将该权益工具投资或衍生金融资产的账面价值，与按照类似金融资产当时市场收益率对未来现</w:t>
      </w:r>
      <w:r>
        <w:rPr>
          <w:spacing w:val="-64"/>
        </w:rPr>
        <w:t> </w:t>
      </w:r>
      <w:r>
        <w:rPr>
          <w:spacing w:val="-64"/>
        </w:rPr>
      </w:r>
      <w:r>
        <w:rPr/>
        <w:t>金流量折现确定的现值之间的差额，确认为减值损失，计入当期损益。</w:t>
      </w:r>
    </w:p>
    <w:p>
      <w:pPr>
        <w:spacing w:line="338" w:lineRule="auto" w:before="56"/>
        <w:ind w:left="513" w:right="283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10.6</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金融资产转移</w:t>
      </w:r>
      <w:r>
        <w:rPr>
          <w:rFonts w:ascii="宋体" w:hAnsi="宋体" w:cs="宋体" w:eastAsia="宋体" w:hint="default"/>
          <w:b/>
          <w:bCs/>
          <w:w w:val="99"/>
          <w:sz w:val="18"/>
          <w:szCs w:val="18"/>
        </w:rPr>
        <w:t> </w:t>
      </w:r>
      <w:r>
        <w:rPr>
          <w:rFonts w:ascii="宋体" w:hAnsi="宋体" w:cs="宋体" w:eastAsia="宋体" w:hint="default"/>
          <w:sz w:val="18"/>
          <w:szCs w:val="18"/>
        </w:rPr>
        <w:t>金融资产转移，是指公司将金融资产让与或交付给该金融资产发行方以外的另一方（转入方）。</w:t>
      </w:r>
    </w:p>
    <w:p>
      <w:pPr>
        <w:pStyle w:val="BodyText"/>
        <w:spacing w:line="319" w:lineRule="auto" w:before="42"/>
        <w:ind w:right="0" w:firstLine="360"/>
        <w:jc w:val="left"/>
      </w:pPr>
      <w:r>
        <w:rPr>
          <w:spacing w:val="-2"/>
        </w:rPr>
        <w:t>本公司已将金融资产所有权上几乎所有的风险和报酬转移给转入方的，终止确认该金融资产；保留了金融资产所有权上</w:t>
      </w:r>
      <w:r>
        <w:rPr/>
        <w:t> 几乎所有的风险和报酬的，不终止确认该金融资产。</w:t>
      </w:r>
    </w:p>
    <w:p>
      <w:pPr>
        <w:pStyle w:val="BodyText"/>
        <w:spacing w:line="319" w:lineRule="auto" w:before="55"/>
        <w:ind w:left="154" w:right="1132" w:firstLine="360"/>
        <w:jc w:val="both"/>
      </w:pPr>
      <w:r>
        <w:rPr>
          <w:spacing w:val="-2"/>
        </w:rPr>
        <w:t>本公司既没有转移也没有保留金融资产所有权上几乎所有的风险和报酬的，分别进行下列情况处理：放弃了对该金融资</w:t>
      </w:r>
      <w:r>
        <w:rPr/>
        <w:t> </w:t>
      </w:r>
      <w:r>
        <w:rPr>
          <w:spacing w:val="-2"/>
        </w:rPr>
        <w:t>产控制的，终止确认该金融资产并确认产生的资产和负债；未放弃对该金融资产控制的，按照其继续涉入所转移金融资产的</w:t>
      </w:r>
      <w:r>
        <w:rPr>
          <w:spacing w:val="-66"/>
        </w:rPr>
        <w:t> </w:t>
      </w:r>
      <w:r>
        <w:rPr>
          <w:spacing w:val="-66"/>
        </w:rPr>
      </w:r>
      <w:r>
        <w:rPr/>
        <w:t>程度确认有关金融资产，并相应确认有关负债。</w:t>
      </w:r>
    </w:p>
    <w:p>
      <w:pPr>
        <w:pStyle w:val="BodyText"/>
        <w:spacing w:line="240" w:lineRule="auto" w:before="57"/>
        <w:ind w:left="444" w:right="0"/>
        <w:jc w:val="left"/>
      </w:pPr>
      <w:r>
        <w:rPr/>
        <w:t>如公司将尚未到期的持有至到期投资重分类为可供出售金融资产，应说明持有意图或能力发生改变的依据。</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1、应收款项" w:id="180"/>
      <w:bookmarkEnd w:id="18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BodyText"/>
        <w:spacing w:line="240" w:lineRule="auto" w:before="44"/>
        <w:ind w:left="0" w:right="1139"/>
        <w:jc w:val="right"/>
      </w:pPr>
      <w:r>
        <w:rPr/>
        <w:pict>
          <v:shape style="position:absolute;margin-left:56.459999pt;margin-top:-99.028297pt;width:479.2pt;height:118.7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单项金额重大的标准为大于（含）</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资产负债表日，对于单项金额重大（单项金额重大的标准为 </w:t>
                        </w:r>
                        <w:r>
                          <w:rPr>
                            <w:rFonts w:ascii="宋体" w:hAnsi="宋体" w:cs="宋体" w:eastAsia="宋体" w:hint="default"/>
                            <w:spacing w:val="-8"/>
                            <w:sz w:val="18"/>
                            <w:szCs w:val="18"/>
                          </w:rPr>
                          <w:t>大于（含）</w:t>
                        </w:r>
                        <w:r>
                          <w:rPr>
                            <w:rFonts w:ascii="Times New Roman" w:hAnsi="Times New Roman" w:cs="Times New Roman" w:eastAsia="Times New Roman" w:hint="default"/>
                            <w:spacing w:val="-8"/>
                            <w:sz w:val="18"/>
                            <w:szCs w:val="18"/>
                          </w:rPr>
                          <w:t>500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万元）且有客观证据表明发生了减值的应收款 项，单独进行减值测试，根据其未来现金流量现值低于其账 面价值的差额确认减值损失，计提坏账准备；对有确凿证据 表明并经单独测试后未发生减值的应收款项，采用个别认定 法计提坏账准备；其余并入组合按账龄分析法计提坏账准备</w:t>
                        </w:r>
                      </w:p>
                    </w:tc>
                  </w:tr>
                </w:tbl>
                <w:p>
                  <w:pPr/>
                </w:p>
              </w:txbxContent>
            </v:textbox>
            <w10:wrap type="none"/>
          </v:shape>
        </w:pict>
      </w:r>
      <w:r>
        <w:rPr/>
        <w:t>。</w:t>
      </w:r>
    </w:p>
    <w:p>
      <w:pPr>
        <w:spacing w:line="240" w:lineRule="auto" w:before="12"/>
        <w:rPr>
          <w:rFonts w:ascii="宋体" w:hAnsi="宋体" w:cs="宋体" w:eastAsia="宋体" w:hint="default"/>
          <w:sz w:val="27"/>
          <w:szCs w:val="27"/>
        </w:rPr>
      </w:pPr>
    </w:p>
    <w:p>
      <w:pPr>
        <w:pStyle w:val="Heading4"/>
        <w:spacing w:line="240" w:lineRule="auto" w:before="35"/>
        <w:ind w:left="154" w:right="0"/>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6"/>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50"/>
              <w:jc w:val="right"/>
              <w:rPr>
                <w:rFonts w:ascii="宋体" w:hAnsi="宋体" w:cs="宋体" w:eastAsia="宋体" w:hint="default"/>
                <w:sz w:val="18"/>
                <w:szCs w:val="18"/>
              </w:rPr>
            </w:pPr>
            <w:r>
              <w:rPr>
                <w:rFonts w:ascii="宋体" w:hAnsi="宋体" w:cs="宋体" w:eastAsia="宋体" w:hint="default"/>
                <w:sz w:val="18"/>
                <w:szCs w:val="18"/>
              </w:rPr>
              <w:t>以账龄为信用风险组合的划分依据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6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对有确凿证据表明未发生减值或可收回性与账龄组合存在明 显差异的单项金额非重大应收款项，采用个别认定法计提坏</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账准备。</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0" w:firstLine="1"/>
        <w:jc w:val="left"/>
      </w:pPr>
      <w:r>
        <w:rPr>
          <w:rFonts w:ascii="Times New Roman" w:hAnsi="Times New Roman" w:cs="Times New Roman" w:eastAsia="Times New Roman" w:hint="default"/>
          <w:b/>
          <w:bCs/>
        </w:rPr>
        <w:t>12.1</w:t>
      </w:r>
      <w:r>
        <w:rPr>
          <w:rFonts w:ascii="Times New Roman" w:hAnsi="Times New Roman" w:cs="Times New Roman" w:eastAsia="Times New Roman" w:hint="default"/>
          <w:b/>
          <w:bCs/>
          <w:spacing w:val="32"/>
        </w:rPr>
        <w:t> </w:t>
      </w:r>
      <w:r>
        <w:rPr>
          <w:rFonts w:ascii="宋体" w:hAnsi="宋体" w:cs="宋体" w:eastAsia="宋体" w:hint="default"/>
          <w:b/>
          <w:bCs/>
        </w:rPr>
        <w:t>存货的分类</w:t>
      </w:r>
      <w:r>
        <w:rPr>
          <w:rFonts w:ascii="宋体" w:hAnsi="宋体" w:cs="宋体" w:eastAsia="宋体" w:hint="default"/>
          <w:b/>
          <w:bCs/>
          <w:w w:val="99"/>
        </w:rPr>
        <w:t> </w:t>
      </w:r>
      <w:r>
        <w:rPr>
          <w:spacing w:val="-2"/>
        </w:rPr>
        <w:t>本公司的存货为在正常经营过程中持有以备出售的产成品或商品、处在生产过程中的在产品、在生产过程或提供劳务过</w:t>
      </w:r>
    </w:p>
    <w:p>
      <w:pPr>
        <w:pStyle w:val="BodyText"/>
        <w:spacing w:line="240" w:lineRule="auto" w:before="4"/>
        <w:ind w:left="154" w:right="0"/>
        <w:jc w:val="left"/>
      </w:pPr>
      <w:r>
        <w:rPr/>
        <w:t>程中耗用的材料和物料等。主要包括：库存商品、原材料、在途物资、在产品、物料用品及低值易耗品等。</w:t>
      </w:r>
    </w:p>
    <w:p>
      <w:pPr>
        <w:spacing w:line="345" w:lineRule="auto" w:before="117"/>
        <w:ind w:left="513" w:right="103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12.2</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存货在取得时按实际成本计价，存货成本包括采购成本、加工成本和其他成本。存货的领用和发出按加权平均法计价。 </w:t>
      </w:r>
      <w:r>
        <w:rPr>
          <w:rFonts w:ascii="Times New Roman" w:hAnsi="Times New Roman" w:cs="Times New Roman" w:eastAsia="Times New Roman" w:hint="default"/>
          <w:b/>
          <w:bCs/>
          <w:sz w:val="18"/>
          <w:szCs w:val="18"/>
        </w:rPr>
        <w:t>12.3</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pacing w:val="-2"/>
          <w:sz w:val="18"/>
          <w:szCs w:val="18"/>
        </w:rPr>
        <w:t>资产负债表日，本公司存货按照成本与可变现净值孰低计量。公司在对存货进行全面盘点的基础上，对于存货因已霉烂</w:t>
      </w:r>
    </w:p>
    <w:p>
      <w:pPr>
        <w:pStyle w:val="BodyText"/>
        <w:spacing w:line="319" w:lineRule="auto"/>
        <w:ind w:left="154" w:right="0"/>
        <w:jc w:val="left"/>
      </w:pPr>
      <w:r>
        <w:rPr>
          <w:spacing w:val="-2"/>
        </w:rPr>
        <w:t>变质、市场价格持续下跌且在可预见的未来无回升的希望、全部或部分陈旧过时，产品更新换代等原因，使存货成本高于其</w:t>
      </w:r>
      <w:r>
        <w:rPr>
          <w:spacing w:val="-66"/>
        </w:rPr>
        <w:t> </w:t>
      </w:r>
      <w:r>
        <w:rPr>
          <w:spacing w:val="-66"/>
        </w:rPr>
      </w:r>
      <w:r>
        <w:rPr/>
        <w:t>可变现净值的，计提存货跌价准备，并计入当期损益。</w:t>
      </w:r>
    </w:p>
    <w:p>
      <w:pPr>
        <w:pStyle w:val="Heading5"/>
        <w:spacing w:line="273" w:lineRule="auto" w:before="30"/>
        <w:ind w:left="154" w:right="1131" w:firstLine="420"/>
        <w:jc w:val="both"/>
      </w:pPr>
      <w:r>
        <w:rPr>
          <w:spacing w:val="-1"/>
        </w:rPr>
        <w:t>产成品、库存商品和用于出售的材料等直接用于出售的商品存货，在正常生产经营过程中，以该存货</w:t>
      </w:r>
      <w:r>
        <w:rPr/>
        <w:t> </w:t>
      </w: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Heading5"/>
        <w:spacing w:line="273" w:lineRule="auto" w:before="7"/>
        <w:ind w:left="154" w:right="0" w:firstLine="420"/>
        <w:jc w:val="left"/>
      </w:pPr>
      <w:r>
        <w:rPr>
          <w:spacing w:val="-1"/>
        </w:rPr>
        <w:t>存货跌价准备通常按单个存货项目的成本高于其可变现净值的差额提取。对于数量繁多、单价较低的</w:t>
      </w:r>
      <w:r>
        <w:rPr/>
        <w:t> </w:t>
      </w:r>
      <w:r>
        <w:rPr>
          <w:spacing w:val="-1"/>
        </w:rPr>
        <w:t>存货，按存货类别计提存货跌价准备；对在同一地区生产和销售的产品系列相关、具有相同或类似最终用</w:t>
      </w:r>
      <w:r>
        <w:rPr>
          <w:spacing w:val="-83"/>
        </w:rPr>
        <w:t> </w:t>
      </w:r>
      <w:r>
        <w:rPr>
          <w:spacing w:val="-83"/>
        </w:rPr>
      </w:r>
      <w:r>
        <w:rPr/>
        <w:t>途或目的，且难以与其他项目分开计量的存货，可合并计提存货跌价准备。 </w:t>
      </w:r>
      <w:r>
        <w:rPr>
          <w:spacing w:val="-1"/>
        </w:rPr>
        <w:t>计提存货跌价准备后，如果以前减记存货价值的影响因素已经消失，导致存货的可变现净值高于其账面价</w:t>
      </w:r>
      <w:r>
        <w:rPr>
          <w:spacing w:val="-81"/>
        </w:rPr>
        <w:t> </w:t>
      </w:r>
      <w:r>
        <w:rPr>
          <w:spacing w:val="-81"/>
        </w:rPr>
      </w:r>
      <w:r>
        <w:rPr/>
        <w:t>值的，在原已计提的存货跌价准备金额内予以转回，转回的金额计入当期损益。</w:t>
      </w:r>
    </w:p>
    <w:p>
      <w:pPr>
        <w:spacing w:line="340" w:lineRule="auto" w:before="74"/>
        <w:ind w:left="514" w:right="787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12.4</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存货的盘存制度为永续盘存制。</w:t>
      </w:r>
    </w:p>
    <w:p>
      <w:pPr>
        <w:spacing w:line="338" w:lineRule="auto" w:before="40"/>
        <w:ind w:left="514" w:right="427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12.5</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低值易耗品和包装物的摊销方法</w:t>
      </w:r>
      <w:r>
        <w:rPr>
          <w:rFonts w:ascii="宋体" w:hAnsi="宋体" w:cs="宋体" w:eastAsia="宋体" w:hint="default"/>
          <w:b/>
          <w:bCs/>
          <w:w w:val="99"/>
          <w:sz w:val="18"/>
          <w:szCs w:val="18"/>
        </w:rPr>
        <w:t> </w:t>
      </w:r>
      <w:r>
        <w:rPr>
          <w:rFonts w:ascii="宋体" w:hAnsi="宋体" w:cs="宋体" w:eastAsia="宋体" w:hint="default"/>
          <w:sz w:val="18"/>
          <w:szCs w:val="18"/>
        </w:rPr>
        <w:t>低值易耗品于领用时按一次摊销法摊销；包装物于领用时按一次摊销法摊销。</w:t>
      </w:r>
    </w:p>
    <w:p>
      <w:pPr>
        <w:spacing w:line="240" w:lineRule="auto" w:before="2"/>
        <w:rPr>
          <w:rFonts w:ascii="宋体" w:hAnsi="宋体" w:cs="宋体" w:eastAsia="宋体" w:hint="default"/>
          <w:sz w:val="21"/>
          <w:szCs w:val="21"/>
        </w:rPr>
      </w:pPr>
    </w:p>
    <w:p>
      <w:pPr>
        <w:pStyle w:val="Heading4"/>
        <w:spacing w:line="240" w:lineRule="auto"/>
        <w:ind w:left="154" w:right="0"/>
        <w:jc w:val="left"/>
        <w:rPr>
          <w:b w:val="0"/>
          <w:bCs w:val="0"/>
        </w:rPr>
      </w:pPr>
      <w:bookmarkStart w:name="13、划分为持有待售资产" w:id="185"/>
      <w:bookmarkEnd w:id="185"/>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8"/>
        <w:rPr>
          <w:rFonts w:ascii="宋体" w:hAnsi="宋体" w:cs="宋体" w:eastAsia="宋体" w:hint="default"/>
          <w:b/>
          <w:bCs/>
          <w:sz w:val="26"/>
          <w:szCs w:val="26"/>
        </w:rPr>
      </w:pPr>
    </w:p>
    <w:p>
      <w:pPr>
        <w:spacing w:line="340" w:lineRule="auto" w:before="0"/>
        <w:ind w:left="513" w:right="607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13.1</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确认标准</w:t>
      </w:r>
      <w:r>
        <w:rPr>
          <w:rFonts w:ascii="宋体" w:hAnsi="宋体" w:cs="宋体" w:eastAsia="宋体" w:hint="default"/>
          <w:b/>
          <w:bCs/>
          <w:w w:val="99"/>
          <w:sz w:val="18"/>
          <w:szCs w:val="18"/>
        </w:rPr>
        <w:t> </w:t>
      </w:r>
      <w:r>
        <w:rPr>
          <w:rFonts w:ascii="宋体" w:hAnsi="宋体" w:cs="宋体" w:eastAsia="宋体" w:hint="default"/>
          <w:sz w:val="18"/>
          <w:szCs w:val="18"/>
        </w:rPr>
        <w:t>同时满足下列条件的非流动资产应当划分为持有待售：</w:t>
      </w:r>
    </w:p>
    <w:p>
      <w:pPr>
        <w:pStyle w:val="BodyText"/>
        <w:spacing w:line="240" w:lineRule="auto" w:before="40"/>
        <w:ind w:left="514" w:right="0"/>
        <w:jc w:val="left"/>
      </w:pPr>
      <w:r>
        <w:rPr/>
        <w:t>①公司已经就处置该非流动资产作出决议；</w:t>
      </w:r>
    </w:p>
    <w:p>
      <w:pPr>
        <w:pStyle w:val="BodyText"/>
        <w:spacing w:line="240" w:lineRule="auto" w:before="116"/>
        <w:ind w:left="514" w:right="0"/>
        <w:jc w:val="left"/>
      </w:pPr>
      <w:r>
        <w:rPr/>
        <w:t>②已经与受让方签订了不可撤销的转让协议；</w:t>
      </w:r>
    </w:p>
    <w:p>
      <w:pPr>
        <w:pStyle w:val="BodyText"/>
        <w:spacing w:line="240" w:lineRule="auto" w:before="117"/>
        <w:ind w:left="514" w:right="0"/>
        <w:jc w:val="left"/>
      </w:pPr>
      <w:r>
        <w:rPr/>
        <w:t>③该项转让将在一年内完成。</w:t>
      </w:r>
    </w:p>
    <w:p>
      <w:pPr>
        <w:pStyle w:val="BodyText"/>
        <w:spacing w:line="338" w:lineRule="auto" w:before="116"/>
        <w:ind w:left="514" w:right="1118" w:firstLine="1"/>
        <w:jc w:val="left"/>
      </w:pPr>
      <w:r>
        <w:rPr>
          <w:rFonts w:ascii="Times New Roman" w:hAnsi="Times New Roman" w:cs="Times New Roman" w:eastAsia="Times New Roman" w:hint="default"/>
          <w:b/>
          <w:bCs/>
        </w:rPr>
        <w:t>13.2</w:t>
      </w:r>
      <w:r>
        <w:rPr>
          <w:rFonts w:ascii="Times New Roman" w:hAnsi="Times New Roman" w:cs="Times New Roman" w:eastAsia="Times New Roman" w:hint="default"/>
          <w:b/>
          <w:bCs/>
          <w:spacing w:val="32"/>
        </w:rPr>
        <w:t> </w:t>
      </w:r>
      <w:r>
        <w:rPr>
          <w:rFonts w:ascii="宋体" w:hAnsi="宋体" w:cs="宋体" w:eastAsia="宋体" w:hint="default"/>
          <w:b/>
          <w:bCs/>
        </w:rPr>
        <w:t>会计处理</w:t>
      </w:r>
      <w:r>
        <w:rPr>
          <w:rFonts w:ascii="宋体" w:hAnsi="宋体" w:cs="宋体" w:eastAsia="宋体" w:hint="default"/>
          <w:b/>
          <w:bCs/>
          <w:w w:val="99"/>
        </w:rPr>
        <w:t> </w:t>
      </w:r>
      <w:r>
        <w:rPr>
          <w:spacing w:val="-2"/>
        </w:rPr>
        <w:t>公司对于持有待售的资产按账面价值与预计可变现净值孰低者计量持有待售的非流动资产，账面价值高于预计可变现净</w:t>
      </w:r>
    </w:p>
    <w:p>
      <w:pPr>
        <w:pStyle w:val="BodyText"/>
        <w:spacing w:line="357" w:lineRule="auto" w:before="4"/>
        <w:ind w:left="514" w:right="0" w:hanging="360"/>
        <w:jc w:val="left"/>
      </w:pPr>
      <w:r>
        <w:rPr/>
        <w:t>值之间的差额确认为资产减值损失。 </w:t>
      </w:r>
      <w:r>
        <w:rPr>
          <w:spacing w:val="-4"/>
        </w:rPr>
        <w:t>某项资产或处置组被划归为持有待售，但后来不再满足持有待售的固定资产的确认条件，公司停止将其划归为持有待售，</w:t>
      </w:r>
    </w:p>
    <w:p>
      <w:pPr>
        <w:pStyle w:val="BodyText"/>
        <w:spacing w:line="225" w:lineRule="exact"/>
        <w:ind w:left="154" w:right="0"/>
        <w:jc w:val="left"/>
      </w:pPr>
      <w:r>
        <w:rPr/>
        <w:t>并按照下列两项金额中较低者计量：</w:t>
      </w:r>
    </w:p>
    <w:p>
      <w:pPr>
        <w:spacing w:after="0" w:line="225"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4" w:right="1122" w:firstLine="360"/>
        <w:jc w:val="left"/>
      </w:pPr>
      <w:r>
        <w:rPr/>
        <w:t>（</w:t>
      </w:r>
      <w:r>
        <w:rPr>
          <w:rFonts w:ascii="Times New Roman" w:hAnsi="Times New Roman" w:cs="Times New Roman" w:eastAsia="Times New Roman" w:hint="default"/>
        </w:rPr>
        <w:t>1</w:t>
      </w:r>
      <w:r>
        <w:rPr/>
        <w:t>）该资产或处置组被划归为持有待售之前的账面价值，按照其假定在没有被划归为持有待售的情况下原应确认的折 旧、摊销或减值进行调整后的金额；</w:t>
      </w:r>
    </w:p>
    <w:p>
      <w:pPr>
        <w:pStyle w:val="BodyText"/>
        <w:spacing w:line="340" w:lineRule="auto" w:before="69"/>
        <w:ind w:left="444" w:right="4882" w:firstLine="69"/>
        <w:jc w:val="left"/>
      </w:pPr>
      <w:r>
        <w:rPr/>
        <w:t>（</w:t>
      </w:r>
      <w:r>
        <w:rPr>
          <w:rFonts w:ascii="Times New Roman" w:hAnsi="Times New Roman" w:cs="Times New Roman" w:eastAsia="Times New Roman" w:hint="default"/>
        </w:rPr>
        <w:t>2</w:t>
      </w:r>
      <w:r>
        <w:rPr/>
        <w:t>）决定不再出售之日的再收回金额。 符合持有待售条件的无形资产等其他非流动资产，比照上述原则处理。</w:t>
      </w:r>
    </w:p>
    <w:p>
      <w:pPr>
        <w:spacing w:line="240" w:lineRule="auto" w:before="13"/>
        <w:rPr>
          <w:rFonts w:ascii="宋体" w:hAnsi="宋体" w:cs="宋体" w:eastAsia="宋体" w:hint="default"/>
          <w:sz w:val="20"/>
          <w:szCs w:val="20"/>
        </w:rPr>
      </w:pPr>
    </w:p>
    <w:p>
      <w:pPr>
        <w:pStyle w:val="Heading4"/>
        <w:spacing w:line="240" w:lineRule="auto"/>
        <w:ind w:right="0"/>
        <w:jc w:val="both"/>
        <w:rPr>
          <w:b w:val="0"/>
          <w:bCs w:val="0"/>
        </w:rPr>
      </w:pPr>
      <w:bookmarkStart w:name="14、长期股权投资" w:id="186"/>
      <w:bookmarkEnd w:id="18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长期股权投资主要包括本公司持有的能够对被投资单位实施控制、共同控制或重大影响的权益性投资。</w:t>
      </w:r>
    </w:p>
    <w:p>
      <w:pPr>
        <w:pStyle w:val="Heading6"/>
        <w:spacing w:line="240" w:lineRule="auto" w:before="116"/>
        <w:ind w:right="0"/>
        <w:jc w:val="left"/>
        <w:rPr>
          <w:b w:val="0"/>
          <w:bCs w:val="0"/>
        </w:rPr>
      </w:pPr>
      <w:r>
        <w:rPr>
          <w:rFonts w:ascii="Times New Roman" w:hAnsi="Times New Roman" w:cs="Times New Roman" w:eastAsia="Times New Roman" w:hint="default"/>
        </w:rPr>
        <w:t>14.1</w:t>
      </w:r>
      <w:r>
        <w:rPr>
          <w:rFonts w:ascii="Times New Roman" w:hAnsi="Times New Roman" w:cs="Times New Roman" w:eastAsia="Times New Roman" w:hint="default"/>
          <w:spacing w:val="29"/>
        </w:rPr>
        <w:t> </w:t>
      </w:r>
      <w:r>
        <w:rPr/>
        <w:t>共同控制及重大影响的判断标准</w:t>
      </w:r>
      <w:r>
        <w:rPr>
          <w:b w:val="0"/>
          <w:bCs w:val="0"/>
        </w:rPr>
      </w:r>
    </w:p>
    <w:p>
      <w:pPr>
        <w:pStyle w:val="BodyText"/>
        <w:spacing w:line="309" w:lineRule="auto" w:before="101"/>
        <w:ind w:left="154" w:right="1131" w:firstLine="360"/>
        <w:jc w:val="both"/>
      </w:pPr>
      <w:r>
        <w:rPr/>
        <w:t>（</w:t>
      </w:r>
      <w:r>
        <w:rPr>
          <w:rFonts w:ascii="Times New Roman" w:hAnsi="Times New Roman" w:cs="Times New Roman" w:eastAsia="Times New Roman" w:hint="default"/>
        </w:rPr>
        <w:t>1</w:t>
      </w:r>
      <w:r>
        <w:rPr/>
        <w:t>）重大影响，是指本公司对被投资单位的财务和经营政策有参与决策的权力，但并不能够控制或者与其他方一起共 </w:t>
      </w:r>
      <w:r>
        <w:rPr>
          <w:spacing w:val="-2"/>
        </w:rPr>
        <w:t>同控制这些政策的制定。在确定能否对被投资单位施加重大影响时，考虑本公司和其他方持有的被投资单位当期可转换公司</w:t>
      </w:r>
      <w:r>
        <w:rPr>
          <w:spacing w:val="-64"/>
        </w:rPr>
        <w:t> </w:t>
      </w:r>
      <w:r>
        <w:rPr>
          <w:spacing w:val="-64"/>
        </w:rPr>
      </w:r>
      <w:r>
        <w:rPr/>
        <w:t>债券、当期可执行认股权证等潜在表决权因素。</w:t>
      </w:r>
    </w:p>
    <w:p>
      <w:pPr>
        <w:pStyle w:val="BodyText"/>
        <w:spacing w:line="302" w:lineRule="auto" w:before="64"/>
        <w:ind w:left="154" w:right="1122" w:firstLine="360"/>
        <w:jc w:val="left"/>
      </w:pPr>
      <w:r>
        <w:rPr/>
        <w:t>（</w:t>
      </w:r>
      <w:r>
        <w:rPr>
          <w:rFonts w:ascii="Times New Roman" w:hAnsi="Times New Roman" w:cs="Times New Roman" w:eastAsia="Times New Roman" w:hint="default"/>
        </w:rPr>
        <w:t>2</w:t>
      </w:r>
      <w:r>
        <w:rPr/>
        <w:t>）共同控制，是指按照相关约定对某项安排所共有的控制，并且该安排的相关活动必须经过分享控制权的参与方一 致同意后才能决策。</w:t>
      </w:r>
    </w:p>
    <w:p>
      <w:pPr>
        <w:pStyle w:val="Heading6"/>
        <w:spacing w:line="240" w:lineRule="auto" w:before="69"/>
        <w:ind w:right="0"/>
        <w:jc w:val="left"/>
        <w:rPr>
          <w:b w:val="0"/>
          <w:bCs w:val="0"/>
        </w:rPr>
      </w:pPr>
      <w:r>
        <w:rPr>
          <w:rFonts w:ascii="Times New Roman" w:hAnsi="Times New Roman" w:cs="Times New Roman" w:eastAsia="Times New Roman" w:hint="default"/>
        </w:rPr>
        <w:t>14.2</w:t>
      </w:r>
      <w:r>
        <w:rPr/>
        <w:t>长期股权投资的初始计量</w:t>
      </w:r>
      <w:r>
        <w:rPr>
          <w:b w:val="0"/>
          <w:bCs w:val="0"/>
        </w:rPr>
      </w:r>
    </w:p>
    <w:p>
      <w:pPr>
        <w:pStyle w:val="BodyText"/>
        <w:spacing w:line="338" w:lineRule="auto" w:before="102"/>
        <w:ind w:left="513" w:right="0"/>
        <w:jc w:val="left"/>
      </w:pPr>
      <w:r>
        <w:rPr/>
        <w:t>（</w:t>
      </w:r>
      <w:r>
        <w:rPr>
          <w:rFonts w:ascii="Times New Roman" w:hAnsi="Times New Roman" w:cs="Times New Roman" w:eastAsia="Times New Roman" w:hint="default"/>
        </w:rPr>
        <w:t>1</w:t>
      </w:r>
      <w:r>
        <w:rPr/>
        <w:t>）本公司合并形成的长期股权投资，按照下列规定确定其投资成本： </w:t>
      </w:r>
      <w:r>
        <w:rPr>
          <w:spacing w:val="-2"/>
        </w:rPr>
        <w:t>本公司同一控制下的企业合并，以支付现金、转让非现金资产或承担债务方式作为合并对价的，应当在合并日按照所取</w:t>
      </w:r>
    </w:p>
    <w:p>
      <w:pPr>
        <w:pStyle w:val="BodyText"/>
        <w:spacing w:line="319" w:lineRule="auto" w:before="2"/>
        <w:ind w:right="1129"/>
        <w:jc w:val="both"/>
      </w:pPr>
      <w:r>
        <w:rPr>
          <w:spacing w:val="-2"/>
        </w:rPr>
        <w:t>得的被合并方在最终控制方合并财务报表中的净资产的账面价值的份额作为长期股权投资的初始投资成本。被合并方在合并</w:t>
      </w:r>
      <w:r>
        <w:rPr>
          <w:spacing w:val="-64"/>
        </w:rPr>
        <w:t> </w:t>
      </w:r>
      <w:r>
        <w:rPr>
          <w:spacing w:val="-64"/>
        </w:rPr>
      </w:r>
      <w:r>
        <w:rPr>
          <w:spacing w:val="-2"/>
        </w:rPr>
        <w:t>目的净资产账面价值为负数的，长期股权投资成本按零确定，同时在备查簿中予以登记。长期股权投资初始投资成本与支付</w:t>
      </w:r>
      <w:r>
        <w:rPr>
          <w:spacing w:val="-66"/>
        </w:rPr>
        <w:t> </w:t>
      </w:r>
      <w:r>
        <w:rPr>
          <w:spacing w:val="-66"/>
        </w:rPr>
      </w:r>
      <w:r>
        <w:rPr>
          <w:spacing w:val="-2"/>
        </w:rPr>
        <w:t>的现金、转让的非现金资产以及所承担债务账面价值之间的差额，调整资本公积（资本溢价或股本溢价）；资本公积（资本</w:t>
      </w:r>
      <w:r>
        <w:rPr>
          <w:spacing w:val="-67"/>
        </w:rPr>
        <w:t> </w:t>
      </w:r>
      <w:r>
        <w:rPr>
          <w:spacing w:val="-67"/>
        </w:rPr>
      </w:r>
      <w:r>
        <w:rPr>
          <w:spacing w:val="-2"/>
        </w:rPr>
        <w:t>溢价或股本溢价）不足冲减的，调整留存收益。以发行权益性证券作为合并对价的，应当在合并日按照所取得的被合并方在</w:t>
      </w:r>
      <w:r>
        <w:rPr>
          <w:spacing w:val="-66"/>
        </w:rPr>
        <w:t> </w:t>
      </w:r>
      <w:r>
        <w:rPr>
          <w:spacing w:val="-66"/>
        </w:rPr>
      </w:r>
      <w:r>
        <w:rPr>
          <w:spacing w:val="-2"/>
        </w:rPr>
        <w:t>最终控制方合并财务报表中的净资产的账面价值的份额作为长期股权投资的初始投资成本。按照发行股份的面值总额作为股</w:t>
      </w:r>
      <w:r>
        <w:rPr>
          <w:spacing w:val="-64"/>
        </w:rPr>
        <w:t> </w:t>
      </w:r>
      <w:r>
        <w:rPr>
          <w:spacing w:val="-64"/>
        </w:rPr>
      </w:r>
      <w:r>
        <w:rPr>
          <w:spacing w:val="-2"/>
        </w:rPr>
        <w:t>本，长期股权初始投资成本与所发行股份面值总额之间的差额，调整资本公积（资本溢价或股本溢价）；资本公积（资本溢</w:t>
      </w:r>
      <w:r>
        <w:rPr>
          <w:spacing w:val="-68"/>
        </w:rPr>
        <w:t> </w:t>
      </w:r>
      <w:r>
        <w:rPr>
          <w:spacing w:val="-68"/>
        </w:rPr>
      </w:r>
      <w:r>
        <w:rPr/>
        <w:t>价或股本溢价）不足冲减的，调整留存收益。</w:t>
      </w:r>
    </w:p>
    <w:p>
      <w:pPr>
        <w:pStyle w:val="BodyText"/>
        <w:spacing w:line="240" w:lineRule="auto" w:before="56"/>
        <w:ind w:left="513" w:right="0"/>
        <w:jc w:val="left"/>
      </w:pPr>
      <w:r>
        <w:rPr/>
        <w:t>本公司非同一控制下的企业合并，在购买日按照下列规定确定其投资成本：</w:t>
      </w:r>
    </w:p>
    <w:p>
      <w:pPr>
        <w:pStyle w:val="BodyText"/>
        <w:spacing w:line="319" w:lineRule="auto" w:before="115"/>
        <w:ind w:right="0" w:firstLine="360"/>
        <w:jc w:val="left"/>
      </w:pPr>
      <w:r>
        <w:rPr>
          <w:spacing w:val="-2"/>
        </w:rPr>
        <w:t>①一次交换交易实现的企业合并，合并成本为本公司在购买日为取得对被购买方的控制权而付出的资产、发生或承担的</w:t>
      </w:r>
      <w:r>
        <w:rPr/>
        <w:t> 负债以及发行的权益性证券的公允价值。</w:t>
      </w:r>
    </w:p>
    <w:p>
      <w:pPr>
        <w:pStyle w:val="BodyText"/>
        <w:spacing w:line="240" w:lineRule="auto" w:before="58"/>
        <w:ind w:left="513" w:right="0"/>
        <w:jc w:val="left"/>
      </w:pPr>
      <w:r>
        <w:rPr/>
        <w:t>②通过多次交换交易分步实现的企业合并，合并成本为每一单项交易成本之和。</w:t>
      </w:r>
    </w:p>
    <w:p>
      <w:pPr>
        <w:pStyle w:val="BodyText"/>
        <w:spacing w:line="240" w:lineRule="auto" w:before="116"/>
        <w:ind w:left="513" w:right="0"/>
        <w:jc w:val="left"/>
      </w:pPr>
      <w:r>
        <w:rPr/>
        <w:t>③本公司为进行企业合并发生的各项直接相关费用计入当期损益。</w:t>
      </w:r>
    </w:p>
    <w:p>
      <w:pPr>
        <w:pStyle w:val="BodyText"/>
        <w:spacing w:line="319" w:lineRule="auto" w:before="115"/>
        <w:ind w:right="0" w:firstLine="360"/>
        <w:jc w:val="left"/>
      </w:pPr>
      <w:r>
        <w:rPr>
          <w:spacing w:val="-2"/>
        </w:rPr>
        <w:t>④在合并合同或协议中对可能影响合并成本的未来事项作出约定的，购买日如果估计未来事项很可能发生并且对合并成</w:t>
      </w:r>
      <w:r>
        <w:rPr/>
        <w:t> 本的影响金额能够可靠计量的，本公司将其计入合并成本。</w:t>
      </w:r>
    </w:p>
    <w:p>
      <w:pPr>
        <w:pStyle w:val="BodyText"/>
        <w:spacing w:line="240" w:lineRule="auto" w:before="58"/>
        <w:ind w:left="514" w:right="0"/>
        <w:jc w:val="left"/>
      </w:pPr>
      <w:r>
        <w:rPr/>
        <w:t>（</w:t>
      </w:r>
      <w:r>
        <w:rPr>
          <w:rFonts w:ascii="Times New Roman" w:hAnsi="Times New Roman" w:cs="Times New Roman" w:eastAsia="Times New Roman" w:hint="default"/>
        </w:rPr>
        <w:t>2</w:t>
      </w:r>
      <w:r>
        <w:rPr/>
        <w:t>）除本公司合并形成的长期股权投资以外，其他方式取得的长期股权投资，按照下列规定确定其投资成本：</w:t>
      </w:r>
    </w:p>
    <w:p>
      <w:pPr>
        <w:pStyle w:val="BodyText"/>
        <w:spacing w:line="319" w:lineRule="auto" w:before="101"/>
        <w:ind w:right="0" w:firstLine="360"/>
        <w:jc w:val="left"/>
      </w:pPr>
      <w:r>
        <w:rPr>
          <w:spacing w:val="-2"/>
        </w:rPr>
        <w:t>①以支付现金取得的长期股权投资，按照实际支付的购买价款作为初始投资成本。初始投资成本包括与取得长期股权投</w:t>
      </w:r>
      <w:r>
        <w:rPr/>
        <w:t> 资直接相关的费用、税金及其他必要支出。</w:t>
      </w:r>
    </w:p>
    <w:p>
      <w:pPr>
        <w:pStyle w:val="BodyText"/>
        <w:spacing w:line="319" w:lineRule="auto" w:before="55"/>
        <w:ind w:right="0" w:firstLine="360"/>
        <w:jc w:val="left"/>
      </w:pPr>
      <w:r>
        <w:rPr>
          <w:spacing w:val="-2"/>
        </w:rPr>
        <w:t>②以发行权益性证券取得的长期股权投资，按照发行权益性证券的公允价值作为初始投资成本。与发行权益性证券直接</w:t>
      </w:r>
      <w:r>
        <w:rPr/>
        <w:t> 相关的费用，应当按照《企业会计准则第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金融工具列报》的有关规定确定。</w:t>
      </w:r>
    </w:p>
    <w:p>
      <w:pPr>
        <w:pStyle w:val="BodyText"/>
        <w:spacing w:line="302" w:lineRule="auto" w:before="36"/>
        <w:ind w:right="1123" w:firstLine="360"/>
        <w:jc w:val="left"/>
      </w:pPr>
      <w:r>
        <w:rPr/>
        <w:t>③通过非货币性资产交换取得的长期股权投资，其初始投资成本按照《企业会计准则第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 定。</w:t>
      </w:r>
    </w:p>
    <w:p>
      <w:pPr>
        <w:pStyle w:val="BodyText"/>
        <w:spacing w:line="240" w:lineRule="auto" w:before="69"/>
        <w:ind w:left="514" w:right="0"/>
        <w:jc w:val="left"/>
      </w:pPr>
      <w:r>
        <w:rPr/>
        <w:t>④通过债务重组取得的长期股权投资，其初始投资成本按照《企业会计准则第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债务重组》确定。</w:t>
      </w:r>
    </w:p>
    <w:p>
      <w:pPr>
        <w:pStyle w:val="Heading6"/>
        <w:spacing w:line="240" w:lineRule="auto"/>
        <w:ind w:right="0"/>
        <w:jc w:val="left"/>
        <w:rPr>
          <w:b w:val="0"/>
          <w:bCs w:val="0"/>
        </w:rPr>
      </w:pPr>
      <w:r>
        <w:rPr>
          <w:rFonts w:ascii="Times New Roman" w:hAnsi="Times New Roman" w:cs="Times New Roman" w:eastAsia="Times New Roman" w:hint="default"/>
        </w:rPr>
        <w:t>14.3</w:t>
      </w:r>
      <w:r>
        <w:rPr>
          <w:rFonts w:ascii="Times New Roman" w:hAnsi="Times New Roman" w:cs="Times New Roman" w:eastAsia="Times New Roman" w:hint="default"/>
          <w:spacing w:val="27"/>
        </w:rPr>
        <w:t> </w:t>
      </w:r>
      <w:r>
        <w:rPr/>
        <w:t>长期股权投资的后续计量及投资收益确认方法</w:t>
      </w:r>
      <w:r>
        <w:rPr>
          <w:b w:val="0"/>
          <w:bCs w:val="0"/>
        </w:rPr>
      </w:r>
    </w:p>
    <w:p>
      <w:pPr>
        <w:pStyle w:val="BodyText"/>
        <w:spacing w:line="338" w:lineRule="auto" w:before="103"/>
        <w:ind w:left="513" w:right="0"/>
        <w:jc w:val="left"/>
      </w:pPr>
      <w:r>
        <w:rPr/>
        <w:t>（</w:t>
      </w:r>
      <w:r>
        <w:rPr>
          <w:rFonts w:ascii="Times New Roman" w:hAnsi="Times New Roman" w:cs="Times New Roman" w:eastAsia="Times New Roman" w:hint="default"/>
        </w:rPr>
        <w:t>1</w:t>
      </w:r>
      <w:r>
        <w:rPr/>
        <w:t>）本公司能够对被投资单位实施控制的长期股权投资采用成本法核算。 </w:t>
      </w:r>
      <w:r>
        <w:rPr>
          <w:spacing w:val="-2"/>
        </w:rPr>
        <w:t>采用成本法核算的长期股权投资按照初始投资成本计价。追加或收回投资调整长期股权投资的成本。被投资单位宣告分</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派的现金股利或利润，除购买时已宣告发放股利作投资成本收回外，其余确认为当期投资收益。</w:t>
      </w:r>
    </w:p>
    <w:p>
      <w:pPr>
        <w:pStyle w:val="BodyText"/>
        <w:spacing w:line="340" w:lineRule="auto" w:before="115"/>
        <w:ind w:left="444" w:right="0"/>
        <w:jc w:val="left"/>
      </w:pPr>
      <w:r>
        <w:rPr/>
        <w:t>（</w:t>
      </w:r>
      <w:r>
        <w:rPr>
          <w:rFonts w:ascii="Times New Roman" w:hAnsi="Times New Roman" w:cs="Times New Roman" w:eastAsia="Times New Roman" w:hint="default"/>
        </w:rPr>
        <w:t>2</w:t>
      </w:r>
      <w:r>
        <w:rPr/>
        <w:t>）本公司对联营企业和合营企业的投资采用权益法核算。 </w:t>
      </w:r>
      <w:r>
        <w:rPr>
          <w:spacing w:val="-1"/>
        </w:rPr>
        <w:t>长期股权投资的初始投资成本大于投资时应享有被投资单位可辨认净资产公允价值份额的，不调整长期股权投资的初始</w:t>
      </w:r>
    </w:p>
    <w:p>
      <w:pPr>
        <w:pStyle w:val="BodyText"/>
        <w:spacing w:line="319" w:lineRule="auto" w:before="1"/>
        <w:ind w:right="0"/>
        <w:jc w:val="left"/>
      </w:pPr>
      <w:r>
        <w:rPr>
          <w:spacing w:val="-4"/>
        </w:rPr>
        <w:t>投资成本；长期股权投资的初始投资成本小于投资时应享有被投资单位可辨认净资产公允价值份额的，其差额计入当期损益，</w:t>
      </w:r>
      <w:r>
        <w:rPr>
          <w:spacing w:val="-44"/>
        </w:rPr>
        <w:t> </w:t>
      </w:r>
      <w:r>
        <w:rPr>
          <w:spacing w:val="-44"/>
        </w:rPr>
      </w:r>
      <w:r>
        <w:rPr/>
        <w:t>同时调整长期股权投资的成本。</w:t>
      </w:r>
    </w:p>
    <w:p>
      <w:pPr>
        <w:pStyle w:val="BodyText"/>
        <w:spacing w:line="319" w:lineRule="auto" w:before="55"/>
        <w:ind w:right="1033" w:firstLine="360"/>
        <w:jc w:val="left"/>
      </w:pPr>
      <w:r>
        <w:rPr>
          <w:spacing w:val="-2"/>
        </w:rPr>
        <w:t>本公司取得长期股权投资后，按照应享有或应分担的被投资单位实现的净损益的份额，确认投资损益并调整长期股权投</w:t>
      </w:r>
      <w:r>
        <w:rPr/>
        <w:t> 资的账面价值。本公司按照被投资单位宣告分派的利润或现金股利计算应分得的部分，相应减少长期股权投资的账面价值。</w:t>
      </w:r>
    </w:p>
    <w:p>
      <w:pPr>
        <w:pStyle w:val="BodyText"/>
        <w:spacing w:line="319" w:lineRule="auto" w:before="55"/>
        <w:ind w:right="1131" w:firstLine="360"/>
        <w:jc w:val="both"/>
      </w:pPr>
      <w:r>
        <w:rPr>
          <w:spacing w:val="-2"/>
        </w:rPr>
        <w:t>本公司确认被投资单位发生的净亏损，以长期股权投资的账面价值以及其他实质上构成对被投资单位净投资的长期权益</w:t>
      </w:r>
      <w:r>
        <w:rPr/>
        <w:t> </w:t>
      </w:r>
      <w:r>
        <w:rPr>
          <w:spacing w:val="-2"/>
        </w:rPr>
        <w:t>减记至零为限，本公司负有承担额外损失义务的除外。被投资单位以后实现净利润的，本公司在其收益分享额弥补未确认的</w:t>
      </w:r>
      <w:r>
        <w:rPr>
          <w:spacing w:val="-66"/>
        </w:rPr>
        <w:t> </w:t>
      </w:r>
      <w:r>
        <w:rPr>
          <w:spacing w:val="-66"/>
        </w:rPr>
      </w:r>
      <w:r>
        <w:rPr/>
        <w:t>亏损分担额后，恢复确认收益分享额。</w:t>
      </w:r>
    </w:p>
    <w:p>
      <w:pPr>
        <w:pStyle w:val="BodyText"/>
        <w:spacing w:line="314" w:lineRule="auto" w:before="56"/>
        <w:ind w:right="1033" w:firstLine="360"/>
        <w:jc w:val="left"/>
      </w:pPr>
      <w:r>
        <w:rPr>
          <w:spacing w:val="-2"/>
        </w:rPr>
        <w:t>本公司计算确认应享有或应分担被投资单位的净损益时，与联营企业、合营企业之间发生的未实现内部交易损益按照应</w:t>
      </w:r>
      <w:r>
        <w:rPr/>
        <w:t> </w:t>
      </w:r>
      <w:r>
        <w:rPr>
          <w:spacing w:val="-2"/>
        </w:rPr>
        <w:t>享有的比例计算归属于投资方的部分，应当予以抵销，在此基础上确认投资收益。与联营企业、合营企业之间发生的未实现</w:t>
      </w:r>
      <w:r>
        <w:rPr>
          <w:spacing w:val="-66"/>
        </w:rPr>
        <w:t> </w:t>
      </w:r>
      <w:r>
        <w:rPr>
          <w:spacing w:val="-66"/>
        </w:rPr>
      </w:r>
      <w:r>
        <w:rPr>
          <w:spacing w:val="-2"/>
        </w:rPr>
        <w:t>内部交易损失，按照资产减值准则等规定属于资产减值损失的，应当全额确认。与联营企业、合营企业之间发生投出或出售</w:t>
      </w:r>
      <w:r>
        <w:rPr>
          <w:spacing w:val="-66"/>
        </w:rPr>
        <w:t> </w:t>
      </w:r>
      <w:r>
        <w:rPr>
          <w:spacing w:val="-66"/>
        </w:rPr>
      </w:r>
      <w:r>
        <w:rPr/>
        <w:t>资产的交易，该资产构成业务的，按照《企业会计准则第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企业合并》及《企业会计准则第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 的有关规定进行处理。</w:t>
      </w:r>
    </w:p>
    <w:p>
      <w:pPr>
        <w:pStyle w:val="BodyText"/>
        <w:spacing w:line="319" w:lineRule="auto" w:before="59"/>
        <w:ind w:right="0" w:firstLine="360"/>
        <w:jc w:val="left"/>
      </w:pPr>
      <w:r>
        <w:rPr>
          <w:spacing w:val="-2"/>
        </w:rPr>
        <w:t>本公司在确认应享有被投资单位净损益的份额时，以取得投资时被投资单位各项可辨认资产等的公允价值为基础，对被</w:t>
      </w:r>
      <w:r>
        <w:rPr/>
        <w:t> 投资单位的净利润进行调整后确认。若符合下列条件，本公司以被投资单位的账面净利润为基础，计算确认投资收益：</w:t>
      </w:r>
    </w:p>
    <w:p>
      <w:pPr>
        <w:pStyle w:val="BodyText"/>
        <w:spacing w:line="240" w:lineRule="auto" w:before="56"/>
        <w:ind w:left="513" w:right="0"/>
        <w:jc w:val="left"/>
      </w:pPr>
      <w:r>
        <w:rPr/>
        <w:t>①本公司无法合理确定取得投资时被投资单位各项可辨认资产等的公允价值。</w:t>
      </w:r>
    </w:p>
    <w:p>
      <w:pPr>
        <w:pStyle w:val="BodyText"/>
        <w:spacing w:line="240" w:lineRule="auto" w:before="117"/>
        <w:ind w:left="513" w:right="0"/>
        <w:jc w:val="left"/>
      </w:pPr>
      <w:r>
        <w:rPr/>
        <w:t>②投资时被投资单位可辨认资产的公允价值与其账面价值相比，两者之间的差额不具有重要性的。</w:t>
      </w:r>
    </w:p>
    <w:p>
      <w:pPr>
        <w:pStyle w:val="BodyText"/>
        <w:spacing w:line="338" w:lineRule="auto" w:before="116"/>
        <w:ind w:right="0" w:firstLine="360"/>
        <w:jc w:val="left"/>
      </w:pPr>
      <w:r>
        <w:rPr/>
        <w:t>③其他原因导致无法取得被投资单位的有关资料，不能按照规定对被投资单位的净损益进行调整的。 </w:t>
      </w:r>
      <w:r>
        <w:rPr>
          <w:spacing w:val="-2"/>
        </w:rPr>
        <w:t>被投资单位采用的会计政策及会计期间与本公司不一致的，按照本公司的会计政策及会计期间对被投资单位的财务报表进行</w:t>
      </w:r>
      <w:r>
        <w:rPr>
          <w:spacing w:val="-63"/>
        </w:rPr>
        <w:t> </w:t>
      </w:r>
      <w:r>
        <w:rPr>
          <w:spacing w:val="-63"/>
        </w:rPr>
      </w:r>
      <w:r>
        <w:rPr>
          <w:spacing w:val="-2"/>
        </w:rPr>
        <w:t>调整，并据以确认投资损益和其他综合收益。本公司对于被投资单位除净损益以外所有者权益的其他变动，调整长期股权投</w:t>
      </w:r>
    </w:p>
    <w:p>
      <w:pPr>
        <w:pStyle w:val="BodyText"/>
        <w:spacing w:line="240" w:lineRule="auto" w:before="4"/>
        <w:ind w:right="0"/>
        <w:jc w:val="left"/>
      </w:pPr>
      <w:r>
        <w:rPr/>
        <w:t>资的账面价值并计入所有者权益，处置该项投资时将原计入所有者权益的部分按相应比例转入当期损益。</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5、投资性房地产" w:id="187"/>
      <w:bookmarkEnd w:id="18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19" w:lineRule="auto" w:before="25"/>
        <w:ind w:left="154" w:right="0" w:firstLine="360"/>
        <w:jc w:val="left"/>
      </w:pPr>
      <w:r>
        <w:rPr>
          <w:spacing w:val="-4"/>
        </w:rPr>
        <w:t>投资性房地产是指为赚取租金或资本增值，或两者兼有而持有的房地产。本公司投资性房地产包括已出租的土地使用权、</w:t>
      </w:r>
      <w:r>
        <w:rPr/>
        <w:t> 持有并准备增值后转让的土地使用权和已出租的建筑物。</w:t>
      </w:r>
    </w:p>
    <w:p>
      <w:pPr>
        <w:spacing w:line="338" w:lineRule="auto" w:before="58"/>
        <w:ind w:left="514" w:right="679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15.1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投资性房地产的确认</w:t>
      </w:r>
      <w:r>
        <w:rPr>
          <w:rFonts w:ascii="宋体" w:hAnsi="宋体" w:cs="宋体" w:eastAsia="宋体" w:hint="default"/>
          <w:b/>
          <w:bCs/>
          <w:w w:val="99"/>
          <w:sz w:val="18"/>
          <w:szCs w:val="18"/>
        </w:rPr>
        <w:t> </w:t>
      </w:r>
      <w:r>
        <w:rPr>
          <w:rFonts w:ascii="宋体" w:hAnsi="宋体" w:cs="宋体" w:eastAsia="宋体" w:hint="default"/>
          <w:sz w:val="18"/>
          <w:szCs w:val="18"/>
        </w:rPr>
        <w:t>投资性房地产同时满足下列条件，才能确认：</w:t>
      </w:r>
    </w:p>
    <w:p>
      <w:pPr>
        <w:pStyle w:val="BodyText"/>
        <w:spacing w:line="240" w:lineRule="auto" w:before="42"/>
        <w:ind w:left="514" w:right="0"/>
        <w:jc w:val="left"/>
      </w:pPr>
      <w:r>
        <w:rPr/>
        <w:t>（</w:t>
      </w:r>
      <w:r>
        <w:rPr>
          <w:rFonts w:ascii="Times New Roman" w:hAnsi="Times New Roman" w:cs="Times New Roman" w:eastAsia="Times New Roman" w:hint="default"/>
        </w:rPr>
        <w:t>1</w:t>
      </w:r>
      <w:r>
        <w:rPr/>
        <w:t>）与投资性房地产有关的经济利益很可能流入企业。</w:t>
      </w:r>
    </w:p>
    <w:p>
      <w:pPr>
        <w:pStyle w:val="BodyText"/>
        <w:spacing w:line="240" w:lineRule="auto" w:before="103"/>
        <w:ind w:left="514" w:right="0"/>
        <w:jc w:val="left"/>
      </w:pPr>
      <w:r>
        <w:rPr/>
        <w:t>（</w:t>
      </w:r>
      <w:r>
        <w:rPr>
          <w:rFonts w:ascii="Times New Roman" w:hAnsi="Times New Roman" w:cs="Times New Roman" w:eastAsia="Times New Roman" w:hint="default"/>
        </w:rPr>
        <w:t>2</w:t>
      </w:r>
      <w:r>
        <w:rPr/>
        <w:t>）该投资性房地产的成本能够可靠计量。</w:t>
      </w:r>
    </w:p>
    <w:p>
      <w:pPr>
        <w:pStyle w:val="Heading6"/>
        <w:spacing w:line="240" w:lineRule="auto"/>
        <w:ind w:right="0"/>
        <w:jc w:val="left"/>
        <w:rPr>
          <w:b w:val="0"/>
          <w:bCs w:val="0"/>
        </w:rPr>
      </w:pPr>
      <w:r>
        <w:rPr>
          <w:rFonts w:ascii="Times New Roman" w:hAnsi="Times New Roman" w:cs="Times New Roman" w:eastAsia="Times New Roman" w:hint="default"/>
        </w:rPr>
        <w:t>15.2</w:t>
      </w:r>
      <w:r>
        <w:rPr>
          <w:rFonts w:ascii="Times New Roman" w:hAnsi="Times New Roman" w:cs="Times New Roman" w:eastAsia="Times New Roman" w:hint="default"/>
          <w:spacing w:val="29"/>
        </w:rPr>
        <w:t> </w:t>
      </w:r>
      <w:r>
        <w:rPr/>
        <w:t>投资性房地产初始计量</w:t>
      </w:r>
      <w:r>
        <w:rPr>
          <w:b w:val="0"/>
          <w:bCs w:val="0"/>
        </w:rPr>
      </w:r>
    </w:p>
    <w:p>
      <w:pPr>
        <w:pStyle w:val="BodyText"/>
        <w:spacing w:line="240" w:lineRule="auto" w:before="102"/>
        <w:ind w:left="514" w:right="0"/>
        <w:jc w:val="left"/>
      </w:pPr>
      <w:r>
        <w:rPr/>
        <w:t>（</w:t>
      </w:r>
      <w:r>
        <w:rPr>
          <w:rFonts w:ascii="Times New Roman" w:hAnsi="Times New Roman" w:cs="Times New Roman" w:eastAsia="Times New Roman" w:hint="default"/>
        </w:rPr>
        <w:t>1</w:t>
      </w:r>
      <w:r>
        <w:rPr/>
        <w:t>）外购投资性房地产的成本，包括购买价款、相关税费和可直接归属于该资产的其他支出。</w:t>
      </w:r>
    </w:p>
    <w:p>
      <w:pPr>
        <w:pStyle w:val="BodyText"/>
        <w:spacing w:line="240" w:lineRule="auto" w:before="103"/>
        <w:ind w:left="513" w:right="0"/>
        <w:jc w:val="left"/>
      </w:pPr>
      <w:r>
        <w:rPr/>
        <w:t>（</w:t>
      </w:r>
      <w:r>
        <w:rPr>
          <w:rFonts w:ascii="Times New Roman" w:hAnsi="Times New Roman" w:cs="Times New Roman" w:eastAsia="Times New Roman" w:hint="default"/>
        </w:rPr>
        <w:t>2</w:t>
      </w:r>
      <w:r>
        <w:rPr/>
        <w:t>）自行建造投资性房地产的成本，由建造该项资产达到预定可使用状态前所发生的必要支出构成。</w:t>
      </w:r>
    </w:p>
    <w:p>
      <w:pPr>
        <w:pStyle w:val="BodyText"/>
        <w:spacing w:line="240" w:lineRule="auto" w:before="103"/>
        <w:ind w:left="513" w:right="0"/>
        <w:jc w:val="left"/>
      </w:pPr>
      <w:r>
        <w:rPr/>
        <w:t>（</w:t>
      </w:r>
      <w:r>
        <w:rPr>
          <w:rFonts w:ascii="Times New Roman" w:hAnsi="Times New Roman" w:cs="Times New Roman" w:eastAsia="Times New Roman" w:hint="default"/>
        </w:rPr>
        <w:t>3</w:t>
      </w:r>
      <w:r>
        <w:rPr/>
        <w:t>）以其他方式取得的投资性房地产的成本，按照相关会计准则的规定确定。</w:t>
      </w:r>
    </w:p>
    <w:p>
      <w:pPr>
        <w:pStyle w:val="BodyText"/>
        <w:spacing w:line="302" w:lineRule="auto" w:before="101"/>
        <w:ind w:left="154" w:right="1122" w:firstLine="360"/>
        <w:jc w:val="left"/>
      </w:pPr>
      <w:r>
        <w:rPr/>
        <w:t>（</w:t>
      </w:r>
      <w:r>
        <w:rPr>
          <w:rFonts w:ascii="Times New Roman" w:hAnsi="Times New Roman" w:cs="Times New Roman" w:eastAsia="Times New Roman" w:hint="default"/>
        </w:rPr>
        <w:t>4</w:t>
      </w:r>
      <w:r>
        <w:rPr/>
        <w:t>）与投资性房地产有关的后续支出，满足投资性房地产确认条件的，计入投资性房地产成本；不满足确认条件的在 发生时计入当期损益。</w:t>
      </w:r>
    </w:p>
    <w:p>
      <w:pPr>
        <w:spacing w:after="0" w:line="302"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513" w:right="112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15.3</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投资性房地产的后续计量</w:t>
      </w:r>
      <w:r>
        <w:rPr>
          <w:rFonts w:ascii="宋体" w:hAnsi="宋体" w:cs="宋体" w:eastAsia="宋体" w:hint="default"/>
          <w:b/>
          <w:bCs/>
          <w:w w:val="99"/>
          <w:sz w:val="18"/>
          <w:szCs w:val="18"/>
        </w:rPr>
        <w:t> </w:t>
      </w:r>
      <w:r>
        <w:rPr>
          <w:rFonts w:ascii="宋体" w:hAnsi="宋体" w:cs="宋体" w:eastAsia="宋体" w:hint="default"/>
          <w:sz w:val="18"/>
          <w:szCs w:val="18"/>
        </w:rPr>
        <w:t>本公司在资产负债表日采用成本模式对投资性房地产进行后续计量。根据《企业会计准则第</w:t>
      </w:r>
      <w:r>
        <w:rPr>
          <w:rFonts w:ascii="Times New Roman" w:hAnsi="Times New Roman" w:cs="Times New Roman" w:eastAsia="Times New Roman" w:hint="default"/>
          <w:sz w:val="18"/>
          <w:szCs w:val="18"/>
        </w:rPr>
        <w:t>4</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固定资产》和《企</w:t>
      </w:r>
    </w:p>
    <w:p>
      <w:pPr>
        <w:pStyle w:val="BodyText"/>
        <w:spacing w:line="230" w:lineRule="exact"/>
        <w:ind w:right="0"/>
        <w:jc w:val="left"/>
      </w:pPr>
      <w:r>
        <w:rPr/>
        <w:t>业会计准则第</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w:t>
      </w:r>
      <w:r>
        <w:rPr/>
        <w:t>无形资产》的有关规定，对投资性房地产在预计可使用年限内按年限平均法摊销或计提折旧。预计使</w:t>
      </w:r>
    </w:p>
    <w:p>
      <w:pPr>
        <w:pStyle w:val="BodyText"/>
        <w:spacing w:line="240" w:lineRule="auto" w:before="64"/>
        <w:ind w:left="154" w:right="0"/>
        <w:jc w:val="left"/>
      </w:pPr>
      <w:r>
        <w:rPr/>
        <w:t>用年限和预计净残值率如下：</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266"/>
        <w:gridCol w:w="2265"/>
        <w:gridCol w:w="2266"/>
        <w:gridCol w:w="2265"/>
      </w:tblGrid>
      <w:tr>
        <w:trPr>
          <w:trHeight w:val="426" w:hRule="exact"/>
        </w:trPr>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预计使用年限</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净残值率（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8" w:hRule="exact"/>
        </w:trPr>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20-40</w:t>
            </w:r>
            <w:r>
              <w:rPr>
                <w:rFonts w:ascii="宋体" w:hAnsi="宋体" w:cs="宋体" w:eastAsia="宋体" w:hint="default"/>
                <w:sz w:val="18"/>
                <w:szCs w:val="18"/>
              </w:rPr>
              <w:t>年</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5-10</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2.25-4.75</w:t>
            </w:r>
          </w:p>
        </w:tc>
      </w:tr>
    </w:tbl>
    <w:p>
      <w:pPr>
        <w:spacing w:line="345" w:lineRule="auto" w:before="51"/>
        <w:ind w:left="604" w:right="1122" w:firstLine="1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15.4</w:t>
      </w:r>
      <w:r>
        <w:rPr>
          <w:rFonts w:ascii="宋体" w:hAnsi="宋体" w:cs="宋体" w:eastAsia="宋体" w:hint="default"/>
          <w:b/>
          <w:bCs/>
          <w:sz w:val="18"/>
          <w:szCs w:val="18"/>
        </w:rPr>
        <w:t>投资性房地产减值准备</w:t>
      </w:r>
      <w:r>
        <w:rPr>
          <w:rFonts w:ascii="宋体" w:hAnsi="宋体" w:cs="宋体" w:eastAsia="宋体" w:hint="default"/>
          <w:b/>
          <w:bCs/>
          <w:w w:val="99"/>
          <w:sz w:val="18"/>
          <w:szCs w:val="18"/>
        </w:rPr>
        <w:t> </w:t>
      </w:r>
      <w:r>
        <w:rPr>
          <w:rFonts w:ascii="宋体" w:hAnsi="宋体" w:cs="宋体" w:eastAsia="宋体" w:hint="default"/>
          <w:sz w:val="18"/>
          <w:szCs w:val="18"/>
        </w:rPr>
        <w:t>采用成本模式进行后续计量的投资性房地产存在减值迹象，经减值测试后确定发生减值的，应当计提减值准备。 </w:t>
      </w:r>
      <w:r>
        <w:rPr>
          <w:rFonts w:ascii="Times New Roman" w:hAnsi="Times New Roman" w:cs="Times New Roman" w:eastAsia="Times New Roman" w:hint="default"/>
          <w:b/>
          <w:bCs/>
          <w:sz w:val="18"/>
          <w:szCs w:val="18"/>
        </w:rPr>
        <w:t>15.5</w:t>
      </w:r>
      <w:r>
        <w:rPr>
          <w:rFonts w:ascii="宋体" w:hAnsi="宋体" w:cs="宋体" w:eastAsia="宋体" w:hint="default"/>
          <w:b/>
          <w:bCs/>
          <w:sz w:val="18"/>
          <w:szCs w:val="18"/>
        </w:rPr>
        <w:t>投资性房地产的转换</w:t>
      </w:r>
      <w:r>
        <w:rPr>
          <w:rFonts w:ascii="宋体" w:hAnsi="宋体" w:cs="宋体" w:eastAsia="宋体" w:hint="default"/>
          <w:b/>
          <w:bCs/>
          <w:w w:val="99"/>
          <w:sz w:val="18"/>
          <w:szCs w:val="18"/>
        </w:rPr>
        <w:t> </w:t>
      </w:r>
      <w:r>
        <w:rPr>
          <w:rFonts w:ascii="宋体" w:hAnsi="宋体" w:cs="宋体" w:eastAsia="宋体" w:hint="default"/>
          <w:sz w:val="18"/>
          <w:szCs w:val="18"/>
        </w:rPr>
        <w:t>公司有确凿证据表明房地产用途发生改变，满足下列条件之一的，将投资性房地产转换为其他资产或者将其他资产转</w:t>
      </w:r>
    </w:p>
    <w:p>
      <w:pPr>
        <w:pStyle w:val="BodyText"/>
        <w:spacing w:line="234" w:lineRule="exact"/>
        <w:ind w:right="0"/>
        <w:jc w:val="left"/>
      </w:pPr>
      <w:r>
        <w:rPr/>
        <w:t>换为投资性房地产，将房地产用途转换前的账面价值作为转换后的入账价值：</w:t>
      </w:r>
    </w:p>
    <w:p>
      <w:pPr>
        <w:pStyle w:val="BodyText"/>
        <w:spacing w:line="240" w:lineRule="auto" w:before="116"/>
        <w:ind w:left="633" w:right="0"/>
        <w:jc w:val="left"/>
      </w:pPr>
      <w:r>
        <w:rPr/>
        <w:t>①投资性房地产开始自用；</w:t>
      </w:r>
    </w:p>
    <w:p>
      <w:pPr>
        <w:pStyle w:val="BodyText"/>
        <w:spacing w:line="240" w:lineRule="auto" w:before="117"/>
        <w:ind w:left="633" w:right="0"/>
        <w:jc w:val="left"/>
      </w:pPr>
      <w:r>
        <w:rPr/>
        <w:t>②作为存货的房地产，改为出租；</w:t>
      </w:r>
    </w:p>
    <w:p>
      <w:pPr>
        <w:pStyle w:val="BodyText"/>
        <w:spacing w:line="240" w:lineRule="auto" w:before="116"/>
        <w:ind w:left="633" w:right="0"/>
        <w:jc w:val="left"/>
      </w:pPr>
      <w:r>
        <w:rPr/>
        <w:t>③自用土地使用权停止自用，用于赚取租金或资本增值；</w:t>
      </w:r>
    </w:p>
    <w:p>
      <w:pPr>
        <w:pStyle w:val="BodyText"/>
        <w:spacing w:line="240" w:lineRule="auto" w:before="116"/>
        <w:ind w:left="603" w:right="0"/>
        <w:jc w:val="left"/>
      </w:pPr>
      <w:r>
        <w:rPr/>
        <w:t>④自用建筑物停止自用，改为出租。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6、固定资产" w:id="188"/>
      <w:bookmarkEnd w:id="18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jc w:val="left"/>
      </w:pPr>
      <w:r>
        <w:rPr>
          <w:spacing w:val="-2"/>
        </w:rPr>
        <w:t>本公司固定资产指为生产商品、提供劳务、出租或经营管理而持有的、使用寿命超过一个会计年度的有形资产。在同时满足</w:t>
      </w:r>
      <w:r>
        <w:rPr>
          <w:spacing w:val="-65"/>
        </w:rPr>
        <w:t> </w:t>
      </w:r>
      <w:r>
        <w:rPr>
          <w:spacing w:val="-65"/>
        </w:rPr>
      </w:r>
      <w:r>
        <w:rPr>
          <w:spacing w:val="-7"/>
        </w:rPr>
        <w:t>下列条件时才能确认固定资产：（</w:t>
      </w:r>
      <w:r>
        <w:rPr>
          <w:rFonts w:ascii="Times New Roman" w:hAnsi="Times New Roman" w:cs="Times New Roman" w:eastAsia="Times New Roman" w:hint="default"/>
          <w:spacing w:val="-7"/>
        </w:rPr>
        <w:t>1</w:t>
      </w:r>
      <w:r>
        <w:rPr>
          <w:spacing w:val="-7"/>
        </w:rPr>
        <w:t>）与该固定资产有关的经济利益很可能流入企业。（</w:t>
      </w:r>
      <w:r>
        <w:rPr>
          <w:rFonts w:ascii="Times New Roman" w:hAnsi="Times New Roman" w:cs="Times New Roman" w:eastAsia="Times New Roman" w:hint="default"/>
          <w:spacing w:val="-7"/>
        </w:rPr>
        <w:t>2</w:t>
      </w:r>
      <w:r>
        <w:rPr>
          <w:spacing w:val="-7"/>
        </w:rPr>
        <w:t>）该固定资产的成本能够可靠地计量。</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2.25-4.75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9.00-19.00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18.00-19.00</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both"/>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jc w:val="both"/>
      </w:pPr>
      <w:r>
        <w:rPr>
          <w:spacing w:val="-2"/>
        </w:rPr>
        <w:t>融资租赁为实质上转移了与资产所有权有关的全部风险和报酬的租赁，其所有权最终可能转移，也可能不转移。以融资租赁</w:t>
      </w:r>
      <w:r>
        <w:rPr>
          <w:spacing w:val="-66"/>
        </w:rPr>
        <w:t> </w:t>
      </w:r>
      <w:r>
        <w:rPr>
          <w:spacing w:val="-66"/>
        </w:rPr>
      </w:r>
      <w:r>
        <w:rPr>
          <w:spacing w:val="-2"/>
        </w:rPr>
        <w:t>方式租入的固定资产采用与自有固定资产一致的政策计提租赁资产折旧。能够合理确定租赁期届满时取得租赁资产所有权的</w:t>
      </w:r>
      <w:r>
        <w:rPr>
          <w:spacing w:val="-64"/>
        </w:rPr>
        <w:t> </w:t>
      </w:r>
      <w:r>
        <w:rPr>
          <w:spacing w:val="-64"/>
        </w:rPr>
      </w:r>
      <w:r>
        <w:rPr>
          <w:spacing w:val="-2"/>
        </w:rPr>
        <w:t>在租赁资产使用寿命内计提折旧，无法合理确定租赁期届满能够取得租赁资产所有权的，在租赁期与租赁资产使用寿命两者</w:t>
      </w:r>
      <w:r>
        <w:rPr>
          <w:spacing w:val="-64"/>
        </w:rPr>
        <w:t> </w:t>
      </w:r>
      <w:r>
        <w:rPr>
          <w:spacing w:val="-64"/>
        </w:rPr>
      </w:r>
      <w:r>
        <w:rPr/>
        <w:t>中较短的期间内计提折旧。</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rPr>
          <w:b w:val="0"/>
          <w:bCs w:val="0"/>
        </w:rPr>
      </w:pPr>
      <w:bookmarkStart w:name="17、在建工程" w:id="192"/>
      <w:bookmarkEnd w:id="19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spacing w:line="350" w:lineRule="auto" w:before="0"/>
        <w:ind w:left="514" w:right="499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17.1</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在建工程计价</w:t>
      </w:r>
      <w:r>
        <w:rPr>
          <w:rFonts w:ascii="宋体" w:hAnsi="宋体" w:cs="宋体" w:eastAsia="宋体" w:hint="default"/>
          <w:b/>
          <w:bCs/>
          <w:w w:val="99"/>
          <w:sz w:val="18"/>
          <w:szCs w:val="18"/>
        </w:rPr>
        <w:t> </w:t>
      </w:r>
      <w:r>
        <w:rPr>
          <w:rFonts w:ascii="宋体" w:hAnsi="宋体" w:cs="宋体" w:eastAsia="宋体" w:hint="default"/>
          <w:sz w:val="18"/>
          <w:szCs w:val="18"/>
        </w:rPr>
        <w:t>本公司的在建工程按工程项目分别核算，在建工程按实际成本计价。 </w:t>
      </w:r>
      <w:r>
        <w:rPr>
          <w:rFonts w:ascii="Times New Roman" w:hAnsi="Times New Roman" w:cs="Times New Roman" w:eastAsia="Times New Roman" w:hint="default"/>
          <w:b/>
          <w:bCs/>
          <w:sz w:val="18"/>
          <w:szCs w:val="18"/>
        </w:rPr>
        <w:t>17.2</w:t>
      </w:r>
      <w:r>
        <w:rPr>
          <w:rFonts w:ascii="Times New Roman" w:hAnsi="Times New Roman" w:cs="Times New Roman" w:eastAsia="Times New Roman" w:hint="default"/>
          <w:b/>
          <w:bCs/>
          <w:spacing w:val="29"/>
          <w:sz w:val="18"/>
          <w:szCs w:val="18"/>
        </w:rPr>
        <w:t> </w:t>
      </w:r>
      <w:r>
        <w:rPr>
          <w:rFonts w:ascii="宋体" w:hAnsi="宋体" w:cs="宋体" w:eastAsia="宋体" w:hint="default"/>
          <w:b/>
          <w:bCs/>
          <w:sz w:val="18"/>
          <w:szCs w:val="18"/>
        </w:rPr>
        <w:t>在建工程结转为固定资产的时点</w:t>
      </w:r>
      <w:r>
        <w:rPr>
          <w:rFonts w:ascii="宋体" w:hAnsi="宋体" w:cs="宋体" w:eastAsia="宋体" w:hint="default"/>
          <w:sz w:val="18"/>
          <w:szCs w:val="18"/>
        </w:rPr>
      </w:r>
    </w:p>
    <w:p>
      <w:pPr>
        <w:pStyle w:val="BodyText"/>
        <w:spacing w:line="319" w:lineRule="auto" w:before="9"/>
        <w:ind w:right="0"/>
        <w:jc w:val="left"/>
      </w:pPr>
      <w:r>
        <w:rPr>
          <w:spacing w:val="-2"/>
        </w:rPr>
        <w:t>在建工程达到预定可使用状态时，按工程实际成本转入固定资产。对已达到预定可使用状态但尚未办理竣工决算手续的固定</w:t>
      </w:r>
      <w:r>
        <w:rPr>
          <w:spacing w:val="-64"/>
        </w:rPr>
        <w:t> </w:t>
      </w:r>
      <w:r>
        <w:rPr>
          <w:spacing w:val="-64"/>
        </w:rPr>
      </w:r>
      <w:r>
        <w:rPr/>
        <w:t>资产，按估计价值记账，待确定实际价值后，再进行调整。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4"/>
        <w:spacing w:line="240" w:lineRule="auto"/>
        <w:ind w:left="154" w:right="0"/>
        <w:jc w:val="both"/>
        <w:rPr>
          <w:b w:val="0"/>
          <w:bCs w:val="0"/>
        </w:rPr>
      </w:pPr>
      <w:bookmarkStart w:name="18、借款费用" w:id="193"/>
      <w:bookmarkEnd w:id="19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spacing w:line="340" w:lineRule="auto" w:before="0"/>
        <w:ind w:left="513" w:right="643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18.1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z w:val="18"/>
          <w:szCs w:val="18"/>
        </w:rPr>
        <w:t>借款费用同时满足下列条件的，才能开始资本化：</w:t>
      </w:r>
    </w:p>
    <w:p>
      <w:pPr>
        <w:pStyle w:val="BodyText"/>
        <w:spacing w:line="240" w:lineRule="auto" w:before="40"/>
        <w:ind w:left="514" w:right="0"/>
        <w:jc w:val="left"/>
      </w:pPr>
      <w:r>
        <w:rPr/>
        <w:t>（</w:t>
      </w:r>
      <w:r>
        <w:rPr>
          <w:rFonts w:ascii="Times New Roman" w:hAnsi="Times New Roman" w:cs="Times New Roman" w:eastAsia="Times New Roman" w:hint="default"/>
        </w:rPr>
        <w:t>1</w:t>
      </w:r>
      <w:r>
        <w:rPr/>
        <w:t>）资产支出已经发生。</w:t>
      </w:r>
    </w:p>
    <w:p>
      <w:pPr>
        <w:pStyle w:val="BodyText"/>
        <w:spacing w:line="240" w:lineRule="auto" w:before="102"/>
        <w:ind w:left="51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03"/>
        <w:ind w:left="51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48" w:lineRule="auto" w:before="102"/>
        <w:ind w:left="513" w:right="0" w:firstLine="1"/>
        <w:jc w:val="left"/>
      </w:pPr>
      <w:r>
        <w:rPr>
          <w:rFonts w:ascii="Times New Roman" w:hAnsi="Times New Roman" w:cs="Times New Roman" w:eastAsia="Times New Roman" w:hint="default"/>
          <w:b/>
          <w:bCs/>
        </w:rPr>
        <w:t>18.2</w:t>
      </w:r>
      <w:r>
        <w:rPr>
          <w:rFonts w:ascii="Times New Roman" w:hAnsi="Times New Roman" w:cs="Times New Roman" w:eastAsia="Times New Roman" w:hint="default"/>
          <w:b/>
          <w:bCs/>
          <w:spacing w:val="32"/>
        </w:rPr>
        <w:t> </w:t>
      </w:r>
      <w:r>
        <w:rPr>
          <w:rFonts w:ascii="宋体" w:hAnsi="宋体" w:cs="宋体" w:eastAsia="宋体" w:hint="default"/>
          <w:b/>
          <w:bCs/>
        </w:rPr>
        <w:t>借款费用资本化期间</w:t>
      </w:r>
      <w:r>
        <w:rPr>
          <w:rFonts w:ascii="宋体" w:hAnsi="宋体" w:cs="宋体" w:eastAsia="宋体" w:hint="default"/>
          <w:b/>
          <w:bCs/>
          <w:w w:val="99"/>
        </w:rPr>
        <w:t> </w:t>
      </w:r>
      <w:r>
        <w:rPr/>
        <w:t>资本化期间，是指从借款费用开始资本化时点到停止资本化时点的期间，借款费用暂停资本化的期间不包括在内。 </w:t>
      </w: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个月的，暂停借款费用的资本化。</w:t>
      </w:r>
    </w:p>
    <w:p>
      <w:pPr>
        <w:pStyle w:val="BodyText"/>
        <w:spacing w:line="209" w:lineRule="exact"/>
        <w:ind w:right="0"/>
        <w:jc w:val="both"/>
      </w:pPr>
      <w:r>
        <w:rPr/>
        <w:t>在中断期间发生的借款费用确认为费用，计入当期损益，直至资产的购建或者生产活动重新开始。如果中断是所购建或者生</w:t>
      </w:r>
    </w:p>
    <w:p>
      <w:pPr>
        <w:pStyle w:val="BodyText"/>
        <w:spacing w:line="357" w:lineRule="auto" w:before="77"/>
        <w:ind w:left="513" w:right="0" w:hanging="360"/>
        <w:jc w:val="left"/>
      </w:pPr>
      <w:r>
        <w:rPr/>
        <w:t>产的符合资本化条件的资产达到预定可使用或者可销售状态必要的程序，借款费用的资本化继续进行。 </w:t>
      </w:r>
      <w:r>
        <w:rPr>
          <w:spacing w:val="-2"/>
        </w:rPr>
        <w:t>购建或者生产符合资本化条件的资产达到预定可使用或者可销售状态时，借款费用停止资本化。在符合资本化条件的资</w:t>
      </w:r>
    </w:p>
    <w:p>
      <w:pPr>
        <w:pStyle w:val="BodyText"/>
        <w:spacing w:line="225" w:lineRule="exact"/>
        <w:ind w:right="0"/>
        <w:jc w:val="both"/>
      </w:pPr>
      <w:r>
        <w:rPr/>
        <w:t>产达到预定可使用或者可销售状态之后所发生的借款费用，在发生时计入当期损益。</w:t>
      </w:r>
    </w:p>
    <w:p>
      <w:pPr>
        <w:spacing w:line="340" w:lineRule="auto" w:before="116"/>
        <w:ind w:left="513" w:right="247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18.3</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z w:val="18"/>
          <w:szCs w:val="18"/>
        </w:rPr>
        <w:t>在资本化期间内，每一会计期间的利息（包括折价或溢价的摊销）资本化金额，按照下列规定确定：</w:t>
      </w:r>
    </w:p>
    <w:p>
      <w:pPr>
        <w:pStyle w:val="BodyText"/>
        <w:spacing w:line="302" w:lineRule="auto" w:before="39"/>
        <w:ind w:left="154" w:right="1122" w:firstLine="360"/>
        <w:jc w:val="left"/>
      </w:pPr>
      <w:r>
        <w:rPr/>
        <w:t>（</w:t>
      </w:r>
      <w:r>
        <w:rPr>
          <w:rFonts w:ascii="Times New Roman" w:hAnsi="Times New Roman" w:cs="Times New Roman" w:eastAsia="Times New Roman" w:hint="default"/>
        </w:rPr>
        <w:t>1</w:t>
      </w:r>
      <w:r>
        <w:rPr/>
        <w:t>）为购建或者生产符合资本化条件的资产而借入专门借款的，以专门借款当期实际发生的利息费用，减去将尚未动 用的借款资金存入银行取得的利息收入或进行暂时性投资取得的投资收益后的金额确定。</w:t>
      </w:r>
    </w:p>
    <w:p>
      <w:pPr>
        <w:pStyle w:val="BodyText"/>
        <w:spacing w:line="309" w:lineRule="auto" w:before="68"/>
        <w:ind w:left="154" w:right="1131" w:firstLine="360"/>
        <w:jc w:val="both"/>
      </w:pPr>
      <w:r>
        <w:rPr/>
        <w:t>（</w:t>
      </w:r>
      <w:r>
        <w:rPr>
          <w:rFonts w:ascii="Times New Roman" w:hAnsi="Times New Roman" w:cs="Times New Roman" w:eastAsia="Times New Roman" w:hint="default"/>
        </w:rPr>
        <w:t>2</w:t>
      </w:r>
      <w:r>
        <w:rPr/>
        <w:t>）为购建或者生产符合资本化条件的资产而占用了一般借款的，本公司根据累计资产支出超过专门借款部分的资产 </w:t>
      </w:r>
      <w:r>
        <w:rPr>
          <w:spacing w:val="-2"/>
        </w:rPr>
        <w:t>支出加权平均数乘以所占用一般借款的资本化率，计算确定一般借款应予资本化的利息金额。资本化率根据一般借款加权平</w:t>
      </w:r>
      <w:r>
        <w:rPr>
          <w:spacing w:val="-64"/>
        </w:rPr>
        <w:t> </w:t>
      </w:r>
      <w:r>
        <w:rPr>
          <w:spacing w:val="-64"/>
        </w:rPr>
      </w:r>
      <w:r>
        <w:rPr/>
        <w:t>均利率计算确定。</w:t>
      </w:r>
    </w:p>
    <w:p>
      <w:pPr>
        <w:pStyle w:val="BodyText"/>
        <w:spacing w:line="319" w:lineRule="auto" w:before="64"/>
        <w:ind w:right="0" w:firstLine="360"/>
        <w:jc w:val="left"/>
      </w:pPr>
      <w:r>
        <w:rPr>
          <w:spacing w:val="-2"/>
        </w:rPr>
        <w:t>借款存在折价或者溢价的，按照实际利率法确定每一会计期间应摊销的折价或者溢价金额，调整每期利息金额。在资本</w:t>
      </w:r>
      <w:r>
        <w:rPr/>
        <w:t> 化期间内，每一会计期间的利息资本化金额，不超过当期相关借款实际发生的利息金额。</w:t>
      </w:r>
    </w:p>
    <w:p>
      <w:pPr>
        <w:pStyle w:val="BodyText"/>
        <w:spacing w:line="319" w:lineRule="auto" w:before="55"/>
        <w:ind w:right="1131"/>
        <w:jc w:val="both"/>
      </w:pPr>
      <w:r>
        <w:rPr>
          <w:spacing w:val="-2"/>
        </w:rPr>
        <w:t>专门借款发生的辅助费用，在所购建或者生产的符合资本化条件的资产达到预定可使用或者可销售状态之前发生的，在发生</w:t>
      </w:r>
      <w:r>
        <w:rPr>
          <w:spacing w:val="-64"/>
        </w:rPr>
        <w:t> </w:t>
      </w:r>
      <w:r>
        <w:rPr>
          <w:spacing w:val="-64"/>
        </w:rPr>
      </w:r>
      <w:r>
        <w:rPr>
          <w:spacing w:val="-2"/>
        </w:rPr>
        <w:t>时根据其发生额予以资本化，计入符合资本化条件的资产的成本；在所购建或者生产的符合资本化条件的资产达到预定可使</w:t>
      </w:r>
      <w:r>
        <w:rPr>
          <w:spacing w:val="-64"/>
        </w:rPr>
        <w:t> </w:t>
      </w:r>
      <w:r>
        <w:rPr>
          <w:spacing w:val="-64"/>
        </w:rPr>
      </w:r>
      <w:r>
        <w:rPr>
          <w:spacing w:val="-2"/>
        </w:rPr>
        <w:t>用或者可销售状态之后发生的，在发生时根据其发生额确认为费用，计入当期损益。一般借款发生的辅助费用，在发生时根</w:t>
      </w:r>
      <w:r>
        <w:rPr>
          <w:spacing w:val="-66"/>
        </w:rPr>
        <w:t> </w:t>
      </w:r>
      <w:r>
        <w:rPr>
          <w:spacing w:val="-66"/>
        </w:rPr>
      </w:r>
      <w:r>
        <w:rPr/>
        <w:t>据其发生额确认为费用，计入当期损益。</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bookmarkStart w:name="19、无形资产" w:id="194"/>
      <w:bookmarkEnd w:id="194"/>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both"/>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Heading6"/>
        <w:spacing w:line="240" w:lineRule="auto" w:before="0"/>
        <w:ind w:right="0"/>
        <w:jc w:val="left"/>
        <w:rPr>
          <w:b w:val="0"/>
          <w:bCs w:val="0"/>
        </w:rPr>
      </w:pPr>
      <w:r>
        <w:rPr/>
        <w:t>无形资产的确认标准</w:t>
      </w:r>
      <w:r>
        <w:rPr>
          <w:b w:val="0"/>
          <w:bCs w:val="0"/>
        </w:rPr>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left="513" w:right="0"/>
        <w:jc w:val="left"/>
      </w:pPr>
      <w:r>
        <w:rPr/>
        <w:t>无形资产是指本公司拥有或者控制的没有实物形态的可辨认非货币性资产。在同时满足下列条件时才能确认无形资产：</w:t>
      </w:r>
    </w:p>
    <w:p>
      <w:pPr>
        <w:pStyle w:val="BodyText"/>
        <w:spacing w:line="240" w:lineRule="auto" w:before="116"/>
        <w:ind w:left="513" w:right="0"/>
        <w:jc w:val="left"/>
      </w:pPr>
      <w:r>
        <w:rPr/>
        <w:t>（</w:t>
      </w:r>
      <w:r>
        <w:rPr>
          <w:rFonts w:ascii="Times New Roman" w:hAnsi="Times New Roman" w:cs="Times New Roman" w:eastAsia="Times New Roman" w:hint="default"/>
        </w:rPr>
        <w:t>1</w:t>
      </w:r>
      <w:r>
        <w:rPr/>
        <w:t>）符合无形资产的定义。</w:t>
      </w:r>
    </w:p>
    <w:p>
      <w:pPr>
        <w:pStyle w:val="BodyText"/>
        <w:spacing w:line="240" w:lineRule="auto" w:before="103"/>
        <w:ind w:left="514" w:right="0"/>
        <w:jc w:val="left"/>
      </w:pPr>
      <w:r>
        <w:rPr/>
        <w:t>（</w:t>
      </w:r>
      <w:r>
        <w:rPr>
          <w:rFonts w:ascii="Times New Roman" w:hAnsi="Times New Roman" w:cs="Times New Roman" w:eastAsia="Times New Roman" w:hint="default"/>
        </w:rPr>
        <w:t>2</w:t>
      </w:r>
      <w:r>
        <w:rPr/>
        <w:t>）与该资产相关的预计未来经济利益很可能流入公司。</w:t>
      </w:r>
    </w:p>
    <w:p>
      <w:pPr>
        <w:spacing w:line="338" w:lineRule="auto" w:before="102"/>
        <w:ind w:left="515" w:right="7603" w:hanging="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）该资产的成本能够可靠计量。 </w:t>
      </w:r>
      <w:r>
        <w:rPr>
          <w:rFonts w:ascii="宋体" w:hAnsi="宋体" w:cs="宋体" w:eastAsia="宋体" w:hint="default"/>
          <w:b/>
          <w:bCs/>
          <w:sz w:val="18"/>
          <w:szCs w:val="18"/>
        </w:rPr>
        <w:t>无形资产的初始计量</w:t>
      </w:r>
      <w:r>
        <w:rPr>
          <w:rFonts w:ascii="宋体" w:hAnsi="宋体" w:cs="宋体" w:eastAsia="宋体" w:hint="default"/>
          <w:sz w:val="18"/>
          <w:szCs w:val="18"/>
        </w:rPr>
      </w:r>
    </w:p>
    <w:p>
      <w:pPr>
        <w:pStyle w:val="BodyText"/>
        <w:spacing w:line="240" w:lineRule="auto" w:before="43"/>
        <w:ind w:left="513" w:right="0"/>
        <w:jc w:val="left"/>
      </w:pPr>
      <w:r>
        <w:rPr/>
        <w:t>无形资产按照成本进行初始计量。实际成本按以下原则确定：</w:t>
      </w:r>
    </w:p>
    <w:p>
      <w:pPr>
        <w:pStyle w:val="BodyText"/>
        <w:spacing w:line="307" w:lineRule="auto" w:before="115"/>
        <w:ind w:right="1131" w:firstLine="360"/>
        <w:jc w:val="both"/>
      </w:pPr>
      <w:r>
        <w:rPr/>
        <w:t>（</w:t>
      </w:r>
      <w:r>
        <w:rPr>
          <w:rFonts w:ascii="Times New Roman" w:hAnsi="Times New Roman" w:cs="Times New Roman" w:eastAsia="Times New Roman" w:hint="default"/>
        </w:rPr>
        <w:t>1</w:t>
      </w:r>
      <w:r>
        <w:rPr/>
        <w:t>）外购无形资产的成本，包括购买价款、相关税费以及直接归属于使该项资产达到预定用途所发生的其他支出。购 </w:t>
      </w:r>
      <w:r>
        <w:rPr>
          <w:spacing w:val="-2"/>
        </w:rPr>
        <w:t>买无形资产的价款超过正常信用条件延期支付，实质上具有融资性质的，无形资产的成本以购买价款的现值为基础确定。实</w:t>
      </w:r>
      <w:r>
        <w:rPr>
          <w:spacing w:val="-66"/>
        </w:rPr>
        <w:t> </w:t>
      </w:r>
      <w:r>
        <w:rPr>
          <w:spacing w:val="-66"/>
        </w:rPr>
      </w:r>
      <w:r>
        <w:rPr>
          <w:spacing w:val="-2"/>
        </w:rPr>
        <w:t>际支付的价款与购买价款的现值之间的差额，除按照《企业会计准则第</w:t>
      </w:r>
      <w:r>
        <w:rPr>
          <w:rFonts w:ascii="Times New Roman" w:hAnsi="Times New Roman" w:cs="Times New Roman" w:eastAsia="Times New Roman" w:hint="default"/>
          <w:spacing w:val="-2"/>
        </w:rPr>
        <w:t>17</w:t>
      </w:r>
      <w:r>
        <w:rPr>
          <w:spacing w:val="-2"/>
        </w:rPr>
        <w:t>号</w:t>
      </w:r>
      <w:r>
        <w:rPr>
          <w:rFonts w:ascii="Times New Roman" w:hAnsi="Times New Roman" w:cs="Times New Roman" w:eastAsia="Times New Roman" w:hint="default"/>
          <w:spacing w:val="-2"/>
        </w:rPr>
        <w:t>——</w:t>
      </w:r>
      <w:r>
        <w:rPr>
          <w:spacing w:val="-2"/>
        </w:rPr>
        <w:t>借款费用》可予以资本化的以外，在信用期</w:t>
      </w:r>
      <w:r>
        <w:rPr>
          <w:spacing w:val="-64"/>
        </w:rPr>
        <w:t> </w:t>
      </w:r>
      <w:r>
        <w:rPr>
          <w:spacing w:val="-64"/>
        </w:rPr>
      </w:r>
      <w:r>
        <w:rPr/>
        <w:t>间内计入当期损益。</w:t>
      </w:r>
    </w:p>
    <w:p>
      <w:pPr>
        <w:pStyle w:val="BodyText"/>
        <w:spacing w:line="240" w:lineRule="auto" w:before="65"/>
        <w:ind w:left="513" w:right="0"/>
        <w:jc w:val="left"/>
      </w:pPr>
      <w:r>
        <w:rPr/>
        <w:t>（</w:t>
      </w:r>
      <w:r>
        <w:rPr>
          <w:rFonts w:ascii="Times New Roman" w:hAnsi="Times New Roman" w:cs="Times New Roman" w:eastAsia="Times New Roman" w:hint="default"/>
        </w:rPr>
        <w:t>2</w:t>
      </w:r>
      <w:r>
        <w:rPr/>
        <w:t>）投资者投入无形资产的成本，按照投资合同或协议约定的价值确定，但合同或协议约定价值不公允的除外。</w:t>
      </w:r>
    </w:p>
    <w:p>
      <w:pPr>
        <w:pStyle w:val="BodyText"/>
        <w:spacing w:line="338" w:lineRule="auto" w:before="103"/>
        <w:ind w:left="514" w:right="0"/>
        <w:jc w:val="left"/>
      </w:pPr>
      <w:r>
        <w:rPr/>
        <w:t>（</w:t>
      </w:r>
      <w:r>
        <w:rPr>
          <w:rFonts w:ascii="Times New Roman" w:hAnsi="Times New Roman" w:cs="Times New Roman" w:eastAsia="Times New Roman" w:hint="default"/>
        </w:rPr>
        <w:t>3</w:t>
      </w:r>
      <w:r>
        <w:rPr/>
        <w:t>）自行开发的无形资产 </w:t>
      </w:r>
      <w:r>
        <w:rPr>
          <w:spacing w:val="-2"/>
        </w:rPr>
        <w:t>本公司内部研究开发项目的支出，区分研究阶段支出与开发阶段支出。内部研究开发项目研究阶段的支出，于发生时计</w:t>
      </w:r>
    </w:p>
    <w:p>
      <w:pPr>
        <w:pStyle w:val="BodyText"/>
        <w:spacing w:line="240" w:lineRule="auto" w:before="4"/>
        <w:ind w:left="154" w:right="0"/>
        <w:jc w:val="left"/>
      </w:pPr>
      <w:r>
        <w:rPr/>
        <w:t>入当期损益。内部研究开发项目开发阶段的支出，同时满足下列条件的，确认为无形资产：</w:t>
      </w:r>
    </w:p>
    <w:p>
      <w:pPr>
        <w:pStyle w:val="BodyText"/>
        <w:spacing w:line="240" w:lineRule="auto" w:before="116"/>
        <w:ind w:left="513" w:right="0"/>
        <w:jc w:val="left"/>
      </w:pPr>
      <w:r>
        <w:rPr/>
        <w:t>①完成该无形资产以使其能够使用或出售在技术上具有可行性。</w:t>
      </w:r>
    </w:p>
    <w:p>
      <w:pPr>
        <w:pStyle w:val="BodyText"/>
        <w:spacing w:line="240" w:lineRule="auto" w:before="117"/>
        <w:ind w:left="514" w:right="0"/>
        <w:jc w:val="left"/>
      </w:pPr>
      <w:r>
        <w:rPr/>
        <w:t>②具有完成该无形资产并使用或出售的意图。</w:t>
      </w:r>
    </w:p>
    <w:p>
      <w:pPr>
        <w:pStyle w:val="BodyText"/>
        <w:spacing w:line="319" w:lineRule="auto" w:before="115"/>
        <w:ind w:left="154" w:right="0" w:firstLine="360"/>
        <w:jc w:val="left"/>
      </w:pPr>
      <w:r>
        <w:rPr>
          <w:spacing w:val="-2"/>
        </w:rPr>
        <w:t>③无形资产产生经济利益的方式，包括能够证明运用该无形资产生产的产品存在市场或无形资产自身存在市场，无形资</w:t>
      </w:r>
      <w:r>
        <w:rPr/>
        <w:t> 产将在内部使用的，证明其有用性。</w:t>
      </w:r>
    </w:p>
    <w:p>
      <w:pPr>
        <w:pStyle w:val="BodyText"/>
        <w:spacing w:line="240" w:lineRule="auto" w:before="56"/>
        <w:ind w:left="514" w:right="0"/>
        <w:jc w:val="left"/>
      </w:pPr>
      <w:r>
        <w:rPr/>
        <w:t>④有足够的技术、财务资源和其他资源支持，以完成该无形资产的开发，并有能力使用或出售该无形资产。</w:t>
      </w:r>
    </w:p>
    <w:p>
      <w:pPr>
        <w:pStyle w:val="BodyText"/>
        <w:spacing w:line="357" w:lineRule="auto" w:before="117"/>
        <w:ind w:left="514" w:right="0"/>
        <w:jc w:val="left"/>
      </w:pPr>
      <w:r>
        <w:rPr/>
        <w:t>⑤归属于该无形资产开发阶段的支出能够可靠地计量。 </w:t>
      </w:r>
      <w:r>
        <w:rPr>
          <w:spacing w:val="-2"/>
        </w:rPr>
        <w:t>自行开发的无形资产，其成本包括自满足无形资产确认规定后至达到预定用途前所发生的支出总额。以前期间已经费用</w:t>
      </w:r>
    </w:p>
    <w:p>
      <w:pPr>
        <w:pStyle w:val="BodyText"/>
        <w:spacing w:line="225" w:lineRule="exact"/>
        <w:ind w:left="154" w:right="0"/>
        <w:jc w:val="left"/>
      </w:pPr>
      <w:r>
        <w:rPr/>
        <w:t>化的支出不再调整。</w:t>
      </w:r>
    </w:p>
    <w:p>
      <w:pPr>
        <w:pStyle w:val="BodyText"/>
        <w:spacing w:line="300" w:lineRule="auto" w:before="115"/>
        <w:ind w:right="1130" w:firstLine="360"/>
        <w:jc w:val="both"/>
      </w:pPr>
      <w:r>
        <w:rPr>
          <w:spacing w:val="-2"/>
        </w:rPr>
        <w:t>（</w:t>
      </w:r>
      <w:r>
        <w:rPr>
          <w:rFonts w:ascii="Times New Roman" w:hAnsi="Times New Roman" w:cs="Times New Roman" w:eastAsia="Times New Roman" w:hint="default"/>
          <w:spacing w:val="-2"/>
        </w:rPr>
        <w:t>4</w:t>
      </w:r>
      <w:r>
        <w:rPr>
          <w:spacing w:val="-2"/>
        </w:rPr>
        <w:t>）非货币性资产交换、债务重组、政府补助和企业合并取得的无形资产的成本，分别按照《企业会计准则第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spacing w:val="-2"/>
        </w:rPr>
        <w:t>非货币性资产交换》、《企业会计准则第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政府补助》、《企业会计准则第</w:t>
      </w:r>
      <w:r>
        <w:rPr>
          <w:spacing w:val="-65"/>
        </w:rPr>
        <w:t> </w:t>
      </w:r>
      <w:r>
        <w:rPr>
          <w:spacing w:val="-65"/>
        </w:rPr>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企业合并》的有关规定确定。</w:t>
      </w:r>
    </w:p>
    <w:p>
      <w:pPr>
        <w:pStyle w:val="BodyText"/>
        <w:spacing w:line="357" w:lineRule="auto" w:before="53"/>
        <w:ind w:left="514" w:right="0" w:firstLine="79"/>
        <w:jc w:val="left"/>
      </w:pPr>
      <w:r>
        <w:rPr>
          <w:rFonts w:ascii="宋体" w:hAnsi="宋体" w:cs="宋体" w:eastAsia="宋体" w:hint="default"/>
          <w:b/>
          <w:bCs/>
        </w:rPr>
        <w:t>无形资产的后续计量</w:t>
      </w:r>
      <w:r>
        <w:rPr>
          <w:rFonts w:ascii="宋体" w:hAnsi="宋体" w:cs="宋体" w:eastAsia="宋体" w:hint="default"/>
          <w:b/>
          <w:bCs/>
          <w:w w:val="99"/>
        </w:rPr>
        <w:t> </w:t>
      </w:r>
      <w:r>
        <w:rPr>
          <w:spacing w:val="-2"/>
        </w:rPr>
        <w:t>本公司于取得无形资产时分析判断其使用寿命。无形资产的使用寿命为有限的，估计该使用寿命的年限或者构成使用寿</w:t>
      </w:r>
    </w:p>
    <w:p>
      <w:pPr>
        <w:pStyle w:val="BodyText"/>
        <w:spacing w:line="357" w:lineRule="auto"/>
        <w:ind w:left="633" w:right="0" w:hanging="480"/>
        <w:jc w:val="left"/>
      </w:pPr>
      <w:r>
        <w:rPr/>
        <w:t>命的产量等类似计量单位数量；无法预见无形资产为本公司带来经济利益期限的，视为使用寿命不确定的无形资产。 </w:t>
      </w:r>
      <w:r>
        <w:rPr>
          <w:spacing w:val="-1"/>
        </w:rPr>
        <w:t>使用寿命有限的无形资产，其应摊销金额在使用寿命内系统合理摊销。本公司采用直线法摊销。其使用寿命按下列标</w:t>
      </w:r>
    </w:p>
    <w:p>
      <w:pPr>
        <w:pStyle w:val="BodyText"/>
        <w:spacing w:line="225" w:lineRule="exact"/>
        <w:ind w:right="0"/>
        <w:jc w:val="left"/>
      </w:pPr>
      <w:r>
        <w:rPr/>
        <w:t>准进行估计：</w:t>
      </w:r>
    </w:p>
    <w:p>
      <w:pPr>
        <w:pStyle w:val="BodyText"/>
        <w:spacing w:line="319" w:lineRule="auto" w:before="116"/>
        <w:ind w:left="154" w:right="0" w:firstLine="480"/>
        <w:jc w:val="left"/>
      </w:pPr>
      <w:r>
        <w:rPr>
          <w:spacing w:val="-1"/>
        </w:rPr>
        <w:t>①来源于合同性权利或其他法定权利的无形资产，其使用寿命为合同性权利或其他法定权利的期限；合同性权利或其</w:t>
      </w:r>
      <w:r>
        <w:rPr/>
        <w:t> 他法定权利在到期时因续约等延续、且有证据表明公司续约不需要付出大额成本的，续约期计入使用寿命。</w:t>
      </w:r>
    </w:p>
    <w:p>
      <w:pPr>
        <w:pStyle w:val="BodyText"/>
        <w:spacing w:line="319" w:lineRule="auto" w:before="55"/>
        <w:ind w:right="0" w:firstLine="480"/>
        <w:jc w:val="left"/>
      </w:pPr>
      <w:r>
        <w:rPr>
          <w:spacing w:val="-1"/>
        </w:rPr>
        <w:t>②合同或法律没有规定使用寿命的，本公司通过与同行业的情况进行比较、参考历史经验、或聘请相关专家进行论证</w:t>
      </w:r>
      <w:r>
        <w:rPr/>
        <w:t> 等方法，综合各方面因素确定无形资产能为企业带来经济利益的期限。</w:t>
      </w:r>
    </w:p>
    <w:p>
      <w:pPr>
        <w:pStyle w:val="BodyText"/>
        <w:spacing w:line="319" w:lineRule="auto" w:before="55"/>
        <w:ind w:right="0" w:firstLine="360"/>
        <w:jc w:val="left"/>
      </w:pPr>
      <w:r>
        <w:rPr>
          <w:spacing w:val="-2"/>
        </w:rPr>
        <w:t>无形资产的应摊销金额为其成本扣除预计残值后的金额。已计提减值准备的无形资产，还应扣除已计提的无形资产减值</w:t>
      </w:r>
      <w:r>
        <w:rPr/>
        <w:t> 准备累计金额。无形资产的摊销金额计入当期损益。</w:t>
      </w:r>
    </w:p>
    <w:p>
      <w:pPr>
        <w:pStyle w:val="BodyText"/>
        <w:spacing w:line="240" w:lineRule="auto" w:before="58"/>
        <w:ind w:left="514" w:right="0"/>
        <w:jc w:val="left"/>
      </w:pPr>
      <w:r>
        <w:rPr/>
        <w:t>使用寿命不确定的无形资产不摊销，期末进行减值测试。</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本公司将内部研究开发项目的支出，区分为研究阶段支出和开发阶段支出。</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3" w:right="5353"/>
        <w:jc w:val="left"/>
      </w:pPr>
      <w:r>
        <w:rPr/>
        <w:t>研究阶段的支出，于发生时计入当期损益。 开发阶段的支出，同时满足下列条件的，才能予以资本化，即：</w:t>
      </w:r>
    </w:p>
    <w:p>
      <w:pPr>
        <w:pStyle w:val="BodyText"/>
        <w:spacing w:line="357" w:lineRule="auto" w:before="29"/>
        <w:ind w:left="423" w:right="5173"/>
        <w:jc w:val="left"/>
      </w:pPr>
      <w:r>
        <w:rPr>
          <w:rFonts w:ascii="宋体" w:hAnsi="宋体" w:cs="宋体" w:eastAsia="宋体" w:hint="default"/>
        </w:rPr>
        <w:t>I. </w:t>
      </w:r>
      <w:r>
        <w:rPr/>
        <w:t>完成该无形资产以使其能够使用或出售在技术上具有可行性； </w:t>
      </w:r>
      <w:r>
        <w:rPr>
          <w:rFonts w:ascii="宋体" w:hAnsi="宋体" w:cs="宋体" w:eastAsia="宋体" w:hint="default"/>
        </w:rPr>
        <w:t>II. </w:t>
      </w:r>
      <w:r>
        <w:rPr/>
        <w:t>具有完成该无形资产并使用或出售的意图；</w:t>
      </w:r>
    </w:p>
    <w:p>
      <w:pPr>
        <w:pStyle w:val="BodyText"/>
        <w:spacing w:line="319" w:lineRule="auto" w:before="27"/>
        <w:ind w:left="784" w:right="1123" w:hanging="361"/>
        <w:jc w:val="left"/>
      </w:pPr>
      <w:r>
        <w:rPr>
          <w:rFonts w:ascii="宋体" w:hAnsi="宋体" w:cs="宋体" w:eastAsia="宋体" w:hint="default"/>
        </w:rPr>
        <w:t>III.</w:t>
      </w:r>
      <w:r>
        <w:rPr/>
        <w:t>无形资产产生经济利益的方式，包括能够证明运用该无形资产生产的产品存在市场或无形资产自身存在市场，无形</w:t>
      </w:r>
      <w:r>
        <w:rPr>
          <w:spacing w:val="-83"/>
        </w:rPr>
        <w:t> </w:t>
      </w:r>
      <w:r>
        <w:rPr>
          <w:spacing w:val="-83"/>
        </w:rPr>
      </w:r>
      <w:r>
        <w:rPr/>
        <w:t>资产将在内部使用的，能够证明其有用性；</w:t>
      </w:r>
    </w:p>
    <w:p>
      <w:pPr>
        <w:pStyle w:val="BodyText"/>
        <w:spacing w:line="357" w:lineRule="auto" w:before="58"/>
        <w:ind w:left="424" w:right="1842"/>
        <w:jc w:val="left"/>
      </w:pPr>
      <w:r>
        <w:rPr>
          <w:rFonts w:ascii="宋体" w:hAnsi="宋体" w:cs="宋体" w:eastAsia="宋体" w:hint="default"/>
        </w:rPr>
        <w:t>IV. </w:t>
      </w:r>
      <w:r>
        <w:rPr/>
        <w:t>有足够的技术、财务资源和其他资源支持，以完成该无形资产的开发，并有能力使用或出售该无形资产； </w:t>
      </w:r>
      <w:r>
        <w:rPr>
          <w:rFonts w:ascii="宋体" w:hAnsi="宋体" w:cs="宋体" w:eastAsia="宋体" w:hint="default"/>
        </w:rPr>
        <w:t>V.  </w:t>
      </w:r>
      <w:r>
        <w:rPr/>
        <w:t>归属于该无形资产开发阶段的支出能够可靠地计量。</w:t>
      </w:r>
    </w:p>
    <w:p>
      <w:pPr>
        <w:pStyle w:val="BodyText"/>
        <w:spacing w:line="360" w:lineRule="auto" w:before="28"/>
        <w:ind w:left="876" w:right="1210" w:hanging="363"/>
        <w:jc w:val="left"/>
      </w:pPr>
      <w:r>
        <w:rPr/>
        <w:t>不满足上述条件的开发支出计入当期损益。 已资本化的开发阶段的支出在资产负债表上列示为开发支出，自该项目达到预定可使用状态之日转为无形资产。</w:t>
      </w:r>
    </w:p>
    <w:p>
      <w:pPr>
        <w:pStyle w:val="Heading5"/>
        <w:spacing w:line="273" w:lineRule="auto"/>
        <w:ind w:left="154" w:right="0" w:firstLine="420"/>
        <w:jc w:val="left"/>
      </w:pPr>
      <w:r>
        <w:rPr>
          <w:spacing w:val="-1"/>
        </w:rPr>
        <w:t>本公司在具体界定研发支出资本化在满足上述条件时，还需研发项目获取对应的著作权、专利权、非</w:t>
      </w:r>
      <w:r>
        <w:rPr/>
        <w:t> 专利权等权属登记。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7"/>
        <w:ind w:left="154" w:right="0"/>
        <w:jc w:val="left"/>
        <w:rPr>
          <w:b w:val="0"/>
          <w:bCs w:val="0"/>
        </w:rPr>
      </w:pPr>
      <w:bookmarkStart w:name="20、长期资产减值" w:id="197"/>
      <w:bookmarkEnd w:id="197"/>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16" w:right="0"/>
        <w:jc w:val="left"/>
      </w:pPr>
      <w:r>
        <w:rPr>
          <w:rFonts w:ascii="Times New Roman" w:hAnsi="Times New Roman" w:cs="Times New Roman" w:eastAsia="Times New Roman" w:hint="default"/>
        </w:rPr>
        <w:t>20.1</w:t>
      </w:r>
      <w:r>
        <w:rPr>
          <w:rFonts w:ascii="Times New Roman" w:hAnsi="Times New Roman" w:cs="Times New Roman" w:eastAsia="Times New Roman" w:hint="default"/>
          <w:spacing w:val="26"/>
        </w:rPr>
        <w:t> </w:t>
      </w:r>
      <w:r>
        <w:rPr/>
        <w:t>除存货及金融资产外，其他主要类别资产的资产减值准备确定方法</w:t>
      </w:r>
    </w:p>
    <w:p>
      <w:pPr>
        <w:pStyle w:val="BodyText"/>
        <w:spacing w:line="314" w:lineRule="auto" w:before="102"/>
        <w:ind w:left="154" w:right="1032" w:firstLine="262"/>
        <w:jc w:val="left"/>
      </w:pPr>
      <w:r>
        <w:rPr>
          <w:spacing w:val="-2"/>
        </w:rPr>
        <w:t>（</w:t>
      </w:r>
      <w:r>
        <w:rPr>
          <w:rFonts w:ascii="Times New Roman" w:hAnsi="Times New Roman" w:cs="Times New Roman" w:eastAsia="Times New Roman" w:hint="default"/>
          <w:spacing w:val="-2"/>
        </w:rPr>
        <w:t>1</w:t>
      </w:r>
      <w:r>
        <w:rPr>
          <w:spacing w:val="-2"/>
        </w:rPr>
        <w:t>）公司在资产负债表日按照单项资产是否存在可能发生减值的迹象。存在减值迹象的，进行减值测试，估计资产的可</w:t>
      </w:r>
      <w:r>
        <w:rPr/>
        <w:t> 收回金额。资产的可收回金额低于其账面价值的，将资产的账面价值减记至可收回金额，减记的金额确认为资产减值损失， </w:t>
      </w:r>
      <w:r>
        <w:rPr>
          <w:spacing w:val="-2"/>
        </w:rPr>
        <w:t>计入当期损益，同时计提相应的资产减值准备。资产减值损失确认后，减值资产的折旧或者摊销费用应当在未来期间作相应</w:t>
      </w:r>
      <w:r>
        <w:rPr>
          <w:spacing w:val="-66"/>
        </w:rPr>
        <w:t> </w:t>
      </w:r>
      <w:r>
        <w:rPr>
          <w:spacing w:val="-66"/>
        </w:rPr>
      </w:r>
      <w:r>
        <w:rPr>
          <w:spacing w:val="-2"/>
        </w:rPr>
        <w:t>调整，以使该资产在剩余使用寿命内，系统地分摊调整后的资产账面价值（扣除预计净残值）。资产减值损失一经确认，在</w:t>
      </w:r>
      <w:r>
        <w:rPr>
          <w:spacing w:val="-67"/>
        </w:rPr>
        <w:t> </w:t>
      </w:r>
      <w:r>
        <w:rPr>
          <w:spacing w:val="-67"/>
        </w:rPr>
      </w:r>
      <w:r>
        <w:rPr/>
        <w:t>以后会计期间不得转回。</w:t>
      </w:r>
    </w:p>
    <w:p>
      <w:pPr>
        <w:pStyle w:val="BodyText"/>
        <w:spacing w:line="240" w:lineRule="auto" w:before="60"/>
        <w:ind w:left="416" w:right="0"/>
        <w:jc w:val="left"/>
      </w:pPr>
      <w:r>
        <w:rPr/>
        <w:t>（</w:t>
      </w:r>
      <w:r>
        <w:rPr>
          <w:rFonts w:ascii="Times New Roman" w:hAnsi="Times New Roman" w:cs="Times New Roman" w:eastAsia="Times New Roman" w:hint="default"/>
        </w:rPr>
        <w:t>2</w:t>
      </w:r>
      <w:r>
        <w:rPr/>
        <w:t>）存在下列迹象的，表明资产可能发生了减值：</w:t>
      </w:r>
    </w:p>
    <w:p>
      <w:pPr>
        <w:pStyle w:val="BodyText"/>
        <w:spacing w:line="240" w:lineRule="auto" w:before="102"/>
        <w:ind w:left="416" w:right="0"/>
        <w:jc w:val="left"/>
      </w:pPr>
      <w:r>
        <w:rPr/>
        <w:t>①资产的市价当期大幅度下跌，其跌幅明显高于因时间的推移或者正常使用而预计的下跌。</w:t>
      </w:r>
    </w:p>
    <w:p>
      <w:pPr>
        <w:pStyle w:val="BodyText"/>
        <w:spacing w:line="319" w:lineRule="auto" w:before="116"/>
        <w:ind w:right="1131" w:firstLine="262"/>
        <w:jc w:val="left"/>
      </w:pPr>
      <w:r>
        <w:rPr/>
        <w:t>②公司经营所处的经济、技术或者法律等环境以及资产所处的市场在当期或者将在近期发生重大变化，从而对公司产生 不利影响。</w:t>
      </w:r>
    </w:p>
    <w:p>
      <w:pPr>
        <w:pStyle w:val="BodyText"/>
        <w:spacing w:line="319" w:lineRule="auto" w:before="55"/>
        <w:ind w:right="1131" w:firstLine="262"/>
        <w:jc w:val="left"/>
      </w:pPr>
      <w:r>
        <w:rPr/>
        <w:t>③市场利率或者其他市场投资报酬率在当期已经提高，从而影响公司计算资产预计未来现金流量现值的折现率，导致资 产可收回金额大幅度降低。</w:t>
      </w:r>
    </w:p>
    <w:p>
      <w:pPr>
        <w:pStyle w:val="BodyText"/>
        <w:spacing w:line="240" w:lineRule="auto" w:before="56"/>
        <w:ind w:left="416" w:right="0"/>
        <w:jc w:val="left"/>
      </w:pPr>
      <w:r>
        <w:rPr/>
        <w:t>④有证据表明资产已经陈旧过时或者其实体已经损坏。</w:t>
      </w:r>
    </w:p>
    <w:p>
      <w:pPr>
        <w:pStyle w:val="BodyText"/>
        <w:spacing w:line="240" w:lineRule="auto" w:before="117"/>
        <w:ind w:left="416" w:right="0"/>
        <w:jc w:val="left"/>
      </w:pPr>
      <w:r>
        <w:rPr/>
        <w:t>⑤资产已经或者将被闲置、终止使用或者计划提前处置。</w:t>
      </w:r>
    </w:p>
    <w:p>
      <w:pPr>
        <w:pStyle w:val="BodyText"/>
        <w:spacing w:line="240" w:lineRule="auto" w:before="115"/>
        <w:ind w:left="416" w:right="0"/>
        <w:jc w:val="left"/>
      </w:pPr>
      <w:r>
        <w:rPr/>
        <w:t>⑥公司内部报告的证据表明资产的经济绩效已经低于或者将低于预期，如资产所创造的净现金流量或者实现的营业利润</w:t>
      </w:r>
    </w:p>
    <w:p>
      <w:pPr>
        <w:pStyle w:val="BodyText"/>
        <w:spacing w:line="240" w:lineRule="auto" w:before="77"/>
        <w:ind w:left="154" w:right="0"/>
        <w:jc w:val="left"/>
      </w:pPr>
      <w:r>
        <w:rPr/>
        <w:t>（或者亏损）远远低于（或者高于）预计金额等。</w:t>
      </w:r>
    </w:p>
    <w:p>
      <w:pPr>
        <w:pStyle w:val="BodyText"/>
        <w:spacing w:line="240" w:lineRule="auto" w:before="116"/>
        <w:ind w:left="416" w:right="0"/>
        <w:jc w:val="left"/>
      </w:pPr>
      <w:r>
        <w:rPr/>
        <w:t>⑦其他表明资产可能已经发生减值的迹象。</w:t>
      </w:r>
    </w:p>
    <w:p>
      <w:pPr>
        <w:pStyle w:val="BodyText"/>
        <w:spacing w:line="302" w:lineRule="auto" w:before="116"/>
        <w:ind w:left="154" w:right="1115" w:firstLine="262"/>
        <w:jc w:val="left"/>
      </w:pPr>
      <w:r>
        <w:rPr>
          <w:rFonts w:ascii="Times New Roman" w:hAnsi="Times New Roman" w:cs="Times New Roman" w:eastAsia="Times New Roman" w:hint="default"/>
        </w:rPr>
        <w:t>20.2</w:t>
      </w:r>
      <w:r>
        <w:rPr>
          <w:rFonts w:ascii="Times New Roman" w:hAnsi="Times New Roman" w:cs="Times New Roman" w:eastAsia="Times New Roman" w:hint="default"/>
          <w:spacing w:val="15"/>
        </w:rPr>
        <w:t> </w:t>
      </w:r>
      <w:r>
        <w:rPr/>
        <w:t>有迹象表明一项资产可能发生减值的，公司应当以单项资产为基础估计其可收回金额。公司难以对单项资产的可收 回金额进行估计的，应当以该资产所属的资产组为基础确定资产组的可收回金额。</w:t>
      </w:r>
    </w:p>
    <w:p>
      <w:pPr>
        <w:pStyle w:val="BodyText"/>
        <w:spacing w:line="319" w:lineRule="auto" w:before="68"/>
        <w:ind w:left="154" w:right="1131" w:firstLine="262"/>
        <w:jc w:val="both"/>
      </w:pPr>
      <w:r>
        <w:rPr/>
        <w:t>资产组的认定，以资产组产生的主要现金流入是否独立于其他资产或者资产组的现金流入为依据。同时，在认定资产组 </w:t>
      </w:r>
      <w:r>
        <w:rPr>
          <w:spacing w:val="-2"/>
        </w:rPr>
        <w:t>时，考虑公司管理层管理生产经营活动的方式（如是按照生产线、业务种类还是按照地区或者区域等）和对资产的持续使用</w:t>
      </w:r>
      <w:r>
        <w:rPr>
          <w:spacing w:val="-66"/>
        </w:rPr>
        <w:t> </w:t>
      </w:r>
      <w:r>
        <w:rPr>
          <w:spacing w:val="-66"/>
        </w:rPr>
      </w:r>
      <w:r>
        <w:rPr/>
        <w:t>或者处置的决策方式等。资产组一经确定，各个会计期间应当保持一致，不得随意变更。</w:t>
      </w:r>
    </w:p>
    <w:p>
      <w:pPr>
        <w:pStyle w:val="BodyText"/>
        <w:spacing w:line="302" w:lineRule="auto" w:before="55"/>
        <w:ind w:left="154" w:right="1115" w:firstLine="262"/>
        <w:jc w:val="left"/>
      </w:pPr>
      <w:r>
        <w:rPr>
          <w:rFonts w:ascii="Times New Roman" w:hAnsi="Times New Roman" w:cs="Times New Roman" w:eastAsia="Times New Roman" w:hint="default"/>
        </w:rPr>
        <w:t>20.3</w:t>
      </w:r>
      <w:r>
        <w:rPr>
          <w:rFonts w:ascii="Times New Roman" w:hAnsi="Times New Roman" w:cs="Times New Roman" w:eastAsia="Times New Roman" w:hint="default"/>
          <w:spacing w:val="15"/>
        </w:rPr>
        <w:t> </w:t>
      </w:r>
      <w:r>
        <w:rPr/>
        <w:t>因企业合并所形成的商誉和使用寿命不确定的无形资产以及未探明矿区权益，无论是否存在减值迹象，每年都应当 进行减值测试。</w:t>
      </w:r>
    </w:p>
    <w:p>
      <w:pPr>
        <w:pStyle w:val="BodyText"/>
        <w:spacing w:line="240" w:lineRule="auto" w:before="69"/>
        <w:ind w:left="154" w:right="0"/>
        <w:jc w:val="left"/>
      </w:pPr>
      <w:r>
        <w:rPr>
          <w:rFonts w:ascii="Times New Roman" w:hAnsi="Times New Roman" w:cs="Times New Roman" w:eastAsia="Times New Roman" w:hint="default"/>
        </w:rPr>
        <w:t>20.4 </w:t>
      </w:r>
      <w:r>
        <w:rPr>
          <w:rFonts w:ascii="Times New Roman" w:hAnsi="Times New Roman" w:cs="Times New Roman" w:eastAsia="Times New Roman" w:hint="default"/>
          <w:spacing w:val="39"/>
        </w:rPr>
        <w:t> </w:t>
      </w:r>
      <w:r>
        <w:rPr/>
        <w:t>资产减值损失确认后，减值资产的折旧或者摊销费用应当在未来期间作相应调整，以使该资产在剩余使用寿命内，系</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统地分摊调整后的资产账面价值（扣除预计净残值）。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21、长期待摊费用" w:id="198"/>
      <w:bookmarkEnd w:id="198"/>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jc w:val="left"/>
      </w:pPr>
      <w:r>
        <w:rPr>
          <w:spacing w:val="-2"/>
        </w:rPr>
        <w:t>长期待摊费用是指公司已经发生但应由本期和以后各期分担的分摊期限在一年以上（不含一年）的各项费用，包括以经营租</w:t>
      </w:r>
      <w:r>
        <w:rPr>
          <w:spacing w:val="-66"/>
        </w:rPr>
        <w:t> </w:t>
      </w:r>
      <w:r>
        <w:rPr>
          <w:spacing w:val="-66"/>
        </w:rPr>
      </w:r>
      <w:r>
        <w:rPr/>
        <w:t>赁方式租入的固定资产改良支出等。</w:t>
      </w:r>
    </w:p>
    <w:p>
      <w:pPr>
        <w:pStyle w:val="BodyText"/>
        <w:spacing w:line="326" w:lineRule="auto" w:before="56"/>
        <w:ind w:right="1029" w:firstLine="290"/>
        <w:jc w:val="left"/>
      </w:pPr>
      <w:r>
        <w:rPr>
          <w:spacing w:val="-2"/>
        </w:rPr>
        <w:t>长期待摊费用按实际支出入账，在项目受益期内平均摊销。长期待摊费用按实际发生额核算，在项目受益期内平均摊销，</w:t>
      </w:r>
      <w:r>
        <w:rPr/>
        <w:t> </w:t>
      </w:r>
      <w:r>
        <w:rPr>
          <w:spacing w:val="-2"/>
        </w:rPr>
        <w:t>如果不能再使以后各期受益，将余额一次计入当期损益。长期待摊费用有明确受益期限或可使用期限的，按受益期限或可使</w:t>
      </w:r>
      <w:r>
        <w:rPr>
          <w:spacing w:val="-66"/>
        </w:rPr>
        <w:t> </w:t>
      </w:r>
      <w:r>
        <w:rPr>
          <w:spacing w:val="-66"/>
        </w:rPr>
      </w:r>
      <w:r>
        <w:rPr/>
        <w:t>用期限摊销，没有明确受益期或可使用期限的，按</w:t>
      </w:r>
      <w:r>
        <w:rPr>
          <w:rFonts w:ascii="Times New Roman" w:hAnsi="Times New Roman" w:cs="Times New Roman" w:eastAsia="Times New Roman" w:hint="default"/>
        </w:rPr>
        <w:t>5</w:t>
      </w:r>
      <w:r>
        <w:rPr/>
        <w:t>年平均摊销。 开办费按实际发生额核算，在开始生产经营的当月一次计入当期损益。</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bookmarkStart w:name="22、职工薪酬" w:id="199"/>
      <w:bookmarkEnd w:id="199"/>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短期薪酬的会计处理方法" w:id="200"/>
      <w:bookmarkEnd w:id="20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本公司在职工提供服务的会计期间，将实际发生的短期薪酬确认为负债，并计入当期损益或相关资产成本。</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离职后福利的会计处理方法" w:id="201"/>
      <w:bookmarkEnd w:id="20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360"/>
        <w:jc w:val="both"/>
      </w:pPr>
      <w:r>
        <w:rPr>
          <w:spacing w:val="-2"/>
        </w:rPr>
        <w:t>本公司将离职后福利计划分类为设定提存计划和设定受益计划。本公司在职工提供服务的会计期间，将根据设定提存计</w:t>
      </w:r>
      <w:r>
        <w:rPr/>
        <w:t> </w:t>
      </w:r>
      <w:r>
        <w:rPr>
          <w:spacing w:val="-2"/>
        </w:rPr>
        <w:t>划计算的应缴存金额确认为负债，并计入当期损益或相关资产成本；根据预期累计福利单位法确定的公式将设定受益计划产</w:t>
      </w:r>
      <w:r>
        <w:rPr>
          <w:spacing w:val="-64"/>
        </w:rPr>
        <w:t> </w:t>
      </w:r>
      <w:r>
        <w:rPr>
          <w:spacing w:val="-64"/>
        </w:rPr>
      </w:r>
      <w:r>
        <w:rPr/>
        <w:t>生的福利义务归属于职工提供服务的期间，并计入当期损益或相关资产成本。</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3）辞退福利的会计处理方法" w:id="202"/>
      <w:bookmarkEnd w:id="20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r>
        <w:rPr/>
        <w:t>本公司向职工提供的辞退福利，在下列两者孰早日确认辞退福利产生的职工薪酬负债，并计入当期损益：</w:t>
      </w:r>
    </w:p>
    <w:p>
      <w:pPr>
        <w:pStyle w:val="BodyText"/>
        <w:spacing w:line="240" w:lineRule="auto" w:before="117"/>
        <w:ind w:left="513" w:right="0"/>
        <w:jc w:val="left"/>
      </w:pPr>
      <w:r>
        <w:rPr/>
        <w:t>（</w:t>
      </w:r>
      <w:r>
        <w:rPr>
          <w:rFonts w:ascii="Times New Roman" w:hAnsi="Times New Roman" w:cs="Times New Roman" w:eastAsia="Times New Roman" w:hint="default"/>
        </w:rPr>
        <w:t>a</w:t>
      </w:r>
      <w:r>
        <w:rPr/>
        <w:t>）企业不能单方面撤回因解除劳动关系计划或裁减建议所提供的辞退福利时。</w:t>
      </w:r>
    </w:p>
    <w:p>
      <w:pPr>
        <w:pStyle w:val="BodyText"/>
        <w:spacing w:line="240" w:lineRule="auto" w:before="102"/>
        <w:ind w:right="0"/>
        <w:jc w:val="left"/>
      </w:pPr>
      <w:r>
        <w:rPr/>
        <w:t>（</w:t>
      </w:r>
      <w:r>
        <w:rPr>
          <w:rFonts w:ascii="Times New Roman" w:hAnsi="Times New Roman" w:cs="Times New Roman" w:eastAsia="Times New Roman" w:hint="default"/>
        </w:rPr>
        <w:t>b</w:t>
      </w:r>
      <w:r>
        <w:rPr/>
        <w:t>）企业确认与涉及支付辞退福利的重组相关的成本或费用时。</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其他长期职工福利的会计处理方法" w:id="203"/>
      <w:bookmarkEnd w:id="20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firstLine="360"/>
        <w:jc w:val="left"/>
      </w:pPr>
      <w:r>
        <w:rPr>
          <w:spacing w:val="-2"/>
        </w:rPr>
        <w:t>企业向职工提供的其他长期职工福利，符合设定提存计划条件的，适用设定提存计划的有关规定进行处理；否则，适用</w:t>
      </w:r>
      <w:r>
        <w:rPr/>
        <w:t> 关于设定受益计划的有关规定。</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23、预计负债" w:id="204"/>
      <w:bookmarkEnd w:id="204"/>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9"/>
        <w:rPr>
          <w:rFonts w:ascii="宋体" w:hAnsi="宋体" w:cs="宋体" w:eastAsia="宋体" w:hint="default"/>
          <w:b/>
          <w:bCs/>
          <w:sz w:val="26"/>
          <w:szCs w:val="26"/>
        </w:rPr>
      </w:pPr>
    </w:p>
    <w:p>
      <w:pPr>
        <w:spacing w:line="338" w:lineRule="auto" w:before="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23.1</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预计负债的确认原则</w:t>
      </w:r>
      <w:r>
        <w:rPr>
          <w:rFonts w:ascii="宋体" w:hAnsi="宋体" w:cs="宋体" w:eastAsia="宋体" w:hint="default"/>
          <w:b/>
          <w:bCs/>
          <w:w w:val="99"/>
          <w:sz w:val="18"/>
          <w:szCs w:val="18"/>
        </w:rPr>
        <w:t> </w:t>
      </w:r>
      <w:r>
        <w:rPr>
          <w:rFonts w:ascii="宋体" w:hAnsi="宋体" w:cs="宋体" w:eastAsia="宋体" w:hint="default"/>
          <w:spacing w:val="-2"/>
          <w:sz w:val="18"/>
          <w:szCs w:val="18"/>
        </w:rPr>
        <w:t>当与对外担保、未决诉讼或仲裁、产品质量保证、裁员计划、亏损合同、重组义务、固定资产弃置义务等或有事项相关</w:t>
      </w:r>
    </w:p>
    <w:p>
      <w:pPr>
        <w:pStyle w:val="BodyText"/>
        <w:spacing w:line="240" w:lineRule="auto" w:before="4"/>
        <w:ind w:right="0"/>
        <w:jc w:val="left"/>
      </w:pPr>
      <w:r>
        <w:rPr/>
        <w:t>的业务同时符合以下条件时，确认为负债：</w:t>
      </w:r>
    </w:p>
    <w:p>
      <w:pPr>
        <w:pStyle w:val="BodyText"/>
        <w:spacing w:line="240" w:lineRule="auto" w:before="116"/>
        <w:ind w:left="513"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02"/>
        <w:ind w:left="513" w:right="0"/>
        <w:jc w:val="left"/>
      </w:pPr>
      <w:r>
        <w:rPr/>
        <w:t>（</w:t>
      </w:r>
      <w:r>
        <w:rPr>
          <w:rFonts w:ascii="Times New Roman" w:hAnsi="Times New Roman" w:cs="Times New Roman" w:eastAsia="Times New Roman" w:hint="default"/>
        </w:rPr>
        <w:t>2</w:t>
      </w:r>
      <w:r>
        <w:rPr/>
        <w:t>）该义务的履行很可能导致经济利益流出企业。</w:t>
      </w:r>
    </w:p>
    <w:p>
      <w:pPr>
        <w:pStyle w:val="BodyText"/>
        <w:spacing w:line="240" w:lineRule="auto" w:before="103"/>
        <w:ind w:left="514" w:right="0"/>
        <w:jc w:val="left"/>
      </w:pPr>
      <w:r>
        <w:rPr/>
        <w:t>（</w:t>
      </w:r>
      <w:r>
        <w:rPr>
          <w:rFonts w:ascii="Times New Roman" w:hAnsi="Times New Roman" w:cs="Times New Roman" w:eastAsia="Times New Roman" w:hint="default"/>
        </w:rPr>
        <w:t>3</w:t>
      </w:r>
      <w:r>
        <w:rPr/>
        <w:t>）该义务的金额能够可靠地计量。</w:t>
      </w:r>
    </w:p>
    <w:p>
      <w:pPr>
        <w:pStyle w:val="Heading6"/>
        <w:spacing w:line="240" w:lineRule="auto"/>
        <w:ind w:right="0"/>
        <w:jc w:val="left"/>
        <w:rPr>
          <w:b w:val="0"/>
          <w:bCs w:val="0"/>
        </w:rPr>
      </w:pPr>
      <w:r>
        <w:rPr>
          <w:rFonts w:ascii="Times New Roman" w:hAnsi="Times New Roman" w:cs="Times New Roman" w:eastAsia="Times New Roman" w:hint="default"/>
        </w:rPr>
        <w:t>23.2</w:t>
      </w:r>
      <w:r>
        <w:rPr>
          <w:rFonts w:ascii="Times New Roman" w:hAnsi="Times New Roman" w:cs="Times New Roman" w:eastAsia="Times New Roman" w:hint="default"/>
          <w:spacing w:val="30"/>
        </w:rPr>
        <w:t> </w:t>
      </w:r>
      <w:r>
        <w:rPr/>
        <w:t>预计负债的计量方法</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19" w:lineRule="auto" w:before="44"/>
        <w:ind w:right="0" w:firstLine="360"/>
        <w:jc w:val="left"/>
      </w:pPr>
      <w:r>
        <w:rPr>
          <w:spacing w:val="-2"/>
        </w:rPr>
        <w:t>预计负债按照履行现时义务所需支出的最佳估计数进行初始计量。所需支出存在一个连续范围，且该范围内各种结果发</w:t>
      </w:r>
      <w:r>
        <w:rPr/>
        <w:t> 生的可能性相同的最佳估计数按该范围的中间值确定</w:t>
      </w:r>
      <w:r>
        <w:rPr>
          <w:rFonts w:ascii="Times New Roman" w:hAnsi="Times New Roman" w:cs="Times New Roman" w:eastAsia="Times New Roman" w:hint="default"/>
        </w:rPr>
        <w:t>;</w:t>
      </w:r>
      <w:r>
        <w:rPr/>
        <w:t>在其他情况下，最佳估计数按如下方法确定：</w:t>
      </w:r>
    </w:p>
    <w:p>
      <w:pPr>
        <w:pStyle w:val="BodyText"/>
        <w:spacing w:line="240" w:lineRule="auto" w:before="36"/>
        <w:ind w:left="513" w:right="0"/>
        <w:jc w:val="left"/>
      </w:pPr>
      <w:r>
        <w:rPr/>
        <w:t>（</w:t>
      </w:r>
      <w:r>
        <w:rPr>
          <w:rFonts w:ascii="Times New Roman" w:hAnsi="Times New Roman" w:cs="Times New Roman" w:eastAsia="Times New Roman" w:hint="default"/>
        </w:rPr>
        <w:t>1</w:t>
      </w:r>
      <w:r>
        <w:rPr/>
        <w:t>）或有事项涉及单个项目时，最佳估计数按最可能发生金额确定。</w:t>
      </w:r>
    </w:p>
    <w:p>
      <w:pPr>
        <w:pStyle w:val="BodyText"/>
        <w:spacing w:line="338" w:lineRule="auto" w:before="103"/>
        <w:ind w:left="444" w:right="0" w:firstLine="69"/>
        <w:jc w:val="left"/>
      </w:pPr>
      <w:r>
        <w:rPr/>
        <w:t>（</w:t>
      </w:r>
      <w:r>
        <w:rPr>
          <w:rFonts w:ascii="Times New Roman" w:hAnsi="Times New Roman" w:cs="Times New Roman" w:eastAsia="Times New Roman" w:hint="default"/>
        </w:rPr>
        <w:t>2</w:t>
      </w:r>
      <w:r>
        <w:rPr/>
        <w:t>）或有事项涉及多个项目时，最佳估计数按各种可能发生额及其发生概率计算确定。 </w:t>
      </w:r>
      <w:r>
        <w:rPr>
          <w:spacing w:val="-1"/>
        </w:rPr>
        <w:t>公司清偿预计负债所需支出全部或部分预期由第三方或其他方补偿的，则补偿金额在基本确定能收到时，作为资产单独</w:t>
      </w:r>
    </w:p>
    <w:p>
      <w:pPr>
        <w:pStyle w:val="BodyText"/>
        <w:spacing w:line="240" w:lineRule="auto" w:before="4"/>
        <w:ind w:right="0"/>
        <w:jc w:val="left"/>
      </w:pPr>
      <w:r>
        <w:rPr/>
        <w:t>确认。确认的补偿金额不超过所确认预计负债的账面价值。</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4、股份支付" w:id="205"/>
      <w:bookmarkEnd w:id="205"/>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0" w:firstLine="360"/>
        <w:jc w:val="left"/>
      </w:pPr>
      <w:r>
        <w:rPr>
          <w:spacing w:val="-2"/>
        </w:rPr>
        <w:t>股份支付是指本公司为获取职工和其他方提供服务而授予权益工具或者承担以权益工具为基础确定的负债的交易，包括</w:t>
      </w:r>
      <w:r>
        <w:rPr/>
        <w:t> 以权益结算和以现金结算两种方式。</w:t>
      </w:r>
    </w:p>
    <w:p>
      <w:pPr>
        <w:pStyle w:val="BodyText"/>
        <w:spacing w:line="319" w:lineRule="auto" w:before="55"/>
        <w:ind w:left="154" w:right="0" w:firstLine="360"/>
        <w:jc w:val="left"/>
      </w:pPr>
      <w:r>
        <w:rPr>
          <w:spacing w:val="-2"/>
        </w:rPr>
        <w:t>以权益结算的股份支付，是指本公司为获取服务以股份或其他权益工具作为对价进行结算的交易；以现金结算的股份支</w:t>
      </w:r>
      <w:r>
        <w:rPr/>
        <w:t> 付，是指本公司为获取服务承担以股份或其他权益工具为基础计算确定的交付现金或其他资产义务的交易。</w:t>
      </w:r>
    </w:p>
    <w:p>
      <w:pPr>
        <w:pStyle w:val="Heading6"/>
        <w:spacing w:line="240" w:lineRule="auto" w:before="58"/>
        <w:ind w:right="0"/>
        <w:jc w:val="left"/>
        <w:rPr>
          <w:b w:val="0"/>
          <w:bCs w:val="0"/>
        </w:rPr>
      </w:pPr>
      <w:r>
        <w:rPr>
          <w:rFonts w:ascii="Times New Roman" w:hAnsi="Times New Roman" w:cs="Times New Roman" w:eastAsia="Times New Roman" w:hint="default"/>
        </w:rPr>
        <w:t>24.1</w:t>
      </w:r>
      <w:r>
        <w:rPr>
          <w:rFonts w:ascii="Times New Roman" w:hAnsi="Times New Roman" w:cs="Times New Roman" w:eastAsia="Times New Roman" w:hint="default"/>
          <w:spacing w:val="23"/>
        </w:rPr>
        <w:t> </w:t>
      </w:r>
      <w:r>
        <w:rPr/>
        <w:t>本公司为换取职工提供的服务而提供的以权益结算的股份支付，以授予职工权益工具的公允价值计量。</w:t>
      </w:r>
      <w:r>
        <w:rPr>
          <w:b w:val="0"/>
          <w:bCs w:val="0"/>
        </w:rPr>
      </w:r>
    </w:p>
    <w:p>
      <w:pPr>
        <w:pStyle w:val="BodyText"/>
        <w:spacing w:line="302" w:lineRule="auto" w:before="101"/>
        <w:ind w:left="154" w:right="1122" w:firstLine="360"/>
        <w:jc w:val="left"/>
      </w:pPr>
      <w:r>
        <w:rPr/>
        <w:t>（</w:t>
      </w:r>
      <w:r>
        <w:rPr>
          <w:rFonts w:ascii="Times New Roman" w:hAnsi="Times New Roman" w:cs="Times New Roman" w:eastAsia="Times New Roman" w:hint="default"/>
        </w:rPr>
        <w:t>1</w:t>
      </w:r>
      <w:r>
        <w:rPr/>
        <w:t>）授予后立即可行权的换取职工服务的以权益结算的股份支付，在授予日按照权益工具的公允价值计入相关成本或 费用，相应增加资本公积；</w:t>
      </w:r>
    </w:p>
    <w:p>
      <w:pPr>
        <w:pStyle w:val="BodyText"/>
        <w:spacing w:line="309" w:lineRule="auto" w:before="68"/>
        <w:ind w:left="154" w:right="1131" w:firstLine="360"/>
        <w:jc w:val="both"/>
      </w:pPr>
      <w:r>
        <w:rPr/>
        <w:t>（</w:t>
      </w:r>
      <w:r>
        <w:rPr>
          <w:rFonts w:ascii="Times New Roman" w:hAnsi="Times New Roman" w:cs="Times New Roman" w:eastAsia="Times New Roman" w:hint="default"/>
        </w:rPr>
        <w:t>2</w:t>
      </w:r>
      <w:r>
        <w:rPr/>
        <w:t>）完成可行权条件得到满足的期间（等待期）内的服务或达到规定业绩条件才可行权的换取职工服务的以权益结算 </w:t>
      </w:r>
      <w:r>
        <w:rPr>
          <w:spacing w:val="-2"/>
        </w:rPr>
        <w:t>的股份支付，在等待期内的每个资产负债表日，以对可行权权益工具数量的最佳估计为基础，按照权益工具授予日的公允价</w:t>
      </w:r>
      <w:r>
        <w:rPr>
          <w:spacing w:val="-66"/>
        </w:rPr>
        <w:t> </w:t>
      </w:r>
      <w:r>
        <w:rPr>
          <w:spacing w:val="-66"/>
        </w:rPr>
      </w:r>
      <w:r>
        <w:rPr/>
        <w:t>值，将当期取得的服务计入相关成本或费用或资本公积。</w:t>
      </w:r>
    </w:p>
    <w:p>
      <w:pPr>
        <w:pStyle w:val="BodyText"/>
        <w:spacing w:line="302" w:lineRule="auto" w:before="64"/>
        <w:ind w:left="154" w:right="1122" w:firstLine="360"/>
        <w:jc w:val="left"/>
      </w:pPr>
      <w:r>
        <w:rPr/>
        <w:t>（</w:t>
      </w:r>
      <w:r>
        <w:rPr>
          <w:rFonts w:ascii="Times New Roman" w:hAnsi="Times New Roman" w:cs="Times New Roman" w:eastAsia="Times New Roman" w:hint="default"/>
        </w:rPr>
        <w:t>3</w:t>
      </w:r>
      <w:r>
        <w:rPr/>
        <w:t>）在资产负债表日，后续信息表明可行权权益工具的数量与以前估计不同的，应当进行调整，并在可行权日调整至 实际可行权的权益工具数量。</w:t>
      </w:r>
    </w:p>
    <w:p>
      <w:pPr>
        <w:pStyle w:val="BodyText"/>
        <w:spacing w:line="240" w:lineRule="auto" w:before="69"/>
        <w:ind w:left="514" w:right="0"/>
        <w:jc w:val="left"/>
      </w:pPr>
      <w:r>
        <w:rPr/>
        <w:t>（</w:t>
      </w:r>
      <w:r>
        <w:rPr>
          <w:rFonts w:ascii="Times New Roman" w:hAnsi="Times New Roman" w:cs="Times New Roman" w:eastAsia="Times New Roman" w:hint="default"/>
        </w:rPr>
        <w:t>4</w:t>
      </w:r>
      <w:r>
        <w:rPr/>
        <w:t>）本公司在可行权日之后不再对已确认的相关成本或费用和所有者权益总额进行调整。</w:t>
      </w:r>
    </w:p>
    <w:p>
      <w:pPr>
        <w:pStyle w:val="Heading6"/>
        <w:spacing w:line="302" w:lineRule="auto" w:before="101"/>
        <w:ind w:left="153" w:right="1118" w:firstLine="361"/>
        <w:jc w:val="left"/>
        <w:rPr>
          <w:b w:val="0"/>
          <w:bCs w:val="0"/>
        </w:rPr>
      </w:pPr>
      <w:r>
        <w:rPr>
          <w:rFonts w:ascii="Times New Roman" w:hAnsi="Times New Roman" w:cs="Times New Roman" w:eastAsia="Times New Roman" w:hint="default"/>
        </w:rPr>
        <w:t>24.2</w:t>
      </w:r>
      <w:r>
        <w:rPr>
          <w:rFonts w:ascii="Times New Roman" w:hAnsi="Times New Roman" w:cs="Times New Roman" w:eastAsia="Times New Roman" w:hint="default"/>
          <w:spacing w:val="4"/>
        </w:rPr>
        <w:t> </w:t>
      </w:r>
      <w:r>
        <w:rPr/>
        <w:t>本公司提供的以现金结算的股份支付，按照本公司承担的以股份或其他权益工具为基础计算确定的负债的公允价</w:t>
      </w:r>
      <w:r>
        <w:rPr>
          <w:spacing w:val="1"/>
          <w:w w:val="99"/>
        </w:rPr>
        <w:t> </w:t>
      </w:r>
      <w:r>
        <w:rPr/>
        <w:t>值计量。</w:t>
      </w:r>
      <w:r>
        <w:rPr>
          <w:b w:val="0"/>
          <w:bCs w:val="0"/>
        </w:rPr>
      </w:r>
    </w:p>
    <w:p>
      <w:pPr>
        <w:pStyle w:val="BodyText"/>
        <w:spacing w:line="302" w:lineRule="auto" w:before="69"/>
        <w:ind w:left="154" w:right="1122" w:firstLine="360"/>
        <w:jc w:val="left"/>
      </w:pPr>
      <w:r>
        <w:rPr/>
        <w:t>（</w:t>
      </w:r>
      <w:r>
        <w:rPr>
          <w:rFonts w:ascii="Times New Roman" w:hAnsi="Times New Roman" w:cs="Times New Roman" w:eastAsia="Times New Roman" w:hint="default"/>
        </w:rPr>
        <w:t>1</w:t>
      </w:r>
      <w:r>
        <w:rPr/>
        <w:t>）授予后立即可行权的以现金结算的股份支付，在授予日以企业承担负债的公允价值计入相关成本或费用，相应增 加负债；</w:t>
      </w:r>
    </w:p>
    <w:p>
      <w:pPr>
        <w:pStyle w:val="BodyText"/>
        <w:spacing w:line="309" w:lineRule="auto" w:before="68"/>
        <w:ind w:left="154" w:right="1131" w:firstLine="360"/>
        <w:jc w:val="both"/>
      </w:pPr>
      <w:r>
        <w:rPr/>
        <w:t>（</w:t>
      </w:r>
      <w:r>
        <w:rPr>
          <w:rFonts w:ascii="Times New Roman" w:hAnsi="Times New Roman" w:cs="Times New Roman" w:eastAsia="Times New Roman" w:hint="default"/>
        </w:rPr>
        <w:t>2</w:t>
      </w:r>
      <w:r>
        <w:rPr/>
        <w:t>）完成等待期内的服务或达到规定业绩条件以后才可行权的以现金结算的股份支付，在等待期内的每个资产负债表 </w:t>
      </w:r>
      <w:r>
        <w:rPr>
          <w:spacing w:val="-2"/>
        </w:rPr>
        <w:t>日，以对可行权情况的最佳估计为基础，按照本公司承担负债的公允价值金额，将当期取得的服务计入成本或费用和相应的</w:t>
      </w:r>
      <w:r>
        <w:rPr>
          <w:spacing w:val="-66"/>
        </w:rPr>
        <w:t> </w:t>
      </w:r>
      <w:r>
        <w:rPr>
          <w:spacing w:val="-66"/>
        </w:rPr>
      </w:r>
      <w:r>
        <w:rPr/>
        <w:t>负债。</w:t>
      </w:r>
    </w:p>
    <w:p>
      <w:pPr>
        <w:pStyle w:val="BodyText"/>
        <w:spacing w:line="302" w:lineRule="auto" w:before="62"/>
        <w:ind w:left="154" w:right="1122" w:firstLine="360"/>
        <w:jc w:val="left"/>
      </w:pPr>
      <w:r>
        <w:rPr/>
        <w:t>（</w:t>
      </w:r>
      <w:r>
        <w:rPr>
          <w:rFonts w:ascii="Times New Roman" w:hAnsi="Times New Roman" w:cs="Times New Roman" w:eastAsia="Times New Roman" w:hint="default"/>
        </w:rPr>
        <w:t>3</w:t>
      </w:r>
      <w:r>
        <w:rPr/>
        <w:t>）在资产负债表日，后续信息表明本公司当期承担债务的公允价值与以前估计不同的，应当进行调整，并在可行权 日调整至实际可行权水平。</w:t>
      </w:r>
    </w:p>
    <w:p>
      <w:pPr>
        <w:pStyle w:val="BodyText"/>
        <w:spacing w:line="240" w:lineRule="auto" w:before="70"/>
        <w:ind w:left="514" w:right="0"/>
        <w:jc w:val="left"/>
      </w:pPr>
      <w:r>
        <w:rPr/>
        <w:t>（</w:t>
      </w:r>
      <w:r>
        <w:rPr>
          <w:rFonts w:ascii="Times New Roman" w:hAnsi="Times New Roman" w:cs="Times New Roman" w:eastAsia="Times New Roman" w:hint="default"/>
        </w:rPr>
        <w:t>4</w:t>
      </w:r>
      <w:r>
        <w:rPr/>
        <w:t>）本公司在相关负债结算前的每个资产负债表日以及结算日，对负债的公允价值重新计量，其变动计入当期损益。</w:t>
      </w:r>
    </w:p>
    <w:p>
      <w:pPr>
        <w:pStyle w:val="Heading6"/>
        <w:spacing w:line="240" w:lineRule="auto"/>
        <w:ind w:right="0"/>
        <w:jc w:val="left"/>
        <w:rPr>
          <w:b w:val="0"/>
          <w:bCs w:val="0"/>
        </w:rPr>
      </w:pPr>
      <w:r>
        <w:rPr>
          <w:rFonts w:ascii="Times New Roman" w:hAnsi="Times New Roman" w:cs="Times New Roman" w:eastAsia="Times New Roman" w:hint="default"/>
        </w:rPr>
        <w:t>24.3</w:t>
      </w:r>
      <w:r>
        <w:rPr/>
        <w:t>根据最新取得可行权职工数变动等后续信息进行估计确定可行权权益工具最佳估计数。</w:t>
      </w:r>
      <w:r>
        <w:rPr>
          <w:b w:val="0"/>
          <w:bCs w:val="0"/>
        </w:rPr>
      </w:r>
    </w:p>
    <w:p>
      <w:pPr>
        <w:pStyle w:val="Heading6"/>
        <w:spacing w:line="240" w:lineRule="auto"/>
        <w:ind w:right="0"/>
        <w:jc w:val="left"/>
        <w:rPr>
          <w:b w:val="0"/>
          <w:bCs w:val="0"/>
        </w:rPr>
      </w:pPr>
      <w:r>
        <w:rPr>
          <w:rFonts w:ascii="Times New Roman" w:hAnsi="Times New Roman" w:cs="Times New Roman" w:eastAsia="Times New Roman" w:hint="default"/>
        </w:rPr>
        <w:t>24.4</w:t>
      </w:r>
      <w:r>
        <w:rPr>
          <w:rFonts w:ascii="Times New Roman" w:hAnsi="Times New Roman" w:cs="Times New Roman" w:eastAsia="Times New Roman" w:hint="default"/>
          <w:spacing w:val="31"/>
        </w:rPr>
        <w:t> </w:t>
      </w:r>
      <w:r>
        <w:rPr/>
        <w:t>修改计划的处理</w:t>
      </w:r>
      <w:r>
        <w:rPr>
          <w:b w:val="0"/>
          <w:bCs w:val="0"/>
        </w:rPr>
      </w:r>
    </w:p>
    <w:p>
      <w:pPr>
        <w:pStyle w:val="BodyText"/>
        <w:spacing w:line="312" w:lineRule="auto" w:before="102"/>
        <w:ind w:left="154" w:right="0" w:firstLine="360"/>
        <w:jc w:val="left"/>
      </w:pPr>
      <w:r>
        <w:rPr>
          <w:spacing w:val="-2"/>
        </w:rPr>
        <w:t>（</w:t>
      </w:r>
      <w:r>
        <w:rPr>
          <w:rFonts w:ascii="Times New Roman" w:hAnsi="Times New Roman" w:cs="Times New Roman" w:eastAsia="Times New Roman" w:hint="default"/>
          <w:spacing w:val="-2"/>
        </w:rPr>
        <w:t>1</w:t>
      </w:r>
      <w:r>
        <w:rPr>
          <w:spacing w:val="-2"/>
        </w:rPr>
        <w:t>）如果修改增加了所授予的权益工具的公允价值，本公司按照权益工具公允价值的增加相应地确认取得服务的增加。</w:t>
      </w:r>
      <w:r>
        <w:rPr/>
        <w:t> </w:t>
      </w:r>
      <w:r>
        <w:rPr>
          <w:spacing w:val="-2"/>
        </w:rPr>
        <w:t>如果修改增加了所授予的权益工具的数量，本公司将增加的权益工具的公允价值相应地确认为取得服务的增加。如果按照有</w:t>
      </w:r>
      <w:r>
        <w:rPr>
          <w:spacing w:val="-64"/>
        </w:rPr>
        <w:t> </w:t>
      </w:r>
      <w:r>
        <w:rPr>
          <w:spacing w:val="-64"/>
        </w:rPr>
      </w:r>
      <w:r>
        <w:rPr>
          <w:spacing w:val="-2"/>
        </w:rPr>
        <w:t>利于职工的方式修改可行权条件，如缩短等待期、变更或取消业绩条件（而非市场条件），在处理可行权条件时，应当考虑</w:t>
      </w:r>
      <w:r>
        <w:rPr>
          <w:spacing w:val="-68"/>
        </w:rPr>
        <w:t> </w:t>
      </w:r>
      <w:r>
        <w:rPr>
          <w:spacing w:val="-68"/>
        </w:rPr>
      </w:r>
      <w:r>
        <w:rPr/>
        <w:t>修改后的可行权条件。</w:t>
      </w:r>
    </w:p>
    <w:p>
      <w:pPr>
        <w:pStyle w:val="BodyText"/>
        <w:spacing w:line="302" w:lineRule="auto" w:before="61"/>
        <w:ind w:left="154" w:right="1122" w:firstLine="360"/>
        <w:jc w:val="left"/>
      </w:pPr>
      <w:r>
        <w:rPr/>
        <w:t>（</w:t>
      </w:r>
      <w:r>
        <w:rPr>
          <w:rFonts w:ascii="Times New Roman" w:hAnsi="Times New Roman" w:cs="Times New Roman" w:eastAsia="Times New Roman" w:hint="default"/>
        </w:rPr>
        <w:t>2</w:t>
      </w:r>
      <w:r>
        <w:rPr/>
        <w:t>）如果企业以减少股份支付公允价值总额的方式或其他不利于职工的方式修改条款和条件，企业仍应继续对取得的 服务进行会计处理，如同该变更从未发生，除非企业取消了部分或全部已授予的权益工具。</w:t>
      </w:r>
    </w:p>
    <w:p>
      <w:pPr>
        <w:pStyle w:val="BodyText"/>
        <w:spacing w:line="340" w:lineRule="auto" w:before="69"/>
        <w:ind w:left="513" w:right="1573" w:firstLine="1"/>
        <w:jc w:val="left"/>
      </w:pPr>
      <w:r>
        <w:rPr>
          <w:rFonts w:ascii="Times New Roman" w:hAnsi="Times New Roman" w:cs="Times New Roman" w:eastAsia="Times New Roman" w:hint="default"/>
          <w:b/>
          <w:bCs/>
        </w:rPr>
        <w:t>24.5</w:t>
      </w:r>
      <w:r>
        <w:rPr>
          <w:rFonts w:ascii="宋体" w:hAnsi="宋体" w:cs="宋体" w:eastAsia="宋体" w:hint="default"/>
          <w:b/>
          <w:bCs/>
        </w:rPr>
        <w:t>终止计划的处理</w:t>
      </w:r>
      <w:r>
        <w:rPr>
          <w:rFonts w:ascii="宋体" w:hAnsi="宋体" w:cs="宋体" w:eastAsia="宋体" w:hint="default"/>
          <w:b/>
          <w:bCs/>
          <w:w w:val="99"/>
        </w:rPr>
        <w:t> </w:t>
      </w:r>
      <w:r>
        <w:rPr/>
        <w:t>如果在等待期内取消了所授予的权益工具或结算了所授予的权益工具（因未满足可行权条件而被取消的除外）：</w:t>
      </w:r>
    </w:p>
    <w:p>
      <w:pPr>
        <w:spacing w:after="0" w:line="3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t>（</w:t>
      </w:r>
      <w:r>
        <w:rPr>
          <w:rFonts w:ascii="Times New Roman" w:hAnsi="Times New Roman" w:cs="Times New Roman" w:eastAsia="Times New Roman" w:hint="default"/>
        </w:rPr>
        <w:t>1</w:t>
      </w:r>
      <w:r>
        <w:rPr/>
        <w:t>）将取消或结算作为加速可行权处理，立即确认原本应在剩余等待期内确认的金额。</w:t>
      </w:r>
    </w:p>
    <w:p>
      <w:pPr>
        <w:pStyle w:val="BodyText"/>
        <w:spacing w:line="302" w:lineRule="auto" w:before="101"/>
        <w:ind w:left="154" w:right="1122" w:firstLine="360"/>
        <w:jc w:val="left"/>
      </w:pPr>
      <w:r>
        <w:rPr/>
        <w:t>（</w:t>
      </w:r>
      <w:r>
        <w:rPr>
          <w:rFonts w:ascii="Times New Roman" w:hAnsi="Times New Roman" w:cs="Times New Roman" w:eastAsia="Times New Roman" w:hint="default"/>
        </w:rPr>
        <w:t>2</w:t>
      </w:r>
      <w:r>
        <w:rPr/>
        <w:t>）在取消或结算时支付给职工的所有款项均应作为权益的回购处理，回购支付的金额高于该权益工具在回购日公允 价值的部分，计入当期费用。</w:t>
      </w:r>
    </w:p>
    <w:p>
      <w:pPr>
        <w:pStyle w:val="BodyText"/>
        <w:spacing w:line="302" w:lineRule="auto" w:before="69"/>
        <w:ind w:right="1123"/>
        <w:jc w:val="left"/>
      </w:pPr>
      <w:r>
        <w:rPr/>
        <w:t>（</w:t>
      </w:r>
      <w:r>
        <w:rPr>
          <w:rFonts w:ascii="Times New Roman" w:hAnsi="Times New Roman" w:cs="Times New Roman" w:eastAsia="Times New Roman" w:hint="default"/>
        </w:rPr>
        <w:t>3</w:t>
      </w:r>
      <w:r>
        <w:rPr/>
        <w:t>）如果向职工授予新的权益工具，并在新权益工具授予日认定所授予的新权益工具是用于替代被取消的权益工具的，以</w:t>
      </w:r>
      <w:r>
        <w:rPr>
          <w:spacing w:val="-83"/>
        </w:rPr>
        <w:t> </w:t>
      </w:r>
      <w:r>
        <w:rPr>
          <w:spacing w:val="-83"/>
        </w:rPr>
      </w:r>
      <w:r>
        <w:rPr/>
        <w:t>处理原权益工具条款和条件修改相同的方式，对所授予的替代权益工具进行处理。</w:t>
      </w:r>
    </w:p>
    <w:p>
      <w:pPr>
        <w:spacing w:line="240" w:lineRule="auto" w:before="2"/>
        <w:rPr>
          <w:rFonts w:ascii="宋体" w:hAnsi="宋体" w:cs="宋体" w:eastAsia="宋体" w:hint="default"/>
          <w:sz w:val="23"/>
          <w:szCs w:val="23"/>
        </w:rPr>
      </w:pPr>
    </w:p>
    <w:p>
      <w:pPr>
        <w:pStyle w:val="Heading4"/>
        <w:spacing w:line="240" w:lineRule="auto"/>
        <w:ind w:right="0"/>
        <w:jc w:val="left"/>
        <w:rPr>
          <w:b w:val="0"/>
          <w:bCs w:val="0"/>
        </w:rPr>
      </w:pPr>
      <w:bookmarkStart w:name="25、优先股、永续债等其他金融工具" w:id="206"/>
      <w:bookmarkEnd w:id="206"/>
      <w:r>
        <w:rPr>
          <w:b w:val="0"/>
          <w:bCs w:val="0"/>
        </w:rPr>
      </w:r>
      <w:r>
        <w:rPr>
          <w:rFonts w:ascii="Times New Roman" w:hAnsi="Times New Roman" w:cs="Times New Roman" w:eastAsia="Times New Roman" w:hint="default"/>
        </w:rPr>
        <w:t>25</w:t>
      </w:r>
      <w:r>
        <w:rPr/>
        <w:t>、优先股、永续债等其他金融工具</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1" w:firstLine="360"/>
        <w:jc w:val="both"/>
      </w:pPr>
      <w:r>
        <w:rPr>
          <w:spacing w:val="-2"/>
        </w:rPr>
        <w:t>本公司发行的金融工具按照金融工具准则和相关规定进行初始确认和计量；其后，于每个资产负债表日计提利息或分派</w:t>
      </w:r>
      <w:r>
        <w:rPr/>
        <w:t> </w:t>
      </w:r>
      <w:r>
        <w:rPr>
          <w:spacing w:val="-2"/>
        </w:rPr>
        <w:t>股利，按照相关具体企业会计准则进行处理。即以所发行金融工具的分类为基础，确定该工具利息支出或股利分配等的会计</w:t>
      </w:r>
      <w:r>
        <w:rPr>
          <w:spacing w:val="-66"/>
        </w:rPr>
        <w:t> </w:t>
      </w:r>
      <w:r>
        <w:rPr>
          <w:spacing w:val="-66"/>
        </w:rPr>
      </w:r>
      <w:r>
        <w:rPr>
          <w:spacing w:val="-2"/>
        </w:rPr>
        <w:t>处理。对于归类为权益工具的金融工具，其利息支出或股利分配都应当作为发行企业的利润分配，其回购、注销等作为权益</w:t>
      </w:r>
      <w:r>
        <w:rPr>
          <w:spacing w:val="-66"/>
        </w:rPr>
        <w:t> </w:t>
      </w:r>
      <w:r>
        <w:rPr>
          <w:spacing w:val="-66"/>
        </w:rPr>
      </w:r>
      <w:r>
        <w:rPr>
          <w:spacing w:val="-2"/>
        </w:rPr>
        <w:t>的变动处理；对于归类为金融负债的金融工具，其利息支出或股利分配原则上按照借款费用进行处理，其回购或赎回产生的</w:t>
      </w:r>
      <w:r>
        <w:rPr>
          <w:spacing w:val="-65"/>
        </w:rPr>
        <w:t> </w:t>
      </w:r>
      <w:r>
        <w:rPr>
          <w:spacing w:val="-65"/>
        </w:rPr>
      </w:r>
      <w:r>
        <w:rPr/>
        <w:t>利得或损失等计入当期损益。</w:t>
      </w:r>
    </w:p>
    <w:p>
      <w:pPr>
        <w:pStyle w:val="BodyText"/>
        <w:spacing w:line="319" w:lineRule="auto" w:before="55"/>
        <w:ind w:right="0"/>
        <w:jc w:val="left"/>
      </w:pPr>
      <w:r>
        <w:rPr>
          <w:spacing w:val="-2"/>
        </w:rPr>
        <w:t>发行金融工具发生的手续费、佣金等交易费用，如分类为债务工具且以摊余成本计量的，应当计入所发行工具的初始计量金</w:t>
      </w:r>
      <w:r>
        <w:rPr>
          <w:spacing w:val="-66"/>
        </w:rPr>
        <w:t> </w:t>
      </w:r>
      <w:r>
        <w:rPr>
          <w:spacing w:val="-66"/>
        </w:rPr>
      </w:r>
      <w:r>
        <w:rPr/>
        <w:t>额；如分类为权益工具的，应当从权益中扣除。</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26、收入" w:id="207"/>
      <w:bookmarkEnd w:id="207"/>
      <w:r>
        <w:rPr>
          <w:b w:val="0"/>
          <w:bCs w:val="0"/>
        </w:rPr>
      </w:r>
      <w:r>
        <w:rPr>
          <w:rFonts w:ascii="Times New Roman" w:hAnsi="Times New Roman" w:cs="Times New Roman" w:eastAsia="Times New Roman" w:hint="default"/>
        </w:rPr>
        <w:t>26</w:t>
      </w:r>
      <w:r>
        <w:rPr/>
        <w:t>、收入</w:t>
      </w:r>
      <w:r>
        <w:rPr>
          <w:b w:val="0"/>
          <w:bCs w:val="0"/>
        </w:rPr>
      </w:r>
    </w:p>
    <w:p>
      <w:pPr>
        <w:spacing w:line="240" w:lineRule="auto" w:before="9"/>
        <w:rPr>
          <w:rFonts w:ascii="宋体" w:hAnsi="宋体" w:cs="宋体" w:eastAsia="宋体" w:hint="default"/>
          <w:b/>
          <w:bCs/>
          <w:sz w:val="26"/>
          <w:szCs w:val="26"/>
        </w:rPr>
      </w:pPr>
    </w:p>
    <w:p>
      <w:pPr>
        <w:pStyle w:val="Heading6"/>
        <w:spacing w:line="240" w:lineRule="auto" w:before="0"/>
        <w:ind w:right="0"/>
        <w:jc w:val="left"/>
        <w:rPr>
          <w:b w:val="0"/>
          <w:bCs w:val="0"/>
        </w:rPr>
      </w:pPr>
      <w:r>
        <w:rPr>
          <w:rFonts w:ascii="Times New Roman" w:hAnsi="Times New Roman" w:cs="Times New Roman" w:eastAsia="Times New Roman" w:hint="default"/>
        </w:rPr>
        <w:t>26.1</w:t>
      </w:r>
      <w:r>
        <w:rPr>
          <w:rFonts w:ascii="Times New Roman" w:hAnsi="Times New Roman" w:cs="Times New Roman" w:eastAsia="Times New Roman" w:hint="default"/>
          <w:spacing w:val="30"/>
        </w:rPr>
        <w:t> </w:t>
      </w:r>
      <w:r>
        <w:rPr/>
        <w:t>销售商品的收入确认</w:t>
      </w:r>
      <w:r>
        <w:rPr>
          <w:b w:val="0"/>
          <w:bCs w:val="0"/>
        </w:rPr>
      </w:r>
    </w:p>
    <w:p>
      <w:pPr>
        <w:pStyle w:val="BodyText"/>
        <w:spacing w:line="240" w:lineRule="auto" w:before="102"/>
        <w:ind w:left="513" w:right="0"/>
        <w:jc w:val="left"/>
      </w:pPr>
      <w:r>
        <w:rPr/>
        <w:t>（</w:t>
      </w:r>
      <w:r>
        <w:rPr>
          <w:rFonts w:ascii="Times New Roman" w:hAnsi="Times New Roman" w:cs="Times New Roman" w:eastAsia="Times New Roman" w:hint="default"/>
        </w:rPr>
        <w:t>1</w:t>
      </w:r>
      <w:r>
        <w:rPr/>
        <w:t>）企业已将商品所有权上的主要风险和报酬转移给购货方；</w:t>
      </w:r>
    </w:p>
    <w:p>
      <w:pPr>
        <w:pStyle w:val="BodyText"/>
        <w:spacing w:line="240" w:lineRule="auto" w:before="103"/>
        <w:ind w:left="514" w:right="0"/>
        <w:jc w:val="left"/>
      </w:pPr>
      <w:r>
        <w:rPr/>
        <w:t>（</w:t>
      </w:r>
      <w:r>
        <w:rPr>
          <w:rFonts w:ascii="Times New Roman" w:hAnsi="Times New Roman" w:cs="Times New Roman" w:eastAsia="Times New Roman" w:hint="default"/>
        </w:rPr>
        <w:t>2</w:t>
      </w:r>
      <w:r>
        <w:rPr/>
        <w:t>）企业既没有保留通常与所有权相联系的继续管理权，也没有对已售出的商品实施控制；</w:t>
      </w:r>
    </w:p>
    <w:p>
      <w:pPr>
        <w:pStyle w:val="BodyText"/>
        <w:spacing w:line="240" w:lineRule="auto" w:before="102"/>
        <w:ind w:left="513" w:right="0"/>
        <w:jc w:val="left"/>
      </w:pPr>
      <w:r>
        <w:rPr/>
        <w:t>（</w:t>
      </w:r>
      <w:r>
        <w:rPr>
          <w:rFonts w:ascii="Times New Roman" w:hAnsi="Times New Roman" w:cs="Times New Roman" w:eastAsia="Times New Roman" w:hint="default"/>
        </w:rPr>
        <w:t>3</w:t>
      </w:r>
      <w:r>
        <w:rPr/>
        <w:t>）收入的金额能够可靠的计量；</w:t>
      </w:r>
    </w:p>
    <w:p>
      <w:pPr>
        <w:pStyle w:val="BodyText"/>
        <w:spacing w:line="240" w:lineRule="auto" w:before="103"/>
        <w:ind w:left="513" w:right="0"/>
        <w:jc w:val="left"/>
      </w:pPr>
      <w:r>
        <w:rPr/>
        <w:t>（</w:t>
      </w:r>
      <w:r>
        <w:rPr>
          <w:rFonts w:ascii="Times New Roman" w:hAnsi="Times New Roman" w:cs="Times New Roman" w:eastAsia="Times New Roman" w:hint="default"/>
        </w:rPr>
        <w:t>4</w:t>
      </w:r>
      <w:r>
        <w:rPr/>
        <w:t>）与交易相关的经济利益能够流入企业；</w:t>
      </w:r>
    </w:p>
    <w:p>
      <w:pPr>
        <w:pStyle w:val="BodyText"/>
        <w:spacing w:line="338" w:lineRule="auto" w:before="103"/>
        <w:ind w:left="634" w:right="0" w:hanging="120"/>
        <w:jc w:val="left"/>
      </w:pPr>
      <w:r>
        <w:rPr/>
        <w:t>（</w:t>
      </w:r>
      <w:r>
        <w:rPr>
          <w:rFonts w:ascii="Times New Roman" w:hAnsi="Times New Roman" w:cs="Times New Roman" w:eastAsia="Times New Roman" w:hint="default"/>
        </w:rPr>
        <w:t>5</w:t>
      </w:r>
      <w:r>
        <w:rPr/>
        <w:t>）相关的已发生或将发生的成本能够可靠计量。 </w:t>
      </w:r>
      <w:r>
        <w:rPr>
          <w:spacing w:val="-1"/>
        </w:rPr>
        <w:t>金融硬件产品销售：公司与客户签订销售合同后，公司组织生产并发货，于客户开箱验收后（此时与产品所有权相关</w:t>
      </w:r>
    </w:p>
    <w:p>
      <w:pPr>
        <w:pStyle w:val="BodyText"/>
        <w:spacing w:line="357" w:lineRule="auto" w:before="4"/>
        <w:ind w:left="634" w:right="0" w:hanging="480"/>
        <w:jc w:val="left"/>
      </w:pPr>
      <w:r>
        <w:rPr/>
        <w:t>的风险已转移经客户），双方结算后确认收入。 </w:t>
      </w:r>
      <w:r>
        <w:rPr>
          <w:spacing w:val="-1"/>
        </w:rPr>
        <w:t>系统集成销售：按照项目采购系统设备，硬件设备直接由厂商发送到客户，由客户验货并签收，公司集成人员按合同</w:t>
      </w:r>
    </w:p>
    <w:p>
      <w:pPr>
        <w:pStyle w:val="BodyText"/>
        <w:spacing w:line="225" w:lineRule="exact"/>
        <w:ind w:left="154" w:right="0"/>
        <w:jc w:val="left"/>
      </w:pPr>
      <w:r>
        <w:rPr/>
        <w:t>要求调试安装设备，客户验收后，与设备所有权相关的风险已转移给客户，并确认收入。</w:t>
      </w:r>
    </w:p>
    <w:p>
      <w:pPr>
        <w:pStyle w:val="Heading6"/>
        <w:spacing w:line="240" w:lineRule="auto" w:before="117"/>
        <w:ind w:right="0"/>
        <w:jc w:val="left"/>
        <w:rPr>
          <w:b w:val="0"/>
          <w:bCs w:val="0"/>
        </w:rPr>
      </w:pPr>
      <w:r>
        <w:rPr>
          <w:rFonts w:ascii="Times New Roman" w:hAnsi="Times New Roman" w:cs="Times New Roman" w:eastAsia="Times New Roman" w:hint="default"/>
        </w:rPr>
        <w:t>26.2</w:t>
      </w:r>
      <w:r>
        <w:rPr>
          <w:rFonts w:ascii="Times New Roman" w:hAnsi="Times New Roman" w:cs="Times New Roman" w:eastAsia="Times New Roman" w:hint="default"/>
          <w:spacing w:val="30"/>
        </w:rPr>
        <w:t> </w:t>
      </w:r>
      <w:r>
        <w:rPr/>
        <w:t>提供劳务的收入确认</w:t>
      </w:r>
      <w:r>
        <w:rPr>
          <w:b w:val="0"/>
          <w:bCs w:val="0"/>
        </w:rPr>
      </w:r>
    </w:p>
    <w:p>
      <w:pPr>
        <w:pStyle w:val="BodyText"/>
        <w:spacing w:line="240" w:lineRule="auto" w:before="102"/>
        <w:ind w:left="513" w:right="0"/>
        <w:jc w:val="left"/>
      </w:pPr>
      <w:r>
        <w:rPr/>
        <w:t>（</w:t>
      </w:r>
      <w:r>
        <w:rPr>
          <w:rFonts w:ascii="Times New Roman" w:hAnsi="Times New Roman" w:cs="Times New Roman" w:eastAsia="Times New Roman" w:hint="default"/>
        </w:rPr>
        <w:t>1</w:t>
      </w:r>
      <w:r>
        <w:rPr/>
        <w:t>）在同一会计年度内开始并完成的劳务，在完成劳务时确认收入。</w:t>
      </w:r>
    </w:p>
    <w:p>
      <w:pPr>
        <w:pStyle w:val="BodyText"/>
        <w:spacing w:line="309" w:lineRule="auto" w:before="101"/>
        <w:ind w:left="154" w:right="1131" w:firstLine="360"/>
        <w:jc w:val="both"/>
      </w:pPr>
      <w:r>
        <w:rPr/>
        <w:t>（</w:t>
      </w:r>
      <w:r>
        <w:rPr>
          <w:rFonts w:ascii="Times New Roman" w:hAnsi="Times New Roman" w:cs="Times New Roman" w:eastAsia="Times New Roman" w:hint="default"/>
        </w:rPr>
        <w:t>2</w:t>
      </w:r>
      <w:r>
        <w:rPr/>
        <w:t>）如劳务的开始和完成分属不同的会计年度，在提供劳务交易的结果能够可靠估计的情况下，在资产负债表日按完 </w:t>
      </w:r>
      <w:r>
        <w:rPr>
          <w:spacing w:val="-2"/>
        </w:rPr>
        <w:t>工百分比法确认相关劳务收入。在提供劳务交易的结果不能可靠估计的情况下，在资产负债表日按已经发生并预计能够补偿</w:t>
      </w:r>
      <w:r>
        <w:rPr>
          <w:spacing w:val="-64"/>
        </w:rPr>
        <w:t> </w:t>
      </w:r>
      <w:r>
        <w:rPr>
          <w:spacing w:val="-64"/>
        </w:rPr>
      </w:r>
      <w:r>
        <w:rPr/>
        <w:t>的劳务成本金额确认收入。</w:t>
      </w:r>
    </w:p>
    <w:p>
      <w:pPr>
        <w:pStyle w:val="BodyText"/>
        <w:spacing w:line="240" w:lineRule="auto" w:before="65"/>
        <w:ind w:left="514" w:right="0"/>
        <w:jc w:val="left"/>
      </w:pPr>
      <w:r>
        <w:rPr/>
        <w:t>在同时满足下列条件的情况下，表明其结果能够可靠估计：</w:t>
      </w:r>
    </w:p>
    <w:p>
      <w:pPr>
        <w:pStyle w:val="BodyText"/>
        <w:spacing w:line="240" w:lineRule="auto" w:before="116"/>
        <w:ind w:left="514" w:right="0"/>
        <w:jc w:val="left"/>
      </w:pPr>
      <w:r>
        <w:rPr/>
        <w:t>①与合同相关的经济利益很可能流入企业；</w:t>
      </w:r>
    </w:p>
    <w:p>
      <w:pPr>
        <w:pStyle w:val="BodyText"/>
        <w:spacing w:line="240" w:lineRule="auto" w:before="116"/>
        <w:ind w:left="514" w:right="0"/>
        <w:jc w:val="left"/>
      </w:pPr>
      <w:r>
        <w:rPr/>
        <w:t>②实际发生的合同成本能够清楚地区分和可靠地计量；</w:t>
      </w:r>
    </w:p>
    <w:p>
      <w:pPr>
        <w:pStyle w:val="BodyText"/>
        <w:spacing w:line="319" w:lineRule="auto" w:before="116"/>
        <w:ind w:left="154" w:right="1118" w:firstLine="360"/>
        <w:jc w:val="left"/>
      </w:pPr>
      <w:r>
        <w:rPr/>
        <w:t>③固定造价合同还必须同时满足合同总收入能够可靠计量及合同完工进度和为完成合同尚需发生的成本能够可靠地确 定。</w:t>
      </w:r>
    </w:p>
    <w:p>
      <w:pPr>
        <w:pStyle w:val="BodyText"/>
        <w:spacing w:line="338" w:lineRule="auto" w:before="57"/>
        <w:ind w:left="513" w:right="1213"/>
        <w:jc w:val="left"/>
      </w:pPr>
      <w:r>
        <w:rPr/>
        <w:t>（</w:t>
      </w:r>
      <w:r>
        <w:rPr>
          <w:rFonts w:ascii="Times New Roman" w:hAnsi="Times New Roman" w:cs="Times New Roman" w:eastAsia="Times New Roman" w:hint="default"/>
        </w:rPr>
        <w:t>3</w:t>
      </w:r>
      <w:r>
        <w:rPr/>
        <w:t>）合同完工进度的确认方法：本公司按累计实际发生的合同成本占合同预计总成本的比例确定合同完工进度。 </w:t>
      </w:r>
      <w:r>
        <w:rPr>
          <w:rFonts w:ascii="Times New Roman" w:hAnsi="Times New Roman" w:cs="Times New Roman" w:eastAsia="Times New Roman" w:hint="default"/>
          <w:b/>
          <w:bCs/>
        </w:rPr>
        <w:t>26.3</w:t>
      </w:r>
      <w:r>
        <w:rPr>
          <w:rFonts w:ascii="Times New Roman" w:hAnsi="Times New Roman" w:cs="Times New Roman" w:eastAsia="Times New Roman" w:hint="default"/>
          <w:b/>
          <w:bCs/>
          <w:spacing w:val="32"/>
        </w:rPr>
        <w:t> </w:t>
      </w:r>
      <w:r>
        <w:rPr>
          <w:rFonts w:ascii="宋体" w:hAnsi="宋体" w:cs="宋体" w:eastAsia="宋体" w:hint="default"/>
          <w:b/>
          <w:bCs/>
        </w:rPr>
        <w:t>让渡资产使用权收入确认</w:t>
      </w:r>
      <w:r>
        <w:rPr>
          <w:rFonts w:ascii="宋体" w:hAnsi="宋体" w:cs="宋体" w:eastAsia="宋体" w:hint="default"/>
          <w:b/>
          <w:bCs/>
          <w:w w:val="99"/>
        </w:rPr>
        <w:t> </w:t>
      </w:r>
      <w:r>
        <w:rPr/>
        <w:t>在满足相关的经济利益很可能流入企业和收入的金额能够可靠地计量等两个条件时，本公司分别以下情况确认收入：</w:t>
      </w:r>
    </w:p>
    <w:p>
      <w:pPr>
        <w:pStyle w:val="BodyText"/>
        <w:spacing w:line="240" w:lineRule="auto" w:before="42"/>
        <w:ind w:left="513" w:right="0"/>
        <w:jc w:val="left"/>
      </w:pPr>
      <w:r>
        <w:rPr/>
        <w:t>（</w:t>
      </w:r>
      <w:r>
        <w:rPr>
          <w:rFonts w:ascii="Times New Roman" w:hAnsi="Times New Roman" w:cs="Times New Roman" w:eastAsia="Times New Roman" w:hint="default"/>
        </w:rPr>
        <w:t>1</w:t>
      </w:r>
      <w:r>
        <w:rPr/>
        <w:t>）利息收入按照他人使用本公司货币资金的时间和实际利率计算确定。</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t>（</w:t>
      </w:r>
      <w:r>
        <w:rPr>
          <w:rFonts w:ascii="Times New Roman" w:hAnsi="Times New Roman" w:cs="Times New Roman" w:eastAsia="Times New Roman" w:hint="default"/>
        </w:rPr>
        <w:t>2</w:t>
      </w:r>
      <w:r>
        <w:rPr/>
        <w:t>）使用费收入按照有关合同或协议约定的收费时间和方法计算确定。</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7、政府补助" w:id="208"/>
      <w:bookmarkEnd w:id="208"/>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与资产相关的政府补助判断依据及会计处理方法" w:id="209"/>
      <w:bookmarkEnd w:id="209"/>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firstLine="360"/>
        <w:jc w:val="left"/>
      </w:pPr>
      <w:r>
        <w:rPr>
          <w:spacing w:val="-2"/>
        </w:rPr>
        <w:t>政府补助，是指本公司从政府无偿取得货币性资产或非货币性资产，但不包括政府作为所有者投入的资本。政府补助分</w:t>
      </w:r>
      <w:r>
        <w:rPr/>
        <w:t> 为与资产相关的政府补助和与收益相关的政府补助。</w:t>
      </w:r>
    </w:p>
    <w:p>
      <w:pPr>
        <w:pStyle w:val="BodyText"/>
        <w:spacing w:line="319" w:lineRule="auto" w:before="55"/>
        <w:ind w:left="154" w:right="0" w:firstLine="360"/>
        <w:jc w:val="left"/>
      </w:pPr>
      <w:r>
        <w:rPr>
          <w:spacing w:val="-4"/>
        </w:rPr>
        <w:t>与资产相关的政府补助，是指本公司取得的、用于购建或以其他方式形成长期资产的政府补助；与收益相关的政府补助，</w:t>
      </w:r>
      <w:r>
        <w:rPr/>
        <w:t> 是指除与资产相关的政府补助之外的政府补助。</w:t>
      </w:r>
    </w:p>
    <w:p>
      <w:pPr>
        <w:pStyle w:val="BodyText"/>
        <w:spacing w:line="338" w:lineRule="auto" w:before="56"/>
        <w:ind w:right="0" w:firstLine="360"/>
        <w:jc w:val="left"/>
      </w:pPr>
      <w:r>
        <w:rPr>
          <w:spacing w:val="-2"/>
        </w:rPr>
        <w:t>只有在能够满足政府补助所附条件以及能够收到时，本公司才确认政府补助。本公司收到的货币性政府补助，按照收到</w:t>
      </w:r>
      <w:r>
        <w:rPr/>
        <w:t> 或应收的金额计量；收到的非货币性政府补助，按照公允价值计量；公允价值不能可靠取得的，按照名义金额计量。 </w:t>
      </w:r>
      <w:r>
        <w:rPr>
          <w:spacing w:val="-4"/>
        </w:rPr>
        <w:t>本公司收到的与资产相关的政府补助，在收到时确认为递延收益，并在相关资产使用寿命内平均分配，计入当期损益。但是，</w:t>
      </w:r>
    </w:p>
    <w:p>
      <w:pPr>
        <w:pStyle w:val="BodyText"/>
        <w:spacing w:line="240" w:lineRule="auto" w:before="4"/>
        <w:ind w:right="0"/>
        <w:jc w:val="left"/>
      </w:pPr>
      <w:r>
        <w:rPr/>
        <w:t>按照名义金额计量的政府补助，直接计入当期损益。</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与收益相关的政府补助判断依据及会计处理方法" w:id="210"/>
      <w:bookmarkEnd w:id="210"/>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0" w:firstLine="360"/>
        <w:jc w:val="left"/>
      </w:pPr>
      <w:r>
        <w:rPr>
          <w:spacing w:val="-2"/>
        </w:rPr>
        <w:t>本公司收到的与收益相关的政府补助，如果用于补偿本公司以后期间的相关费用或损失，则确认为递延收益，并在确认</w:t>
      </w:r>
      <w:r>
        <w:rPr/>
        <w:t> 相关费用的期间，计入当期损益；如果用于补偿本公司已发生的相关费用或损失的，直接计入当期损益。 </w:t>
      </w:r>
      <w:r>
        <w:rPr>
          <w:spacing w:val="-2"/>
        </w:rPr>
        <w:t>本公司已确认的政府补助需要返还的，如果存在相关递延收益，则冲减相关递延收益账面余额，超出部分计入当期损益；不</w:t>
      </w:r>
    </w:p>
    <w:p>
      <w:pPr>
        <w:pStyle w:val="BodyText"/>
        <w:spacing w:line="240" w:lineRule="auto" w:before="4"/>
        <w:ind w:right="0"/>
        <w:jc w:val="left"/>
      </w:pPr>
      <w:r>
        <w:rPr/>
        <w:t>存在相关递延收益时，直接将返还的金额计入当期损益。</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8、递延所得税资产/递延所得税负债" w:id="211"/>
      <w:bookmarkEnd w:id="211"/>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0"/>
        <w:jc w:val="left"/>
      </w:pPr>
      <w:r>
        <w:rPr/>
        <w:t>本公司采用资产负债表债务法核算所得税。 </w:t>
      </w:r>
      <w:r>
        <w:rPr>
          <w:spacing w:val="-2"/>
        </w:rPr>
        <w:t>在取得资产、承担负债时，本公司按照国家税法规定确定相关资产、负债的计税基础。如果资产的账面价值大于其计税</w:t>
      </w:r>
    </w:p>
    <w:p>
      <w:pPr>
        <w:pStyle w:val="BodyText"/>
        <w:spacing w:line="224" w:lineRule="exact"/>
        <w:ind w:right="0"/>
        <w:jc w:val="left"/>
      </w:pPr>
      <w:r>
        <w:rPr/>
        <w:t>基础或者负债的账面价值小于其计税基础，则将此差异作为应纳税暂时性差异；如果资产的账面价值小于其计税基础或者负</w:t>
      </w:r>
    </w:p>
    <w:p>
      <w:pPr>
        <w:pStyle w:val="BodyText"/>
        <w:spacing w:line="240" w:lineRule="auto" w:before="77"/>
        <w:ind w:right="0"/>
        <w:jc w:val="left"/>
      </w:pPr>
      <w:r>
        <w:rPr/>
        <w:t>债的账面价值大于其计税基础，则将此差异作为可抵扣暂时性差异。</w:t>
      </w:r>
    </w:p>
    <w:p>
      <w:pPr>
        <w:pStyle w:val="BodyText"/>
        <w:spacing w:line="240" w:lineRule="auto" w:before="116"/>
        <w:ind w:left="514" w:right="0"/>
        <w:jc w:val="left"/>
      </w:pPr>
      <w:r>
        <w:rPr>
          <w:rFonts w:ascii="Times New Roman" w:hAnsi="Times New Roman" w:cs="Times New Roman" w:eastAsia="Times New Roman" w:hint="default"/>
        </w:rPr>
        <w:t>28.1</w:t>
      </w:r>
      <w:r>
        <w:rPr>
          <w:rFonts w:ascii="Times New Roman" w:hAnsi="Times New Roman" w:cs="Times New Roman" w:eastAsia="Times New Roman" w:hint="default"/>
          <w:spacing w:val="26"/>
        </w:rPr>
        <w:t> </w:t>
      </w:r>
      <w:r>
        <w:rPr/>
        <w:t>除下列交易中产生的递延所得税负债以外，本公司确认所有应纳税暂时性差异产生的递延所得税负债：</w:t>
      </w:r>
    </w:p>
    <w:p>
      <w:pPr>
        <w:pStyle w:val="BodyText"/>
        <w:spacing w:line="240" w:lineRule="auto" w:before="103"/>
        <w:ind w:left="514" w:right="0"/>
        <w:jc w:val="left"/>
      </w:pPr>
      <w:r>
        <w:rPr/>
        <w:t>（</w:t>
      </w:r>
      <w:r>
        <w:rPr>
          <w:rFonts w:ascii="Times New Roman" w:hAnsi="Times New Roman" w:cs="Times New Roman" w:eastAsia="Times New Roman" w:hint="default"/>
        </w:rPr>
        <w:t>1</w:t>
      </w:r>
      <w:r>
        <w:rPr/>
        <w:t>）商誉的初始确认；</w:t>
      </w:r>
    </w:p>
    <w:p>
      <w:pPr>
        <w:pStyle w:val="BodyText"/>
        <w:spacing w:line="240" w:lineRule="auto" w:before="102"/>
        <w:ind w:left="514" w:right="0"/>
        <w:jc w:val="left"/>
      </w:pPr>
      <w:r>
        <w:rPr/>
        <w:t>（</w:t>
      </w:r>
      <w:r>
        <w:rPr>
          <w:rFonts w:ascii="Times New Roman" w:hAnsi="Times New Roman" w:cs="Times New Roman" w:eastAsia="Times New Roman" w:hint="default"/>
        </w:rPr>
        <w:t>2</w:t>
      </w:r>
      <w:r>
        <w:rPr/>
        <w:t>）同时具有下列特征的交易中产生的资产或负债的初始确认：</w:t>
      </w:r>
    </w:p>
    <w:p>
      <w:pPr>
        <w:pStyle w:val="BodyText"/>
        <w:spacing w:line="240" w:lineRule="auto" w:before="102"/>
        <w:ind w:left="513" w:right="0"/>
        <w:jc w:val="left"/>
      </w:pPr>
      <w:r>
        <w:rPr/>
        <w:t>①该项交易不是企业合并；</w:t>
      </w:r>
    </w:p>
    <w:p>
      <w:pPr>
        <w:pStyle w:val="BodyText"/>
        <w:spacing w:line="357" w:lineRule="auto" w:before="117"/>
        <w:ind w:left="513" w:right="0"/>
        <w:jc w:val="left"/>
      </w:pPr>
      <w:r>
        <w:rPr/>
        <w:t>②交易发生时既不影响会计利润也不影响应纳税所得额（或可抵扣亏损）。 </w:t>
      </w:r>
      <w:r>
        <w:rPr>
          <w:spacing w:val="-2"/>
        </w:rPr>
        <w:t>除非本公司能够控制与子公司、联营企业及合营企业的投资相关的应纳税暂时性差异转回的时间以及该暂时性差异在可</w:t>
      </w:r>
    </w:p>
    <w:p>
      <w:pPr>
        <w:pStyle w:val="BodyText"/>
        <w:spacing w:line="225" w:lineRule="exact"/>
        <w:ind w:right="0"/>
        <w:jc w:val="left"/>
      </w:pPr>
      <w:r>
        <w:rPr/>
        <w:t>预见的未来很可能不会转回，本公司将确认其产生的递延所得税负债。</w:t>
      </w:r>
    </w:p>
    <w:p>
      <w:pPr>
        <w:pStyle w:val="BodyText"/>
        <w:spacing w:line="302" w:lineRule="auto" w:before="115"/>
        <w:ind w:right="0" w:firstLine="360"/>
        <w:jc w:val="left"/>
      </w:pPr>
      <w:r>
        <w:rPr>
          <w:rFonts w:ascii="Times New Roman" w:hAnsi="Times New Roman" w:cs="Times New Roman" w:eastAsia="Times New Roman" w:hint="default"/>
        </w:rPr>
        <w:t>28.2</w:t>
      </w:r>
      <w:r>
        <w:rPr>
          <w:rFonts w:ascii="Times New Roman" w:hAnsi="Times New Roman" w:cs="Times New Roman" w:eastAsia="Times New Roman" w:hint="default"/>
          <w:spacing w:val="29"/>
        </w:rPr>
        <w:t> </w:t>
      </w:r>
      <w:r>
        <w:rPr/>
        <w:t>本公司以很可能取得用来抵扣可抵扣暂时性差异的应纳税所得额为限，确认由可抵扣暂时性差异产生的递延所得 税资产，但不确认同时具有下列特征的交易中因资产或负债的初始确认所产生的递延所得税资产：</w:t>
      </w:r>
    </w:p>
    <w:p>
      <w:pPr>
        <w:pStyle w:val="BodyText"/>
        <w:spacing w:line="240" w:lineRule="auto" w:before="70"/>
        <w:ind w:left="513" w:right="0"/>
        <w:jc w:val="left"/>
      </w:pPr>
      <w:r>
        <w:rPr/>
        <w:t>（</w:t>
      </w:r>
      <w:r>
        <w:rPr>
          <w:rFonts w:ascii="Times New Roman" w:hAnsi="Times New Roman" w:cs="Times New Roman" w:eastAsia="Times New Roman" w:hint="default"/>
        </w:rPr>
        <w:t>1</w:t>
      </w:r>
      <w:r>
        <w:rPr/>
        <w:t>）该项交易不是企业合并；</w:t>
      </w:r>
    </w:p>
    <w:p>
      <w:pPr>
        <w:pStyle w:val="BodyText"/>
        <w:spacing w:line="338" w:lineRule="auto" w:before="102"/>
        <w:ind w:left="513" w:right="0"/>
        <w:jc w:val="left"/>
      </w:pPr>
      <w:r>
        <w:rPr/>
        <w:t>（</w:t>
      </w:r>
      <w:r>
        <w:rPr>
          <w:rFonts w:ascii="Times New Roman" w:hAnsi="Times New Roman" w:cs="Times New Roman" w:eastAsia="Times New Roman" w:hint="default"/>
        </w:rPr>
        <w:t>2</w:t>
      </w:r>
      <w:r>
        <w:rPr/>
        <w:t>）交易发生时既不影响会计利润也不影响应纳税所得额（或可抵扣亏损）。 </w:t>
      </w:r>
      <w:r>
        <w:rPr>
          <w:spacing w:val="-2"/>
        </w:rPr>
        <w:t>资产负债表日，有确凿证据表明未来期间很可能获得足够的应纳税所得额用来抵扣可抵扣暂时性差异的，本公司将确认</w:t>
      </w:r>
    </w:p>
    <w:p>
      <w:pPr>
        <w:pStyle w:val="BodyText"/>
        <w:spacing w:line="319" w:lineRule="auto" w:before="2"/>
        <w:ind w:right="0"/>
        <w:jc w:val="left"/>
      </w:pPr>
      <w:r>
        <w:rPr>
          <w:spacing w:val="-2"/>
        </w:rPr>
        <w:t>以前期间未确认的递延所得税资产。若与子公司、联营企业及合营企业投资相关的可抵扣暂时性差异在可预见的未来很可能</w:t>
      </w:r>
      <w:r>
        <w:rPr>
          <w:spacing w:val="-64"/>
        </w:rPr>
        <w:t> </w:t>
      </w:r>
      <w:r>
        <w:rPr>
          <w:spacing w:val="-64"/>
        </w:rPr>
      </w:r>
      <w:r>
        <w:rPr/>
        <w:t>转回且未来很可能获得用来抵扣可抵扣暂时性差异的应纳税所得额，本公司将确认与此差异相应的递延所得税资产。</w:t>
      </w:r>
    </w:p>
    <w:p>
      <w:pPr>
        <w:pStyle w:val="BodyText"/>
        <w:spacing w:line="240" w:lineRule="auto" w:before="56"/>
        <w:ind w:left="513" w:right="0"/>
        <w:jc w:val="left"/>
      </w:pPr>
      <w:r>
        <w:rPr>
          <w:rFonts w:ascii="Times New Roman" w:hAnsi="Times New Roman" w:cs="Times New Roman" w:eastAsia="Times New Roman" w:hint="default"/>
        </w:rPr>
        <w:t>28.3 </w:t>
      </w:r>
      <w:r>
        <w:rPr>
          <w:rFonts w:ascii="Times New Roman" w:hAnsi="Times New Roman" w:cs="Times New Roman" w:eastAsia="Times New Roman" w:hint="default"/>
          <w:spacing w:val="40"/>
        </w:rPr>
        <w:t> </w:t>
      </w:r>
      <w:r>
        <w:rPr/>
        <w:t>资产负债表日，本公司按照税法规定计算的预期应交纳（或返还）的所得税金额计量当期和以前期间形成的当期</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3" w:right="0" w:hanging="360"/>
        <w:jc w:val="left"/>
      </w:pPr>
      <w:r>
        <w:rPr/>
        <w:t>所得税负债（或资产）；按照预期收回该资产或清偿该负债期间的适用税率计量递延所得税资产和递延所得税负债。 </w:t>
      </w:r>
      <w:r>
        <w:rPr>
          <w:spacing w:val="-2"/>
        </w:rPr>
        <w:t>如果适用税率发生变化，本公司对已确认的递延所得税资产和递延所得税负债将进行重新计量。除直接在所有者权益中</w:t>
      </w:r>
    </w:p>
    <w:p>
      <w:pPr>
        <w:pStyle w:val="BodyText"/>
        <w:spacing w:line="224" w:lineRule="exact"/>
        <w:ind w:right="0"/>
        <w:jc w:val="left"/>
      </w:pPr>
      <w:r>
        <w:rPr/>
        <w:t>确认的交易或者事项产生的递延所得税资产和递延所得税负债以外</w:t>
      </w:r>
      <w:r>
        <w:rPr>
          <w:spacing w:val="-82"/>
        </w:rPr>
        <w:t>，</w:t>
      </w:r>
      <w:r>
        <w:rPr/>
        <w:t>本公司将税率变化产生的影响数计入变化当期的所得税</w:t>
      </w:r>
    </w:p>
    <w:p>
      <w:pPr>
        <w:pStyle w:val="BodyText"/>
        <w:spacing w:line="240" w:lineRule="auto" w:before="77"/>
        <w:ind w:right="0"/>
        <w:jc w:val="left"/>
      </w:pPr>
      <w:r>
        <w:rPr/>
        <w:t>费用。</w:t>
      </w:r>
    </w:p>
    <w:p>
      <w:pPr>
        <w:pStyle w:val="BodyText"/>
        <w:spacing w:line="319" w:lineRule="auto" w:before="116"/>
        <w:ind w:right="1132" w:firstLine="360"/>
        <w:jc w:val="both"/>
      </w:pPr>
      <w:r>
        <w:rPr>
          <w:spacing w:val="-2"/>
        </w:rPr>
        <w:t>在每个资产负债表日，本公司将对递延所得税资产的账面价值进行复核。如果未来期间很可能无法获得足够的应纳税所</w:t>
      </w:r>
      <w:r>
        <w:rPr/>
        <w:t> </w:t>
      </w:r>
      <w:r>
        <w:rPr>
          <w:spacing w:val="-2"/>
        </w:rPr>
        <w:t>得额用以抵扣递延所得税资产的利益，则减记递延所得税资产的账面价值。在很可能获得足够的应纳税所得额时，减记的金</w:t>
      </w:r>
      <w:r>
        <w:rPr>
          <w:spacing w:val="-66"/>
        </w:rPr>
        <w:t> </w:t>
      </w:r>
      <w:r>
        <w:rPr>
          <w:spacing w:val="-66"/>
        </w:rPr>
      </w:r>
      <w:r>
        <w:rPr/>
        <w:t>额应当转回。</w:t>
      </w:r>
    </w:p>
    <w:p>
      <w:pPr>
        <w:pStyle w:val="BodyText"/>
        <w:spacing w:line="319" w:lineRule="auto" w:before="55"/>
        <w:ind w:right="1230" w:firstLine="360"/>
        <w:jc w:val="both"/>
      </w:pPr>
      <w:r>
        <w:rPr/>
        <w:t>本公司将除企业合并及直接在所有者权益中确认的交易或者事项外的当期所得税和递延所得税作为计入利润表的所得 税费用或收益。</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29、租赁" w:id="212"/>
      <w:bookmarkEnd w:id="212"/>
      <w:r>
        <w:rPr>
          <w:b w:val="0"/>
          <w:bCs w:val="0"/>
        </w:rPr>
      </w:r>
      <w:r>
        <w:rPr>
          <w:rFonts w:ascii="Times New Roman" w:hAnsi="Times New Roman" w:cs="Times New Roman" w:eastAsia="Times New Roman" w:hint="default"/>
        </w:rPr>
        <w:t>29</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经营租赁的会计处理方法" w:id="213"/>
      <w:bookmarkEnd w:id="21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2" w:firstLine="360"/>
        <w:jc w:val="both"/>
      </w:pPr>
      <w:r>
        <w:rPr>
          <w:spacing w:val="-2"/>
        </w:rPr>
        <w:t>作为承租人支付的租金，公司在租赁期内各个期间按照直线法计入相关资产成本或当期损益。公司从事经营租赁业务发</w:t>
      </w:r>
      <w:r>
        <w:rPr/>
        <w:t> 生的初始直接费用，直接计入当期损益。经营租赁协议涉及的或有租金在实际发生时计入当期损益。</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2）融资租赁的会计处理方法" w:id="214"/>
      <w:bookmarkEnd w:id="21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w:t>
      </w:r>
      <w:r>
        <w:rPr>
          <w:rFonts w:ascii="Times New Roman" w:hAnsi="Times New Roman" w:cs="Times New Roman" w:eastAsia="Times New Roman" w:hint="default"/>
        </w:rPr>
        <w:t>1</w:t>
      </w:r>
      <w:r>
        <w:rPr/>
        <w:t>）符合下列一项或数项标准的，认定为融资租赁：</w:t>
      </w:r>
    </w:p>
    <w:p>
      <w:pPr>
        <w:pStyle w:val="BodyText"/>
        <w:spacing w:line="240" w:lineRule="auto" w:before="103"/>
        <w:ind w:left="514" w:right="0"/>
        <w:jc w:val="left"/>
      </w:pPr>
      <w:r>
        <w:rPr/>
        <w:t>①在租赁期届满时，租赁资产的所有权转移给承租人；</w:t>
      </w:r>
    </w:p>
    <w:p>
      <w:pPr>
        <w:pStyle w:val="BodyText"/>
        <w:spacing w:line="319" w:lineRule="auto" w:before="115"/>
        <w:ind w:left="154" w:right="1132" w:firstLine="360"/>
        <w:jc w:val="both"/>
      </w:pPr>
      <w:r>
        <w:rPr>
          <w:spacing w:val="-2"/>
        </w:rPr>
        <w:t>②承租人有购买租赁资产的选择权，所订立的购买价款预计将远低于行使选择权时租赁资产的公允价值，因而在租赁开</w:t>
      </w:r>
      <w:r>
        <w:rPr/>
        <w:t> 始日就可以合理确定承租人将会行使这种选择权；</w:t>
      </w:r>
    </w:p>
    <w:p>
      <w:pPr>
        <w:pStyle w:val="BodyText"/>
        <w:spacing w:line="240" w:lineRule="auto" w:before="56"/>
        <w:ind w:left="514" w:right="0"/>
        <w:jc w:val="left"/>
      </w:pPr>
      <w:r>
        <w:rPr/>
        <w:t>③即使资产的所有权不转移，但租赁期占租赁资产使用寿命的大部分（</w:t>
      </w:r>
      <w:r>
        <w:rPr>
          <w:rFonts w:ascii="Times New Roman" w:hAnsi="Times New Roman" w:cs="Times New Roman" w:eastAsia="Times New Roman" w:hint="default"/>
        </w:rPr>
        <w:t>75%</w:t>
      </w:r>
      <w:r>
        <w:rPr/>
        <w:t>（含）以上）；</w:t>
      </w:r>
    </w:p>
    <w:p>
      <w:pPr>
        <w:pStyle w:val="BodyText"/>
        <w:spacing w:line="302" w:lineRule="auto" w:before="102"/>
        <w:ind w:right="1132" w:firstLine="360"/>
        <w:jc w:val="both"/>
      </w:pPr>
      <w:r>
        <w:rPr>
          <w:spacing w:val="-2"/>
        </w:rPr>
        <w:t>④承租人在租赁开始日的最低租赁付款额现值，几乎相当于租赁开始日租赁资产公允价值（</w:t>
      </w:r>
      <w:r>
        <w:rPr>
          <w:rFonts w:ascii="Times New Roman" w:hAnsi="Times New Roman" w:cs="Times New Roman" w:eastAsia="Times New Roman" w:hint="default"/>
          <w:spacing w:val="-2"/>
        </w:rPr>
        <w:t>90%</w:t>
      </w:r>
      <w:r>
        <w:rPr>
          <w:spacing w:val="-2"/>
        </w:rPr>
        <w:t>（含）以上）；出租人</w:t>
      </w:r>
      <w:r>
        <w:rPr/>
        <w:t> 在租赁开始日的最低租赁收款额现值，几乎相当于租赁开始日租赁资产公允价值（</w:t>
      </w:r>
      <w:r>
        <w:rPr>
          <w:rFonts w:ascii="Times New Roman" w:hAnsi="Times New Roman" w:cs="Times New Roman" w:eastAsia="Times New Roman" w:hint="default"/>
        </w:rPr>
        <w:t>90%</w:t>
      </w:r>
      <w:r>
        <w:rPr/>
        <w:t>（含）以上）；</w:t>
      </w:r>
    </w:p>
    <w:p>
      <w:pPr>
        <w:pStyle w:val="BodyText"/>
        <w:spacing w:line="357" w:lineRule="auto" w:before="50"/>
        <w:ind w:left="513" w:right="5173"/>
        <w:jc w:val="left"/>
      </w:pPr>
      <w:r>
        <w:rPr/>
        <w:t>⑤租赁资产性质特殊，如果不作较大改造，只有承租人才能使用。 不满足上述条件的，认定经营租赁。</w:t>
      </w:r>
    </w:p>
    <w:p>
      <w:pPr>
        <w:pStyle w:val="BodyText"/>
        <w:spacing w:line="302" w:lineRule="auto" w:before="28"/>
        <w:ind w:left="154" w:right="1122"/>
        <w:jc w:val="left"/>
      </w:pPr>
      <w:r>
        <w:rPr/>
        <w:t>（</w:t>
      </w:r>
      <w:r>
        <w:rPr>
          <w:rFonts w:ascii="Times New Roman" w:hAnsi="Times New Roman" w:cs="Times New Roman" w:eastAsia="Times New Roman" w:hint="default"/>
        </w:rPr>
        <w:t>2</w:t>
      </w:r>
      <w:r>
        <w:rPr/>
        <w:t>）融资租入的固定资产，按租赁开始日租赁资产的公允价值与最低租赁付款额的现值中较低者入账，按自有固定资产的</w:t>
      </w:r>
      <w:r>
        <w:rPr>
          <w:spacing w:val="-83"/>
        </w:rPr>
        <w:t> </w:t>
      </w:r>
      <w:r>
        <w:rPr>
          <w:spacing w:val="-83"/>
        </w:rPr>
      </w:r>
      <w:r>
        <w:rPr/>
        <w:t>折旧政策计提折旧。</w:t>
      </w:r>
    </w:p>
    <w:p>
      <w:pPr>
        <w:spacing w:line="240" w:lineRule="auto" w:before="2"/>
        <w:rPr>
          <w:rFonts w:ascii="宋体" w:hAnsi="宋体" w:cs="宋体" w:eastAsia="宋体" w:hint="default"/>
          <w:sz w:val="23"/>
          <w:szCs w:val="23"/>
        </w:rPr>
      </w:pPr>
    </w:p>
    <w:p>
      <w:pPr>
        <w:pStyle w:val="Heading4"/>
        <w:spacing w:line="240" w:lineRule="auto"/>
        <w:ind w:left="154" w:right="0"/>
        <w:jc w:val="left"/>
        <w:rPr>
          <w:b w:val="0"/>
          <w:bCs w:val="0"/>
        </w:rPr>
      </w:pPr>
      <w:bookmarkStart w:name="30、其他重要的会计政策和会计估计" w:id="215"/>
      <w:bookmarkEnd w:id="215"/>
      <w:r>
        <w:rPr>
          <w:b w:val="0"/>
          <w:bCs w:val="0"/>
        </w:rPr>
      </w:r>
      <w:r>
        <w:rPr>
          <w:rFonts w:ascii="Times New Roman" w:hAnsi="Times New Roman" w:cs="Times New Roman" w:eastAsia="Times New Roman" w:hint="default"/>
        </w:rPr>
        <w:t>30</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spacing w:line="338" w:lineRule="auto" w:before="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30.1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终止经营的确认标准和会计处理方法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终止经营，是指满足下列条件之一的已被企业处置或被企业被划归为持有待售的、在经营和编制财务报表时能够单独区</w:t>
      </w:r>
    </w:p>
    <w:p>
      <w:pPr>
        <w:pStyle w:val="BodyText"/>
        <w:spacing w:line="319" w:lineRule="auto" w:before="2"/>
        <w:ind w:right="0"/>
        <w:jc w:val="left"/>
      </w:pPr>
      <w:r>
        <w:rPr>
          <w:spacing w:val="-2"/>
        </w:rPr>
        <w:t>分的组成部分：①该组成部分代表一项独立的主要业务或一个主要经营地区；②该组成部分是拟对一项独立的主要业务或一</w:t>
      </w:r>
      <w:r>
        <w:rPr>
          <w:spacing w:val="-64"/>
        </w:rPr>
        <w:t> </w:t>
      </w:r>
      <w:r>
        <w:rPr>
          <w:spacing w:val="-64"/>
        </w:rPr>
      </w:r>
      <w:r>
        <w:rPr/>
        <w:t>个主要经营地区进行处置计划的一部分；③该组成部分仅仅是为了再出售而取得的子公司。</w:t>
      </w:r>
    </w:p>
    <w:p>
      <w:pPr>
        <w:spacing w:line="338" w:lineRule="auto" w:before="56"/>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30.2</w:t>
      </w:r>
      <w:r>
        <w:rPr>
          <w:rFonts w:ascii="宋体" w:hAnsi="宋体" w:cs="宋体" w:eastAsia="宋体" w:hint="default"/>
          <w:b/>
          <w:bCs/>
          <w:sz w:val="18"/>
          <w:szCs w:val="18"/>
        </w:rPr>
        <w:t>与回购公司股份相关的会计处理方法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公司按法定程序报经批准采用收购本公司股票方式减资的，按注销股票面值总额减少股本，购回股票支付的价款（含交</w:t>
      </w:r>
    </w:p>
    <w:p>
      <w:pPr>
        <w:pStyle w:val="BodyText"/>
        <w:spacing w:line="319" w:lineRule="auto" w:before="3"/>
        <w:ind w:right="0"/>
        <w:jc w:val="left"/>
      </w:pPr>
      <w:r>
        <w:rPr>
          <w:spacing w:val="-2"/>
        </w:rPr>
        <w:t>易费用）与股票面值的差额调整所有者权益，超过面值总额的部分，应依次冲减资本公积（股本溢价）、盈余公积和未分配</w:t>
      </w:r>
      <w:r>
        <w:rPr>
          <w:spacing w:val="-68"/>
        </w:rPr>
        <w:t> </w:t>
      </w:r>
      <w:r>
        <w:rPr>
          <w:spacing w:val="-68"/>
        </w:rPr>
      </w:r>
      <w:r>
        <w:rPr/>
        <w:t>利润</w:t>
      </w:r>
      <w:r>
        <w:rPr>
          <w:rFonts w:ascii="Times New Roman" w:hAnsi="Times New Roman" w:cs="Times New Roman" w:eastAsia="Times New Roman" w:hint="default"/>
        </w:rPr>
        <w:t>;</w:t>
      </w:r>
      <w:r>
        <w:rPr/>
        <w:t>低于面值总额的，低于面值总额的部分增加资本公积（股本溢价）。</w:t>
      </w:r>
    </w:p>
    <w:p>
      <w:pPr>
        <w:pStyle w:val="BodyText"/>
        <w:spacing w:line="316" w:lineRule="auto" w:before="35"/>
        <w:ind w:right="1131" w:firstLine="360"/>
        <w:jc w:val="both"/>
      </w:pPr>
      <w:r>
        <w:rPr>
          <w:spacing w:val="-2"/>
        </w:rPr>
        <w:t>公司回购的股份在注销或者转让之前，作为库存股管理，回购股份的全部支出转作库存股成本。库存股转让时，转让收</w:t>
      </w:r>
      <w:r>
        <w:rPr/>
        <w:t> 入高于库存股成本的部分，增加资本公积（股本溢价）</w:t>
      </w:r>
      <w:r>
        <w:rPr>
          <w:rFonts w:ascii="Times New Roman" w:hAnsi="Times New Roman" w:cs="Times New Roman" w:eastAsia="Times New Roman" w:hint="default"/>
        </w:rPr>
        <w:t>;</w:t>
      </w:r>
      <w:r>
        <w:rPr/>
        <w:t>低于库存股成本的部分，依次冲减资本公积（股本溢价）、盈余公</w:t>
      </w:r>
    </w:p>
    <w:p>
      <w:pPr>
        <w:spacing w:after="0" w:line="316"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48" w:lineRule="auto" w:before="44"/>
        <w:ind w:left="513" w:right="0" w:hanging="360"/>
        <w:jc w:val="left"/>
      </w:pPr>
      <w:r>
        <w:rPr/>
        <w:t>积、未分配利润。公司回购其普通股形成的库存股不得参与公司利润分配，在资产负债表中所有者权益的备抵项目列示。 </w:t>
      </w:r>
      <w:r>
        <w:rPr>
          <w:rFonts w:ascii="Times New Roman" w:hAnsi="Times New Roman" w:cs="Times New Roman" w:eastAsia="Times New Roman" w:hint="default"/>
          <w:b/>
          <w:bCs/>
        </w:rPr>
        <w:t>30.3</w:t>
      </w:r>
      <w:r>
        <w:rPr>
          <w:rFonts w:ascii="宋体" w:hAnsi="宋体" w:cs="宋体" w:eastAsia="宋体" w:hint="default"/>
          <w:b/>
          <w:bCs/>
        </w:rPr>
        <w:t>资产证券化业务的会计处理方法</w:t>
      </w:r>
      <w:r>
        <w:rPr>
          <w:rFonts w:ascii="宋体" w:hAnsi="宋体" w:cs="宋体" w:eastAsia="宋体" w:hint="default"/>
          <w:b/>
          <w:bCs/>
          <w:w w:val="99"/>
        </w:rPr>
        <w:t> </w:t>
      </w:r>
      <w:r>
        <w:rPr>
          <w:spacing w:val="-2"/>
        </w:rPr>
        <w:t>金融资产整体转移满足终止确认条件的，应当将因转移而收到的对价与原直接计入所有者权益的公允价值变动累计额之</w:t>
      </w:r>
    </w:p>
    <w:p>
      <w:pPr>
        <w:pStyle w:val="BodyText"/>
        <w:spacing w:line="357" w:lineRule="auto"/>
        <w:ind w:left="514" w:right="0" w:hanging="360"/>
        <w:jc w:val="left"/>
      </w:pPr>
      <w:r>
        <w:rPr/>
        <w:t>和、所转移金融资产的账面价值两项金额的差额计入当期损益。 </w:t>
      </w:r>
      <w:r>
        <w:rPr>
          <w:spacing w:val="-2"/>
        </w:rPr>
        <w:t>金融资产部分转移满足终止确认条件的，应当将所转移金融资产整体的账面价值，在终止确认部分和未终止确认部分之</w:t>
      </w:r>
    </w:p>
    <w:p>
      <w:pPr>
        <w:pStyle w:val="BodyText"/>
        <w:spacing w:line="224" w:lineRule="exact"/>
        <w:ind w:left="154" w:right="0"/>
        <w:jc w:val="left"/>
      </w:pPr>
      <w:r>
        <w:rPr/>
        <w:t>间，按照各自的相对公允价值进行分摊，并将终止确认部分的对价与原直接计入所有者权益的公允价值变动累计额中对应终</w:t>
      </w:r>
    </w:p>
    <w:p>
      <w:pPr>
        <w:pStyle w:val="BodyText"/>
        <w:spacing w:line="357" w:lineRule="auto" w:before="77"/>
        <w:ind w:left="513" w:right="0" w:hanging="360"/>
        <w:jc w:val="left"/>
      </w:pPr>
      <w:r>
        <w:rPr/>
        <w:t>止确认部分的金额之和、终止确认部分的账面价值两项金额的差额计入当期损益。 </w:t>
      </w:r>
      <w:r>
        <w:rPr>
          <w:spacing w:val="-4"/>
        </w:rPr>
        <w:t>金融资产不满足终止确认的条件，则继续确认所转移的金融资产整体，因资产转移而收到的对价，视同企业的融资借款，</w:t>
      </w:r>
    </w:p>
    <w:p>
      <w:pPr>
        <w:pStyle w:val="BodyText"/>
        <w:spacing w:line="338" w:lineRule="auto"/>
        <w:ind w:right="0"/>
        <w:jc w:val="left"/>
      </w:pPr>
      <w:r>
        <w:rPr/>
        <w:t>在收到时确认为一项金融负债。 </w:t>
      </w:r>
      <w:r>
        <w:rPr>
          <w:spacing w:val="-2"/>
        </w:rPr>
        <w:t>公司既没有转移也没有保留金融资产所有权上几乎所有的风险和报酬，且未放弃对该金融资产控制的，应当根据其继续涉入</w:t>
      </w:r>
      <w:r>
        <w:rPr>
          <w:spacing w:val="-64"/>
        </w:rPr>
        <w:t> </w:t>
      </w:r>
      <w:r>
        <w:rPr>
          <w:spacing w:val="-64"/>
        </w:rPr>
      </w:r>
      <w:r>
        <w:rPr>
          <w:spacing w:val="-2"/>
        </w:rPr>
        <w:t>所转移金融资产的程度确认有关金融资产和金融负债。对因继续涉入所转移金融资产形成的有关资产确认相关收入，对继续</w:t>
      </w:r>
    </w:p>
    <w:p>
      <w:pPr>
        <w:pStyle w:val="BodyText"/>
        <w:spacing w:line="240" w:lineRule="auto" w:before="4"/>
        <w:ind w:right="0"/>
        <w:jc w:val="left"/>
      </w:pPr>
      <w:r>
        <w:rPr/>
        <w:t>涉入形成的有关负债确认相关费用。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1、重要会计政策和会计估计变更" w:id="216"/>
      <w:bookmarkEnd w:id="216"/>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17"/>
      <w:bookmarkEnd w:id="21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要会计估计变更" w:id="218"/>
      <w:bookmarkEnd w:id="21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税项" w:id="219"/>
      <w:bookmarkEnd w:id="219"/>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20"/>
      <w:bookmarkEnd w:id="22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240" w:lineRule="auto" w:before="44"/>
        <w:ind w:left="0" w:right="1138"/>
        <w:jc w:val="right"/>
      </w:pPr>
      <w:r>
        <w:rPr/>
        <w:pict>
          <v:shape style="position:absolute;margin-left:56.459999pt;margin-top:-20.94828pt;width:479.25pt;height:172.4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纳税人销售货物或者应税劳务的销售额</w:t>
                        </w:r>
                      </w:p>
                    </w:tc>
                    <w:tc>
                      <w:tcPr>
                        <w:tcW w:w="3190"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的税率计算销项税</w:t>
                        </w:r>
                        <w:r>
                          <w:rPr>
                            <w:rFonts w:ascii="宋体" w:hAnsi="宋体" w:cs="宋体" w:eastAsia="宋体" w:hint="default"/>
                            <w:spacing w:val="-87"/>
                            <w:sz w:val="18"/>
                            <w:szCs w:val="18"/>
                          </w:rPr>
                          <w:t> </w:t>
                        </w:r>
                        <w:r>
                          <w:rPr>
                            <w:rFonts w:ascii="宋体" w:hAnsi="宋体" w:cs="宋体" w:eastAsia="宋体" w:hint="default"/>
                            <w:sz w:val="18"/>
                            <w:szCs w:val="18"/>
                          </w:rPr>
                          <w:t>并按扣除当期允许抵扣的进项税额后的 差额计缴增值税。</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北京南天软件有限公司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北京南天信息工程有限公司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上海南天电脑系统有限公司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广州南天电脑系统有限公司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天鸿志（北京）科技有限公司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昆明南天电脑系统有限公司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云南南天信息设备有限公司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成都南天佳信信息工程有限公司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深圳南天东华科技有限公司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武汉南天电脑系统有限公司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西安南天电脑系统有限公司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both"/>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left="57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）云南南天电子信息产业股份有限公司 </w:t>
      </w:r>
      <w:r>
        <w:rPr>
          <w:spacing w:val="-1"/>
        </w:rPr>
        <w:t>根据云发改办西部【</w:t>
      </w:r>
      <w:r>
        <w:rPr>
          <w:rFonts w:ascii="Times New Roman" w:hAnsi="Times New Roman" w:cs="Times New Roman" w:eastAsia="Times New Roman" w:hint="default"/>
          <w:spacing w:val="-1"/>
        </w:rPr>
        <w:t>2013</w:t>
      </w:r>
      <w:r>
        <w:rPr>
          <w:spacing w:val="-1"/>
        </w:rPr>
        <w:t>】</w:t>
      </w:r>
      <w:r>
        <w:rPr>
          <w:rFonts w:ascii="Times New Roman" w:hAnsi="Times New Roman" w:cs="Times New Roman" w:eastAsia="Times New Roman" w:hint="default"/>
          <w:spacing w:val="-1"/>
        </w:rPr>
        <w:t>397</w:t>
      </w:r>
      <w:r>
        <w:rPr>
          <w:spacing w:val="-1"/>
        </w:rPr>
        <w:t>号文件，云南省发展和改革委员会确认本公司符合国家发展改革委第</w:t>
      </w:r>
      <w:r>
        <w:rPr>
          <w:rFonts w:ascii="Times New Roman" w:hAnsi="Times New Roman" w:cs="Times New Roman" w:eastAsia="Times New Roman" w:hint="default"/>
          <w:spacing w:val="-1"/>
        </w:rPr>
        <w:t>9</w:t>
      </w:r>
    </w:p>
    <w:p>
      <w:pPr>
        <w:pStyle w:val="Heading5"/>
        <w:spacing w:line="256" w:lineRule="auto" w:before="5"/>
        <w:ind w:right="1131"/>
        <w:jc w:val="both"/>
      </w:pPr>
      <w:r>
        <w:rPr>
          <w:spacing w:val="-1"/>
        </w:rPr>
        <w:t>号令《产业结构调整指导目录（</w:t>
      </w:r>
      <w:r>
        <w:rPr>
          <w:rFonts w:ascii="Times New Roman" w:hAnsi="Times New Roman" w:cs="Times New Roman" w:eastAsia="Times New Roman" w:hint="default"/>
          <w:spacing w:val="-1"/>
        </w:rPr>
        <w:t>2011</w:t>
      </w:r>
      <w:r>
        <w:rPr>
          <w:spacing w:val="-1"/>
        </w:rPr>
        <w:t>年本）（修正）》鼓励类有关条款，是国家鼓励类产业。本公司在西</w:t>
      </w:r>
      <w:r>
        <w:rPr>
          <w:spacing w:val="-84"/>
        </w:rPr>
        <w:t> </w:t>
      </w:r>
      <w:r>
        <w:rPr>
          <w:spacing w:val="-84"/>
        </w:rPr>
      </w:r>
      <w:r>
        <w:rPr/>
        <w:t>部大开发企业所得税优惠政策执行期内减按</w:t>
      </w:r>
      <w:r>
        <w:rPr>
          <w:rFonts w:ascii="Times New Roman" w:hAnsi="Times New Roman" w:cs="Times New Roman" w:eastAsia="Times New Roman" w:hint="default"/>
        </w:rPr>
        <w:t>15%</w:t>
      </w:r>
      <w:r>
        <w:rPr/>
        <w:t>的税率计算缴纳企业所得税。</w:t>
      </w:r>
    </w:p>
    <w:p>
      <w:pPr>
        <w:pStyle w:val="Heading5"/>
        <w:spacing w:line="256" w:lineRule="auto" w:before="5"/>
        <w:ind w:left="573" w:right="0"/>
        <w:jc w:val="left"/>
      </w:pPr>
      <w:r>
        <w:rPr/>
        <w:t>（</w:t>
      </w:r>
      <w:r>
        <w:rPr>
          <w:rFonts w:ascii="Times New Roman" w:hAnsi="Times New Roman" w:cs="Times New Roman" w:eastAsia="Times New Roman" w:hint="default"/>
        </w:rPr>
        <w:t>2</w:t>
      </w:r>
      <w:r>
        <w:rPr/>
        <w:t>）北京南天软件有限公司 </w:t>
      </w:r>
      <w:r>
        <w:rPr>
          <w:spacing w:val="-1"/>
        </w:rPr>
        <w:t>北京南天软件有限公司获得北京市科学技术委员会、北京市财政局、北京市国家税务局、北京市地方</w:t>
      </w:r>
    </w:p>
    <w:p>
      <w:pPr>
        <w:pStyle w:val="Heading5"/>
        <w:spacing w:line="256" w:lineRule="auto" w:before="23"/>
        <w:ind w:left="154" w:right="1129"/>
        <w:jc w:val="both"/>
      </w:pPr>
      <w:r>
        <w:rPr>
          <w:spacing w:val="-1"/>
        </w:rPr>
        <w:t>税务局高新技术企业认证，根据《中华人民共和国企业所得税法》（中华人民共和国主席令第</w:t>
      </w:r>
      <w:r>
        <w:rPr>
          <w:rFonts w:ascii="Times New Roman" w:hAnsi="Times New Roman" w:cs="Times New Roman" w:eastAsia="Times New Roman" w:hint="default"/>
          <w:spacing w:val="-1"/>
        </w:rPr>
        <w:t>63</w:t>
      </w:r>
      <w:r>
        <w:rPr>
          <w:spacing w:val="-1"/>
        </w:rPr>
        <w:t>号）文件</w:t>
      </w:r>
      <w:r>
        <w:rPr>
          <w:spacing w:val="-82"/>
        </w:rPr>
        <w:t> </w:t>
      </w:r>
      <w:r>
        <w:rPr>
          <w:spacing w:val="-82"/>
        </w:rPr>
      </w:r>
      <w:r>
        <w:rPr>
          <w:spacing w:val="-3"/>
        </w:rPr>
        <w:t>第二十八条的规定：</w:t>
      </w:r>
      <w:r>
        <w:rPr>
          <w:rFonts w:ascii="Times New Roman" w:hAnsi="Times New Roman" w:cs="Times New Roman" w:eastAsia="Times New Roman" w:hint="default"/>
          <w:spacing w:val="-3"/>
        </w:rPr>
        <w:t>“</w:t>
      </w:r>
      <w:r>
        <w:rPr>
          <w:spacing w:val="-3"/>
        </w:rPr>
        <w:t>国家需要重点扶持的高新技术企业，减按</w:t>
      </w:r>
      <w:r>
        <w:rPr>
          <w:rFonts w:ascii="Times New Roman" w:hAnsi="Times New Roman" w:cs="Times New Roman" w:eastAsia="Times New Roman" w:hint="default"/>
          <w:spacing w:val="-3"/>
        </w:rPr>
        <w:t>15%</w:t>
      </w:r>
      <w:r>
        <w:rPr>
          <w:spacing w:val="-3"/>
        </w:rPr>
        <w:t>的税率征收企业所得税。</w:t>
      </w:r>
      <w:r>
        <w:rPr>
          <w:rFonts w:ascii="Times New Roman" w:hAnsi="Times New Roman" w:cs="Times New Roman" w:eastAsia="Times New Roman" w:hint="default"/>
          <w:spacing w:val="-3"/>
        </w:rPr>
        <w:t>”</w:t>
      </w:r>
      <w:r>
        <w:rPr>
          <w:spacing w:val="-3"/>
        </w:rPr>
        <w:t>公司执行</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46"/>
        </w:rPr>
        <w:t> </w:t>
      </w:r>
      <w:r>
        <w:rPr/>
        <w:t>所得税税率优惠政策。</w:t>
      </w:r>
    </w:p>
    <w:p>
      <w:pPr>
        <w:pStyle w:val="Heading5"/>
        <w:spacing w:line="256" w:lineRule="auto" w:before="22"/>
        <w:ind w:left="574" w:right="0"/>
        <w:jc w:val="left"/>
      </w:pPr>
      <w:r>
        <w:rPr/>
        <w:t>（</w:t>
      </w:r>
      <w:r>
        <w:rPr>
          <w:rFonts w:ascii="Times New Roman" w:hAnsi="Times New Roman" w:cs="Times New Roman" w:eastAsia="Times New Roman" w:hint="default"/>
        </w:rPr>
        <w:t>3</w:t>
      </w:r>
      <w:r>
        <w:rPr/>
        <w:t>）北京南天信息工程有限公司 </w:t>
      </w:r>
      <w:r>
        <w:rPr>
          <w:spacing w:val="-1"/>
        </w:rPr>
        <w:t>北京南天信息工程有限公司获得北京市科学技术委员会、北京市财政局、北京市国家税务局、北京市</w:t>
      </w:r>
    </w:p>
    <w:p>
      <w:pPr>
        <w:pStyle w:val="Heading5"/>
        <w:spacing w:line="256" w:lineRule="auto" w:before="22"/>
        <w:ind w:left="154" w:right="1110"/>
        <w:jc w:val="both"/>
      </w:pPr>
      <w:r>
        <w:rPr/>
        <w:t>地方税务局高新技术企业认证，根据《中华人民共和国企业所得税法》（中华人民共和国主席令第</w:t>
      </w:r>
      <w:r>
        <w:rPr>
          <w:rFonts w:ascii="Times New Roman" w:hAnsi="Times New Roman" w:cs="Times New Roman" w:eastAsia="Times New Roman" w:hint="default"/>
        </w:rPr>
        <w:t>63</w:t>
      </w:r>
      <w:r>
        <w:rPr/>
        <w:t>号）</w:t>
      </w:r>
      <w:r>
        <w:rPr>
          <w:spacing w:val="-2"/>
        </w:rPr>
        <w:t> </w:t>
      </w:r>
      <w:r>
        <w:rPr/>
        <w:t>文件第二十八条的规定：</w:t>
      </w:r>
      <w:r>
        <w:rPr>
          <w:rFonts w:ascii="Times New Roman" w:hAnsi="Times New Roman" w:cs="Times New Roman" w:eastAsia="Times New Roman" w:hint="default"/>
        </w:rPr>
        <w:t>“</w:t>
      </w:r>
      <w:r>
        <w:rPr/>
        <w:t>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公司执</w:t>
      </w:r>
      <w:r>
        <w:rPr>
          <w:spacing w:val="-72"/>
        </w:rPr>
        <w:t> </w:t>
      </w:r>
      <w:r>
        <w:rPr>
          <w:spacing w:val="-72"/>
        </w:rPr>
      </w:r>
      <w:r>
        <w:rPr/>
        <w:t>行</w:t>
      </w:r>
      <w:r>
        <w:rPr>
          <w:rFonts w:ascii="Times New Roman" w:hAnsi="Times New Roman" w:cs="Times New Roman" w:eastAsia="Times New Roman" w:hint="default"/>
        </w:rPr>
        <w:t>15%</w:t>
      </w:r>
      <w:r>
        <w:rPr/>
        <w:t>所得税税率优惠政策。</w:t>
      </w:r>
    </w:p>
    <w:p>
      <w:pPr>
        <w:pStyle w:val="Heading5"/>
        <w:spacing w:line="256" w:lineRule="auto" w:before="5"/>
        <w:ind w:left="574" w:right="0"/>
        <w:jc w:val="left"/>
      </w:pPr>
      <w:r>
        <w:rPr/>
        <w:t>（</w:t>
      </w:r>
      <w:r>
        <w:rPr>
          <w:rFonts w:ascii="Times New Roman" w:hAnsi="Times New Roman" w:cs="Times New Roman" w:eastAsia="Times New Roman" w:hint="default"/>
        </w:rPr>
        <w:t>4</w:t>
      </w:r>
      <w:r>
        <w:rPr/>
        <w:t>）上海南天电脑系统有限公司 </w:t>
      </w:r>
      <w:r>
        <w:rPr>
          <w:spacing w:val="-1"/>
        </w:rPr>
        <w:t>上海南天电脑系统有限公司根据国家科技部、财政部、国家税务总局颁布的《高新技术企业认定管理</w:t>
      </w:r>
    </w:p>
    <w:p>
      <w:pPr>
        <w:pStyle w:val="Heading5"/>
        <w:spacing w:line="256" w:lineRule="auto" w:before="22"/>
        <w:ind w:right="1026"/>
        <w:jc w:val="both"/>
      </w:pPr>
      <w:r>
        <w:rPr>
          <w:spacing w:val="-2"/>
        </w:rPr>
        <w:t>办法》（国科发火</w:t>
      </w:r>
      <w:r>
        <w:rPr>
          <w:rFonts w:ascii="Times New Roman" w:hAnsi="Times New Roman" w:cs="Times New Roman" w:eastAsia="Times New Roman" w:hint="default"/>
          <w:spacing w:val="-2"/>
        </w:rPr>
        <w:t>[2008]172</w:t>
      </w:r>
      <w:r>
        <w:rPr>
          <w:spacing w:val="-2"/>
        </w:rPr>
        <w:t>号）、《高新技术企业认定管理工作指引》（国科发火</w:t>
      </w:r>
      <w:r>
        <w:rPr>
          <w:rFonts w:ascii="Times New Roman" w:hAnsi="Times New Roman" w:cs="Times New Roman" w:eastAsia="Times New Roman" w:hint="default"/>
          <w:spacing w:val="-2"/>
        </w:rPr>
        <w:t>[2008]362</w:t>
      </w:r>
      <w:r>
        <w:rPr>
          <w:spacing w:val="-2"/>
        </w:rPr>
        <w:t>号）、《关于</w:t>
      </w:r>
      <w:r>
        <w:rPr>
          <w:spacing w:val="-91"/>
        </w:rPr>
        <w:t> </w:t>
      </w:r>
      <w:r>
        <w:rPr>
          <w:spacing w:val="-91"/>
        </w:rPr>
      </w:r>
      <w:r>
        <w:rPr/>
        <w:t>高新技术企业更名和复审等有关事项的通知》（国科火字（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123</w:t>
      </w:r>
      <w:r>
        <w:rPr/>
        <w:t>号）和《上海市高新技术企业认定</w:t>
      </w:r>
      <w:r>
        <w:rPr>
          <w:spacing w:val="-30"/>
        </w:rPr>
        <w:t> </w:t>
      </w:r>
      <w:r>
        <w:rPr>
          <w:spacing w:val="-30"/>
        </w:rPr>
      </w:r>
      <w:r>
        <w:rPr/>
        <w:t>管理实施办法》（沪科合（</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025</w:t>
      </w:r>
      <w:r>
        <w:rPr/>
        <w:t>号）的有关规定，向上海市高新技术企业认定办公室申报作为高</w:t>
      </w:r>
      <w:r>
        <w:rPr>
          <w:spacing w:val="-34"/>
        </w:rPr>
        <w:t> </w:t>
      </w:r>
      <w:r>
        <w:rPr>
          <w:spacing w:val="-34"/>
        </w:rPr>
      </w:r>
      <w:r>
        <w:rPr>
          <w:spacing w:val="-3"/>
        </w:rPr>
        <w:t>新技术企业并获得认证（高新技术企业编号为：</w:t>
      </w:r>
      <w:r>
        <w:rPr>
          <w:rFonts w:ascii="Times New Roman" w:hAnsi="Times New Roman" w:cs="Times New Roman" w:eastAsia="Times New Roman" w:hint="default"/>
          <w:spacing w:val="-3"/>
        </w:rPr>
        <w:t>GF201131001293</w:t>
      </w:r>
      <w:r>
        <w:rPr>
          <w:spacing w:val="-3"/>
        </w:rPr>
        <w:t>），公司执行</w:t>
      </w:r>
      <w:r>
        <w:rPr>
          <w:rFonts w:ascii="Times New Roman" w:hAnsi="Times New Roman" w:cs="Times New Roman" w:eastAsia="Times New Roman" w:hint="default"/>
          <w:spacing w:val="-3"/>
        </w:rPr>
        <w:t>15%</w:t>
      </w:r>
      <w:r>
        <w:rPr>
          <w:spacing w:val="-3"/>
        </w:rPr>
        <w:t>的所得税税率优惠政策。</w:t>
      </w:r>
    </w:p>
    <w:p>
      <w:pPr>
        <w:pStyle w:val="Heading5"/>
        <w:spacing w:line="256" w:lineRule="auto" w:before="5"/>
        <w:ind w:left="573" w:right="0"/>
        <w:jc w:val="left"/>
      </w:pPr>
      <w:r>
        <w:rPr/>
        <w:t>（</w:t>
      </w:r>
      <w:r>
        <w:rPr>
          <w:rFonts w:ascii="Times New Roman" w:hAnsi="Times New Roman" w:cs="Times New Roman" w:eastAsia="Times New Roman" w:hint="default"/>
        </w:rPr>
        <w:t>5</w:t>
      </w:r>
      <w:r>
        <w:rPr/>
        <w:t>）广州南天电脑系统有限公司 </w:t>
      </w:r>
      <w:r>
        <w:rPr>
          <w:spacing w:val="-3"/>
        </w:rPr>
        <w:t>广州南天电脑系统有限公司根据粤科函高字〔</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1437</w:t>
      </w:r>
      <w:r>
        <w:rPr>
          <w:spacing w:val="-3"/>
        </w:rPr>
        <w:t>号文件，</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10</w:t>
      </w:r>
      <w:r>
        <w:rPr>
          <w:spacing w:val="-3"/>
        </w:rPr>
        <w:t>月被认定为高新技术企业，</w:t>
      </w:r>
    </w:p>
    <w:p>
      <w:pPr>
        <w:pStyle w:val="Heading5"/>
        <w:spacing w:line="240" w:lineRule="auto" w:before="5"/>
        <w:ind w:right="0"/>
        <w:jc w:val="both"/>
      </w:pPr>
      <w:r>
        <w:rPr/>
        <w:t>公司执行</w:t>
      </w:r>
      <w:r>
        <w:rPr>
          <w:rFonts w:ascii="Times New Roman" w:hAnsi="Times New Roman" w:cs="Times New Roman" w:eastAsia="Times New Roman" w:hint="default"/>
        </w:rPr>
        <w:t>15%</w:t>
      </w:r>
      <w:r>
        <w:rPr/>
        <w:t>所得税税率优惠政策。</w:t>
      </w:r>
    </w:p>
    <w:p>
      <w:pPr>
        <w:pStyle w:val="Heading5"/>
        <w:spacing w:line="256" w:lineRule="auto" w:before="21"/>
        <w:ind w:left="573" w:right="0"/>
        <w:jc w:val="left"/>
      </w:pPr>
      <w:r>
        <w:rPr/>
        <w:t>（</w:t>
      </w:r>
      <w:r>
        <w:rPr>
          <w:rFonts w:ascii="Times New Roman" w:hAnsi="Times New Roman" w:cs="Times New Roman" w:eastAsia="Times New Roman" w:hint="default"/>
        </w:rPr>
        <w:t>6</w:t>
      </w:r>
      <w:r>
        <w:rPr/>
        <w:t>）昆明南天电脑系统有限公司 昆明南天电脑系统有限公司根据云发改办西部【</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397</w:t>
      </w:r>
      <w:r>
        <w:rPr/>
        <w:t>号文件，云南省发展和改革委员会确认本</w:t>
      </w:r>
    </w:p>
    <w:p>
      <w:pPr>
        <w:pStyle w:val="Heading5"/>
        <w:spacing w:line="256" w:lineRule="auto" w:before="5"/>
        <w:ind w:right="1132"/>
        <w:jc w:val="both"/>
      </w:pPr>
      <w:r>
        <w:rPr/>
        <w:t>公司符合国家发展改革委第</w:t>
      </w:r>
      <w:r>
        <w:rPr>
          <w:rFonts w:ascii="Times New Roman" w:hAnsi="Times New Roman" w:cs="Times New Roman" w:eastAsia="Times New Roman" w:hint="default"/>
        </w:rPr>
        <w:t>9</w:t>
      </w:r>
      <w:r>
        <w:rPr/>
        <w:t>号令《产业结构调整指导目录（</w:t>
      </w:r>
      <w:r>
        <w:rPr>
          <w:rFonts w:ascii="Times New Roman" w:hAnsi="Times New Roman" w:cs="Times New Roman" w:eastAsia="Times New Roman" w:hint="default"/>
        </w:rPr>
        <w:t>2011</w:t>
      </w:r>
      <w:r>
        <w:rPr/>
        <w:t>年本）（修正）》鼓励类有关条款，是</w:t>
      </w:r>
      <w:r>
        <w:rPr>
          <w:spacing w:val="-29"/>
        </w:rPr>
        <w:t> </w:t>
      </w:r>
      <w:r>
        <w:rPr>
          <w:spacing w:val="-29"/>
        </w:rPr>
      </w:r>
      <w:r>
        <w:rPr/>
        <w:t>国家鼓励类产业。昆明南天电脑系统有限公司在西部大开发企业所得税优惠政策执行期内减按</w:t>
      </w:r>
      <w:r>
        <w:rPr>
          <w:rFonts w:ascii="Times New Roman" w:hAnsi="Times New Roman" w:cs="Times New Roman" w:eastAsia="Times New Roman" w:hint="default"/>
        </w:rPr>
        <w:t>15%</w:t>
      </w:r>
      <w:r>
        <w:rPr/>
        <w:t>的税率</w:t>
      </w:r>
      <w:r>
        <w:rPr>
          <w:spacing w:val="-95"/>
        </w:rPr>
        <w:t> </w:t>
      </w:r>
      <w:r>
        <w:rPr>
          <w:spacing w:val="-95"/>
        </w:rPr>
      </w:r>
      <w:r>
        <w:rPr/>
        <w:t>计算缴纳企业所得税。</w:t>
      </w:r>
    </w:p>
    <w:p>
      <w:pPr>
        <w:spacing w:after="0" w:line="256" w:lineRule="auto"/>
        <w:jc w:val="both"/>
        <w:sectPr>
          <w:footerReference w:type="default" r:id="rId15"/>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Heading5"/>
        <w:spacing w:line="256" w:lineRule="auto" w:before="35"/>
        <w:ind w:left="573" w:right="1198"/>
        <w:jc w:val="left"/>
      </w:pPr>
      <w:r>
        <w:rPr/>
        <w:t>（</w:t>
      </w:r>
      <w:r>
        <w:rPr>
          <w:rFonts w:ascii="Times New Roman" w:hAnsi="Times New Roman" w:cs="Times New Roman" w:eastAsia="Times New Roman" w:hint="default"/>
        </w:rPr>
        <w:t>7</w:t>
      </w:r>
      <w:r>
        <w:rPr/>
        <w:t>）云南南天信息设备有限公司 云南南天信息设备有限公司根据云发改办西部【</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397</w:t>
      </w:r>
      <w:r>
        <w:rPr/>
        <w:t>号文件，云南省发展和改革委员会确认本</w:t>
      </w:r>
    </w:p>
    <w:p>
      <w:pPr>
        <w:pStyle w:val="Heading5"/>
        <w:spacing w:line="256" w:lineRule="auto" w:before="5"/>
        <w:ind w:left="154" w:right="1144"/>
        <w:jc w:val="both"/>
      </w:pPr>
      <w:r>
        <w:rPr/>
        <w:t>公司符合国家发展改革委第</w:t>
      </w:r>
      <w:r>
        <w:rPr>
          <w:rFonts w:ascii="Times New Roman" w:hAnsi="Times New Roman" w:cs="Times New Roman" w:eastAsia="Times New Roman" w:hint="default"/>
        </w:rPr>
        <w:t>9</w:t>
      </w:r>
      <w:r>
        <w:rPr/>
        <w:t>号令《产业结构调整指导目录（</w:t>
      </w:r>
      <w:r>
        <w:rPr>
          <w:rFonts w:ascii="Times New Roman" w:hAnsi="Times New Roman" w:cs="Times New Roman" w:eastAsia="Times New Roman" w:hint="default"/>
        </w:rPr>
        <w:t>2011</w:t>
      </w:r>
      <w:r>
        <w:rPr/>
        <w:t>年本）（修正）》鼓励类有关条款，是 国家鼓励类产业。设备公司在西部大开发企业所得税优惠政策执行期内减按</w:t>
      </w:r>
      <w:r>
        <w:rPr>
          <w:rFonts w:ascii="Times New Roman" w:hAnsi="Times New Roman" w:cs="Times New Roman" w:eastAsia="Times New Roman" w:hint="default"/>
        </w:rPr>
        <w:t>15%</w:t>
      </w:r>
      <w:r>
        <w:rPr/>
        <w:t>的税率计算缴纳企业所得 税。</w:t>
      </w:r>
    </w:p>
    <w:p>
      <w:pPr>
        <w:pStyle w:val="Heading5"/>
        <w:spacing w:line="256" w:lineRule="auto" w:before="22"/>
        <w:ind w:left="574" w:right="0"/>
        <w:jc w:val="left"/>
      </w:pPr>
      <w:r>
        <w:rPr/>
        <w:t>（</w:t>
      </w:r>
      <w:r>
        <w:rPr>
          <w:rFonts w:ascii="Times New Roman" w:hAnsi="Times New Roman" w:cs="Times New Roman" w:eastAsia="Times New Roman" w:hint="default"/>
        </w:rPr>
        <w:t>8</w:t>
      </w:r>
      <w:r>
        <w:rPr/>
        <w:t>）深圳南天东华科技有限公司 </w:t>
      </w:r>
      <w:r>
        <w:rPr>
          <w:spacing w:val="-1"/>
        </w:rPr>
        <w:t>深圳南天东华科技有限公司</w:t>
      </w:r>
      <w:r>
        <w:rPr>
          <w:rFonts w:ascii="Times New Roman" w:hAnsi="Times New Roman" w:cs="Times New Roman" w:eastAsia="Times New Roman" w:hint="default"/>
          <w:spacing w:val="-1"/>
        </w:rPr>
        <w:t>2014</w:t>
      </w:r>
      <w:r>
        <w:rPr>
          <w:spacing w:val="-1"/>
        </w:rPr>
        <w:t>年获得深圳市科技创新委员会、深圳市财政委员会、深圳市国家税务</w:t>
      </w:r>
    </w:p>
    <w:p>
      <w:pPr>
        <w:pStyle w:val="Heading5"/>
        <w:spacing w:line="264" w:lineRule="auto" w:before="5"/>
        <w:ind w:right="1133"/>
        <w:jc w:val="both"/>
      </w:pPr>
      <w:r>
        <w:rPr>
          <w:spacing w:val="-1"/>
        </w:rPr>
        <w:t>局、深圳市地方税务局高新技术企业认证，根据《中华人民共和国企业税法》（中华人民共和国主席令第</w:t>
      </w:r>
      <w:r>
        <w:rPr>
          <w:spacing w:val="-83"/>
        </w:rPr>
        <w:t> </w:t>
      </w:r>
      <w:r>
        <w:rPr>
          <w:spacing w:val="-83"/>
        </w:rPr>
      </w:r>
      <w:r>
        <w:rPr>
          <w:rFonts w:ascii="Times New Roman" w:hAnsi="Times New Roman" w:cs="Times New Roman" w:eastAsia="Times New Roman" w:hint="default"/>
        </w:rPr>
        <w:t>63</w:t>
      </w:r>
      <w:r>
        <w:rPr/>
        <w:t>号）文件第二十八条的规定：</w:t>
      </w:r>
      <w:r>
        <w:rPr>
          <w:rFonts w:ascii="Times New Roman" w:hAnsi="Times New Roman" w:cs="Times New Roman" w:eastAsia="Times New Roman" w:hint="default"/>
        </w:rPr>
        <w:t>“</w:t>
      </w:r>
      <w:r>
        <w:rPr/>
        <w:t>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公司执行</w:t>
      </w:r>
      <w:r>
        <w:rPr>
          <w:rFonts w:ascii="Times New Roman" w:hAnsi="Times New Roman" w:cs="Times New Roman" w:eastAsia="Times New Roman" w:hint="default"/>
        </w:rPr>
        <w:t>15%</w:t>
      </w:r>
      <w:r>
        <w:rPr/>
        <w:t>所得税税率优惠政策。</w:t>
      </w:r>
      <w:r>
        <w:rPr>
          <w:rFonts w:ascii="Times New Roman" w:hAnsi="Times New Roman" w:cs="Times New Roman" w:eastAsia="Times New Roman" w:hint="default"/>
        </w:rPr>
        <w:t>2013</w:t>
      </w:r>
      <w:r>
        <w:rPr/>
        <w:t>年以前按照</w:t>
      </w:r>
      <w:r>
        <w:rPr>
          <w:rFonts w:ascii="Times New Roman" w:hAnsi="Times New Roman" w:cs="Times New Roman" w:eastAsia="Times New Roman" w:hint="default"/>
        </w:rPr>
        <w:t>25%</w:t>
      </w:r>
      <w:r>
        <w:rPr/>
        <w:t>的税率征收企业所得税。</w:t>
      </w:r>
    </w:p>
    <w:p>
      <w:pPr>
        <w:pStyle w:val="Heading5"/>
        <w:spacing w:line="289" w:lineRule="exact"/>
        <w:ind w:left="573" w:right="0"/>
        <w:jc w:val="left"/>
      </w:pPr>
      <w:r>
        <w:rPr/>
        <w:t>（</w:t>
      </w:r>
      <w:r>
        <w:rPr>
          <w:rFonts w:ascii="Times New Roman" w:hAnsi="Times New Roman" w:cs="Times New Roman" w:eastAsia="Times New Roman" w:hint="default"/>
        </w:rPr>
        <w:t>10</w:t>
      </w:r>
      <w:r>
        <w:rPr/>
        <w:t>）成都南天佳信信息工程有限公司</w:t>
      </w:r>
    </w:p>
    <w:p>
      <w:pPr>
        <w:pStyle w:val="BodyText"/>
        <w:spacing w:line="300" w:lineRule="auto" w:before="46"/>
        <w:ind w:left="154" w:right="1152" w:firstLine="420"/>
        <w:jc w:val="left"/>
      </w:pPr>
      <w:r>
        <w:rPr/>
        <w:t>成都南天佳信信息工程有限公司于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日获得四川省科学技术厅、四川省财政厅、四川省国家税务局、四川省 地方税务局办理的高新技术企业证书、证书编号</w:t>
      </w:r>
      <w:r>
        <w:rPr>
          <w:rFonts w:ascii="Times New Roman" w:hAnsi="Times New Roman" w:cs="Times New Roman" w:eastAsia="Times New Roman" w:hint="default"/>
        </w:rPr>
        <w:t>GF201551000006</w:t>
      </w:r>
      <w:r>
        <w:rPr/>
        <w:t>，有效期三年，有效期内公司执行</w:t>
      </w:r>
      <w:r>
        <w:rPr>
          <w:rFonts w:ascii="Times New Roman" w:hAnsi="Times New Roman" w:cs="Times New Roman" w:eastAsia="Times New Roman" w:hint="default"/>
        </w:rPr>
        <w:t>15%</w:t>
      </w:r>
      <w:r>
        <w:rPr/>
        <w:t>的所得税税率。</w:t>
      </w:r>
    </w:p>
    <w:p>
      <w:pPr>
        <w:pStyle w:val="Heading5"/>
        <w:spacing w:line="256" w:lineRule="auto"/>
        <w:ind w:left="574" w:right="1162"/>
        <w:jc w:val="left"/>
      </w:pPr>
      <w:r>
        <w:rPr/>
        <w:t>（</w:t>
      </w:r>
      <w:r>
        <w:rPr>
          <w:rFonts w:ascii="Times New Roman" w:hAnsi="Times New Roman" w:cs="Times New Roman" w:eastAsia="Times New Roman" w:hint="default"/>
        </w:rPr>
        <w:t>11</w:t>
      </w:r>
      <w:r>
        <w:rPr/>
        <w:t>）天鸿志（北京）科技有限公司 根据财应税服务适用增值税零税率和免税政策的规定（财税</w:t>
      </w:r>
      <w:r>
        <w:rPr>
          <w:rFonts w:ascii="Times New Roman" w:hAnsi="Times New Roman" w:cs="Times New Roman" w:eastAsia="Times New Roman" w:hint="default"/>
        </w:rPr>
        <w:t>[2013]106</w:t>
      </w:r>
      <w:r>
        <w:rPr/>
        <w:t>号附件</w:t>
      </w:r>
      <w:r>
        <w:rPr>
          <w:rFonts w:ascii="Times New Roman" w:hAnsi="Times New Roman" w:cs="Times New Roman" w:eastAsia="Times New Roman" w:hint="default"/>
        </w:rPr>
        <w:t>4</w:t>
      </w:r>
      <w:r>
        <w:rPr/>
        <w:t>）、《关于营业税改征</w:t>
      </w:r>
    </w:p>
    <w:p>
      <w:pPr>
        <w:pStyle w:val="Heading5"/>
        <w:spacing w:line="264" w:lineRule="auto" w:before="5"/>
        <w:ind w:right="0"/>
        <w:jc w:val="left"/>
      </w:pPr>
      <w:r>
        <w:rPr/>
        <w:t>增值税试点期间有关增值税优惠政策管理问题的公告公告》（北京市国家税务局公告</w:t>
      </w:r>
      <w:r>
        <w:rPr>
          <w:rFonts w:ascii="Times New Roman" w:hAnsi="Times New Roman" w:cs="Times New Roman" w:eastAsia="Times New Roman" w:hint="default"/>
        </w:rPr>
        <w:t>2012</w:t>
      </w:r>
      <w:r>
        <w:rPr/>
        <w:t>年第</w:t>
      </w:r>
      <w:r>
        <w:rPr>
          <w:rFonts w:ascii="Times New Roman" w:hAnsi="Times New Roman" w:cs="Times New Roman" w:eastAsia="Times New Roman" w:hint="default"/>
        </w:rPr>
        <w:t>8</w:t>
      </w:r>
      <w:r>
        <w:rPr/>
        <w:t>号）的规 </w:t>
      </w:r>
      <w:r>
        <w:rPr>
          <w:spacing w:val="-1"/>
        </w:rPr>
        <w:t>定，试点纳税人提供技术转让、技术开发和与之相关的技术咨询、技术服务享受增值税减免优惠政策。本</w:t>
      </w:r>
      <w:r>
        <w:rPr>
          <w:spacing w:val="-85"/>
        </w:rPr>
        <w:t> </w:t>
      </w:r>
      <w:r>
        <w:rPr>
          <w:spacing w:val="-85"/>
        </w:rPr>
      </w:r>
      <w:r>
        <w:rPr/>
        <w:t>公司本年度已取得北京市朝阳区国家税务局技术开发收入增值税减免优惠备案审批。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ind w:right="0"/>
        <w:jc w:val="both"/>
        <w:rPr>
          <w:b w:val="0"/>
          <w:bCs w:val="0"/>
        </w:rPr>
      </w:pPr>
      <w:bookmarkStart w:name="七、合并财务报表项目注释" w:id="222"/>
      <w:bookmarkEnd w:id="222"/>
      <w:r>
        <w:rPr>
          <w:b w:val="0"/>
          <w:bCs w:val="0"/>
        </w:rPr>
      </w:r>
      <w:r>
        <w:rPr/>
        <w:t>七、合并财务报表项目注释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货币资金" w:id="223"/>
      <w:bookmarkEnd w:id="22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134,925.30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65,850.13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866,857,677.52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791,753,823.96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58,665,275.16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33,451,345.28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925,657,877.98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825,271,019.37</w:t>
            </w:r>
          </w:p>
        </w:tc>
      </w:tr>
    </w:tbl>
    <w:p>
      <w:pPr>
        <w:pStyle w:val="BodyText"/>
        <w:spacing w:line="240" w:lineRule="auto" w:before="51"/>
        <w:ind w:left="154" w:right="0"/>
        <w:jc w:val="left"/>
      </w:pPr>
      <w:r>
        <w:rPr/>
        <w:t>其他说明</w:t>
      </w:r>
    </w:p>
    <w:p>
      <w:pPr>
        <w:pStyle w:val="Heading5"/>
        <w:spacing w:line="240" w:lineRule="auto" w:before="90"/>
        <w:ind w:right="0"/>
        <w:jc w:val="left"/>
      </w:pPr>
      <w:r>
        <w:rPr/>
        <w:t>受限制的货币资金情况：</w:t>
      </w:r>
    </w:p>
    <w:p>
      <w:pPr>
        <w:spacing w:line="240" w:lineRule="auto" w:before="11"/>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874"/>
        <w:gridCol w:w="1798"/>
        <w:gridCol w:w="1799"/>
        <w:gridCol w:w="2874"/>
      </w:tblGrid>
      <w:tr>
        <w:trPr>
          <w:trHeight w:val="355" w:hRule="exact"/>
        </w:trPr>
        <w:tc>
          <w:tcPr>
            <w:tcW w:w="287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9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874"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受限制的原因</w:t>
            </w:r>
          </w:p>
        </w:tc>
      </w:tr>
      <w:tr>
        <w:trPr>
          <w:trHeight w:val="352" w:hRule="exact"/>
        </w:trPr>
        <w:tc>
          <w:tcPr>
            <w:tcW w:w="287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1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20,925,612.01</w:t>
            </w:r>
          </w:p>
        </w:tc>
        <w:tc>
          <w:tcPr>
            <w:tcW w:w="17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8,591,443.80</w:t>
            </w:r>
          </w:p>
        </w:tc>
        <w:tc>
          <w:tcPr>
            <w:tcW w:w="2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9"/>
              <w:jc w:val="center"/>
              <w:rPr>
                <w:rFonts w:ascii="宋体" w:hAnsi="宋体" w:cs="宋体" w:eastAsia="宋体" w:hint="default"/>
                <w:sz w:val="21"/>
                <w:szCs w:val="21"/>
              </w:rPr>
            </w:pPr>
            <w:r>
              <w:rPr>
                <w:rFonts w:ascii="宋体" w:hAnsi="宋体" w:cs="宋体" w:eastAsia="宋体" w:hint="default"/>
                <w:sz w:val="21"/>
                <w:szCs w:val="21"/>
              </w:rPr>
              <w:t>银行承兑汇票保证金</w:t>
            </w:r>
          </w:p>
        </w:tc>
      </w:tr>
      <w:tr>
        <w:trPr>
          <w:trHeight w:val="353" w:hRule="exact"/>
        </w:trPr>
        <w:tc>
          <w:tcPr>
            <w:tcW w:w="287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1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34,584,784.96</w:t>
            </w:r>
          </w:p>
        </w:tc>
        <w:tc>
          <w:tcPr>
            <w:tcW w:w="17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10,811,378.03</w:t>
            </w:r>
          </w:p>
        </w:tc>
        <w:tc>
          <w:tcPr>
            <w:tcW w:w="2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352" w:hRule="exact"/>
        </w:trPr>
        <w:tc>
          <w:tcPr>
            <w:tcW w:w="287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欧元投标保证金</w:t>
            </w:r>
          </w:p>
        </w:tc>
        <w:tc>
          <w:tcPr>
            <w:tcW w:w="1798" w:type="dxa"/>
            <w:tcBorders>
              <w:top w:val="single" w:sz="12" w:space="0" w:color="000000"/>
              <w:left w:val="single" w:sz="6" w:space="0" w:color="000000"/>
              <w:bottom w:val="single" w:sz="12" w:space="0" w:color="000000"/>
              <w:right w:val="single" w:sz="6" w:space="0" w:color="000000"/>
            </w:tcBorders>
          </w:tcPr>
          <w:p>
            <w:pPr/>
          </w:p>
        </w:tc>
        <w:tc>
          <w:tcPr>
            <w:tcW w:w="17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396,804.43</w:t>
            </w:r>
          </w:p>
        </w:tc>
        <w:tc>
          <w:tcPr>
            <w:tcW w:w="2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欧元投标保证金</w:t>
            </w:r>
          </w:p>
        </w:tc>
      </w:tr>
      <w:tr>
        <w:trPr>
          <w:trHeight w:val="352" w:hRule="exact"/>
        </w:trPr>
        <w:tc>
          <w:tcPr>
            <w:tcW w:w="287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55,510,396.97</w:t>
            </w:r>
          </w:p>
        </w:tc>
        <w:tc>
          <w:tcPr>
            <w:tcW w:w="17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19,799,626.26</w:t>
            </w:r>
            <w:r>
              <w:rPr>
                <w:rFonts w:ascii="Times New Roman"/>
                <w:sz w:val="21"/>
              </w:rPr>
            </w:r>
          </w:p>
        </w:tc>
        <w:tc>
          <w:tcPr>
            <w:tcW w:w="2874" w:type="dxa"/>
            <w:tcBorders>
              <w:top w:val="single" w:sz="12" w:space="0" w:color="000000"/>
              <w:left w:val="single" w:sz="6" w:space="0" w:color="000000"/>
              <w:bottom w:val="single" w:sz="12" w:space="0" w:color="000000"/>
              <w:right w:val="nil" w:sz="6" w:space="0" w:color="auto"/>
            </w:tcBorders>
          </w:tcPr>
          <w:p>
            <w:pPr/>
          </w:p>
        </w:tc>
      </w:tr>
    </w:tbl>
    <w:p>
      <w:pPr>
        <w:spacing w:after="0"/>
        <w:sectPr>
          <w:footerReference w:type="default" r:id="rId16"/>
          <w:pgSz w:w="11910" w:h="16840"/>
          <w:pgMar w:footer="979" w:header="747" w:top="1060" w:bottom="1160" w:left="980" w:right="0"/>
          <w:pgNumType w:start="101"/>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以公允价值计量且其变动计入当期损益的金融资产" w:id="224"/>
      <w:bookmarkEnd w:id="224"/>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7,570.00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7,570.00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7,570.00</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25"/>
      <w:bookmarkEnd w:id="225"/>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应收账款" w:id="226"/>
      <w:bookmarkEnd w:id="226"/>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227"/>
      <w:bookmarkEnd w:id="22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426,555,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489.03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38,534,0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22.91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388,021,4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66.12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409,667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,129.77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99.19%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27,180,43</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382,486,69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4.47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3,330,83</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3,330,83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3,330,8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3,330,831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429,886,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320.03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41,864,8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53.91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9.74%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388,021,4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66.12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412,997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,960.77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30,511,26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6.30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7.39%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382,486,69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4.47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129,361,163.58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79,411,488.76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794,114.88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54,542,276.14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1,090,845.49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13,410,927.98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402,327.84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18,057,979.38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902,898.97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294,783,835.84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3,190,187.18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59,945,635.76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5,125,583.56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25,723,263.45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5,144,652.69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46,102,753.98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25,073,599.48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21,519,791.87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6,455,937.57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9,942,167.02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3,976,866.82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14,640,795.09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14,640,795.09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426,555,489.03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38,534,022.91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w:t>
            </w: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Heading3"/>
        <w:spacing w:line="304" w:lineRule="exact"/>
        <w:ind w:right="0"/>
        <w:jc w:val="left"/>
      </w:pPr>
      <w:r>
        <w:rPr/>
        <w:t>期末单项金额虽不重大但单项计提坏账准备的应收账款</w:t>
      </w:r>
    </w:p>
    <w:p>
      <w:pPr>
        <w:spacing w:line="240" w:lineRule="auto" w:before="9"/>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564"/>
        <w:gridCol w:w="1380"/>
        <w:gridCol w:w="1277"/>
        <w:gridCol w:w="850"/>
        <w:gridCol w:w="1417"/>
        <w:gridCol w:w="2858"/>
      </w:tblGrid>
      <w:tr>
        <w:trPr>
          <w:trHeight w:val="355" w:hRule="exact"/>
        </w:trPr>
        <w:tc>
          <w:tcPr>
            <w:tcW w:w="156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38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26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20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85" w:lineRule="exact"/>
              <w:ind w:left="1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2858"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664" w:hRule="exact"/>
        </w:trPr>
        <w:tc>
          <w:tcPr>
            <w:tcW w:w="156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XJHF</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科</w:t>
            </w:r>
            <w:r>
              <w:rPr>
                <w:rFonts w:ascii="宋体" w:hAnsi="宋体" w:cs="宋体" w:eastAsia="宋体" w:hint="default"/>
                <w:spacing w:val="-56"/>
                <w:sz w:val="21"/>
                <w:szCs w:val="21"/>
              </w:rPr>
              <w:t> </w:t>
            </w:r>
            <w:r>
              <w:rPr>
                <w:rFonts w:ascii="宋体" w:hAnsi="宋体" w:cs="宋体" w:eastAsia="宋体" w:hint="default"/>
                <w:sz w:val="21"/>
                <w:szCs w:val="21"/>
              </w:rPr>
              <w:t>技</w:t>
            </w:r>
            <w:r>
              <w:rPr>
                <w:rFonts w:ascii="宋体" w:hAnsi="宋体" w:cs="宋体" w:eastAsia="宋体" w:hint="default"/>
                <w:spacing w:val="-55"/>
                <w:sz w:val="21"/>
                <w:szCs w:val="21"/>
              </w:rPr>
              <w:t> </w:t>
            </w:r>
            <w:r>
              <w:rPr>
                <w:rFonts w:ascii="宋体" w:hAnsi="宋体" w:cs="宋体" w:eastAsia="宋体" w:hint="default"/>
                <w:sz w:val="21"/>
                <w:szCs w:val="21"/>
              </w:rPr>
              <w:t>有</w:t>
            </w:r>
            <w:r>
              <w:rPr>
                <w:rFonts w:ascii="宋体" w:hAnsi="宋体" w:cs="宋体" w:eastAsia="宋体" w:hint="default"/>
                <w:spacing w:val="-56"/>
                <w:sz w:val="21"/>
                <w:szCs w:val="21"/>
              </w:rPr>
              <w:t> </w:t>
            </w:r>
            <w:r>
              <w:rPr>
                <w:rFonts w:ascii="宋体" w:hAnsi="宋体" w:cs="宋体" w:eastAsia="宋体" w:hint="default"/>
                <w:sz w:val="21"/>
                <w:szCs w:val="21"/>
              </w:rPr>
              <w:t>限</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58" w:right="0"/>
              <w:jc w:val="left"/>
              <w:rPr>
                <w:rFonts w:ascii="Times New Roman" w:hAnsi="Times New Roman" w:cs="Times New Roman" w:eastAsia="Times New Roman" w:hint="default"/>
                <w:sz w:val="21"/>
                <w:szCs w:val="21"/>
              </w:rPr>
            </w:pPr>
            <w:r>
              <w:rPr>
                <w:rFonts w:ascii="Times New Roman"/>
                <w:sz w:val="21"/>
              </w:rPr>
              <w:t>3,330,831.00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56" w:right="0"/>
              <w:jc w:val="left"/>
              <w:rPr>
                <w:rFonts w:ascii="Times New Roman" w:hAnsi="Times New Roman" w:cs="Times New Roman" w:eastAsia="Times New Roman" w:hint="default"/>
                <w:sz w:val="21"/>
                <w:szCs w:val="21"/>
              </w:rPr>
            </w:pPr>
            <w:r>
              <w:rPr>
                <w:rFonts w:ascii="Times New Roman"/>
                <w:sz w:val="21"/>
              </w:rPr>
              <w:t>3,330,831.00</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sz w:val="21"/>
                <w:szCs w:val="21"/>
              </w:rPr>
              <w:t>年</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820" w:right="0"/>
              <w:jc w:val="left"/>
              <w:rPr>
                <w:rFonts w:ascii="Times New Roman" w:hAnsi="Times New Roman" w:cs="Times New Roman" w:eastAsia="Times New Roman" w:hint="default"/>
                <w:sz w:val="21"/>
                <w:szCs w:val="21"/>
              </w:rPr>
            </w:pPr>
            <w:r>
              <w:rPr>
                <w:rFonts w:ascii="Times New Roman"/>
                <w:sz w:val="21"/>
              </w:rPr>
              <w:t>100.00</w:t>
            </w:r>
          </w:p>
        </w:tc>
        <w:tc>
          <w:tcPr>
            <w:tcW w:w="285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该公司经营不善</w:t>
            </w:r>
            <w:r>
              <w:rPr>
                <w:rFonts w:ascii="宋体" w:hAnsi="宋体" w:cs="宋体" w:eastAsia="宋体" w:hint="default"/>
                <w:spacing w:val="-104"/>
                <w:sz w:val="21"/>
                <w:szCs w:val="21"/>
              </w:rPr>
              <w:t>，</w:t>
            </w:r>
            <w:r>
              <w:rPr>
                <w:rFonts w:ascii="宋体" w:hAnsi="宋体" w:cs="宋体" w:eastAsia="宋体" w:hint="default"/>
                <w:sz w:val="21"/>
                <w:szCs w:val="21"/>
              </w:rPr>
              <w:t>现已处于停业</w:t>
            </w:r>
          </w:p>
          <w:p>
            <w:pPr>
              <w:pStyle w:val="TableParagraph"/>
              <w:spacing w:line="240" w:lineRule="auto" w:before="37"/>
              <w:ind w:right="9"/>
              <w:jc w:val="center"/>
              <w:rPr>
                <w:rFonts w:ascii="宋体" w:hAnsi="宋体" w:cs="宋体" w:eastAsia="宋体" w:hint="default"/>
                <w:sz w:val="21"/>
                <w:szCs w:val="21"/>
              </w:rPr>
            </w:pPr>
            <w:r>
              <w:rPr>
                <w:rFonts w:ascii="宋体" w:hAnsi="宋体" w:cs="宋体" w:eastAsia="宋体" w:hint="default"/>
                <w:sz w:val="21"/>
                <w:szCs w:val="21"/>
              </w:rPr>
              <w:t>状态，预计不可收回</w:t>
            </w:r>
          </w:p>
        </w:tc>
      </w:tr>
      <w:tr>
        <w:trPr>
          <w:trHeight w:val="352" w:hRule="exact"/>
        </w:trPr>
        <w:tc>
          <w:tcPr>
            <w:tcW w:w="156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58" w:right="0"/>
              <w:jc w:val="left"/>
              <w:rPr>
                <w:rFonts w:ascii="Times New Roman" w:hAnsi="Times New Roman" w:cs="Times New Roman" w:eastAsia="Times New Roman" w:hint="default"/>
                <w:sz w:val="21"/>
                <w:szCs w:val="21"/>
              </w:rPr>
            </w:pPr>
            <w:r>
              <w:rPr>
                <w:rFonts w:ascii="Times New Roman"/>
                <w:sz w:val="21"/>
              </w:rPr>
              <w:t>3,330,831.00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56" w:right="0"/>
              <w:jc w:val="left"/>
              <w:rPr>
                <w:rFonts w:ascii="Times New Roman" w:hAnsi="Times New Roman" w:cs="Times New Roman" w:eastAsia="Times New Roman" w:hint="default"/>
                <w:sz w:val="21"/>
                <w:szCs w:val="21"/>
              </w:rPr>
            </w:pPr>
            <w:r>
              <w:rPr>
                <w:rFonts w:ascii="Times New Roman"/>
                <w:sz w:val="21"/>
              </w:rPr>
              <w:t>3,330,831.00</w:t>
            </w:r>
          </w:p>
        </w:tc>
        <w:tc>
          <w:tcPr>
            <w:tcW w:w="850"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
        </w:tc>
        <w:tc>
          <w:tcPr>
            <w:tcW w:w="2858" w:type="dxa"/>
            <w:tcBorders>
              <w:top w:val="single" w:sz="12" w:space="0" w:color="000000"/>
              <w:left w:val="single" w:sz="6" w:space="0" w:color="000000"/>
              <w:bottom w:val="single" w:sz="12" w:space="0" w:color="000000"/>
              <w:right w:val="nil" w:sz="6" w:space="0" w:color="auto"/>
            </w:tcBorders>
          </w:tcPr>
          <w:p>
            <w:pPr/>
          </w:p>
        </w:tc>
      </w:tr>
    </w:tbl>
    <w:p>
      <w:pPr>
        <w:pStyle w:val="Heading5"/>
        <w:spacing w:line="276" w:lineRule="exact"/>
        <w:ind w:right="0" w:firstLine="420"/>
        <w:jc w:val="left"/>
      </w:pPr>
      <w:r>
        <w:rPr>
          <w:spacing w:val="-3"/>
        </w:rPr>
        <w:t>注：本期单项计提坏账准备原因主要是</w:t>
      </w:r>
      <w:r>
        <w:rPr>
          <w:rFonts w:ascii="Times New Roman" w:hAnsi="Times New Roman" w:cs="Times New Roman" w:eastAsia="Times New Roman" w:hint="default"/>
          <w:spacing w:val="-3"/>
        </w:rPr>
        <w:t>XJHF</w:t>
      </w:r>
      <w:r>
        <w:rPr>
          <w:spacing w:val="-3"/>
        </w:rPr>
        <w:t>科技有限公司由于</w:t>
      </w:r>
      <w:r>
        <w:rPr>
          <w:rFonts w:ascii="Times New Roman" w:hAnsi="Times New Roman" w:cs="Times New Roman" w:eastAsia="Times New Roman" w:hint="default"/>
          <w:spacing w:val="-3"/>
        </w:rPr>
        <w:t>2010</w:t>
      </w:r>
      <w:r>
        <w:rPr>
          <w:spacing w:val="-3"/>
        </w:rPr>
        <w:t>年开始出现大额拖欠货款现象，从</w:t>
      </w:r>
    </w:p>
    <w:p>
      <w:pPr>
        <w:pStyle w:val="Heading5"/>
        <w:spacing w:line="256" w:lineRule="auto" w:before="21"/>
        <w:ind w:right="0"/>
        <w:jc w:val="left"/>
      </w:pPr>
      <w:r>
        <w:rPr>
          <w:rFonts w:ascii="Times New Roman" w:hAnsi="Times New Roman" w:cs="Times New Roman" w:eastAsia="Times New Roman" w:hint="default"/>
          <w:spacing w:val="-3"/>
        </w:rPr>
        <w:t>2011</w:t>
      </w:r>
      <w:r>
        <w:rPr>
          <w:spacing w:val="-3"/>
        </w:rPr>
        <w:t>年开始本公司控制发货，并且加大催收货款，但</w:t>
      </w:r>
      <w:r>
        <w:rPr>
          <w:rFonts w:ascii="Times New Roman" w:hAnsi="Times New Roman" w:cs="Times New Roman" w:eastAsia="Times New Roman" w:hint="default"/>
          <w:spacing w:val="-3"/>
        </w:rPr>
        <w:t>XJHF</w:t>
      </w:r>
      <w:r>
        <w:rPr>
          <w:spacing w:val="-3"/>
        </w:rPr>
        <w:t>科技有限公司以无款和售后服务结算有异议等理</w:t>
      </w:r>
      <w:r>
        <w:rPr>
          <w:spacing w:val="-62"/>
        </w:rPr>
        <w:t> </w:t>
      </w:r>
      <w:r>
        <w:rPr>
          <w:spacing w:val="-62"/>
        </w:rPr>
      </w:r>
      <w:r>
        <w:rPr/>
        <w:t>由拒绝付款，自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月后再无回款，与对方发询证函无任何回应，本公司派业务负责人多次到</w:t>
      </w:r>
      <w:r>
        <w:rPr>
          <w:rFonts w:ascii="Times New Roman" w:hAnsi="Times New Roman" w:cs="Times New Roman" w:eastAsia="Times New Roman" w:hint="default"/>
        </w:rPr>
        <w:t>XJHF</w:t>
      </w:r>
      <w:r>
        <w:rPr/>
        <w:t>科 </w:t>
      </w:r>
      <w:r>
        <w:rPr>
          <w:spacing w:val="-3"/>
          <w:w w:val="99"/>
        </w:rPr>
        <w:t>技有限公司公司催收无任何结果。</w:t>
      </w:r>
      <w:r>
        <w:rPr>
          <w:rFonts w:ascii="Times New Roman" w:hAnsi="Times New Roman" w:cs="Times New Roman" w:eastAsia="Times New Roman" w:hint="default"/>
          <w:spacing w:val="-3"/>
          <w:w w:val="99"/>
        </w:rPr>
        <w:t>2014</w:t>
      </w:r>
      <w:r>
        <w:rPr>
          <w:spacing w:val="-3"/>
          <w:w w:val="99"/>
        </w:rPr>
        <w:t>年</w:t>
      </w:r>
      <w:r>
        <w:rPr>
          <w:rFonts w:ascii="Times New Roman" w:hAnsi="Times New Roman" w:cs="Times New Roman" w:eastAsia="Times New Roman" w:hint="default"/>
          <w:spacing w:val="-3"/>
          <w:w w:val="99"/>
        </w:rPr>
        <w:t>6</w:t>
      </w:r>
      <w:r>
        <w:rPr>
          <w:spacing w:val="-3"/>
          <w:w w:val="99"/>
        </w:rPr>
        <w:t>月份经本公司业务负责人调查</w:t>
      </w:r>
      <w:r>
        <w:rPr>
          <w:rFonts w:ascii="Times New Roman" w:hAnsi="Times New Roman" w:cs="Times New Roman" w:eastAsia="Times New Roman" w:hint="default"/>
          <w:spacing w:val="-3"/>
          <w:w w:val="99"/>
        </w:rPr>
        <w:t>XJHF</w:t>
      </w:r>
      <w:r>
        <w:rPr>
          <w:spacing w:val="-3"/>
          <w:w w:val="99"/>
        </w:rPr>
        <w:t>科技有限公司由于经营不善，</w:t>
      </w:r>
      <w:r>
        <w:rPr>
          <w:spacing w:val="-57"/>
          <w:w w:val="99"/>
        </w:rPr>
        <w:t> </w:t>
      </w:r>
      <w:r>
        <w:rPr>
          <w:spacing w:val="-57"/>
          <w:w w:val="99"/>
        </w:rPr>
      </w:r>
      <w:r>
        <w:rPr/>
        <w:t>现在已处在半关闭停业状态，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日经公司财务提出单项计提坏账准备申请，</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日经公 司董事会决议同意按单项计提坏账准备。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2"/>
        <w:ind w:right="0"/>
        <w:jc w:val="left"/>
        <w:rPr>
          <w:b w:val="0"/>
          <w:bCs w:val="0"/>
        </w:rPr>
      </w:pPr>
      <w:bookmarkStart w:name="（2）本期计提、收回或转回的坏账准备情况" w:id="228"/>
      <w:bookmarkEnd w:id="2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6"/>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5824" w:space="300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实际核销的应收账款情况" w:id="229"/>
      <w:bookmarkEnd w:id="22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32" w:hRule="exact"/>
        </w:trPr>
        <w:tc>
          <w:tcPr>
            <w:tcW w:w="4785" w:type="dxa"/>
            <w:tcBorders>
              <w:top w:val="nil" w:sz="6" w:space="0" w:color="auto"/>
              <w:left w:val="nil" w:sz="6" w:space="0" w:color="auto"/>
              <w:bottom w:val="single" w:sz="4" w:space="0" w:color="000000"/>
              <w:right w:val="nil" w:sz="6" w:space="0" w:color="auto"/>
            </w:tcBorders>
          </w:tcPr>
          <w:p>
            <w:pPr/>
          </w:p>
        </w:tc>
        <w:tc>
          <w:tcPr>
            <w:tcW w:w="47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pict>
          <v:group style="position:absolute;margin-left:55.200001pt;margin-top:-36.978271pt;width:485pt;height:.1pt;mso-position-horizontal-relative:page;mso-position-vertical-relative:paragraph;z-index:-1050688" coordorigin="1104,-740" coordsize="9700,2">
            <v:shape style="position:absolute;left:1104;top:-740;width:9700;height:2" coordorigin="1104,-740" coordsize="9700,0" path="m1104,-740l10804,-740e" filled="false" stroked="true" strokeweight=".72pt" strokecolor="#000000">
              <v:path arrowok="t"/>
            </v:shape>
            <w10:wrap type="none"/>
          </v:group>
        </w:pict>
      </w: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CIM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股份有限公司</w:t>
            </w:r>
            <w:r>
              <w:rPr>
                <w:rFonts w:ascii="宋体" w:hAnsi="宋体" w:cs="宋体" w:eastAsia="宋体" w:hint="default"/>
                <w:w w:val="99"/>
                <w:sz w:val="18"/>
                <w:szCs w:val="18"/>
              </w:rPr>
              <w:t> </w:t>
            </w:r>
            <w:r>
              <w:rPr>
                <w:rFonts w:ascii="宋体" w:hAnsi="宋体" w:cs="宋体" w:eastAsia="宋体" w:hint="default"/>
                <w:sz w:val="18"/>
                <w:szCs w:val="18"/>
              </w:rPr>
              <w:t>深圳市分行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1,287,550.00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货物质量问题，无法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批核销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2"/>
              <w:jc w:val="left"/>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YB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科技发展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951,507.00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货物质量异议，无法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议核销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SFZ</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银行股份有限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802,490.00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货物质量异议，无法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批核销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SZSH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信息技术开 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777,920.00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货物质量异议，无法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批核销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CCE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股份有限公司 郑州分行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715,750.00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货物质量异议，无法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议核销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个客户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2,931,904.48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货物质量异议，无法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批核销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66"/>
              <w:jc w:val="left"/>
              <w:rPr>
                <w:rFonts w:ascii="宋体" w:hAnsi="宋体" w:cs="宋体" w:eastAsia="宋体" w:hint="default"/>
                <w:sz w:val="18"/>
                <w:szCs w:val="18"/>
              </w:rPr>
            </w:pPr>
            <w:r>
              <w:rPr>
                <w:rFonts w:ascii="Times New Roman" w:hAnsi="Times New Roman" w:cs="Times New Roman" w:eastAsia="Times New Roman" w:hint="default"/>
                <w:sz w:val="18"/>
                <w:szCs w:val="18"/>
              </w:rPr>
              <w:t>BJHD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计算机技术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货物质量异议，无法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批核销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HL</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保险股份有限公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333,143.96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0"/>
              <w:jc w:val="left"/>
              <w:rPr>
                <w:rFonts w:ascii="宋体" w:hAnsi="宋体" w:cs="宋体" w:eastAsia="宋体" w:hint="default"/>
                <w:sz w:val="18"/>
                <w:szCs w:val="18"/>
              </w:rPr>
            </w:pPr>
            <w:r>
              <w:rPr>
                <w:rFonts w:ascii="宋体" w:hAnsi="宋体" w:cs="宋体" w:eastAsia="宋体" w:hint="default"/>
                <w:spacing w:val="-10"/>
                <w:sz w:val="18"/>
                <w:szCs w:val="18"/>
              </w:rPr>
              <w:t>货物质量异议，无法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议核销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YH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发展有限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274,829.00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议核销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YFDZ</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软件系统（上</w:t>
            </w:r>
            <w:r>
              <w:rPr>
                <w:rFonts w:ascii="宋体" w:hAnsi="宋体" w:cs="宋体" w:eastAsia="宋体" w:hint="default"/>
                <w:sz w:val="18"/>
                <w:szCs w:val="18"/>
              </w:rPr>
              <w:t> 海）有限公司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226,317.00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批核销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SD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农村信用社联合 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议核销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DY </w:t>
            </w:r>
            <w:r>
              <w:rPr>
                <w:rFonts w:ascii="宋体" w:hAnsi="宋体" w:cs="宋体" w:eastAsia="宋体" w:hint="default"/>
                <w:spacing w:val="-4"/>
                <w:sz w:val="18"/>
                <w:szCs w:val="18"/>
              </w:rPr>
              <w:t>银行（中国）有</w:t>
            </w:r>
            <w:r>
              <w:rPr>
                <w:rFonts w:ascii="宋体" w:hAnsi="宋体" w:cs="宋体" w:eastAsia="宋体" w:hint="default"/>
                <w:sz w:val="18"/>
                <w:szCs w:val="18"/>
              </w:rPr>
              <w:t> 限公司深圳分行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批核销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HXYH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股份有限公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批核销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批核销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CCT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股份有限公司 宁夏回族自治区分 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152,835.00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议核销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JSJ</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租赁公司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新疆人保项目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135,450.30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议核销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股份有限 公司深圳分行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南天信息董事会审 批核销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9,787,946.74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应收账款核销说明：</w:t>
      </w:r>
    </w:p>
    <w:p>
      <w:pPr>
        <w:pStyle w:val="Heading5"/>
        <w:spacing w:line="256" w:lineRule="auto" w:before="90"/>
        <w:ind w:left="154" w:right="0"/>
        <w:jc w:val="left"/>
      </w:pPr>
      <w:r>
        <w:rPr>
          <w:spacing w:val="10"/>
        </w:rPr>
        <w:t>①本公司经批准核销前述应收账款帐龄均已超过</w:t>
      </w:r>
      <w:r>
        <w:rPr>
          <w:rFonts w:ascii="Times New Roman" w:hAnsi="Times New Roman" w:cs="Times New Roman" w:eastAsia="Times New Roman" w:hint="default"/>
          <w:spacing w:val="10"/>
        </w:rPr>
        <w:t>5</w:t>
      </w:r>
      <w:r>
        <w:rPr>
          <w:spacing w:val="10"/>
        </w:rPr>
        <w:t>年，已按照坏账政策对上述应收款项计提坏账准备</w:t>
      </w:r>
      <w:r>
        <w:rPr>
          <w:spacing w:val="-75"/>
        </w:rPr>
        <w:t> </w:t>
      </w:r>
      <w:r>
        <w:rPr>
          <w:spacing w:val="-75"/>
        </w:rPr>
      </w:r>
      <w:r>
        <w:rPr>
          <w:rFonts w:ascii="Times New Roman" w:hAnsi="Times New Roman" w:cs="Times New Roman" w:eastAsia="Times New Roman" w:hint="default"/>
        </w:rPr>
        <w:t>9,787,946.74</w:t>
      </w:r>
      <w:r>
        <w:rPr/>
        <w:t>元。</w:t>
      </w:r>
    </w:p>
    <w:p>
      <w:pPr>
        <w:pStyle w:val="Heading5"/>
        <w:spacing w:line="256" w:lineRule="auto" w:before="5"/>
        <w:ind w:right="1118"/>
        <w:jc w:val="left"/>
      </w:pPr>
      <w:r>
        <w:rPr>
          <w:spacing w:val="-2"/>
        </w:rPr>
        <w:t>②</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日，云南南天信息产业股份有限公司第六届第十八次董事会会议核销应收账款</w:t>
      </w:r>
      <w:r>
        <w:rPr>
          <w:rFonts w:ascii="Times New Roman" w:hAnsi="Times New Roman" w:cs="Times New Roman" w:eastAsia="Times New Roman" w:hint="default"/>
          <w:spacing w:val="-2"/>
        </w:rPr>
        <w:t>9,787,946.74</w:t>
      </w:r>
      <w:r>
        <w:rPr>
          <w:rFonts w:ascii="Times New Roman" w:hAnsi="Times New Roman" w:cs="Times New Roman" w:eastAsia="Times New Roman" w:hint="default"/>
          <w:spacing w:val="-18"/>
        </w:rPr>
        <w:t> </w:t>
      </w:r>
      <w:r>
        <w:rPr/>
        <w:t>元。</w:t>
      </w:r>
    </w:p>
    <w:p>
      <w:pPr>
        <w:spacing w:line="240" w:lineRule="auto" w:before="10"/>
        <w:rPr>
          <w:rFonts w:ascii="宋体" w:hAnsi="宋体" w:cs="宋体" w:eastAsia="宋体" w:hint="default"/>
          <w:sz w:val="24"/>
          <w:szCs w:val="24"/>
        </w:rPr>
      </w:pPr>
    </w:p>
    <w:p>
      <w:pPr>
        <w:pStyle w:val="Heading4"/>
        <w:spacing w:line="240" w:lineRule="auto"/>
        <w:ind w:left="154" w:right="0"/>
        <w:jc w:val="left"/>
        <w:rPr>
          <w:b w:val="0"/>
          <w:bCs w:val="0"/>
        </w:rPr>
      </w:pPr>
      <w:bookmarkStart w:name="（4）按欠款方归集的期末余额前五名的应收账款情况" w:id="230"/>
      <w:bookmarkEnd w:id="23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937"/>
        <w:gridCol w:w="1276"/>
        <w:gridCol w:w="1560"/>
        <w:gridCol w:w="1418"/>
        <w:gridCol w:w="1156"/>
      </w:tblGrid>
      <w:tr>
        <w:trPr>
          <w:trHeight w:val="1059" w:hRule="exact"/>
        </w:trPr>
        <w:tc>
          <w:tcPr>
            <w:tcW w:w="393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524" w:right="104" w:hanging="420"/>
              <w:jc w:val="left"/>
              <w:rPr>
                <w:rFonts w:ascii="宋体" w:hAnsi="宋体" w:cs="宋体" w:eastAsia="宋体" w:hint="default"/>
                <w:sz w:val="21"/>
                <w:szCs w:val="21"/>
              </w:rPr>
            </w:pPr>
            <w:r>
              <w:rPr>
                <w:rFonts w:ascii="宋体" w:hAnsi="宋体" w:cs="宋体" w:eastAsia="宋体" w:hint="default"/>
                <w:sz w:val="21"/>
                <w:szCs w:val="21"/>
              </w:rPr>
              <w:t>与本公司关 系</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156" w:type="dxa"/>
            <w:tcBorders>
              <w:top w:val="single" w:sz="6" w:space="0" w:color="000000"/>
              <w:left w:val="single" w:sz="6" w:space="0" w:color="000000"/>
              <w:bottom w:val="single" w:sz="12" w:space="0" w:color="000000"/>
              <w:right w:val="nil" w:sz="6" w:space="0" w:color="auto"/>
            </w:tcBorders>
          </w:tcPr>
          <w:p>
            <w:pPr>
              <w:pStyle w:val="TableParagraph"/>
              <w:spacing w:line="273" w:lineRule="auto" w:before="36"/>
              <w:ind w:left="150" w:right="156"/>
              <w:jc w:val="both"/>
              <w:rPr>
                <w:rFonts w:ascii="Times New Roman" w:hAnsi="Times New Roman" w:cs="Times New Roman" w:eastAsia="Times New Roman" w:hint="default"/>
                <w:sz w:val="21"/>
                <w:szCs w:val="21"/>
              </w:rPr>
            </w:pPr>
            <w:r>
              <w:rPr>
                <w:rFonts w:ascii="宋体" w:hAnsi="宋体" w:cs="宋体" w:eastAsia="宋体" w:hint="default"/>
                <w:sz w:val="21"/>
                <w:szCs w:val="21"/>
              </w:rPr>
              <w:t>占应收账 款总额的 比例</w:t>
            </w:r>
            <w:r>
              <w:rPr>
                <w:rFonts w:ascii="Times New Roman" w:hAnsi="Times New Roman" w:cs="Times New Roman" w:eastAsia="Times New Roman" w:hint="default"/>
                <w:sz w:val="21"/>
                <w:szCs w:val="21"/>
              </w:rPr>
              <w:t>(%)</w:t>
            </w:r>
          </w:p>
        </w:tc>
      </w:tr>
      <w:tr>
        <w:trPr>
          <w:trHeight w:val="432" w:hRule="exact"/>
        </w:trPr>
        <w:tc>
          <w:tcPr>
            <w:tcW w:w="393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CB</w:t>
            </w:r>
            <w:r>
              <w:rPr>
                <w:rFonts w:ascii="宋体" w:hAnsi="宋体" w:cs="宋体" w:eastAsia="宋体" w:hint="default"/>
                <w:sz w:val="21"/>
                <w:szCs w:val="21"/>
              </w:rPr>
              <w:t>股份有限公司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9"/>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71,733,082.28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16.69</w:t>
            </w:r>
          </w:p>
        </w:tc>
      </w:tr>
      <w:tr>
        <w:trPr>
          <w:trHeight w:val="432" w:hRule="exact"/>
        </w:trPr>
        <w:tc>
          <w:tcPr>
            <w:tcW w:w="393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GDJT</w:t>
            </w:r>
            <w:r>
              <w:rPr>
                <w:rFonts w:ascii="宋体" w:hAnsi="宋体" w:cs="宋体" w:eastAsia="宋体" w:hint="default"/>
                <w:sz w:val="21"/>
                <w:szCs w:val="21"/>
              </w:rPr>
              <w:t>集团有限公司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9"/>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21,585,950.49</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5.02</w:t>
            </w:r>
          </w:p>
        </w:tc>
      </w:tr>
      <w:tr>
        <w:trPr>
          <w:trHeight w:val="432" w:hRule="exact"/>
        </w:trPr>
        <w:tc>
          <w:tcPr>
            <w:tcW w:w="393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SC</w:t>
            </w:r>
            <w:r>
              <w:rPr>
                <w:rFonts w:ascii="宋体" w:hAnsi="宋体" w:cs="宋体" w:eastAsia="宋体" w:hint="default"/>
                <w:sz w:val="21"/>
                <w:szCs w:val="21"/>
              </w:rPr>
              <w:t>农村信用社</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9"/>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20,228,960.00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4.71</w:t>
            </w:r>
          </w:p>
        </w:tc>
      </w:tr>
      <w:tr>
        <w:trPr>
          <w:trHeight w:val="432" w:hRule="exact"/>
        </w:trPr>
        <w:tc>
          <w:tcPr>
            <w:tcW w:w="393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CNY</w:t>
            </w:r>
            <w:r>
              <w:rPr>
                <w:rFonts w:ascii="宋体" w:hAnsi="宋体" w:cs="宋体" w:eastAsia="宋体" w:hint="default"/>
                <w:sz w:val="21"/>
                <w:szCs w:val="21"/>
              </w:rPr>
              <w:t>股份有限公司广东省分行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9"/>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12,866,272.34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2.99</w:t>
            </w:r>
          </w:p>
        </w:tc>
      </w:tr>
      <w:tr>
        <w:trPr>
          <w:trHeight w:val="432" w:hRule="exact"/>
        </w:trPr>
        <w:tc>
          <w:tcPr>
            <w:tcW w:w="393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CCB</w:t>
            </w:r>
            <w:r>
              <w:rPr>
                <w:rFonts w:ascii="宋体" w:hAnsi="宋体" w:cs="宋体" w:eastAsia="宋体" w:hint="default"/>
                <w:sz w:val="21"/>
                <w:szCs w:val="21"/>
              </w:rPr>
              <w:t>股份有限公司河南省分行</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9"/>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7,759,731.63</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年以内</w:t>
            </w:r>
          </w:p>
        </w:tc>
        <w:tc>
          <w:tcPr>
            <w:tcW w:w="11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1.81</w:t>
            </w:r>
          </w:p>
        </w:tc>
      </w:tr>
      <w:tr>
        <w:trPr>
          <w:trHeight w:val="352" w:hRule="exact"/>
        </w:trPr>
        <w:tc>
          <w:tcPr>
            <w:tcW w:w="393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134,173,996.74</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11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31.22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line="506" w:lineRule="auto" w:before="35"/>
        <w:ind w:left="154" w:right="4662" w:firstLine="0"/>
        <w:jc w:val="left"/>
        <w:rPr>
          <w:rFonts w:ascii="宋体" w:hAnsi="宋体" w:cs="宋体" w:eastAsia="宋体" w:hint="default"/>
          <w:sz w:val="21"/>
          <w:szCs w:val="21"/>
        </w:rPr>
      </w:pPr>
      <w:bookmarkStart w:name="（5）因金融资产转移而终止确认的应收账款"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w w:val="99"/>
          <w:sz w:val="21"/>
          <w:szCs w:val="21"/>
        </w:rPr>
        <w:t> </w:t>
      </w:r>
      <w:r>
        <w:rPr>
          <w:rFonts w:ascii="宋体" w:hAnsi="宋体" w:cs="宋体" w:eastAsia="宋体" w:hint="default"/>
          <w:sz w:val="21"/>
          <w:szCs w:val="21"/>
        </w:rPr>
        <w:t>截至期末，本公司无由金融资产转移而终止确认的应收账款情况。</w:t>
      </w:r>
    </w:p>
    <w:p>
      <w:pPr>
        <w:spacing w:line="506" w:lineRule="auto" w:before="105"/>
        <w:ind w:left="153" w:right="5503" w:firstLine="0"/>
        <w:jc w:val="left"/>
        <w:rPr>
          <w:rFonts w:ascii="宋体" w:hAnsi="宋体" w:cs="宋体" w:eastAsia="宋体" w:hint="default"/>
          <w:sz w:val="21"/>
          <w:szCs w:val="21"/>
        </w:rPr>
      </w:pPr>
      <w:bookmarkStart w:name="（6）转移应收账款且继续涉入形成的资产、负债金额"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t>截至期末，本公司未发生以应收账款为标的进行证券化。</w:t>
      </w:r>
    </w:p>
    <w:p>
      <w:pPr>
        <w:spacing w:line="240" w:lineRule="auto" w:before="10"/>
        <w:rPr>
          <w:rFonts w:ascii="宋体" w:hAnsi="宋体" w:cs="宋体" w:eastAsia="宋体" w:hint="default"/>
          <w:sz w:val="17"/>
          <w:szCs w:val="17"/>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预付款项" w:id="233"/>
      <w:bookmarkEnd w:id="233"/>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预付款项按账龄列示" w:id="234"/>
      <w:bookmarkEnd w:id="23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04"/>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1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6" w:right="0"/>
              <w:jc w:val="left"/>
              <w:rPr>
                <w:rFonts w:ascii="Times New Roman" w:hAnsi="Times New Roman" w:cs="Times New Roman" w:eastAsia="Times New Roman" w:hint="default"/>
                <w:sz w:val="18"/>
                <w:szCs w:val="18"/>
              </w:rPr>
            </w:pPr>
            <w:r>
              <w:rPr>
                <w:rFonts w:ascii="Times New Roman"/>
                <w:sz w:val="18"/>
              </w:rPr>
              <w:t>55,865,297.78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93,587,062.77</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93.71%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2,564,670.19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1,325,288.70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973,058.76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2,054,237.66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3,584,382.37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2,899,352.86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62,987,409.10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99,865,941.99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left="154" w:right="0"/>
        <w:jc w:val="left"/>
        <w:rPr>
          <w:b w:val="0"/>
          <w:bCs w:val="0"/>
        </w:rPr>
      </w:pPr>
      <w:bookmarkStart w:name="（2）按预付对象归集的期末余额前五名的预付款情况" w:id="235"/>
      <w:bookmarkEnd w:id="23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5250"/>
        <w:gridCol w:w="1645"/>
        <w:gridCol w:w="2451"/>
      </w:tblGrid>
      <w:tr>
        <w:trPr>
          <w:trHeight w:val="355" w:hRule="exact"/>
        </w:trPr>
        <w:tc>
          <w:tcPr>
            <w:tcW w:w="525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4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451" w:type="dxa"/>
            <w:tcBorders>
              <w:top w:val="single" w:sz="6" w:space="0" w:color="000000"/>
              <w:left w:val="single" w:sz="6" w:space="0" w:color="000000"/>
              <w:bottom w:val="single" w:sz="12" w:space="0" w:color="000000"/>
              <w:right w:val="nil" w:sz="6" w:space="0" w:color="auto"/>
            </w:tcBorders>
          </w:tcPr>
          <w:p>
            <w:pPr>
              <w:pStyle w:val="TableParagraph"/>
              <w:spacing w:line="287" w:lineRule="exact"/>
              <w:ind w:left="32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占预付款项比例</w:t>
            </w:r>
            <w:r>
              <w:rPr>
                <w:rFonts w:ascii="Times New Roman" w:hAnsi="Times New Roman" w:cs="Times New Roman" w:eastAsia="Times New Roman" w:hint="default"/>
                <w:sz w:val="21"/>
                <w:szCs w:val="21"/>
              </w:rPr>
              <w:t>(%)</w:t>
            </w:r>
          </w:p>
        </w:tc>
      </w:tr>
      <w:tr>
        <w:trPr>
          <w:trHeight w:val="352" w:hRule="exact"/>
        </w:trPr>
        <w:tc>
          <w:tcPr>
            <w:tcW w:w="525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HMGT</w:t>
            </w:r>
            <w:r>
              <w:rPr>
                <w:rFonts w:ascii="宋体" w:hAnsi="宋体" w:cs="宋体" w:eastAsia="宋体" w:hint="default"/>
                <w:sz w:val="21"/>
                <w:szCs w:val="21"/>
              </w:rPr>
              <w:t>供应链管理（北京）股份有限公司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19,363,710.00</w:t>
            </w:r>
          </w:p>
        </w:tc>
        <w:tc>
          <w:tcPr>
            <w:tcW w:w="24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29.10</w:t>
            </w:r>
          </w:p>
        </w:tc>
      </w:tr>
      <w:tr>
        <w:trPr>
          <w:trHeight w:val="353" w:hRule="exact"/>
        </w:trPr>
        <w:tc>
          <w:tcPr>
            <w:tcW w:w="525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XTTX</w:t>
            </w:r>
            <w:r>
              <w:rPr>
                <w:rFonts w:ascii="宋体" w:hAnsi="宋体" w:cs="宋体" w:eastAsia="宋体" w:hint="default"/>
                <w:sz w:val="21"/>
                <w:szCs w:val="21"/>
              </w:rPr>
              <w:t>科技有限公司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12,055,803.92</w:t>
            </w:r>
          </w:p>
        </w:tc>
        <w:tc>
          <w:tcPr>
            <w:tcW w:w="24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18.11</w:t>
            </w:r>
          </w:p>
        </w:tc>
      </w:tr>
      <w:tr>
        <w:trPr>
          <w:trHeight w:val="352" w:hRule="exact"/>
        </w:trPr>
        <w:tc>
          <w:tcPr>
            <w:tcW w:w="525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LX</w:t>
            </w:r>
            <w:r>
              <w:rPr>
                <w:rFonts w:ascii="宋体" w:hAnsi="宋体" w:cs="宋体" w:eastAsia="宋体" w:hint="default"/>
                <w:sz w:val="21"/>
                <w:szCs w:val="21"/>
              </w:rPr>
              <w:t>电子科技有限公司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5,244,023.16</w:t>
            </w:r>
          </w:p>
        </w:tc>
        <w:tc>
          <w:tcPr>
            <w:tcW w:w="24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7.88</w:t>
            </w:r>
          </w:p>
        </w:tc>
      </w:tr>
      <w:tr>
        <w:trPr>
          <w:trHeight w:val="352" w:hRule="exact"/>
        </w:trPr>
        <w:tc>
          <w:tcPr>
            <w:tcW w:w="525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CDLX</w:t>
            </w:r>
            <w:r>
              <w:rPr>
                <w:rFonts w:ascii="宋体" w:hAnsi="宋体" w:cs="宋体" w:eastAsia="宋体" w:hint="default"/>
                <w:sz w:val="21"/>
                <w:szCs w:val="21"/>
              </w:rPr>
              <w:t>信息技术有限公司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3,712,580.00</w:t>
            </w:r>
          </w:p>
        </w:tc>
        <w:tc>
          <w:tcPr>
            <w:tcW w:w="24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5.58</w:t>
            </w:r>
          </w:p>
        </w:tc>
      </w:tr>
      <w:tr>
        <w:trPr>
          <w:trHeight w:val="353" w:hRule="exact"/>
        </w:trPr>
        <w:tc>
          <w:tcPr>
            <w:tcW w:w="525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THZN</w:t>
            </w:r>
            <w:r>
              <w:rPr>
                <w:rFonts w:ascii="宋体" w:hAnsi="宋体" w:cs="宋体" w:eastAsia="宋体" w:hint="default"/>
                <w:sz w:val="21"/>
                <w:szCs w:val="21"/>
              </w:rPr>
              <w:t>电子科技有限公司</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2,032,750.00</w:t>
            </w:r>
          </w:p>
        </w:tc>
        <w:tc>
          <w:tcPr>
            <w:tcW w:w="24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3.05</w:t>
            </w:r>
          </w:p>
        </w:tc>
      </w:tr>
      <w:tr>
        <w:trPr>
          <w:trHeight w:val="352" w:hRule="exact"/>
        </w:trPr>
        <w:tc>
          <w:tcPr>
            <w:tcW w:w="525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42,408,867.08</w:t>
            </w:r>
          </w:p>
        </w:tc>
        <w:tc>
          <w:tcPr>
            <w:tcW w:w="24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63.72</w:t>
            </w:r>
          </w:p>
        </w:tc>
      </w:tr>
    </w:tbl>
    <w:p>
      <w:pPr>
        <w:spacing w:line="240" w:lineRule="auto" w:before="5"/>
        <w:rPr>
          <w:rFonts w:ascii="宋体" w:hAnsi="宋体" w:cs="宋体" w:eastAsia="宋体" w:hint="default"/>
          <w:b/>
          <w:bCs/>
          <w:sz w:val="24"/>
          <w:szCs w:val="24"/>
        </w:rPr>
      </w:pPr>
    </w:p>
    <w:p>
      <w:pPr>
        <w:pStyle w:val="BodyText"/>
        <w:spacing w:line="240" w:lineRule="auto" w:before="44"/>
        <w:ind w:left="154" w:right="0"/>
        <w:jc w:val="left"/>
      </w:pPr>
      <w:r>
        <w:rPr/>
        <w:t>其他说明：</w:t>
      </w:r>
    </w:p>
    <w:p>
      <w:pPr>
        <w:pStyle w:val="Heading3"/>
        <w:spacing w:line="240" w:lineRule="auto" w:before="66"/>
        <w:ind w:right="0"/>
        <w:jc w:val="left"/>
      </w:pPr>
      <w:r>
        <w:rPr/>
        <w:t>账龄超过一年的大额预付款项情况：</w:t>
      </w:r>
    </w:p>
    <w:p>
      <w:pPr>
        <w:spacing w:line="240" w:lineRule="auto" w:before="8"/>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4462"/>
        <w:gridCol w:w="1728"/>
        <w:gridCol w:w="1068"/>
        <w:gridCol w:w="2087"/>
      </w:tblGrid>
      <w:tr>
        <w:trPr>
          <w:trHeight w:val="355" w:hRule="exact"/>
        </w:trPr>
        <w:tc>
          <w:tcPr>
            <w:tcW w:w="446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债务单位</w:t>
            </w:r>
          </w:p>
        </w:tc>
        <w:tc>
          <w:tcPr>
            <w:tcW w:w="172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3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6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1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087"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未结算的原因</w:t>
            </w:r>
          </w:p>
        </w:tc>
      </w:tr>
      <w:tr>
        <w:trPr>
          <w:trHeight w:val="353" w:hRule="exact"/>
        </w:trPr>
        <w:tc>
          <w:tcPr>
            <w:tcW w:w="446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THZN</w:t>
            </w:r>
            <w:r>
              <w:rPr>
                <w:rFonts w:ascii="宋体" w:hAnsi="宋体" w:cs="宋体" w:eastAsia="宋体" w:hint="default"/>
                <w:sz w:val="21"/>
                <w:szCs w:val="21"/>
              </w:rPr>
              <w:t>电子科技有限公司</w:t>
            </w:r>
          </w:p>
        </w:tc>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2,032,750.00</w:t>
            </w:r>
          </w:p>
        </w:tc>
        <w:tc>
          <w:tcPr>
            <w:tcW w:w="1068"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sz w:val="21"/>
                <w:szCs w:val="21"/>
              </w:rPr>
              <w:t>年</w:t>
            </w:r>
          </w:p>
        </w:tc>
        <w:tc>
          <w:tcPr>
            <w:tcW w:w="2087"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352" w:hRule="exact"/>
        </w:trPr>
        <w:tc>
          <w:tcPr>
            <w:tcW w:w="44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2,032,750.00</w:t>
            </w:r>
          </w:p>
        </w:tc>
        <w:tc>
          <w:tcPr>
            <w:tcW w:w="1068" w:type="dxa"/>
            <w:tcBorders>
              <w:top w:val="single" w:sz="12" w:space="0" w:color="000000"/>
              <w:left w:val="single" w:sz="6" w:space="0" w:color="000000"/>
              <w:bottom w:val="single" w:sz="12" w:space="0" w:color="000000"/>
              <w:right w:val="single" w:sz="6" w:space="0" w:color="000000"/>
            </w:tcBorders>
          </w:tcPr>
          <w:p>
            <w:pPr/>
          </w:p>
        </w:tc>
        <w:tc>
          <w:tcPr>
            <w:tcW w:w="2087"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54" w:right="0"/>
        <w:jc w:val="left"/>
        <w:rPr>
          <w:b w:val="0"/>
          <w:bCs w:val="0"/>
        </w:rPr>
      </w:pPr>
      <w:bookmarkStart w:name="6、其他应收款" w:id="236"/>
      <w:bookmarkEnd w:id="236"/>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其他应收款分类披露" w:id="237"/>
      <w:bookmarkEnd w:id="23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14,920,9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18.47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1,876,45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13,044,46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27,616,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096.51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1,870,703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25,745,392.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14,920,9</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18.47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1,876,45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12.58%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13,044,46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3.07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27,616,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096.51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1,870,703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25,745,392.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r>
      <w:tr>
        <w:trPr>
          <w:trHeight w:val="393"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期末单项金额重大并单项计提坏账准备的其他应收款：</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19"/>
        <w:jc w:val="left"/>
      </w:pPr>
      <w:r>
        <w:rPr/>
        <w:t>组合中，按账龄分析法计提坏账准备的其他应收款：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4,361,435.43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1,732,601.36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17,326.01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3,067,685.72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61,353.71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1,522,113.59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45,663.41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158,157.12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10,841,993.22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132,250.99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1,144,889.97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94,205.63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749,555.31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149,911.06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2,184,479.97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1,500,087.72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361,393.75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108,418.13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719,027.72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287,611.09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1,104,058.50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1,104,058.50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14,920,918.47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1,876,455.40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12.58%</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本期实际核销的其他应收款情况" w:id="238"/>
      <w:bookmarkEnd w:id="238"/>
      <w:r>
        <w:rPr>
          <w:b w:val="0"/>
          <w:bCs w:val="0"/>
        </w:rPr>
      </w:r>
      <w:r>
        <w:rPr/>
        <w:t>（</w:t>
      </w:r>
      <w:r>
        <w:rPr>
          <w:rFonts w:ascii="Times New Roman" w:hAnsi="Times New Roman" w:cs="Times New Roman" w:eastAsia="Times New Roman" w:hint="default"/>
        </w:rPr>
        <w:t>2</w:t>
      </w:r>
      <w:r>
        <w:rPr/>
        <w:t>）本期实际核销的其他应收款情况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KXKJ</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股份有限公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0"/>
              <w:jc w:val="left"/>
              <w:rPr>
                <w:rFonts w:ascii="宋体" w:hAnsi="宋体" w:cs="宋体" w:eastAsia="宋体" w:hint="default"/>
                <w:sz w:val="18"/>
                <w:szCs w:val="18"/>
              </w:rPr>
            </w:pPr>
            <w:r>
              <w:rPr>
                <w:rFonts w:ascii="宋体" w:hAnsi="宋体" w:cs="宋体" w:eastAsia="宋体" w:hint="default"/>
                <w:sz w:val="18"/>
                <w:szCs w:val="18"/>
              </w:rPr>
              <w:t>南天信息董事会审 批核销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差费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85,741.47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离职未报销，无法收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0"/>
              <w:jc w:val="left"/>
              <w:rPr>
                <w:rFonts w:ascii="宋体" w:hAnsi="宋体" w:cs="宋体" w:eastAsia="宋体" w:hint="default"/>
                <w:sz w:val="18"/>
                <w:szCs w:val="18"/>
              </w:rPr>
            </w:pPr>
            <w:r>
              <w:rPr>
                <w:rFonts w:ascii="宋体" w:hAnsi="宋体" w:cs="宋体" w:eastAsia="宋体" w:hint="default"/>
                <w:sz w:val="18"/>
                <w:szCs w:val="18"/>
              </w:rPr>
              <w:t>南天信息董事会审 议核销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投标代垫款项、投标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保证金等</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户债权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245,678.95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0"/>
              <w:jc w:val="left"/>
              <w:rPr>
                <w:rFonts w:ascii="宋体" w:hAnsi="宋体" w:cs="宋体" w:eastAsia="宋体" w:hint="default"/>
                <w:sz w:val="18"/>
                <w:szCs w:val="18"/>
              </w:rPr>
            </w:pPr>
            <w:r>
              <w:rPr>
                <w:rFonts w:ascii="宋体" w:hAnsi="宋体" w:cs="宋体" w:eastAsia="宋体" w:hint="default"/>
                <w:sz w:val="18"/>
                <w:szCs w:val="18"/>
              </w:rPr>
              <w:t>南天信息董事会审 议核销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431,420.42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其他应收款核销说明：</w:t>
      </w:r>
    </w:p>
    <w:p>
      <w:pPr>
        <w:pStyle w:val="Heading5"/>
        <w:spacing w:line="240" w:lineRule="auto" w:before="90"/>
        <w:ind w:left="154" w:right="0"/>
        <w:jc w:val="left"/>
        <w:rPr>
          <w:rFonts w:ascii="Times New Roman" w:hAnsi="Times New Roman" w:cs="Times New Roman" w:eastAsia="Times New Roman" w:hint="default"/>
        </w:rPr>
      </w:pPr>
      <w:r>
        <w:rPr/>
        <w:t>①公司经批准核销前述债权，均已超过五年，已按照坏账政策对上述其他应收款计提坏账准备</w:t>
      </w:r>
      <w:r>
        <w:rPr>
          <w:rFonts w:ascii="Times New Roman" w:hAnsi="Times New Roman" w:cs="Times New Roman" w:eastAsia="Times New Roman" w:hint="default"/>
        </w:rPr>
        <w:t>431,420.42</w:t>
      </w:r>
    </w:p>
    <w:p>
      <w:pPr>
        <w:pStyle w:val="Heading5"/>
        <w:spacing w:line="240" w:lineRule="auto" w:before="21"/>
        <w:ind w:right="0"/>
        <w:jc w:val="left"/>
      </w:pPr>
      <w:r>
        <w:rPr/>
        <w:t>元。</w:t>
      </w:r>
    </w:p>
    <w:p>
      <w:pPr>
        <w:pStyle w:val="Heading5"/>
        <w:spacing w:line="256" w:lineRule="auto" w:before="37"/>
        <w:ind w:left="154" w:right="1118"/>
        <w:jc w:val="left"/>
      </w:pPr>
      <w:r>
        <w:rPr/>
        <w:t>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日，云南南天信息产业股份有限公司第六届第十八次董事会会议核销应收账款</w:t>
      </w:r>
      <w:r>
        <w:rPr>
          <w:rFonts w:ascii="Times New Roman" w:hAnsi="Times New Roman" w:cs="Times New Roman" w:eastAsia="Times New Roman" w:hint="default"/>
        </w:rPr>
        <w:t>431,420.42</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left="154" w:right="0"/>
        <w:jc w:val="left"/>
        <w:rPr>
          <w:b w:val="0"/>
          <w:bCs w:val="0"/>
        </w:rPr>
      </w:pPr>
      <w:bookmarkStart w:name="（3）其他应收款按款项性质分类情况" w:id="239"/>
      <w:bookmarkEnd w:id="239"/>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14,920,918.47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27,616,096.51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14,920,918.47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27,616,096.51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按欠款方归集的期末余额前五名的其他应收款情况" w:id="240"/>
      <w:bookmarkEnd w:id="240"/>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农村信用社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代收代付员工宿舍 生活区水电费</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781,939.57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74"/>
              <w:jc w:val="left"/>
              <w:rPr>
                <w:rFonts w:ascii="宋体" w:hAnsi="宋体" w:cs="宋体" w:eastAsia="宋体" w:hint="default"/>
                <w:sz w:val="18"/>
                <w:szCs w:val="18"/>
              </w:rPr>
            </w:pPr>
            <w:r>
              <w:rPr>
                <w:rFonts w:ascii="Times New Roman" w:hAnsi="Times New Roman" w:cs="Times New Roman" w:eastAsia="Times New Roman" w:hint="default"/>
                <w:sz w:val="18"/>
                <w:szCs w:val="18"/>
              </w:rPr>
              <w:t>NKNSH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商业银行 股份有限公司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ZYZB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招标公司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CCT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银行股份有限 公司广东省分行</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4,031,939.57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27.02%</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506" w:lineRule="auto" w:before="35"/>
        <w:ind w:left="154" w:right="4452" w:firstLine="0"/>
        <w:jc w:val="left"/>
        <w:rPr>
          <w:rFonts w:ascii="宋体" w:hAnsi="宋体" w:cs="宋体" w:eastAsia="宋体" w:hint="default"/>
          <w:sz w:val="21"/>
          <w:szCs w:val="21"/>
        </w:rPr>
      </w:pPr>
      <w:bookmarkStart w:name="（5）因金融资产转移而终止确认的其他应收款"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t>截至期末，本公司无由金融资产转移而终止确认的其他应收款情况。</w:t>
      </w:r>
    </w:p>
    <w:p>
      <w:pPr>
        <w:pStyle w:val="Heading4"/>
        <w:spacing w:line="240" w:lineRule="auto" w:before="104"/>
        <w:ind w:right="0"/>
        <w:jc w:val="left"/>
        <w:rPr>
          <w:b w:val="0"/>
          <w:bCs w:val="0"/>
        </w:rPr>
      </w:pPr>
      <w:bookmarkStart w:name="（6）转移其他应收款且继续涉入形成的资产、负债金额" w:id="242"/>
      <w:bookmarkEnd w:id="242"/>
      <w:r>
        <w:rPr>
          <w:b w:val="0"/>
          <w:bCs w:val="0"/>
        </w:rPr>
      </w:r>
      <w:r>
        <w:rPr/>
        <w:t>（</w:t>
      </w:r>
      <w:r>
        <w:rPr>
          <w:rFonts w:ascii="Times New Roman" w:hAnsi="Times New Roman" w:cs="Times New Roman" w:eastAsia="Times New Roman" w:hint="default"/>
        </w:rPr>
        <w:t>6</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pPr>
      <w:r>
        <w:rPr/>
        <w:t>截至期末，本公司未发生在以其他应收款为标的进行证券化。</w:t>
      </w:r>
    </w:p>
    <w:p>
      <w:pPr>
        <w:pStyle w:val="BodyText"/>
        <w:spacing w:line="240" w:lineRule="auto" w:before="103"/>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7、存货" w:id="243"/>
      <w:bookmarkEnd w:id="243"/>
      <w:r>
        <w:rPr>
          <w:b w:val="0"/>
          <w:bCs w:val="0"/>
        </w:rPr>
      </w: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存货分类" w:id="244"/>
      <w:bookmarkEnd w:id="24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86,001,172.56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6,185,810.88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79,815,361.68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85,793,789.43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8,866,864.88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76,926,924.55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218,060,051.63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3,346,304.19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214,713,747.44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272,758,829.46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19,657,250.75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253,101,578.71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109,665,318.44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4,328,708.13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105,336,610.31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116,287,292.57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9,994,174.41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106,293,118.16</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413,726,542.63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13,860,823.20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399,865,719.43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474,839,911.46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38,518,290.04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436,321,621.42</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存货跌价准备" w:id="245"/>
      <w:bookmarkEnd w:id="24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8,866,864.88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557,123.91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3,238,177.91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6,185,810.88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19,657,250.75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2,000,471.51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18,311,418.07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3,346,304.19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9,994,174.41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18,162.11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5,683,628.39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4,328,708.13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38,518,290.04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2,575,757.53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27,233,224.37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13,860,823.20</w:t>
            </w:r>
          </w:p>
        </w:tc>
      </w:tr>
    </w:tbl>
    <w:p>
      <w:pPr>
        <w:pStyle w:val="Heading5"/>
        <w:spacing w:line="276" w:lineRule="exact"/>
        <w:ind w:left="469" w:right="0"/>
        <w:jc w:val="left"/>
      </w:pPr>
      <w:r>
        <w:rPr/>
        <w:t>①</w:t>
      </w:r>
      <w:r>
        <w:rPr>
          <w:spacing w:val="-23"/>
        </w:rPr>
        <w:t> </w:t>
      </w:r>
      <w:r>
        <w:rPr/>
        <w:t>本公司经批准核销前已对报损存货全额计提减值准备</w:t>
      </w:r>
      <w:r>
        <w:rPr>
          <w:rFonts w:ascii="Times New Roman" w:hAnsi="Times New Roman" w:cs="Times New Roman" w:eastAsia="Times New Roman" w:hint="default"/>
        </w:rPr>
        <w:t>9,177,685.42</w:t>
      </w:r>
      <w:r>
        <w:rPr/>
        <w:t>元。</w:t>
      </w:r>
    </w:p>
    <w:p>
      <w:pPr>
        <w:pStyle w:val="Heading5"/>
        <w:spacing w:line="256" w:lineRule="auto" w:before="70"/>
        <w:ind w:left="154" w:right="1118" w:firstLine="315"/>
        <w:jc w:val="left"/>
      </w:pPr>
      <w:r>
        <w:rPr/>
        <w:t>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日，云南南天信息产业股份有限公司第六届第十八次董事会会议核销存货</w:t>
      </w:r>
      <w:r>
        <w:rPr>
          <w:rFonts w:ascii="Times New Roman" w:hAnsi="Times New Roman" w:cs="Times New Roman" w:eastAsia="Times New Roman" w:hint="default"/>
        </w:rPr>
        <w:t>9,177,685.42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2"/>
        <w:ind w:left="154" w:right="0"/>
        <w:jc w:val="left"/>
        <w:rPr>
          <w:b w:val="0"/>
          <w:bCs w:val="0"/>
        </w:rPr>
      </w:pPr>
      <w:bookmarkStart w:name="8、一年内到期的非流动资产" w:id="246"/>
      <w:bookmarkEnd w:id="246"/>
      <w:r>
        <w:rPr>
          <w:b w:val="0"/>
          <w:bCs w:val="0"/>
        </w:rPr>
      </w:r>
      <w:r>
        <w:rPr>
          <w:rFonts w:ascii="Times New Roman" w:hAnsi="Times New Roman" w:cs="Times New Roman" w:eastAsia="Times New Roman" w:hint="default"/>
        </w:rPr>
        <w:t>8</w:t>
      </w:r>
      <w:r>
        <w:rPr/>
        <w:t>、一年内到期的非流动资产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空调改造工程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28,490.53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配电监控消防改造工程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80,844.97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550,500.17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659,835.67</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9、其他流动资产" w:id="247"/>
      <w:bookmarkEnd w:id="247"/>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2,591,715.29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8,552,289.99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1,010,980.27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2,079,218.80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55,333.80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262,528.45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3,658,029.36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10,894,037.24</w:t>
            </w:r>
          </w:p>
        </w:tc>
      </w:tr>
    </w:tbl>
    <w:p>
      <w:pPr>
        <w:pStyle w:val="BodyText"/>
        <w:spacing w:line="240" w:lineRule="auto" w:before="51"/>
        <w:ind w:left="154" w:right="0"/>
        <w:jc w:val="left"/>
      </w:pPr>
      <w:r>
        <w:rPr/>
        <w:t>其他说明：</w:t>
      </w:r>
    </w:p>
    <w:p>
      <w:pPr>
        <w:pStyle w:val="Heading5"/>
        <w:spacing w:line="240" w:lineRule="auto" w:before="90"/>
        <w:ind w:right="0"/>
        <w:jc w:val="left"/>
      </w:pPr>
      <w:r>
        <w:rPr/>
        <w:t>其他流动资产期末余额较期初减少</w:t>
      </w:r>
      <w:r>
        <w:rPr>
          <w:rFonts w:ascii="Times New Roman" w:hAnsi="Times New Roman" w:cs="Times New Roman" w:eastAsia="Times New Roman" w:hint="default"/>
        </w:rPr>
        <w:t>66.42%</w:t>
      </w:r>
      <w:r>
        <w:rPr/>
        <w:t>，主要原因是本期待抵扣进项税金进行纳税申报抵减所致。</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10、可供出售金融资产" w:id="248"/>
      <w:bookmarkEnd w:id="248"/>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49"/>
      <w:bookmarkEnd w:id="24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77,283,696.72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75,783,696.72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62,283,696.72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62,283,696.72</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77,283,696.72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75,783,696.72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62,283,696.72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62,283,696.72</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77,283,696.72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75,783,696.72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62,283,696.72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62,283,696.72</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期末按成本计量的可供出售金融资产" w:id="250"/>
      <w:bookmarkEnd w:id="250"/>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盈富泰克 创业投资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14,783,696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14,783,696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6,307,400.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22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上海汇付 互联网金 融信息服 务创业股 权投资中 心（有限 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富滇银行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深圳市帕 纳投资有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62,283,696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77,283,696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9,307,400.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3）报告期内可供出售金融资产减值的变动情况" w:id="251"/>
      <w:bookmarkEnd w:id="251"/>
      <w:r>
        <w:rPr>
          <w:b w:val="0"/>
          <w:bCs w:val="0"/>
        </w:rPr>
      </w: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11、长期股权投资" w:id="252"/>
      <w:bookmarkEnd w:id="252"/>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云南医药 工业股份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268,346,4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05.23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5,454,901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-1,855,78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2,965,780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274,911,3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04.60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云南东盟 公共物流 信息有限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24,307,79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404,489.2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24,712,28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云南南天 信息软件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595,467.9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595,467.9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595,467.9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云南佳程 防伪科技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12,917,95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65,599.86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12,983,55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北京新医 力科技有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-50,181.6</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4,099,818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上海致同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1,097,009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-1,773.54</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1,095,235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广州南天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718,992.9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w w:val="95"/>
                <w:sz w:val="18"/>
              </w:rPr>
              <w:t>-367,752.</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351,240.6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佳信信息 工程有限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厦门南天 世纪信息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129,760.0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133,295.4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308,113,3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80.16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5,508,818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-1,855,78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2,965,780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318,882,1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595,467.9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308,113,3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80.16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5,508,818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-1,855,78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2,965,780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318,882,1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595,467.9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51"/>
        <w:ind w:left="154" w:right="0"/>
        <w:jc w:val="left"/>
      </w:pPr>
      <w:r>
        <w:rPr/>
        <w:t>其他说明</w:t>
      </w:r>
    </w:p>
    <w:p>
      <w:pPr>
        <w:pStyle w:val="Heading3"/>
        <w:spacing w:line="240" w:lineRule="auto" w:before="66"/>
        <w:ind w:right="0"/>
        <w:jc w:val="left"/>
      </w:pPr>
      <w:r>
        <w:rPr/>
        <w:t>（</w:t>
      </w:r>
      <w:r>
        <w:rPr>
          <w:rFonts w:ascii="Times New Roman" w:hAnsi="Times New Roman" w:cs="Times New Roman" w:eastAsia="Times New Roman" w:hint="default"/>
        </w:rPr>
        <w:t>1</w:t>
      </w:r>
      <w:r>
        <w:rPr/>
        <w:t>）重要联营企业的有关信息：</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85"/>
        <w:gridCol w:w="1134"/>
        <w:gridCol w:w="710"/>
        <w:gridCol w:w="992"/>
        <w:gridCol w:w="1700"/>
        <w:gridCol w:w="993"/>
        <w:gridCol w:w="1806"/>
      </w:tblGrid>
      <w:tr>
        <w:trPr>
          <w:trHeight w:val="12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6"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0"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1" w:right="69"/>
              <w:jc w:val="both"/>
              <w:rPr>
                <w:rFonts w:ascii="宋体" w:hAnsi="宋体" w:cs="宋体" w:eastAsia="宋体" w:hint="default"/>
                <w:sz w:val="21"/>
                <w:szCs w:val="21"/>
              </w:rPr>
            </w:pPr>
            <w:r>
              <w:rPr>
                <w:rFonts w:ascii="宋体" w:hAnsi="宋体" w:cs="宋体" w:eastAsia="宋体" w:hint="default"/>
                <w:sz w:val="21"/>
                <w:szCs w:val="21"/>
              </w:rPr>
              <w:t>对企业活 动是否有 战略性</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77" w:right="0"/>
              <w:jc w:val="left"/>
              <w:rPr>
                <w:rFonts w:ascii="宋体" w:hAnsi="宋体" w:cs="宋体" w:eastAsia="宋体" w:hint="default"/>
                <w:sz w:val="21"/>
                <w:szCs w:val="21"/>
              </w:rPr>
            </w:pPr>
            <w:r>
              <w:rPr>
                <w:rFonts w:ascii="宋体" w:hAnsi="宋体" w:cs="宋体" w:eastAsia="宋体" w:hint="default"/>
                <w:sz w:val="21"/>
                <w:szCs w:val="21"/>
              </w:rPr>
              <w:t>注册资本</w:t>
            </w:r>
          </w:p>
        </w:tc>
      </w:tr>
      <w:tr>
        <w:trPr>
          <w:trHeight w:val="6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7"/>
                <w:sz w:val="21"/>
                <w:szCs w:val="21"/>
              </w:rPr>
              <w:t>云南医药工业股份有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云南</w:t>
            </w:r>
            <w:r>
              <w:rPr>
                <w:rFonts w:ascii="宋体" w:hAnsi="宋体" w:cs="宋体" w:eastAsia="宋体" w:hint="default"/>
                <w:spacing w:val="-21"/>
                <w:sz w:val="21"/>
                <w:szCs w:val="21"/>
              </w:rPr>
              <w:t> </w:t>
            </w:r>
            <w:r>
              <w:rPr>
                <w:rFonts w:ascii="宋体" w:hAnsi="宋体" w:cs="宋体" w:eastAsia="宋体" w:hint="default"/>
                <w:sz w:val="21"/>
                <w:szCs w:val="21"/>
              </w:rPr>
              <w:t>昆明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昆明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41.36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医药生产、销售</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131,926,800.00</w:t>
            </w:r>
          </w:p>
        </w:tc>
      </w:tr>
      <w:tr>
        <w:trPr>
          <w:trHeight w:val="6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7"/>
                <w:sz w:val="21"/>
                <w:szCs w:val="21"/>
              </w:rPr>
              <w:t>云南东盟公共物流信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云南</w:t>
            </w:r>
            <w:r>
              <w:rPr>
                <w:rFonts w:ascii="宋体" w:hAnsi="宋体" w:cs="宋体" w:eastAsia="宋体" w:hint="default"/>
                <w:spacing w:val="-21"/>
                <w:sz w:val="21"/>
                <w:szCs w:val="21"/>
              </w:rPr>
              <w:t> </w:t>
            </w:r>
            <w:r>
              <w:rPr>
                <w:rFonts w:ascii="宋体" w:hAnsi="宋体" w:cs="宋体" w:eastAsia="宋体" w:hint="default"/>
                <w:sz w:val="21"/>
                <w:szCs w:val="21"/>
              </w:rPr>
              <w:t>昆明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昆明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42.80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信息产业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49,066,000.00</w:t>
            </w:r>
          </w:p>
        </w:tc>
      </w:tr>
      <w:tr>
        <w:trPr>
          <w:trHeight w:val="6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7"/>
                <w:sz w:val="21"/>
                <w:szCs w:val="21"/>
              </w:rPr>
              <w:t>云南南天信息软件有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99" w:right="0"/>
              <w:jc w:val="left"/>
              <w:rPr>
                <w:rFonts w:ascii="宋体" w:hAnsi="宋体" w:cs="宋体" w:eastAsia="宋体" w:hint="default"/>
                <w:sz w:val="21"/>
                <w:szCs w:val="21"/>
              </w:rPr>
            </w:pPr>
            <w:r>
              <w:rPr>
                <w:rFonts w:ascii="宋体" w:hAnsi="宋体" w:cs="宋体" w:eastAsia="宋体" w:hint="default"/>
                <w:sz w:val="21"/>
                <w:szCs w:val="21"/>
              </w:rPr>
              <w:t>云南</w:t>
            </w:r>
            <w:r>
              <w:rPr>
                <w:rFonts w:ascii="宋体" w:hAnsi="宋体" w:cs="宋体" w:eastAsia="宋体" w:hint="default"/>
                <w:spacing w:val="-21"/>
                <w:sz w:val="21"/>
                <w:szCs w:val="21"/>
              </w:rPr>
              <w:t> </w:t>
            </w:r>
            <w:r>
              <w:rPr>
                <w:rFonts w:ascii="宋体" w:hAnsi="宋体" w:cs="宋体" w:eastAsia="宋体" w:hint="default"/>
                <w:sz w:val="21"/>
                <w:szCs w:val="21"/>
              </w:rPr>
              <w:t>昆明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昆明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20.00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信息产业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40,000,000.00</w:t>
            </w:r>
          </w:p>
        </w:tc>
      </w:tr>
      <w:tr>
        <w:trPr>
          <w:trHeight w:val="6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7"/>
                <w:sz w:val="21"/>
                <w:szCs w:val="21"/>
              </w:rPr>
              <w:t>云南佳程防伪科技有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99" w:right="0"/>
              <w:jc w:val="left"/>
              <w:rPr>
                <w:rFonts w:ascii="宋体" w:hAnsi="宋体" w:cs="宋体" w:eastAsia="宋体" w:hint="default"/>
                <w:sz w:val="21"/>
                <w:szCs w:val="21"/>
              </w:rPr>
            </w:pPr>
            <w:r>
              <w:rPr>
                <w:rFonts w:ascii="宋体" w:hAnsi="宋体" w:cs="宋体" w:eastAsia="宋体" w:hint="default"/>
                <w:sz w:val="21"/>
                <w:szCs w:val="21"/>
              </w:rPr>
              <w:t>云南</w:t>
            </w:r>
            <w:r>
              <w:rPr>
                <w:rFonts w:ascii="宋体" w:hAnsi="宋体" w:cs="宋体" w:eastAsia="宋体" w:hint="default"/>
                <w:spacing w:val="-21"/>
                <w:sz w:val="21"/>
                <w:szCs w:val="21"/>
              </w:rPr>
              <w:t> </w:t>
            </w:r>
            <w:r>
              <w:rPr>
                <w:rFonts w:ascii="宋体" w:hAnsi="宋体" w:cs="宋体" w:eastAsia="宋体" w:hint="default"/>
                <w:sz w:val="21"/>
                <w:szCs w:val="21"/>
              </w:rPr>
              <w:t>昆明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昆明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20.00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51,000,000.00</w:t>
            </w:r>
          </w:p>
        </w:tc>
      </w:tr>
      <w:tr>
        <w:trPr>
          <w:trHeight w:val="6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7"/>
                <w:sz w:val="21"/>
                <w:szCs w:val="21"/>
              </w:rPr>
              <w:t>上海致同信息技术有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51"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40.00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40" w:right="5" w:hanging="736"/>
              <w:jc w:val="left"/>
              <w:rPr>
                <w:rFonts w:ascii="宋体" w:hAnsi="宋体" w:cs="宋体" w:eastAsia="宋体" w:hint="default"/>
                <w:sz w:val="21"/>
                <w:szCs w:val="21"/>
              </w:rPr>
            </w:pPr>
            <w:r>
              <w:rPr>
                <w:rFonts w:ascii="宋体" w:hAnsi="宋体" w:cs="宋体" w:eastAsia="宋体" w:hint="default"/>
                <w:sz w:val="21"/>
                <w:szCs w:val="21"/>
              </w:rPr>
              <w:t>系统集成、软件业 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6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7"/>
                <w:sz w:val="21"/>
                <w:szCs w:val="21"/>
              </w:rPr>
              <w:t>广州南天佳信信息工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6" w:right="0"/>
              <w:jc w:val="left"/>
              <w:rPr>
                <w:rFonts w:ascii="宋体" w:hAnsi="宋体" w:cs="宋体" w:eastAsia="宋体" w:hint="default"/>
                <w:sz w:val="21"/>
                <w:szCs w:val="21"/>
              </w:rPr>
            </w:pPr>
            <w:r>
              <w:rPr>
                <w:rFonts w:ascii="宋体" w:hAnsi="宋体" w:cs="宋体" w:eastAsia="宋体" w:hint="default"/>
                <w:sz w:val="21"/>
                <w:szCs w:val="21"/>
              </w:rPr>
              <w:t>广东省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30.00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研究和实验发展</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12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7"/>
                <w:sz w:val="21"/>
                <w:szCs w:val="21"/>
              </w:rPr>
              <w:t>厦门南天世纪信息技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6" w:right="0"/>
              <w:jc w:val="left"/>
              <w:rPr>
                <w:rFonts w:ascii="宋体" w:hAnsi="宋体" w:cs="宋体" w:eastAsia="宋体" w:hint="default"/>
                <w:sz w:val="21"/>
                <w:szCs w:val="21"/>
              </w:rPr>
            </w:pPr>
            <w:r>
              <w:rPr>
                <w:rFonts w:ascii="宋体" w:hAnsi="宋体" w:cs="宋体" w:eastAsia="宋体" w:hint="default"/>
                <w:sz w:val="21"/>
                <w:szCs w:val="21"/>
              </w:rPr>
              <w:t>广东省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40.00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
              <w:jc w:val="center"/>
              <w:rPr>
                <w:rFonts w:ascii="宋体" w:hAnsi="宋体" w:cs="宋体" w:eastAsia="宋体" w:hint="default"/>
                <w:sz w:val="21"/>
                <w:szCs w:val="21"/>
              </w:rPr>
            </w:pPr>
            <w:r>
              <w:rPr>
                <w:rFonts w:ascii="宋体" w:hAnsi="宋体" w:cs="宋体" w:eastAsia="宋体" w:hint="default"/>
                <w:sz w:val="21"/>
                <w:szCs w:val="21"/>
              </w:rPr>
              <w:t>计算机软件开发、 系统集成、网络产 品及耗材销售及维 护</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65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7"/>
                <w:sz w:val="21"/>
                <w:szCs w:val="21"/>
              </w:rPr>
              <w:t>北京新医力科技有限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51"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20.75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医疗</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40,000,000.00</w:t>
            </w:r>
          </w:p>
        </w:tc>
      </w:tr>
    </w:tbl>
    <w:p>
      <w:pPr>
        <w:pStyle w:val="Heading3"/>
        <w:spacing w:line="275" w:lineRule="exact"/>
        <w:ind w:left="538" w:right="0"/>
        <w:jc w:val="left"/>
      </w:pPr>
      <w:r>
        <w:rPr/>
        <w:t>（续）</w:t>
      </w:r>
    </w:p>
    <w:p>
      <w:pPr>
        <w:spacing w:line="240" w:lineRule="auto" w:before="8"/>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5"/>
        <w:gridCol w:w="992"/>
        <w:gridCol w:w="993"/>
        <w:gridCol w:w="1416"/>
        <w:gridCol w:w="1135"/>
        <w:gridCol w:w="1136"/>
        <w:gridCol w:w="1615"/>
      </w:tblGrid>
      <w:tr>
        <w:trPr>
          <w:trHeight w:val="6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5" w:right="71" w:hanging="315"/>
              <w:jc w:val="left"/>
              <w:rPr>
                <w:rFonts w:ascii="宋体" w:hAnsi="宋体" w:cs="宋体" w:eastAsia="宋体" w:hint="default"/>
                <w:sz w:val="21"/>
                <w:szCs w:val="21"/>
              </w:rPr>
            </w:pPr>
            <w:r>
              <w:rPr>
                <w:rFonts w:ascii="宋体" w:hAnsi="宋体" w:cs="宋体" w:eastAsia="宋体" w:hint="default"/>
                <w:sz w:val="21"/>
                <w:szCs w:val="21"/>
              </w:rPr>
              <w:t>表决权比 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法人代表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4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7"/>
                <w:sz w:val="21"/>
                <w:szCs w:val="21"/>
              </w:rPr>
              <w:t>云南医药工业股份有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41.36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孙德刚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21652305-4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42" w:right="0"/>
              <w:jc w:val="left"/>
              <w:rPr>
                <w:rFonts w:ascii="宋体" w:hAnsi="宋体" w:cs="宋体" w:eastAsia="宋体" w:hint="default"/>
                <w:sz w:val="21"/>
                <w:szCs w:val="21"/>
              </w:rPr>
            </w:pPr>
            <w:r>
              <w:rPr>
                <w:rFonts w:ascii="宋体" w:hAnsi="宋体" w:cs="宋体" w:eastAsia="宋体" w:hint="default"/>
                <w:sz w:val="21"/>
                <w:szCs w:val="21"/>
              </w:rPr>
              <w:t>股份公司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pacing w:val="7"/>
                <w:sz w:val="21"/>
                <w:szCs w:val="21"/>
              </w:rPr>
              <w:t>云南东盟公共物流信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42.80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郑恩梅</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56005047-9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4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5"/>
        <w:gridCol w:w="992"/>
        <w:gridCol w:w="993"/>
        <w:gridCol w:w="1416"/>
        <w:gridCol w:w="1135"/>
        <w:gridCol w:w="1136"/>
        <w:gridCol w:w="1615"/>
      </w:tblGrid>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息有限公司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7"/>
                <w:sz w:val="21"/>
                <w:szCs w:val="21"/>
              </w:rPr>
              <w:t>云南南天信息软件有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20.00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4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81" w:right="0"/>
              <w:jc w:val="left"/>
              <w:rPr>
                <w:rFonts w:ascii="宋体" w:hAnsi="宋体" w:cs="宋体" w:eastAsia="宋体" w:hint="default"/>
                <w:sz w:val="21"/>
                <w:szCs w:val="21"/>
              </w:rPr>
            </w:pPr>
            <w:r>
              <w:rPr>
                <w:rFonts w:ascii="宋体" w:hAnsi="宋体" w:cs="宋体" w:eastAsia="宋体" w:hint="default"/>
                <w:sz w:val="21"/>
                <w:szCs w:val="21"/>
              </w:rPr>
              <w:t>已经停业</w:t>
            </w:r>
          </w:p>
        </w:tc>
      </w:tr>
      <w:tr>
        <w:trPr>
          <w:trHeight w:val="6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7"/>
                <w:sz w:val="21"/>
                <w:szCs w:val="21"/>
              </w:rPr>
              <w:t>云南佳程防伪科技有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20.00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殷立辉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5" w:right="0"/>
              <w:jc w:val="left"/>
              <w:rPr>
                <w:rFonts w:ascii="Times New Roman" w:hAnsi="Times New Roman" w:cs="Times New Roman" w:eastAsia="Times New Roman" w:hint="default"/>
                <w:sz w:val="21"/>
                <w:szCs w:val="21"/>
              </w:rPr>
            </w:pPr>
            <w:r>
              <w:rPr>
                <w:rFonts w:ascii="Times New Roman"/>
                <w:sz w:val="21"/>
              </w:rPr>
              <w:t>74828094-6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4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96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7"/>
                <w:sz w:val="21"/>
                <w:szCs w:val="21"/>
              </w:rPr>
              <w:t>上海致同信息技术有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40.00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王励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5" w:right="0"/>
              <w:jc w:val="left"/>
              <w:rPr>
                <w:rFonts w:ascii="Times New Roman" w:hAnsi="Times New Roman" w:cs="Times New Roman" w:eastAsia="Times New Roman" w:hint="default"/>
                <w:sz w:val="21"/>
                <w:szCs w:val="21"/>
              </w:rPr>
            </w:pPr>
            <w:r>
              <w:rPr>
                <w:rFonts w:ascii="Times New Roman"/>
                <w:sz w:val="21"/>
              </w:rPr>
              <w:t>68226092-5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 w:right="35"/>
              <w:jc w:val="center"/>
              <w:rPr>
                <w:rFonts w:ascii="宋体" w:hAnsi="宋体" w:cs="宋体" w:eastAsia="宋体" w:hint="default"/>
                <w:sz w:val="21"/>
                <w:szCs w:val="21"/>
              </w:rPr>
            </w:pPr>
            <w:r>
              <w:rPr>
                <w:rFonts w:ascii="宋体" w:hAnsi="宋体" w:cs="宋体" w:eastAsia="宋体" w:hint="default"/>
                <w:sz w:val="21"/>
                <w:szCs w:val="21"/>
              </w:rPr>
              <w:t>有限责任公 司（国内合 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7"/>
                <w:sz w:val="21"/>
                <w:szCs w:val="21"/>
              </w:rPr>
              <w:t>广州南天佳信信息工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30.00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张锦鸿</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5" w:right="0"/>
              <w:jc w:val="left"/>
              <w:rPr>
                <w:rFonts w:ascii="Times New Roman" w:hAnsi="Times New Roman" w:cs="Times New Roman" w:eastAsia="Times New Roman" w:hint="default"/>
                <w:sz w:val="21"/>
                <w:szCs w:val="21"/>
              </w:rPr>
            </w:pPr>
            <w:r>
              <w:rPr>
                <w:rFonts w:ascii="Times New Roman"/>
                <w:sz w:val="21"/>
              </w:rPr>
              <w:t>77837155-8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4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pacing w:val="8"/>
                <w:sz w:val="21"/>
                <w:szCs w:val="21"/>
              </w:rPr>
              <w:t>厦门南天世纪信息技</w:t>
            </w:r>
            <w:r>
              <w:rPr>
                <w:rFonts w:ascii="宋体" w:hAnsi="宋体" w:cs="宋体" w:eastAsia="宋体" w:hint="default"/>
                <w:sz w:val="21"/>
                <w:szCs w:val="21"/>
              </w:rPr>
              <w:t> 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40.00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陈东勇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5" w:right="0"/>
              <w:jc w:val="left"/>
              <w:rPr>
                <w:rFonts w:ascii="Times New Roman" w:hAnsi="Times New Roman" w:cs="Times New Roman" w:eastAsia="Times New Roman" w:hint="default"/>
                <w:sz w:val="21"/>
                <w:szCs w:val="21"/>
              </w:rPr>
            </w:pPr>
            <w:r>
              <w:rPr>
                <w:rFonts w:ascii="Times New Roman"/>
                <w:sz w:val="21"/>
              </w:rPr>
              <w:t>76174815-2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4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2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7"/>
                <w:sz w:val="21"/>
                <w:szCs w:val="21"/>
              </w:rPr>
              <w:t>北京新医力科技有限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20.75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许文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5" w:right="0"/>
              <w:jc w:val="left"/>
              <w:rPr>
                <w:rFonts w:ascii="Times New Roman" w:hAnsi="Times New Roman" w:cs="Times New Roman" w:eastAsia="Times New Roman" w:hint="default"/>
                <w:sz w:val="21"/>
                <w:szCs w:val="21"/>
              </w:rPr>
            </w:pPr>
            <w:r>
              <w:rPr>
                <w:rFonts w:ascii="Times New Roman"/>
                <w:sz w:val="21"/>
              </w:rPr>
              <w:t>33638485-3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 w:right="35"/>
              <w:jc w:val="center"/>
              <w:rPr>
                <w:rFonts w:ascii="宋体" w:hAnsi="宋体" w:cs="宋体" w:eastAsia="宋体" w:hint="default"/>
                <w:sz w:val="21"/>
                <w:szCs w:val="21"/>
              </w:rPr>
            </w:pPr>
            <w:r>
              <w:rPr>
                <w:rFonts w:ascii="宋体" w:hAnsi="宋体" w:cs="宋体" w:eastAsia="宋体" w:hint="default"/>
                <w:sz w:val="21"/>
                <w:szCs w:val="21"/>
              </w:rPr>
              <w:t>有限责任公 司（台港澳 与境内合 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93" w:lineRule="exact"/>
        <w:ind w:left="154" w:right="0"/>
        <w:jc w:val="left"/>
      </w:pPr>
      <w:r>
        <w:rPr/>
        <w:t>（</w:t>
      </w:r>
      <w:r>
        <w:rPr>
          <w:rFonts w:ascii="Times New Roman" w:hAnsi="Times New Roman" w:cs="Times New Roman" w:eastAsia="Times New Roman" w:hint="default"/>
        </w:rPr>
        <w:t>2</w:t>
      </w:r>
      <w:r>
        <w:rPr/>
        <w:t>）重要联营企业的主要财务信息</w:t>
      </w:r>
    </w:p>
    <w:p>
      <w:pPr>
        <w:spacing w:line="240" w:lineRule="auto" w:before="4"/>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1560"/>
        <w:gridCol w:w="1002"/>
        <w:gridCol w:w="991"/>
        <w:gridCol w:w="851"/>
        <w:gridCol w:w="992"/>
        <w:gridCol w:w="994"/>
        <w:gridCol w:w="986"/>
        <w:gridCol w:w="1001"/>
        <w:gridCol w:w="985"/>
      </w:tblGrid>
      <w:tr>
        <w:trPr>
          <w:trHeight w:val="10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0" w:right="38"/>
              <w:jc w:val="center"/>
              <w:rPr>
                <w:rFonts w:ascii="宋体" w:hAnsi="宋体" w:cs="宋体" w:eastAsia="宋体" w:hint="default"/>
                <w:sz w:val="18"/>
                <w:szCs w:val="18"/>
              </w:rPr>
            </w:pPr>
            <w:r>
              <w:rPr>
                <w:rFonts w:ascii="宋体" w:hAnsi="宋体" w:cs="宋体" w:eastAsia="宋体" w:hint="default"/>
                <w:sz w:val="18"/>
                <w:szCs w:val="18"/>
              </w:rPr>
              <w:t>其中：现金 和现金等价 物</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1" w:right="105" w:hanging="106"/>
              <w:jc w:val="left"/>
              <w:rPr>
                <w:rFonts w:ascii="宋体" w:hAnsi="宋体" w:cs="宋体" w:eastAsia="宋体" w:hint="default"/>
                <w:sz w:val="21"/>
                <w:szCs w:val="21"/>
              </w:rPr>
            </w:pPr>
            <w:r>
              <w:rPr>
                <w:rFonts w:ascii="宋体" w:hAnsi="宋体" w:cs="宋体" w:eastAsia="宋体" w:hint="default"/>
                <w:sz w:val="21"/>
                <w:szCs w:val="21"/>
              </w:rPr>
              <w:t>非流动 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资产合计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2" w:right="66" w:hanging="316"/>
              <w:jc w:val="left"/>
              <w:rPr>
                <w:rFonts w:ascii="宋体" w:hAnsi="宋体" w:cs="宋体" w:eastAsia="宋体" w:hint="default"/>
                <w:sz w:val="21"/>
                <w:szCs w:val="21"/>
              </w:rPr>
            </w:pPr>
            <w:r>
              <w:rPr>
                <w:rFonts w:ascii="宋体" w:hAnsi="宋体" w:cs="宋体" w:eastAsia="宋体" w:hint="default"/>
                <w:sz w:val="21"/>
                <w:szCs w:val="21"/>
              </w:rPr>
              <w:t>非流动负 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5"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77" w:right="66" w:hanging="210"/>
              <w:jc w:val="left"/>
              <w:rPr>
                <w:rFonts w:ascii="宋体" w:hAnsi="宋体" w:cs="宋体" w:eastAsia="宋体" w:hint="default"/>
                <w:sz w:val="21"/>
                <w:szCs w:val="21"/>
              </w:rPr>
            </w:pPr>
            <w:r>
              <w:rPr>
                <w:rFonts w:ascii="宋体" w:hAnsi="宋体" w:cs="宋体" w:eastAsia="宋体" w:hint="default"/>
                <w:sz w:val="21"/>
                <w:szCs w:val="21"/>
              </w:rPr>
              <w:t>少数股东 权益</w:t>
            </w:r>
          </w:p>
        </w:tc>
      </w:tr>
      <w:tr>
        <w:trPr>
          <w:trHeight w:val="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2"/>
                <w:sz w:val="18"/>
                <w:szCs w:val="18"/>
              </w:rPr>
              <w:t>云南医药工业股份</w:t>
            </w:r>
            <w:r>
              <w:rPr>
                <w:rFonts w:ascii="宋体" w:hAnsi="宋体" w:cs="宋体" w:eastAsia="宋体" w:hint="default"/>
                <w:sz w:val="18"/>
                <w:szCs w:val="18"/>
              </w:rPr>
              <w:t>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本年数</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1,416,695,62</w:t>
            </w:r>
          </w:p>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z w:val="18"/>
              </w:rPr>
              <w:t>8.63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401,127,592.</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2" w:right="0"/>
              <w:jc w:val="left"/>
              <w:rPr>
                <w:rFonts w:ascii="Times New Roman" w:hAnsi="Times New Roman" w:cs="Times New Roman" w:eastAsia="Times New Roman" w:hint="default"/>
                <w:sz w:val="18"/>
                <w:szCs w:val="18"/>
              </w:rPr>
            </w:pPr>
            <w:r>
              <w:rPr>
                <w:rFonts w:ascii="Times New Roman"/>
                <w:sz w:val="18"/>
              </w:rPr>
              <w:t>1,418,906,</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061.09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2,835,601,68</w:t>
            </w:r>
          </w:p>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z w:val="18"/>
              </w:rPr>
              <w:t>9.72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1,533,257,04</w:t>
            </w:r>
          </w:p>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z w:val="18"/>
              </w:rPr>
              <w:t>0.78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515,925,677.</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67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2,049,182,71</w:t>
            </w:r>
          </w:p>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z w:val="18"/>
              </w:rPr>
              <w:t>8.45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134,344,766.</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72</w:t>
            </w:r>
          </w:p>
        </w:tc>
      </w:tr>
      <w:tr>
        <w:trPr>
          <w:trHeight w:val="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云南医药工业股份</w:t>
            </w:r>
            <w:r>
              <w:rPr>
                <w:rFonts w:ascii="宋体" w:hAnsi="宋体" w:cs="宋体" w:eastAsia="宋体" w:hint="default"/>
                <w:sz w:val="18"/>
                <w:szCs w:val="18"/>
              </w:rPr>
              <w:t>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上年数</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1,070,089,60</w:t>
            </w:r>
          </w:p>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z w:val="18"/>
              </w:rPr>
              <w:t>7.44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93,749,458.7</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 w:right="0"/>
              <w:jc w:val="left"/>
              <w:rPr>
                <w:rFonts w:ascii="Times New Roman" w:hAnsi="Times New Roman" w:cs="Times New Roman" w:eastAsia="Times New Roman" w:hint="default"/>
                <w:sz w:val="18"/>
                <w:szCs w:val="18"/>
              </w:rPr>
            </w:pPr>
            <w:r>
              <w:rPr>
                <w:rFonts w:ascii="Times New Roman"/>
                <w:sz w:val="18"/>
              </w:rPr>
              <w:t>1,308,522,</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957.52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2,378,612,56</w:t>
            </w:r>
          </w:p>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z w:val="18"/>
              </w:rPr>
              <w:t>4.96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1,193,024,76</w:t>
            </w:r>
          </w:p>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z w:val="18"/>
              </w:rPr>
              <w:t>6.38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412,742,574.</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71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1,605,767,34</w:t>
            </w:r>
          </w:p>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z w:val="18"/>
              </w:rPr>
              <w:t>1.09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136,543,402.</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17</w:t>
            </w:r>
          </w:p>
        </w:tc>
      </w:tr>
      <w:tr>
        <w:trPr>
          <w:trHeight w:val="10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2"/>
              <w:ind w:left="4" w:right="2"/>
              <w:jc w:val="both"/>
              <w:rPr>
                <w:rFonts w:ascii="宋体" w:hAnsi="宋体" w:cs="宋体" w:eastAsia="宋体" w:hint="default"/>
                <w:sz w:val="18"/>
                <w:szCs w:val="18"/>
              </w:rPr>
            </w:pPr>
            <w:r>
              <w:rPr>
                <w:rFonts w:ascii="宋体" w:hAnsi="宋体" w:cs="宋体" w:eastAsia="宋体" w:hint="default"/>
                <w:spacing w:val="12"/>
                <w:sz w:val="18"/>
                <w:szCs w:val="18"/>
              </w:rPr>
              <w:t>云南东盟公共物流</w:t>
            </w:r>
            <w:r>
              <w:rPr>
                <w:rFonts w:ascii="宋体" w:hAnsi="宋体" w:cs="宋体" w:eastAsia="宋体" w:hint="default"/>
                <w:sz w:val="18"/>
                <w:szCs w:val="18"/>
              </w:rPr>
              <w:t> </w:t>
            </w:r>
            <w:r>
              <w:rPr>
                <w:rFonts w:ascii="宋体" w:hAnsi="宋体" w:cs="宋体" w:eastAsia="宋体" w:hint="default"/>
                <w:spacing w:val="6"/>
                <w:sz w:val="18"/>
                <w:szCs w:val="18"/>
              </w:rPr>
              <w:t>信息有限公司</w:t>
            </w:r>
            <w:r>
              <w:rPr>
                <w:rFonts w:ascii="宋体" w:hAnsi="宋体" w:cs="宋体" w:eastAsia="宋体" w:hint="default"/>
                <w:spacing w:val="26"/>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 年数</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33,845,347.0</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2,944,046.27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37,149,563</w:t>
            </w:r>
          </w:p>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z w:val="18"/>
              </w:rPr>
              <w:t>.07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70,994,910.1</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 w:right="0"/>
              <w:jc w:val="left"/>
              <w:rPr>
                <w:rFonts w:ascii="Times New Roman" w:hAnsi="Times New Roman" w:cs="Times New Roman" w:eastAsia="Times New Roman" w:hint="default"/>
                <w:sz w:val="18"/>
                <w:szCs w:val="18"/>
              </w:rPr>
            </w:pPr>
            <w:r>
              <w:rPr>
                <w:rFonts w:ascii="Times New Roman"/>
                <w:sz w:val="18"/>
              </w:rPr>
              <w:t>8,524,560.10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 w:right="0"/>
              <w:jc w:val="center"/>
              <w:rPr>
                <w:rFonts w:ascii="Times New Roman" w:hAnsi="Times New Roman" w:cs="Times New Roman" w:eastAsia="Times New Roman" w:hint="default"/>
                <w:sz w:val="18"/>
                <w:szCs w:val="18"/>
              </w:rPr>
            </w:pPr>
            <w:r>
              <w:rPr>
                <w:rFonts w:ascii="Times New Roman"/>
                <w:sz w:val="18"/>
              </w:rPr>
              <w:t>7,585,087.51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16,109,647.6</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1</w:t>
            </w:r>
          </w:p>
        </w:tc>
        <w:tc>
          <w:tcPr>
            <w:tcW w:w="985" w:type="dxa"/>
            <w:tcBorders>
              <w:top w:val="single" w:sz="4" w:space="0" w:color="000000"/>
              <w:left w:val="single" w:sz="4" w:space="0" w:color="000000"/>
              <w:bottom w:val="single" w:sz="4" w:space="0" w:color="000000"/>
              <w:right w:val="single" w:sz="4" w:space="0" w:color="000000"/>
            </w:tcBorders>
          </w:tcPr>
          <w:p>
            <w:pPr/>
          </w:p>
        </w:tc>
      </w:tr>
      <w:tr>
        <w:trPr>
          <w:trHeight w:val="104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1"/>
              <w:ind w:left="4" w:right="2"/>
              <w:jc w:val="both"/>
              <w:rPr>
                <w:rFonts w:ascii="宋体" w:hAnsi="宋体" w:cs="宋体" w:eastAsia="宋体" w:hint="default"/>
                <w:sz w:val="18"/>
                <w:szCs w:val="18"/>
              </w:rPr>
            </w:pPr>
            <w:r>
              <w:rPr>
                <w:rFonts w:ascii="宋体" w:hAnsi="宋体" w:cs="宋体" w:eastAsia="宋体" w:hint="default"/>
                <w:spacing w:val="12"/>
                <w:sz w:val="18"/>
                <w:szCs w:val="18"/>
              </w:rPr>
              <w:t>云南东盟公共物流</w:t>
            </w:r>
            <w:r>
              <w:rPr>
                <w:rFonts w:ascii="宋体" w:hAnsi="宋体" w:cs="宋体" w:eastAsia="宋体" w:hint="default"/>
                <w:sz w:val="18"/>
                <w:szCs w:val="18"/>
              </w:rPr>
              <w:t> </w:t>
            </w:r>
            <w:r>
              <w:rPr>
                <w:rFonts w:ascii="宋体" w:hAnsi="宋体" w:cs="宋体" w:eastAsia="宋体" w:hint="default"/>
                <w:spacing w:val="6"/>
                <w:sz w:val="18"/>
                <w:szCs w:val="18"/>
              </w:rPr>
              <w:t>信息有限公司</w:t>
            </w:r>
            <w:r>
              <w:rPr>
                <w:rFonts w:ascii="宋体" w:hAnsi="宋体" w:cs="宋体" w:eastAsia="宋体" w:hint="default"/>
                <w:spacing w:val="26"/>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w:t>
            </w:r>
            <w:r>
              <w:rPr>
                <w:rFonts w:ascii="宋体" w:hAnsi="宋体" w:cs="宋体" w:eastAsia="宋体" w:hint="default"/>
                <w:sz w:val="18"/>
                <w:szCs w:val="18"/>
              </w:rPr>
              <w:t> 年数</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32,868,650.7</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4,411,748.19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36,408,570</w:t>
            </w:r>
          </w:p>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69,277,221.1</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7,702,320.98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 w:right="0"/>
              <w:jc w:val="center"/>
              <w:rPr>
                <w:rFonts w:ascii="Times New Roman" w:hAnsi="Times New Roman" w:cs="Times New Roman" w:eastAsia="Times New Roman" w:hint="default"/>
                <w:sz w:val="18"/>
                <w:szCs w:val="18"/>
              </w:rPr>
            </w:pPr>
            <w:r>
              <w:rPr>
                <w:rFonts w:ascii="Times New Roman"/>
                <w:sz w:val="18"/>
              </w:rPr>
              <w:t>7,634,705.98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15,337,026.9</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6</w:t>
            </w:r>
          </w:p>
        </w:tc>
        <w:tc>
          <w:tcPr>
            <w:tcW w:w="985"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云南佳程防伪科技</w:t>
            </w:r>
            <w:r>
              <w:rPr>
                <w:rFonts w:ascii="宋体" w:hAnsi="宋体" w:cs="宋体" w:eastAsia="宋体" w:hint="default"/>
                <w:sz w:val="18"/>
                <w:szCs w:val="18"/>
              </w:rPr>
              <w:t>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本年数</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65,411,878.5</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6,572,395.67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1,088,515.</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66,500,394.5</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982,638.20</w:t>
            </w:r>
          </w:p>
        </w:tc>
        <w:tc>
          <w:tcPr>
            <w:tcW w:w="98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982,638.20</w:t>
            </w:r>
          </w:p>
        </w:tc>
        <w:tc>
          <w:tcPr>
            <w:tcW w:w="985"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云南佳程防伪科技</w:t>
            </w:r>
            <w:r>
              <w:rPr>
                <w:rFonts w:ascii="宋体" w:hAnsi="宋体" w:cs="宋体" w:eastAsia="宋体" w:hint="default"/>
                <w:sz w:val="18"/>
                <w:szCs w:val="18"/>
              </w:rPr>
              <w:t>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上年数</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65,677,650.8</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1,242,783.20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659,495.08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66,337,145.9</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747,388.83</w:t>
            </w:r>
          </w:p>
        </w:tc>
        <w:tc>
          <w:tcPr>
            <w:tcW w:w="98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747,388.83</w:t>
            </w:r>
          </w:p>
        </w:tc>
        <w:tc>
          <w:tcPr>
            <w:tcW w:w="985" w:type="dxa"/>
            <w:tcBorders>
              <w:top w:val="single" w:sz="4" w:space="0" w:color="000000"/>
              <w:left w:val="single" w:sz="4" w:space="0" w:color="000000"/>
              <w:bottom w:val="single" w:sz="4" w:space="0" w:color="000000"/>
              <w:right w:val="single" w:sz="4" w:space="0" w:color="000000"/>
            </w:tcBorders>
          </w:tcPr>
          <w:p>
            <w:pPr/>
          </w:p>
        </w:tc>
      </w:tr>
      <w:tr>
        <w:trPr>
          <w:trHeight w:val="73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2"/>
                <w:sz w:val="18"/>
                <w:szCs w:val="18"/>
              </w:rPr>
              <w:t>北京新医力科技有</w:t>
            </w:r>
            <w:r>
              <w:rPr>
                <w:rFonts w:ascii="宋体" w:hAnsi="宋体" w:cs="宋体" w:eastAsia="宋体" w:hint="default"/>
                <w:sz w:val="18"/>
                <w:szCs w:val="18"/>
              </w:rPr>
              <w:t>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本年数</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 w:right="0"/>
              <w:jc w:val="left"/>
              <w:rPr>
                <w:rFonts w:ascii="Times New Roman" w:hAnsi="Times New Roman" w:cs="Times New Roman" w:eastAsia="Times New Roman" w:hint="default"/>
                <w:sz w:val="18"/>
                <w:szCs w:val="18"/>
              </w:rPr>
            </w:pPr>
            <w:r>
              <w:rPr>
                <w:rFonts w:ascii="Times New Roman"/>
                <w:sz w:val="18"/>
              </w:rPr>
              <w:t>4,236,595.29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4,203,703.29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188,461.41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6" w:right="0"/>
              <w:jc w:val="center"/>
              <w:rPr>
                <w:rFonts w:ascii="Times New Roman" w:hAnsi="Times New Roman" w:cs="Times New Roman" w:eastAsia="Times New Roman" w:hint="default"/>
                <w:sz w:val="18"/>
                <w:szCs w:val="18"/>
              </w:rPr>
            </w:pPr>
            <w:r>
              <w:rPr>
                <w:rFonts w:ascii="Times New Roman"/>
                <w:sz w:val="18"/>
              </w:rPr>
              <w:t>4,425,056.70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6,896.15</w:t>
            </w:r>
          </w:p>
        </w:tc>
        <w:tc>
          <w:tcPr>
            <w:tcW w:w="98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6,896.15</w:t>
            </w:r>
          </w:p>
        </w:tc>
        <w:tc>
          <w:tcPr>
            <w:tcW w:w="985"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北京新医力科技有</w:t>
            </w:r>
            <w:r>
              <w:rPr>
                <w:rFonts w:ascii="宋体" w:hAnsi="宋体" w:cs="宋体" w:eastAsia="宋体" w:hint="default"/>
                <w:sz w:val="18"/>
                <w:szCs w:val="18"/>
              </w:rPr>
              <w:t>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上年数</w:t>
            </w:r>
          </w:p>
        </w:tc>
        <w:tc>
          <w:tcPr>
            <w:tcW w:w="10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上海致同信息有限</w:t>
            </w:r>
            <w:r>
              <w:rPr>
                <w:rFonts w:ascii="宋体" w:hAnsi="宋体" w:cs="宋体" w:eastAsia="宋体" w:hint="default"/>
                <w:sz w:val="18"/>
                <w:szCs w:val="18"/>
              </w:rPr>
              <w:t>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本年数</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0" w:right="0"/>
              <w:jc w:val="left"/>
              <w:rPr>
                <w:rFonts w:ascii="Times New Roman" w:hAnsi="Times New Roman" w:cs="Times New Roman" w:eastAsia="Times New Roman" w:hint="default"/>
                <w:sz w:val="18"/>
                <w:szCs w:val="18"/>
              </w:rPr>
            </w:pPr>
            <w:r>
              <w:rPr>
                <w:rFonts w:ascii="Times New Roman"/>
                <w:sz w:val="18"/>
              </w:rPr>
              <w:t>5,022,818.73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1,757,437.13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15,715.59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sz w:val="18"/>
              </w:rPr>
              <w:t>5,038,534.32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 w:right="0"/>
              <w:jc w:val="left"/>
              <w:rPr>
                <w:rFonts w:ascii="Times New Roman" w:hAnsi="Times New Roman" w:cs="Times New Roman" w:eastAsia="Times New Roman" w:hint="default"/>
                <w:sz w:val="18"/>
                <w:szCs w:val="18"/>
              </w:rPr>
            </w:pPr>
            <w:r>
              <w:rPr>
                <w:rFonts w:ascii="Times New Roman"/>
                <w:sz w:val="18"/>
              </w:rPr>
              <w:t>2,300,444.35</w:t>
            </w:r>
          </w:p>
        </w:tc>
        <w:tc>
          <w:tcPr>
            <w:tcW w:w="98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2,300,444.35</w:t>
            </w:r>
          </w:p>
        </w:tc>
        <w:tc>
          <w:tcPr>
            <w:tcW w:w="9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1560"/>
        <w:gridCol w:w="1002"/>
        <w:gridCol w:w="991"/>
        <w:gridCol w:w="851"/>
        <w:gridCol w:w="992"/>
        <w:gridCol w:w="994"/>
        <w:gridCol w:w="986"/>
        <w:gridCol w:w="1001"/>
        <w:gridCol w:w="985"/>
      </w:tblGrid>
      <w:tr>
        <w:trPr>
          <w:trHeight w:val="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上海致同信息有限</w:t>
            </w:r>
            <w:r>
              <w:rPr>
                <w:rFonts w:ascii="宋体" w:hAnsi="宋体" w:cs="宋体" w:eastAsia="宋体" w:hint="default"/>
                <w:sz w:val="18"/>
                <w:szCs w:val="18"/>
              </w:rPr>
              <w:t>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上年数</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 w:right="0"/>
              <w:jc w:val="center"/>
              <w:rPr>
                <w:rFonts w:ascii="Times New Roman" w:hAnsi="Times New Roman" w:cs="Times New Roman" w:eastAsia="Times New Roman" w:hint="default"/>
                <w:sz w:val="18"/>
                <w:szCs w:val="18"/>
              </w:rPr>
            </w:pPr>
            <w:r>
              <w:rPr>
                <w:rFonts w:ascii="Times New Roman"/>
                <w:sz w:val="18"/>
              </w:rPr>
              <w:t>6,455,771.66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664,778.08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18,067.53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sz w:val="18"/>
              </w:rPr>
              <w:t>6,473,839.19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3,731,315.37</w:t>
            </w:r>
          </w:p>
        </w:tc>
        <w:tc>
          <w:tcPr>
            <w:tcW w:w="98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3,731,315.37</w:t>
            </w:r>
          </w:p>
        </w:tc>
        <w:tc>
          <w:tcPr>
            <w:tcW w:w="985"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1"/>
              <w:ind w:left="4" w:right="5"/>
              <w:jc w:val="both"/>
              <w:rPr>
                <w:rFonts w:ascii="宋体" w:hAnsi="宋体" w:cs="宋体" w:eastAsia="宋体" w:hint="default"/>
                <w:sz w:val="18"/>
                <w:szCs w:val="18"/>
              </w:rPr>
            </w:pPr>
            <w:r>
              <w:rPr>
                <w:rFonts w:ascii="宋体" w:hAnsi="宋体" w:cs="宋体" w:eastAsia="宋体" w:hint="default"/>
                <w:spacing w:val="12"/>
                <w:sz w:val="18"/>
                <w:szCs w:val="18"/>
              </w:rPr>
              <w:t>广州南天佳信信息</w:t>
            </w:r>
            <w:r>
              <w:rPr>
                <w:rFonts w:ascii="宋体" w:hAnsi="宋体" w:cs="宋体" w:eastAsia="宋体" w:hint="default"/>
                <w:sz w:val="18"/>
                <w:szCs w:val="18"/>
              </w:rPr>
              <w:t> </w:t>
            </w:r>
            <w:r>
              <w:rPr>
                <w:rFonts w:ascii="宋体" w:hAnsi="宋体" w:cs="宋体" w:eastAsia="宋体" w:hint="default"/>
                <w:spacing w:val="18"/>
                <w:sz w:val="18"/>
                <w:szCs w:val="18"/>
              </w:rPr>
              <w:t>工程有限公司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本 年数</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4" w:right="0"/>
              <w:jc w:val="center"/>
              <w:rPr>
                <w:rFonts w:ascii="Times New Roman" w:hAnsi="Times New Roman" w:cs="Times New Roman" w:eastAsia="Times New Roman" w:hint="default"/>
                <w:sz w:val="18"/>
                <w:szCs w:val="18"/>
              </w:rPr>
            </w:pPr>
            <w:r>
              <w:rPr>
                <w:rFonts w:ascii="Times New Roman"/>
                <w:sz w:val="18"/>
              </w:rPr>
              <w:t>1,427,390.18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536,079.70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6" w:right="0"/>
              <w:jc w:val="center"/>
              <w:rPr>
                <w:rFonts w:ascii="Times New Roman" w:hAnsi="Times New Roman" w:cs="Times New Roman" w:eastAsia="Times New Roman" w:hint="default"/>
                <w:sz w:val="18"/>
                <w:szCs w:val="18"/>
              </w:rPr>
            </w:pPr>
            <w:r>
              <w:rPr>
                <w:rFonts w:ascii="Times New Roman"/>
                <w:sz w:val="18"/>
              </w:rPr>
              <w:t>1,427,390.18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256,587.92</w:t>
            </w:r>
          </w:p>
        </w:tc>
        <w:tc>
          <w:tcPr>
            <w:tcW w:w="98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256,587.92</w:t>
            </w:r>
          </w:p>
        </w:tc>
        <w:tc>
          <w:tcPr>
            <w:tcW w:w="985"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2"/>
              <w:ind w:left="4" w:right="5"/>
              <w:jc w:val="both"/>
              <w:rPr>
                <w:rFonts w:ascii="宋体" w:hAnsi="宋体" w:cs="宋体" w:eastAsia="宋体" w:hint="default"/>
                <w:sz w:val="18"/>
                <w:szCs w:val="18"/>
              </w:rPr>
            </w:pPr>
            <w:r>
              <w:rPr>
                <w:rFonts w:ascii="宋体" w:hAnsi="宋体" w:cs="宋体" w:eastAsia="宋体" w:hint="default"/>
                <w:spacing w:val="12"/>
                <w:sz w:val="18"/>
                <w:szCs w:val="18"/>
              </w:rPr>
              <w:t>广州南天佳信信息</w:t>
            </w:r>
            <w:r>
              <w:rPr>
                <w:rFonts w:ascii="宋体" w:hAnsi="宋体" w:cs="宋体" w:eastAsia="宋体" w:hint="default"/>
                <w:sz w:val="18"/>
                <w:szCs w:val="18"/>
              </w:rPr>
              <w:t> </w:t>
            </w:r>
            <w:r>
              <w:rPr>
                <w:rFonts w:ascii="宋体" w:hAnsi="宋体" w:cs="宋体" w:eastAsia="宋体" w:hint="default"/>
                <w:spacing w:val="18"/>
                <w:sz w:val="18"/>
                <w:szCs w:val="18"/>
              </w:rPr>
              <w:t>工程有限公司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上 年数</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 w:right="0"/>
              <w:jc w:val="center"/>
              <w:rPr>
                <w:rFonts w:ascii="Times New Roman" w:hAnsi="Times New Roman" w:cs="Times New Roman" w:eastAsia="Times New Roman" w:hint="default"/>
                <w:sz w:val="18"/>
                <w:szCs w:val="18"/>
              </w:rPr>
            </w:pPr>
            <w:r>
              <w:rPr>
                <w:rFonts w:ascii="Times New Roman"/>
                <w:sz w:val="18"/>
              </w:rPr>
              <w:t>4,262,101.55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1,765,312.65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16,279.58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sz w:val="18"/>
              </w:rPr>
              <w:t>4,278,381.13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1,881,738.02</w:t>
            </w:r>
          </w:p>
        </w:tc>
        <w:tc>
          <w:tcPr>
            <w:tcW w:w="98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1,881,738.02</w:t>
            </w:r>
          </w:p>
        </w:tc>
        <w:tc>
          <w:tcPr>
            <w:tcW w:w="985"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2"/>
              <w:ind w:left="4" w:right="5"/>
              <w:jc w:val="both"/>
              <w:rPr>
                <w:rFonts w:ascii="宋体" w:hAnsi="宋体" w:cs="宋体" w:eastAsia="宋体" w:hint="default"/>
                <w:sz w:val="18"/>
                <w:szCs w:val="18"/>
              </w:rPr>
            </w:pPr>
            <w:r>
              <w:rPr>
                <w:rFonts w:ascii="宋体" w:hAnsi="宋体" w:cs="宋体" w:eastAsia="宋体" w:hint="default"/>
                <w:spacing w:val="12"/>
                <w:sz w:val="18"/>
                <w:szCs w:val="18"/>
              </w:rPr>
              <w:t>厦门南天世纪信息</w:t>
            </w:r>
            <w:r>
              <w:rPr>
                <w:rFonts w:ascii="宋体" w:hAnsi="宋体" w:cs="宋体" w:eastAsia="宋体" w:hint="default"/>
                <w:sz w:val="18"/>
                <w:szCs w:val="18"/>
              </w:rPr>
              <w:t> </w:t>
            </w:r>
            <w:r>
              <w:rPr>
                <w:rFonts w:ascii="宋体" w:hAnsi="宋体" w:cs="宋体" w:eastAsia="宋体" w:hint="default"/>
                <w:spacing w:val="18"/>
                <w:sz w:val="18"/>
                <w:szCs w:val="18"/>
              </w:rPr>
              <w:t>技术有限公司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本 年数</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 w:right="0"/>
              <w:jc w:val="center"/>
              <w:rPr>
                <w:rFonts w:ascii="Times New Roman" w:hAnsi="Times New Roman" w:cs="Times New Roman" w:eastAsia="Times New Roman" w:hint="default"/>
                <w:sz w:val="18"/>
                <w:szCs w:val="18"/>
              </w:rPr>
            </w:pPr>
            <w:r>
              <w:rPr>
                <w:rFonts w:ascii="Times New Roman"/>
                <w:sz w:val="18"/>
              </w:rPr>
              <w:t>1,052,443.03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127,204.36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1,449.35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sz w:val="18"/>
              </w:rPr>
              <w:t>1,053,892.38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720,653.71</w:t>
            </w:r>
          </w:p>
        </w:tc>
        <w:tc>
          <w:tcPr>
            <w:tcW w:w="98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720,653.71</w:t>
            </w:r>
          </w:p>
        </w:tc>
        <w:tc>
          <w:tcPr>
            <w:tcW w:w="985"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1"/>
              <w:ind w:left="4" w:right="5"/>
              <w:jc w:val="both"/>
              <w:rPr>
                <w:rFonts w:ascii="宋体" w:hAnsi="宋体" w:cs="宋体" w:eastAsia="宋体" w:hint="default"/>
                <w:sz w:val="18"/>
                <w:szCs w:val="18"/>
              </w:rPr>
            </w:pPr>
            <w:r>
              <w:rPr>
                <w:rFonts w:ascii="宋体" w:hAnsi="宋体" w:cs="宋体" w:eastAsia="宋体" w:hint="default"/>
                <w:spacing w:val="12"/>
                <w:sz w:val="18"/>
                <w:szCs w:val="18"/>
              </w:rPr>
              <w:t>厦门南天世纪信息</w:t>
            </w:r>
            <w:r>
              <w:rPr>
                <w:rFonts w:ascii="宋体" w:hAnsi="宋体" w:cs="宋体" w:eastAsia="宋体" w:hint="default"/>
                <w:sz w:val="18"/>
                <w:szCs w:val="18"/>
              </w:rPr>
              <w:t> </w:t>
            </w:r>
            <w:r>
              <w:rPr>
                <w:rFonts w:ascii="宋体" w:hAnsi="宋体" w:cs="宋体" w:eastAsia="宋体" w:hint="default"/>
                <w:spacing w:val="18"/>
                <w:sz w:val="18"/>
                <w:szCs w:val="18"/>
              </w:rPr>
              <w:t>技术有限公司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上 年数</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4" w:right="0"/>
              <w:jc w:val="center"/>
              <w:rPr>
                <w:rFonts w:ascii="Times New Roman" w:hAnsi="Times New Roman" w:cs="Times New Roman" w:eastAsia="Times New Roman" w:hint="default"/>
                <w:sz w:val="18"/>
                <w:szCs w:val="18"/>
              </w:rPr>
            </w:pPr>
            <w:r>
              <w:rPr>
                <w:rFonts w:ascii="Times New Roman"/>
                <w:sz w:val="18"/>
              </w:rPr>
              <w:t>1,724,478.45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132,109.48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2,209.07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6" w:right="0"/>
              <w:jc w:val="center"/>
              <w:rPr>
                <w:rFonts w:ascii="Times New Roman" w:hAnsi="Times New Roman" w:cs="Times New Roman" w:eastAsia="Times New Roman" w:hint="default"/>
                <w:sz w:val="18"/>
                <w:szCs w:val="18"/>
              </w:rPr>
            </w:pPr>
            <w:r>
              <w:rPr>
                <w:rFonts w:ascii="Times New Roman"/>
                <w:sz w:val="18"/>
              </w:rPr>
              <w:t>1,726,687.52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1,402,287.38</w:t>
            </w:r>
          </w:p>
        </w:tc>
        <w:tc>
          <w:tcPr>
            <w:tcW w:w="98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1,402,287.38</w:t>
            </w:r>
          </w:p>
        </w:tc>
        <w:tc>
          <w:tcPr>
            <w:tcW w:w="985"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75" w:lineRule="exact"/>
        <w:ind w:left="538" w:right="0"/>
        <w:jc w:val="left"/>
      </w:pPr>
      <w:r>
        <w:rPr/>
        <w:t>（续）</w:t>
      </w:r>
    </w:p>
    <w:p>
      <w:pPr>
        <w:spacing w:line="240" w:lineRule="auto" w:before="8"/>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134"/>
        <w:gridCol w:w="1134"/>
        <w:gridCol w:w="992"/>
        <w:gridCol w:w="425"/>
        <w:gridCol w:w="851"/>
        <w:gridCol w:w="709"/>
        <w:gridCol w:w="1133"/>
        <w:gridCol w:w="1348"/>
      </w:tblGrid>
      <w:tr>
        <w:trPr>
          <w:trHeight w:val="12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 w:right="36"/>
              <w:jc w:val="left"/>
              <w:rPr>
                <w:rFonts w:ascii="宋体" w:hAnsi="宋体" w:cs="宋体" w:eastAsia="宋体" w:hint="default"/>
                <w:sz w:val="21"/>
                <w:szCs w:val="21"/>
              </w:rPr>
            </w:pPr>
            <w:r>
              <w:rPr>
                <w:rFonts w:ascii="宋体" w:hAnsi="宋体" w:cs="宋体" w:eastAsia="宋体" w:hint="default"/>
                <w:sz w:val="21"/>
                <w:szCs w:val="21"/>
              </w:rPr>
              <w:t>归属于母公 司股东权益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 w:right="36"/>
              <w:jc w:val="center"/>
              <w:rPr>
                <w:rFonts w:ascii="宋体" w:hAnsi="宋体" w:cs="宋体" w:eastAsia="宋体" w:hint="default"/>
                <w:sz w:val="21"/>
                <w:szCs w:val="21"/>
              </w:rPr>
            </w:pPr>
            <w:r>
              <w:rPr>
                <w:rFonts w:ascii="宋体" w:hAnsi="宋体" w:cs="宋体" w:eastAsia="宋体" w:hint="default"/>
                <w:sz w:val="21"/>
                <w:szCs w:val="21"/>
              </w:rPr>
              <w:t>按持股比例 计算的净资 产份额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调整事项</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0" w:hanging="16"/>
              <w:jc w:val="center"/>
              <w:rPr>
                <w:rFonts w:ascii="宋体" w:hAnsi="宋体" w:cs="宋体" w:eastAsia="宋体" w:hint="default"/>
                <w:sz w:val="21"/>
                <w:szCs w:val="21"/>
              </w:rPr>
            </w:pPr>
            <w:r>
              <w:rPr>
                <w:rFonts w:ascii="宋体" w:hAnsi="宋体" w:cs="宋体" w:eastAsia="宋体" w:hint="default"/>
                <w:sz w:val="21"/>
                <w:szCs w:val="21"/>
              </w:rPr>
              <w:t>其 中： 商</w:t>
            </w:r>
          </w:p>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2"/>
              <w:jc w:val="center"/>
              <w:rPr>
                <w:rFonts w:ascii="宋体" w:hAnsi="宋体" w:cs="宋体" w:eastAsia="宋体" w:hint="default"/>
                <w:sz w:val="21"/>
                <w:szCs w:val="21"/>
              </w:rPr>
            </w:pPr>
            <w:r>
              <w:rPr>
                <w:rFonts w:ascii="宋体" w:hAnsi="宋体" w:cs="宋体" w:eastAsia="宋体" w:hint="default"/>
                <w:spacing w:val="-3"/>
                <w:sz w:val="21"/>
                <w:szCs w:val="21"/>
              </w:rPr>
              <w:t>其中：内</w:t>
            </w:r>
            <w:r>
              <w:rPr>
                <w:rFonts w:ascii="宋体" w:hAnsi="宋体" w:cs="宋体" w:eastAsia="宋体" w:hint="default"/>
                <w:sz w:val="21"/>
                <w:szCs w:val="21"/>
              </w:rPr>
              <w:t> 部交易 未实现 利润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35" w:hanging="106"/>
              <w:jc w:val="left"/>
              <w:rPr>
                <w:rFonts w:ascii="宋体" w:hAnsi="宋体" w:cs="宋体" w:eastAsia="宋体" w:hint="default"/>
                <w:sz w:val="21"/>
                <w:szCs w:val="21"/>
              </w:rPr>
            </w:pPr>
            <w:r>
              <w:rPr>
                <w:rFonts w:ascii="宋体" w:hAnsi="宋体" w:cs="宋体" w:eastAsia="宋体" w:hint="default"/>
                <w:sz w:val="21"/>
                <w:szCs w:val="21"/>
              </w:rPr>
              <w:t>其中： 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 w:right="35"/>
              <w:jc w:val="both"/>
              <w:rPr>
                <w:rFonts w:ascii="宋体" w:hAnsi="宋体" w:cs="宋体" w:eastAsia="宋体" w:hint="default"/>
                <w:sz w:val="21"/>
                <w:szCs w:val="21"/>
              </w:rPr>
            </w:pPr>
            <w:r>
              <w:rPr>
                <w:rFonts w:ascii="宋体" w:hAnsi="宋体" w:cs="宋体" w:eastAsia="宋体" w:hint="default"/>
                <w:sz w:val="21"/>
                <w:szCs w:val="21"/>
              </w:rPr>
              <w:t>对联营企业 权益投资的 账面价值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 w:right="37"/>
              <w:jc w:val="center"/>
              <w:rPr>
                <w:rFonts w:ascii="宋体" w:hAnsi="宋体" w:cs="宋体" w:eastAsia="宋体" w:hint="default"/>
                <w:sz w:val="21"/>
                <w:szCs w:val="21"/>
              </w:rPr>
            </w:pPr>
            <w:r>
              <w:rPr>
                <w:rFonts w:ascii="宋体" w:hAnsi="宋体" w:cs="宋体" w:eastAsia="宋体" w:hint="default"/>
                <w:sz w:val="21"/>
                <w:szCs w:val="21"/>
              </w:rPr>
              <w:t>存在公开报价 的联营企业权 益投资的公允 价值</w:t>
            </w:r>
          </w:p>
        </w:tc>
      </w:tr>
      <w:tr>
        <w:trPr>
          <w:trHeight w:val="7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云南医药工业股份</w:t>
            </w:r>
            <w:r>
              <w:rPr>
                <w:rFonts w:ascii="宋体" w:hAnsi="宋体" w:cs="宋体" w:eastAsia="宋体" w:hint="default"/>
                <w:sz w:val="18"/>
                <w:szCs w:val="18"/>
              </w:rPr>
              <w:t>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本年数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652,074,204.5</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269,697,891.0</w:t>
            </w:r>
          </w:p>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center"/>
              <w:rPr>
                <w:rFonts w:ascii="Times New Roman" w:hAnsi="Times New Roman" w:cs="Times New Roman" w:eastAsia="Times New Roman" w:hint="default"/>
                <w:sz w:val="18"/>
                <w:szCs w:val="18"/>
              </w:rPr>
            </w:pPr>
            <w:r>
              <w:rPr>
                <w:rFonts w:ascii="Times New Roman"/>
                <w:sz w:val="18"/>
              </w:rPr>
              <w:t>5,213,413.59</w:t>
            </w: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 w:right="0"/>
              <w:jc w:val="left"/>
              <w:rPr>
                <w:rFonts w:ascii="Times New Roman" w:hAnsi="Times New Roman" w:cs="Times New Roman" w:eastAsia="Times New Roman" w:hint="default"/>
                <w:sz w:val="18"/>
                <w:szCs w:val="18"/>
              </w:rPr>
            </w:pPr>
            <w:r>
              <w:rPr>
                <w:rFonts w:ascii="Times New Roman"/>
                <w:sz w:val="18"/>
              </w:rPr>
              <w:t>-82,883.68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3" w:right="0"/>
              <w:jc w:val="left"/>
              <w:rPr>
                <w:rFonts w:ascii="Times New Roman" w:hAnsi="Times New Roman" w:cs="Times New Roman" w:eastAsia="Times New Roman" w:hint="default"/>
                <w:sz w:val="18"/>
                <w:szCs w:val="18"/>
              </w:rPr>
            </w:pPr>
            <w:r>
              <w:rPr>
                <w:rFonts w:ascii="Times New Roman"/>
                <w:sz w:val="18"/>
              </w:rPr>
              <w:t>5,296,29</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7.27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274,911,304.5</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9</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云南医药工业股份</w:t>
            </w:r>
            <w:r>
              <w:rPr>
                <w:rFonts w:ascii="宋体" w:hAnsi="宋体" w:cs="宋体" w:eastAsia="宋体" w:hint="default"/>
                <w:sz w:val="18"/>
                <w:szCs w:val="18"/>
              </w:rPr>
              <w:t>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上年数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636,301,821.7</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263,174,433.4</w:t>
            </w:r>
          </w:p>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z w:val="18"/>
              </w:rPr>
              <w:t>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center"/>
              <w:rPr>
                <w:rFonts w:ascii="Times New Roman" w:hAnsi="Times New Roman" w:cs="Times New Roman" w:eastAsia="Times New Roman" w:hint="default"/>
                <w:sz w:val="18"/>
                <w:szCs w:val="18"/>
              </w:rPr>
            </w:pPr>
            <w:r>
              <w:rPr>
                <w:rFonts w:ascii="Times New Roman"/>
                <w:sz w:val="18"/>
              </w:rPr>
              <w:t>-124,325.50</w:t>
            </w: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-124,325.5</w:t>
            </w:r>
            <w:r>
              <w:rPr>
                <w:rFonts w:ascii="Times New Roman"/>
                <w:sz w:val="18"/>
              </w:rPr>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263,050,107.9</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6</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4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1"/>
              <w:ind w:left="4" w:right="2"/>
              <w:jc w:val="both"/>
              <w:rPr>
                <w:rFonts w:ascii="宋体" w:hAnsi="宋体" w:cs="宋体" w:eastAsia="宋体" w:hint="default"/>
                <w:sz w:val="18"/>
                <w:szCs w:val="18"/>
              </w:rPr>
            </w:pPr>
            <w:r>
              <w:rPr>
                <w:rFonts w:ascii="宋体" w:hAnsi="宋体" w:cs="宋体" w:eastAsia="宋体" w:hint="default"/>
                <w:spacing w:val="12"/>
                <w:sz w:val="18"/>
                <w:szCs w:val="18"/>
              </w:rPr>
              <w:t>云南东盟公共物流</w:t>
            </w:r>
            <w:r>
              <w:rPr>
                <w:rFonts w:ascii="宋体" w:hAnsi="宋体" w:cs="宋体" w:eastAsia="宋体" w:hint="default"/>
                <w:sz w:val="18"/>
                <w:szCs w:val="18"/>
              </w:rPr>
              <w:t> </w:t>
            </w:r>
            <w:r>
              <w:rPr>
                <w:rFonts w:ascii="宋体" w:hAnsi="宋体" w:cs="宋体" w:eastAsia="宋体" w:hint="default"/>
                <w:spacing w:val="6"/>
                <w:sz w:val="18"/>
                <w:szCs w:val="18"/>
              </w:rPr>
              <w:t>信息有限公司</w:t>
            </w:r>
            <w:r>
              <w:rPr>
                <w:rFonts w:ascii="宋体" w:hAnsi="宋体" w:cs="宋体" w:eastAsia="宋体" w:hint="default"/>
                <w:spacing w:val="26"/>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 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54,885,262.55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23,490,892.37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center"/>
              <w:rPr>
                <w:rFonts w:ascii="Times New Roman" w:hAnsi="Times New Roman" w:cs="Times New Roman" w:eastAsia="Times New Roman" w:hint="default"/>
                <w:sz w:val="18"/>
                <w:szCs w:val="18"/>
              </w:rPr>
            </w:pPr>
            <w:r>
              <w:rPr>
                <w:rFonts w:ascii="Times New Roman"/>
                <w:sz w:val="18"/>
              </w:rPr>
              <w:t>1,221,389.88</w:t>
            </w: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 w:right="0"/>
              <w:jc w:val="left"/>
              <w:rPr>
                <w:rFonts w:ascii="Times New Roman" w:hAnsi="Times New Roman" w:cs="Times New Roman" w:eastAsia="Times New Roman" w:hint="default"/>
                <w:sz w:val="18"/>
                <w:szCs w:val="18"/>
              </w:rPr>
            </w:pPr>
            <w:r>
              <w:rPr>
                <w:rFonts w:ascii="Times New Roman"/>
                <w:sz w:val="18"/>
              </w:rPr>
              <w:t>1,221,38</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9.88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24,712,282.25</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2"/>
              <w:ind w:left="4" w:right="2"/>
              <w:jc w:val="both"/>
              <w:rPr>
                <w:rFonts w:ascii="宋体" w:hAnsi="宋体" w:cs="宋体" w:eastAsia="宋体" w:hint="default"/>
                <w:sz w:val="18"/>
                <w:szCs w:val="18"/>
              </w:rPr>
            </w:pPr>
            <w:r>
              <w:rPr>
                <w:rFonts w:ascii="宋体" w:hAnsi="宋体" w:cs="宋体" w:eastAsia="宋体" w:hint="default"/>
                <w:spacing w:val="12"/>
                <w:sz w:val="18"/>
                <w:szCs w:val="18"/>
              </w:rPr>
              <w:t>云南东盟公共物流</w:t>
            </w:r>
            <w:r>
              <w:rPr>
                <w:rFonts w:ascii="宋体" w:hAnsi="宋体" w:cs="宋体" w:eastAsia="宋体" w:hint="default"/>
                <w:sz w:val="18"/>
                <w:szCs w:val="18"/>
              </w:rPr>
              <w:t> </w:t>
            </w:r>
            <w:r>
              <w:rPr>
                <w:rFonts w:ascii="宋体" w:hAnsi="宋体" w:cs="宋体" w:eastAsia="宋体" w:hint="default"/>
                <w:spacing w:val="6"/>
                <w:sz w:val="18"/>
                <w:szCs w:val="18"/>
              </w:rPr>
              <w:t>信息有限公司</w:t>
            </w:r>
            <w:r>
              <w:rPr>
                <w:rFonts w:ascii="宋体" w:hAnsi="宋体" w:cs="宋体" w:eastAsia="宋体" w:hint="default"/>
                <w:spacing w:val="26"/>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w:t>
            </w:r>
            <w:r>
              <w:rPr>
                <w:rFonts w:ascii="宋体" w:hAnsi="宋体" w:cs="宋体" w:eastAsia="宋体" w:hint="default"/>
                <w:sz w:val="18"/>
                <w:szCs w:val="18"/>
              </w:rPr>
              <w:t> 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53,940,194.23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23,086,403.13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center"/>
              <w:rPr>
                <w:rFonts w:ascii="Times New Roman" w:hAnsi="Times New Roman" w:cs="Times New Roman" w:eastAsia="Times New Roman" w:hint="default"/>
                <w:sz w:val="18"/>
                <w:szCs w:val="18"/>
              </w:rPr>
            </w:pPr>
            <w:r>
              <w:rPr>
                <w:rFonts w:ascii="Times New Roman"/>
                <w:sz w:val="18"/>
              </w:rPr>
              <w:t>1,221,389.88</w:t>
            </w: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3" w:right="0"/>
              <w:jc w:val="left"/>
              <w:rPr>
                <w:rFonts w:ascii="Times New Roman" w:hAnsi="Times New Roman" w:cs="Times New Roman" w:eastAsia="Times New Roman" w:hint="default"/>
                <w:sz w:val="18"/>
                <w:szCs w:val="18"/>
              </w:rPr>
            </w:pPr>
            <w:r>
              <w:rPr>
                <w:rFonts w:ascii="Times New Roman"/>
                <w:sz w:val="18"/>
              </w:rPr>
              <w:t>1,221,38</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9.88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24,307,793.01</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云南佳程防伪科技</w:t>
            </w:r>
            <w:r>
              <w:rPr>
                <w:rFonts w:ascii="宋体" w:hAnsi="宋体" w:cs="宋体" w:eastAsia="宋体" w:hint="default"/>
                <w:sz w:val="18"/>
                <w:szCs w:val="18"/>
              </w:rPr>
              <w:t>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本年数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65,517,756.35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13,103,551.27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center"/>
              <w:rPr>
                <w:rFonts w:ascii="Times New Roman" w:hAnsi="Times New Roman" w:cs="Times New Roman" w:eastAsia="Times New Roman" w:hint="default"/>
                <w:sz w:val="18"/>
                <w:szCs w:val="18"/>
              </w:rPr>
            </w:pPr>
            <w:r>
              <w:rPr>
                <w:rFonts w:ascii="Times New Roman"/>
                <w:sz w:val="18"/>
              </w:rPr>
              <w:t>-120,000.00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-120,000.0</w:t>
            </w:r>
            <w:r>
              <w:rPr>
                <w:rFonts w:ascii="Times New Roman"/>
                <w:sz w:val="18"/>
              </w:rPr>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12,983,551.27</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3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2"/>
                <w:sz w:val="18"/>
                <w:szCs w:val="18"/>
              </w:rPr>
              <w:t>云南佳程防伪科技</w:t>
            </w:r>
            <w:r>
              <w:rPr>
                <w:rFonts w:ascii="宋体" w:hAnsi="宋体" w:cs="宋体" w:eastAsia="宋体" w:hint="default"/>
                <w:sz w:val="18"/>
                <w:szCs w:val="18"/>
              </w:rPr>
              <w:t>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上年数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65,589,757.07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13,117,951.41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1" w:right="0"/>
              <w:jc w:val="center"/>
              <w:rPr>
                <w:rFonts w:ascii="Times New Roman" w:hAnsi="Times New Roman" w:cs="Times New Roman" w:eastAsia="Times New Roman" w:hint="default"/>
                <w:sz w:val="18"/>
                <w:szCs w:val="18"/>
              </w:rPr>
            </w:pPr>
            <w:r>
              <w:rPr>
                <w:rFonts w:ascii="Times New Roman"/>
                <w:sz w:val="18"/>
              </w:rPr>
              <w:t>-200,000.00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-200,000.0</w:t>
            </w:r>
            <w:r>
              <w:rPr>
                <w:rFonts w:ascii="Times New Roman"/>
                <w:sz w:val="18"/>
              </w:rPr>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12,917,951.41</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北京新医力科技有</w:t>
            </w:r>
            <w:r>
              <w:rPr>
                <w:rFonts w:ascii="宋体" w:hAnsi="宋体" w:cs="宋体" w:eastAsia="宋体" w:hint="default"/>
                <w:sz w:val="18"/>
                <w:szCs w:val="18"/>
              </w:rPr>
              <w:t>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3,501,392.24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916,768.31</w:t>
            </w: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916,768.31</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北京新医力科技有</w:t>
            </w:r>
            <w:r>
              <w:rPr>
                <w:rFonts w:ascii="宋体" w:hAnsi="宋体" w:cs="宋体" w:eastAsia="宋体" w:hint="default"/>
                <w:sz w:val="18"/>
                <w:szCs w:val="18"/>
              </w:rPr>
              <w:t>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上年数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2"/>
                <w:sz w:val="18"/>
                <w:szCs w:val="18"/>
              </w:rPr>
              <w:t>上海致同信息有限</w:t>
            </w:r>
            <w:r>
              <w:rPr>
                <w:rFonts w:ascii="宋体" w:hAnsi="宋体" w:cs="宋体" w:eastAsia="宋体" w:hint="default"/>
                <w:sz w:val="18"/>
                <w:szCs w:val="18"/>
              </w:rPr>
              <w:t>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2,738,089.97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1,095,235.99</w:t>
            </w: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1,095,235.99</w:t>
            </w:r>
          </w:p>
        </w:tc>
        <w:tc>
          <w:tcPr>
            <w:tcW w:w="13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134"/>
        <w:gridCol w:w="1134"/>
        <w:gridCol w:w="992"/>
        <w:gridCol w:w="425"/>
        <w:gridCol w:w="851"/>
        <w:gridCol w:w="709"/>
        <w:gridCol w:w="1133"/>
        <w:gridCol w:w="1348"/>
      </w:tblGrid>
      <w:tr>
        <w:trPr>
          <w:trHeight w:val="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上海致同信息有限</w:t>
            </w:r>
            <w:r>
              <w:rPr>
                <w:rFonts w:ascii="宋体" w:hAnsi="宋体" w:cs="宋体" w:eastAsia="宋体" w:hint="default"/>
                <w:sz w:val="18"/>
                <w:szCs w:val="18"/>
              </w:rPr>
              <w:t>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2,742,523.82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1,097,009.53</w:t>
            </w: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1" w:right="0"/>
              <w:jc w:val="left"/>
              <w:rPr>
                <w:rFonts w:ascii="Times New Roman" w:hAnsi="Times New Roman" w:cs="Times New Roman" w:eastAsia="Times New Roman" w:hint="default"/>
                <w:sz w:val="18"/>
                <w:szCs w:val="18"/>
              </w:rPr>
            </w:pPr>
            <w:r>
              <w:rPr>
                <w:rFonts w:ascii="Times New Roman"/>
                <w:sz w:val="18"/>
              </w:rPr>
              <w:t>1,097,009.53</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1"/>
              <w:ind w:left="4" w:right="5"/>
              <w:jc w:val="both"/>
              <w:rPr>
                <w:rFonts w:ascii="宋体" w:hAnsi="宋体" w:cs="宋体" w:eastAsia="宋体" w:hint="default"/>
                <w:sz w:val="18"/>
                <w:szCs w:val="18"/>
              </w:rPr>
            </w:pPr>
            <w:r>
              <w:rPr>
                <w:rFonts w:ascii="宋体" w:hAnsi="宋体" w:cs="宋体" w:eastAsia="宋体" w:hint="default"/>
                <w:spacing w:val="12"/>
                <w:sz w:val="18"/>
                <w:szCs w:val="18"/>
              </w:rPr>
              <w:t>广州南天佳信信息</w:t>
            </w:r>
            <w:r>
              <w:rPr>
                <w:rFonts w:ascii="宋体" w:hAnsi="宋体" w:cs="宋体" w:eastAsia="宋体" w:hint="default"/>
                <w:sz w:val="18"/>
                <w:szCs w:val="18"/>
              </w:rPr>
              <w:t> </w:t>
            </w:r>
            <w:r>
              <w:rPr>
                <w:rFonts w:ascii="宋体" w:hAnsi="宋体" w:cs="宋体" w:eastAsia="宋体" w:hint="default"/>
                <w:spacing w:val="18"/>
                <w:sz w:val="18"/>
                <w:szCs w:val="18"/>
              </w:rPr>
              <w:t>工程有限公司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本 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1,170,802.26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351,240.68</w:t>
            </w: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2"/>
              <w:ind w:left="4" w:right="5"/>
              <w:jc w:val="both"/>
              <w:rPr>
                <w:rFonts w:ascii="宋体" w:hAnsi="宋体" w:cs="宋体" w:eastAsia="宋体" w:hint="default"/>
                <w:sz w:val="18"/>
                <w:szCs w:val="18"/>
              </w:rPr>
            </w:pPr>
            <w:r>
              <w:rPr>
                <w:rFonts w:ascii="宋体" w:hAnsi="宋体" w:cs="宋体" w:eastAsia="宋体" w:hint="default"/>
                <w:spacing w:val="12"/>
                <w:sz w:val="18"/>
                <w:szCs w:val="18"/>
              </w:rPr>
              <w:t>广州南天佳信信息</w:t>
            </w:r>
            <w:r>
              <w:rPr>
                <w:rFonts w:ascii="宋体" w:hAnsi="宋体" w:cs="宋体" w:eastAsia="宋体" w:hint="default"/>
                <w:sz w:val="18"/>
                <w:szCs w:val="18"/>
              </w:rPr>
              <w:t> </w:t>
            </w:r>
            <w:r>
              <w:rPr>
                <w:rFonts w:ascii="宋体" w:hAnsi="宋体" w:cs="宋体" w:eastAsia="宋体" w:hint="default"/>
                <w:spacing w:val="18"/>
                <w:sz w:val="18"/>
                <w:szCs w:val="18"/>
              </w:rPr>
              <w:t>工程有限公司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上 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2,396,643.11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718,992.93</w:t>
            </w: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2"/>
              <w:ind w:left="4" w:right="5"/>
              <w:jc w:val="both"/>
              <w:rPr>
                <w:rFonts w:ascii="宋体" w:hAnsi="宋体" w:cs="宋体" w:eastAsia="宋体" w:hint="default"/>
                <w:sz w:val="18"/>
                <w:szCs w:val="18"/>
              </w:rPr>
            </w:pPr>
            <w:r>
              <w:rPr>
                <w:rFonts w:ascii="宋体" w:hAnsi="宋体" w:cs="宋体" w:eastAsia="宋体" w:hint="default"/>
                <w:spacing w:val="12"/>
                <w:sz w:val="18"/>
                <w:szCs w:val="18"/>
              </w:rPr>
              <w:t>厦门南天世纪信息</w:t>
            </w:r>
            <w:r>
              <w:rPr>
                <w:rFonts w:ascii="宋体" w:hAnsi="宋体" w:cs="宋体" w:eastAsia="宋体" w:hint="default"/>
                <w:sz w:val="18"/>
                <w:szCs w:val="18"/>
              </w:rPr>
              <w:t> </w:t>
            </w:r>
            <w:r>
              <w:rPr>
                <w:rFonts w:ascii="宋体" w:hAnsi="宋体" w:cs="宋体" w:eastAsia="宋体" w:hint="default"/>
                <w:spacing w:val="18"/>
                <w:sz w:val="18"/>
                <w:szCs w:val="18"/>
              </w:rPr>
              <w:t>技术有限公司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本 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333,238.67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133,295.47</w:t>
            </w: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1"/>
              <w:ind w:left="4" w:right="5"/>
              <w:jc w:val="both"/>
              <w:rPr>
                <w:rFonts w:ascii="宋体" w:hAnsi="宋体" w:cs="宋体" w:eastAsia="宋体" w:hint="default"/>
                <w:sz w:val="18"/>
                <w:szCs w:val="18"/>
              </w:rPr>
            </w:pPr>
            <w:r>
              <w:rPr>
                <w:rFonts w:ascii="宋体" w:hAnsi="宋体" w:cs="宋体" w:eastAsia="宋体" w:hint="default"/>
                <w:spacing w:val="12"/>
                <w:sz w:val="18"/>
                <w:szCs w:val="18"/>
              </w:rPr>
              <w:t>厦门南天世纪信息</w:t>
            </w:r>
            <w:r>
              <w:rPr>
                <w:rFonts w:ascii="宋体" w:hAnsi="宋体" w:cs="宋体" w:eastAsia="宋体" w:hint="default"/>
                <w:sz w:val="18"/>
                <w:szCs w:val="18"/>
              </w:rPr>
              <w:t> </w:t>
            </w:r>
            <w:r>
              <w:rPr>
                <w:rFonts w:ascii="宋体" w:hAnsi="宋体" w:cs="宋体" w:eastAsia="宋体" w:hint="default"/>
                <w:spacing w:val="14"/>
                <w:sz w:val="18"/>
                <w:szCs w:val="18"/>
              </w:rPr>
              <w:t>技术有</w:t>
            </w:r>
            <w:r>
              <w:rPr>
                <w:rFonts w:ascii="宋体" w:hAnsi="宋体" w:cs="宋体" w:eastAsia="宋体" w:hint="default"/>
                <w:spacing w:val="-66"/>
                <w:sz w:val="18"/>
                <w:szCs w:val="18"/>
              </w:rPr>
              <w:t> </w:t>
            </w:r>
            <w:r>
              <w:rPr>
                <w:rFonts w:ascii="宋体" w:hAnsi="宋体" w:cs="宋体" w:eastAsia="宋体" w:hint="default"/>
                <w:spacing w:val="14"/>
                <w:sz w:val="18"/>
                <w:szCs w:val="18"/>
              </w:rPr>
              <w:t>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上 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324,400.14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129,760.06</w:t>
            </w: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75" w:lineRule="exact"/>
        <w:ind w:left="538" w:right="0"/>
        <w:jc w:val="left"/>
      </w:pPr>
      <w:r>
        <w:rPr/>
        <w:t>（续）</w:t>
      </w:r>
    </w:p>
    <w:p>
      <w:pPr>
        <w:spacing w:line="240" w:lineRule="auto" w:before="8"/>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134"/>
        <w:gridCol w:w="1276"/>
        <w:gridCol w:w="1276"/>
        <w:gridCol w:w="992"/>
        <w:gridCol w:w="566"/>
        <w:gridCol w:w="851"/>
        <w:gridCol w:w="992"/>
        <w:gridCol w:w="709"/>
      </w:tblGrid>
      <w:tr>
        <w:trPr>
          <w:trHeight w:val="15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7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8" w:right="66"/>
              <w:jc w:val="both"/>
              <w:rPr>
                <w:rFonts w:ascii="宋体" w:hAnsi="宋体" w:cs="宋体" w:eastAsia="宋体" w:hint="default"/>
                <w:sz w:val="21"/>
                <w:szCs w:val="21"/>
              </w:rPr>
            </w:pPr>
            <w:r>
              <w:rPr>
                <w:rFonts w:ascii="宋体" w:hAnsi="宋体" w:cs="宋体" w:eastAsia="宋体" w:hint="default"/>
                <w:sz w:val="21"/>
                <w:szCs w:val="21"/>
              </w:rPr>
              <w:t>终止 经营 的净 利润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5"/>
              <w:jc w:val="left"/>
              <w:rPr>
                <w:rFonts w:ascii="宋体" w:hAnsi="宋体" w:cs="宋体" w:eastAsia="宋体" w:hint="default"/>
                <w:sz w:val="21"/>
                <w:szCs w:val="21"/>
              </w:rPr>
            </w:pPr>
            <w:r>
              <w:rPr>
                <w:rFonts w:ascii="宋体" w:hAnsi="宋体" w:cs="宋体" w:eastAsia="宋体" w:hint="default"/>
                <w:sz w:val="21"/>
                <w:szCs w:val="21"/>
              </w:rPr>
              <w:t>其他综 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0" w:right="71" w:hanging="210"/>
              <w:jc w:val="left"/>
              <w:rPr>
                <w:rFonts w:ascii="宋体" w:hAnsi="宋体" w:cs="宋体" w:eastAsia="宋体" w:hint="default"/>
                <w:sz w:val="21"/>
                <w:szCs w:val="21"/>
              </w:rPr>
            </w:pPr>
            <w:r>
              <w:rPr>
                <w:rFonts w:ascii="宋体" w:hAnsi="宋体" w:cs="宋体" w:eastAsia="宋体" w:hint="default"/>
                <w:sz w:val="21"/>
                <w:szCs w:val="21"/>
              </w:rPr>
              <w:t>综合收益 总额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 w:right="35"/>
              <w:jc w:val="both"/>
              <w:rPr>
                <w:rFonts w:ascii="宋体" w:hAnsi="宋体" w:cs="宋体" w:eastAsia="宋体" w:hint="default"/>
                <w:sz w:val="21"/>
                <w:szCs w:val="21"/>
              </w:rPr>
            </w:pPr>
            <w:r>
              <w:rPr>
                <w:rFonts w:ascii="宋体" w:hAnsi="宋体" w:cs="宋体" w:eastAsia="宋体" w:hint="default"/>
                <w:sz w:val="21"/>
                <w:szCs w:val="21"/>
              </w:rPr>
              <w:t>本年度 收到的 来自联 营企业 的股利</w:t>
            </w:r>
          </w:p>
        </w:tc>
      </w:tr>
      <w:tr>
        <w:trPr>
          <w:trHeight w:val="7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云南医药工业股份</w:t>
            </w:r>
            <w:r>
              <w:rPr>
                <w:rFonts w:ascii="宋体" w:hAnsi="宋体" w:cs="宋体" w:eastAsia="宋体" w:hint="default"/>
                <w:sz w:val="18"/>
                <w:szCs w:val="18"/>
              </w:rPr>
              <w:t>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本年数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2,179,238,774.</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73,836,753.04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-2,252,315.94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7,720,820.52</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-6,440,889.</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1,279,930.63</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云南医药工业股份</w:t>
            </w:r>
            <w:r>
              <w:rPr>
                <w:rFonts w:ascii="宋体" w:hAnsi="宋体" w:cs="宋体" w:eastAsia="宋体" w:hint="default"/>
                <w:sz w:val="18"/>
                <w:szCs w:val="18"/>
              </w:rPr>
              <w:t>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上年数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2,260,690,632.</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61,661,782.97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8,423,248.70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42,172,774.1</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4</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3,370,369.</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45,543,143.3</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6</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104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1"/>
              <w:ind w:left="4" w:right="2"/>
              <w:jc w:val="both"/>
              <w:rPr>
                <w:rFonts w:ascii="宋体" w:hAnsi="宋体" w:cs="宋体" w:eastAsia="宋体" w:hint="default"/>
                <w:sz w:val="18"/>
                <w:szCs w:val="18"/>
              </w:rPr>
            </w:pPr>
            <w:r>
              <w:rPr>
                <w:rFonts w:ascii="宋体" w:hAnsi="宋体" w:cs="宋体" w:eastAsia="宋体" w:hint="default"/>
                <w:spacing w:val="12"/>
                <w:sz w:val="18"/>
                <w:szCs w:val="18"/>
              </w:rPr>
              <w:t>云南东盟公共物流</w:t>
            </w:r>
            <w:r>
              <w:rPr>
                <w:rFonts w:ascii="宋体" w:hAnsi="宋体" w:cs="宋体" w:eastAsia="宋体" w:hint="default"/>
                <w:sz w:val="18"/>
                <w:szCs w:val="18"/>
              </w:rPr>
              <w:t> </w:t>
            </w:r>
            <w:r>
              <w:rPr>
                <w:rFonts w:ascii="宋体" w:hAnsi="宋体" w:cs="宋体" w:eastAsia="宋体" w:hint="default"/>
                <w:spacing w:val="6"/>
                <w:sz w:val="18"/>
                <w:szCs w:val="18"/>
              </w:rPr>
              <w:t>信息有限公司</w:t>
            </w:r>
            <w:r>
              <w:rPr>
                <w:rFonts w:ascii="宋体" w:hAnsi="宋体" w:cs="宋体" w:eastAsia="宋体" w:hint="default"/>
                <w:spacing w:val="26"/>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 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12,181,014.06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333,870.61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223,140.26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945,068.32</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945,068.32</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2"/>
              <w:ind w:left="4" w:right="2"/>
              <w:jc w:val="both"/>
              <w:rPr>
                <w:rFonts w:ascii="宋体" w:hAnsi="宋体" w:cs="宋体" w:eastAsia="宋体" w:hint="default"/>
                <w:sz w:val="18"/>
                <w:szCs w:val="18"/>
              </w:rPr>
            </w:pPr>
            <w:r>
              <w:rPr>
                <w:rFonts w:ascii="宋体" w:hAnsi="宋体" w:cs="宋体" w:eastAsia="宋体" w:hint="default"/>
                <w:spacing w:val="12"/>
                <w:sz w:val="18"/>
                <w:szCs w:val="18"/>
              </w:rPr>
              <w:t>云南东盟公共物流</w:t>
            </w:r>
            <w:r>
              <w:rPr>
                <w:rFonts w:ascii="宋体" w:hAnsi="宋体" w:cs="宋体" w:eastAsia="宋体" w:hint="default"/>
                <w:sz w:val="18"/>
                <w:szCs w:val="18"/>
              </w:rPr>
              <w:t> </w:t>
            </w:r>
            <w:r>
              <w:rPr>
                <w:rFonts w:ascii="宋体" w:hAnsi="宋体" w:cs="宋体" w:eastAsia="宋体" w:hint="default"/>
                <w:spacing w:val="6"/>
                <w:sz w:val="18"/>
                <w:szCs w:val="18"/>
              </w:rPr>
              <w:t>信息有限公司</w:t>
            </w:r>
            <w:r>
              <w:rPr>
                <w:rFonts w:ascii="宋体" w:hAnsi="宋体" w:cs="宋体" w:eastAsia="宋体" w:hint="default"/>
                <w:spacing w:val="26"/>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w:t>
            </w:r>
            <w:r>
              <w:rPr>
                <w:rFonts w:ascii="宋体" w:hAnsi="宋体" w:cs="宋体" w:eastAsia="宋体" w:hint="default"/>
                <w:sz w:val="18"/>
                <w:szCs w:val="18"/>
              </w:rPr>
              <w:t> 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29,753,449.87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175,359.73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59,925.80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2,035,508.72</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2,035,508.72</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云南佳程防伪科技</w:t>
            </w:r>
            <w:r>
              <w:rPr>
                <w:rFonts w:ascii="宋体" w:hAnsi="宋体" w:cs="宋体" w:eastAsia="宋体" w:hint="default"/>
                <w:sz w:val="18"/>
                <w:szCs w:val="18"/>
              </w:rPr>
              <w:t>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本年数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517,388.02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-32,672.05</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-1,083,622.2</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3</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-1,083,622.2</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3</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73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4" w:right="5"/>
              <w:jc w:val="left"/>
              <w:rPr>
                <w:rFonts w:ascii="宋体" w:hAnsi="宋体" w:cs="宋体" w:eastAsia="宋体" w:hint="default"/>
                <w:sz w:val="18"/>
                <w:szCs w:val="18"/>
              </w:rPr>
            </w:pPr>
            <w:r>
              <w:rPr>
                <w:rFonts w:ascii="宋体" w:hAnsi="宋体" w:cs="宋体" w:eastAsia="宋体" w:hint="default"/>
                <w:spacing w:val="12"/>
                <w:sz w:val="18"/>
                <w:szCs w:val="18"/>
              </w:rPr>
              <w:t>云南佳程防伪科技</w:t>
            </w:r>
            <w:r>
              <w:rPr>
                <w:rFonts w:ascii="宋体" w:hAnsi="宋体" w:cs="宋体" w:eastAsia="宋体" w:hint="default"/>
                <w:sz w:val="18"/>
                <w:szCs w:val="18"/>
              </w:rPr>
              <w:t>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上年数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8,402,786.71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w w:val="95"/>
                <w:sz w:val="18"/>
              </w:rPr>
              <w:t>-1,034.98</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134,951.78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740,139.78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740,139.78</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北京新医力科技有</w:t>
            </w:r>
            <w:r>
              <w:rPr>
                <w:rFonts w:ascii="宋体" w:hAnsi="宋体" w:cs="宋体" w:eastAsia="宋体" w:hint="default"/>
                <w:sz w:val="18"/>
                <w:szCs w:val="18"/>
              </w:rPr>
              <w:t>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本年数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-882.62</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-241,839.45</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-241,839.45</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4"/>
              <w:jc w:val="left"/>
              <w:rPr>
                <w:rFonts w:ascii="宋体" w:hAnsi="宋体" w:cs="宋体" w:eastAsia="宋体" w:hint="default"/>
                <w:sz w:val="18"/>
                <w:szCs w:val="18"/>
              </w:rPr>
            </w:pPr>
            <w:r>
              <w:rPr>
                <w:rFonts w:ascii="宋体" w:hAnsi="宋体" w:cs="宋体" w:eastAsia="宋体" w:hint="default"/>
                <w:spacing w:val="12"/>
                <w:sz w:val="18"/>
                <w:szCs w:val="18"/>
              </w:rPr>
              <w:t>北京新医力科技有</w:t>
            </w:r>
            <w:r>
              <w:rPr>
                <w:rFonts w:ascii="宋体" w:hAnsi="宋体" w:cs="宋体" w:eastAsia="宋体" w:hint="default"/>
                <w:sz w:val="18"/>
                <w:szCs w:val="18"/>
              </w:rPr>
              <w:t>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上年数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12"/>
                <w:sz w:val="18"/>
                <w:szCs w:val="18"/>
              </w:rPr>
              <w:t>上海致同信息有限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15,756,788.81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w w:val="95"/>
                <w:sz w:val="18"/>
              </w:rPr>
              <w:t>-5,233.82</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w w:val="95"/>
                <w:sz w:val="18"/>
              </w:rPr>
              <w:t>-4,433.85</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w w:val="95"/>
                <w:sz w:val="18"/>
              </w:rPr>
              <w:t>-4,433.85</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134"/>
        <w:gridCol w:w="1276"/>
        <w:gridCol w:w="1276"/>
        <w:gridCol w:w="992"/>
        <w:gridCol w:w="566"/>
        <w:gridCol w:w="851"/>
        <w:gridCol w:w="992"/>
        <w:gridCol w:w="709"/>
      </w:tblGrid>
      <w:tr>
        <w:trPr>
          <w:trHeight w:val="38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本年数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 w:right="5"/>
              <w:jc w:val="left"/>
              <w:rPr>
                <w:rFonts w:ascii="宋体" w:hAnsi="宋体" w:cs="宋体" w:eastAsia="宋体" w:hint="default"/>
                <w:sz w:val="18"/>
                <w:szCs w:val="18"/>
              </w:rPr>
            </w:pPr>
            <w:r>
              <w:rPr>
                <w:rFonts w:ascii="宋体" w:hAnsi="宋体" w:cs="宋体" w:eastAsia="宋体" w:hint="default"/>
                <w:spacing w:val="12"/>
                <w:sz w:val="18"/>
                <w:szCs w:val="18"/>
              </w:rPr>
              <w:t>上海致同信息有限</w:t>
            </w:r>
            <w:r>
              <w:rPr>
                <w:rFonts w:ascii="宋体" w:hAnsi="宋体" w:cs="宋体" w:eastAsia="宋体" w:hint="default"/>
                <w:sz w:val="18"/>
                <w:szCs w:val="18"/>
              </w:rPr>
              <w:t>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20,378,207.61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15,219.97</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-797,635.14</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-797,635.14</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104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2"/>
              <w:ind w:left="4" w:right="5"/>
              <w:jc w:val="both"/>
              <w:rPr>
                <w:rFonts w:ascii="宋体" w:hAnsi="宋体" w:cs="宋体" w:eastAsia="宋体" w:hint="default"/>
                <w:sz w:val="18"/>
                <w:szCs w:val="18"/>
              </w:rPr>
            </w:pPr>
            <w:r>
              <w:rPr>
                <w:rFonts w:ascii="宋体" w:hAnsi="宋体" w:cs="宋体" w:eastAsia="宋体" w:hint="default"/>
                <w:spacing w:val="12"/>
                <w:sz w:val="18"/>
                <w:szCs w:val="18"/>
              </w:rPr>
              <w:t>广州南天佳信信息</w:t>
            </w:r>
            <w:r>
              <w:rPr>
                <w:rFonts w:ascii="宋体" w:hAnsi="宋体" w:cs="宋体" w:eastAsia="宋体" w:hint="default"/>
                <w:sz w:val="18"/>
                <w:szCs w:val="18"/>
              </w:rPr>
              <w:t> </w:t>
            </w:r>
            <w:r>
              <w:rPr>
                <w:rFonts w:ascii="宋体" w:hAnsi="宋体" w:cs="宋体" w:eastAsia="宋体" w:hint="default"/>
                <w:spacing w:val="18"/>
                <w:sz w:val="18"/>
                <w:szCs w:val="18"/>
              </w:rPr>
              <w:t>工程有限公司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本 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724,548.73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-2,697.63</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-1,225,667.8</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9</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-1,225,667.8</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9</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104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1"/>
              <w:ind w:left="4" w:right="5"/>
              <w:jc w:val="both"/>
              <w:rPr>
                <w:rFonts w:ascii="宋体" w:hAnsi="宋体" w:cs="宋体" w:eastAsia="宋体" w:hint="default"/>
                <w:sz w:val="18"/>
                <w:szCs w:val="18"/>
              </w:rPr>
            </w:pPr>
            <w:r>
              <w:rPr>
                <w:rFonts w:ascii="宋体" w:hAnsi="宋体" w:cs="宋体" w:eastAsia="宋体" w:hint="default"/>
                <w:spacing w:val="12"/>
                <w:sz w:val="18"/>
                <w:szCs w:val="18"/>
              </w:rPr>
              <w:t>广州南天佳信信息</w:t>
            </w:r>
            <w:r>
              <w:rPr>
                <w:rFonts w:ascii="宋体" w:hAnsi="宋体" w:cs="宋体" w:eastAsia="宋体" w:hint="default"/>
                <w:sz w:val="18"/>
                <w:szCs w:val="18"/>
              </w:rPr>
              <w:t> </w:t>
            </w:r>
            <w:r>
              <w:rPr>
                <w:rFonts w:ascii="宋体" w:hAnsi="宋体" w:cs="宋体" w:eastAsia="宋体" w:hint="default"/>
                <w:spacing w:val="18"/>
                <w:sz w:val="18"/>
                <w:szCs w:val="18"/>
              </w:rPr>
              <w:t>工程有限公司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上 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3,531,807.82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w w:val="95"/>
                <w:sz w:val="18"/>
              </w:rPr>
              <w:t>-1,610.99</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1" w:right="0"/>
              <w:jc w:val="left"/>
              <w:rPr>
                <w:rFonts w:ascii="Times New Roman" w:hAnsi="Times New Roman" w:cs="Times New Roman" w:eastAsia="Times New Roman" w:hint="default"/>
                <w:sz w:val="18"/>
                <w:szCs w:val="18"/>
              </w:rPr>
            </w:pPr>
            <w:r>
              <w:rPr>
                <w:rFonts w:ascii="Times New Roman"/>
                <w:sz w:val="18"/>
              </w:rPr>
              <w:t>9,272.04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82,208.31</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82,208.31</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2"/>
              <w:ind w:left="4" w:right="5"/>
              <w:jc w:val="both"/>
              <w:rPr>
                <w:rFonts w:ascii="宋体" w:hAnsi="宋体" w:cs="宋体" w:eastAsia="宋体" w:hint="default"/>
                <w:sz w:val="18"/>
                <w:szCs w:val="18"/>
              </w:rPr>
            </w:pPr>
            <w:r>
              <w:rPr>
                <w:rFonts w:ascii="宋体" w:hAnsi="宋体" w:cs="宋体" w:eastAsia="宋体" w:hint="default"/>
                <w:spacing w:val="12"/>
                <w:sz w:val="18"/>
                <w:szCs w:val="18"/>
              </w:rPr>
              <w:t>厦门南天世纪信息</w:t>
            </w:r>
            <w:r>
              <w:rPr>
                <w:rFonts w:ascii="宋体" w:hAnsi="宋体" w:cs="宋体" w:eastAsia="宋体" w:hint="default"/>
                <w:sz w:val="18"/>
                <w:szCs w:val="18"/>
              </w:rPr>
              <w:t> </w:t>
            </w:r>
            <w:r>
              <w:rPr>
                <w:rFonts w:ascii="宋体" w:hAnsi="宋体" w:cs="宋体" w:eastAsia="宋体" w:hint="default"/>
                <w:spacing w:val="18"/>
                <w:sz w:val="18"/>
                <w:szCs w:val="18"/>
              </w:rPr>
              <w:t>技术有限公司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本 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1,583,958.45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-180.46</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8,838.53</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8,838.53</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2"/>
              <w:ind w:left="4" w:right="5"/>
              <w:jc w:val="both"/>
              <w:rPr>
                <w:rFonts w:ascii="宋体" w:hAnsi="宋体" w:cs="宋体" w:eastAsia="宋体" w:hint="default"/>
                <w:sz w:val="18"/>
                <w:szCs w:val="18"/>
              </w:rPr>
            </w:pPr>
            <w:r>
              <w:rPr>
                <w:rFonts w:ascii="宋体" w:hAnsi="宋体" w:cs="宋体" w:eastAsia="宋体" w:hint="default"/>
                <w:spacing w:val="12"/>
                <w:sz w:val="18"/>
                <w:szCs w:val="18"/>
              </w:rPr>
              <w:t>厦门南天世纪信息</w:t>
            </w:r>
            <w:r>
              <w:rPr>
                <w:rFonts w:ascii="宋体" w:hAnsi="宋体" w:cs="宋体" w:eastAsia="宋体" w:hint="default"/>
                <w:sz w:val="18"/>
                <w:szCs w:val="18"/>
              </w:rPr>
              <w:t> </w:t>
            </w:r>
            <w:r>
              <w:rPr>
                <w:rFonts w:ascii="宋体" w:hAnsi="宋体" w:cs="宋体" w:eastAsia="宋体" w:hint="default"/>
                <w:spacing w:val="18"/>
                <w:sz w:val="18"/>
                <w:szCs w:val="18"/>
              </w:rPr>
              <w:t>技术有限公司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上 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1,077,706.57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92.95</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5,034.95</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5,034.95</w:t>
            </w:r>
          </w:p>
        </w:tc>
        <w:tc>
          <w:tcPr>
            <w:tcW w:w="7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54" w:right="0"/>
        <w:jc w:val="left"/>
        <w:rPr>
          <w:b w:val="0"/>
          <w:bCs w:val="0"/>
        </w:rPr>
      </w:pPr>
      <w:bookmarkStart w:name="12、投资性房地产" w:id="253"/>
      <w:bookmarkEnd w:id="253"/>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采用成本计量模式的投资性房地产" w:id="254"/>
      <w:bookmarkEnd w:id="25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78,626,322.82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5,577,741.03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84,204,063.85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4,909,157.54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103,305.93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5,012,463.47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4,909,157.54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103,305.93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5,012,463.47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11,219,910.31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235,502.07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11,455,412.38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6,171,377.38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6,171,377.38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5,048,532.93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235,502.07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5,284,035.00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72,315,570.05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5,445,544.89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77,761,114.94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20,643,997.66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854,801.89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21,498,799.55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5,017,572.27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139,552.75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5,157,125.02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1,918,515.12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118,756.70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2,037,271.82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3,099,057.15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20,796.05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3,119,853.20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）转入</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7,102,750.26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47,085.56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7,149,835.82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3,602,088.88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3,602,088.88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3,500,661.38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47,085.56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3,547,746.94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18,558,819.67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947,269.08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19,506,088.75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53,756,750.38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4,498,275.81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58,255,026.19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57,982,325.20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4,722,939.10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62,705,264.30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采用公允价值计量模式的投资性房地产" w:id="255"/>
      <w:bookmarkEnd w:id="25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3、固定资产" w:id="256"/>
      <w:bookmarkEnd w:id="256"/>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固定资产情况" w:id="257"/>
      <w:bookmarkEnd w:id="25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292,939,569.32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59,989,955.18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21,421,920.87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35,187,746.07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18,359,141.16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427,898,332.60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54,022.52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901,602.57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1,824,993.65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6,015,170.74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205,521.16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9,001,310.64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4,508,891.12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4,508,891.12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5,048,532.93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5,048,532.93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512,760.62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1,877,109.03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3,538,650.62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200,691.04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6,129,211.31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4,909,157.54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4,909,157.54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297,641,858.35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60,378,797.13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21,369,805.49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37,664,266.19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18,363,971.28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435,418,698.44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45,273,769.32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39,702,586.70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14,582,708.78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19,090,801.11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13,892,901.58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132,542,767.49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7,352,192.28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3,490,683.24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1,425,568.38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4,838,469.96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539,339.64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17,646,253.50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3,500,661.38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3,500,661.38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487,122.59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784,926.98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3,179,694.66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182,970.57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4,634,714.80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3,099,057.15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3,099,057.15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53,027,565.83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42,706,147.35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15,223,350.18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20,749,576.41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14,249,270.65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145,955,910.42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62,783.19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41,308.89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164,927.41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269,019.49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50,612.28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50,612.28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44,533.19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46,238.04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91,171.32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163,972.41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273,393.73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244,614,292.52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17,672,649.78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6,128,205.31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16,823,518.46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3,950,728.22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289,189,394.29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247,665,800.00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20,287,368.48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6,776,428.90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16,055,636.07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4,301,312.17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295,086,545.62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2）暂时闲置的固定资产情况" w:id="258"/>
      <w:bookmarkEnd w:id="25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3" w:right="0"/>
              <w:jc w:val="left"/>
              <w:rPr>
                <w:rFonts w:ascii="Times New Roman" w:hAnsi="Times New Roman" w:cs="Times New Roman" w:eastAsia="Times New Roman" w:hint="default"/>
                <w:sz w:val="18"/>
                <w:szCs w:val="18"/>
              </w:rPr>
            </w:pPr>
            <w:r>
              <w:rPr>
                <w:rFonts w:ascii="Times New Roman"/>
                <w:sz w:val="18"/>
              </w:rPr>
              <w:t>156,924.89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149,078.64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7,846.25</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通过经营租赁租出的固定资产" w:id="259"/>
      <w:bookmarkEnd w:id="259"/>
      <w:r>
        <w:rPr>
          <w:b w:val="0"/>
          <w:bCs w:val="0"/>
        </w:rPr>
      </w:r>
      <w:r>
        <w:rPr/>
        <w:t>（</w:t>
      </w:r>
      <w:r>
        <w:rPr>
          <w:rFonts w:ascii="Times New Roman" w:hAnsi="Times New Roman" w:cs="Times New Roman" w:eastAsia="Times New Roman" w:hint="default"/>
        </w:rPr>
        <w:t>3</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2,936,824.45</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未办妥产权证书的固定资产情况" w:id="260"/>
      <w:bookmarkEnd w:id="260"/>
      <w:r>
        <w:rPr>
          <w:b w:val="0"/>
          <w:bCs w:val="0"/>
        </w:rPr>
      </w:r>
      <w:r>
        <w:rPr/>
        <w:t>（</w:t>
      </w:r>
      <w:r>
        <w:rPr>
          <w:rFonts w:ascii="Times New Roman" w:hAnsi="Times New Roman" w:cs="Times New Roman" w:eastAsia="Times New Roman" w:hint="default"/>
        </w:rPr>
        <w:t>4</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信息产业基地一期房产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92,205,255.27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产权办理中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信息产业基地二期房产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95,510,668.03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产权办理中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车道沟南里厂房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41,934.99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小产权房</w:t>
            </w:r>
          </w:p>
        </w:tc>
      </w:tr>
    </w:tbl>
    <w:p>
      <w:pPr>
        <w:pStyle w:val="BodyText"/>
        <w:spacing w:line="240" w:lineRule="auto" w:before="51"/>
        <w:ind w:left="154" w:right="0"/>
        <w:jc w:val="left"/>
      </w:pPr>
      <w:r>
        <w:rPr/>
        <w:t>其他说明</w:t>
      </w:r>
    </w:p>
    <w:p>
      <w:pPr>
        <w:pStyle w:val="Heading5"/>
        <w:spacing w:line="240" w:lineRule="auto" w:before="89"/>
        <w:ind w:left="574" w:right="0"/>
        <w:jc w:val="left"/>
      </w:pPr>
      <w:r>
        <w:rPr/>
        <w:t>①本年折旧额为</w:t>
      </w:r>
      <w:r>
        <w:rPr>
          <w:rFonts w:ascii="Times New Roman" w:hAnsi="Times New Roman" w:cs="Times New Roman" w:eastAsia="Times New Roman" w:hint="default"/>
        </w:rPr>
        <w:t>17,646,253.50  </w:t>
      </w:r>
      <w:r>
        <w:rPr/>
        <w:t>元。本年由在建工程转入固定资产原价为</w:t>
      </w:r>
      <w:r>
        <w:rPr>
          <w:rFonts w:ascii="Times New Roman" w:hAnsi="Times New Roman" w:cs="Times New Roman" w:eastAsia="Times New Roman" w:hint="default"/>
        </w:rPr>
        <w:t>4,508,891.12</w:t>
      </w:r>
      <w:r>
        <w:rPr>
          <w:rFonts w:ascii="Times New Roman" w:hAnsi="Times New Roman" w:cs="Times New Roman" w:eastAsia="Times New Roman" w:hint="default"/>
          <w:spacing w:val="8"/>
        </w:rPr>
        <w:t> </w:t>
      </w:r>
      <w:r>
        <w:rPr/>
        <w:t>元。</w:t>
      </w:r>
    </w:p>
    <w:p>
      <w:pPr>
        <w:pStyle w:val="Heading5"/>
        <w:spacing w:line="240" w:lineRule="auto" w:before="71"/>
        <w:ind w:left="574" w:right="0"/>
        <w:jc w:val="left"/>
      </w:pPr>
      <w:r>
        <w:rPr/>
        <w:t>②</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变动为固定资产房屋及建筑物转入、转出至投资性房地产。</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Heading4"/>
        <w:spacing w:line="240" w:lineRule="auto"/>
        <w:ind w:right="0"/>
        <w:jc w:val="left"/>
        <w:rPr>
          <w:b w:val="0"/>
          <w:bCs w:val="0"/>
        </w:rPr>
      </w:pPr>
      <w:bookmarkStart w:name="14、无形资产" w:id="261"/>
      <w:bookmarkEnd w:id="261"/>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无形资产情况" w:id="262"/>
      <w:bookmarkEnd w:id="26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61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48,967,433.50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57,709,217.87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95,553,807.76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2,922,340.26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205,152,799.39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61,025.65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61,025.65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15,519,728.96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42,628.29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15,562,357.25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235,502.07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235,502.07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103,305.93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103,305.93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49,099,629.64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73,228,946.83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95,553,807.76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3,025,994.20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220,908,378.43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7,688,933.85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29,034,873.18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66,693,736.55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1,873,192.31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105,290,735.89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1,058,093.74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8,633,279.05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8,169,799.74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153,716.30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18,014,888.83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47,085.56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47,085.56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20,796.05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20,796.05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8,773,317.10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37,668,152.23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74,863,536.29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2,026,908.61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123,331,914.23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14,896,913.43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12,150,502.97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479,685.92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27,527,102.32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16,569,078.70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16,569,078.70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31,465,992.13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12,150,502.97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479,685.92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44,096,181.02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40,326,312.54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4,094,802.47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8,539,768.50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519,399.67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53,480,283.18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41,278,499.65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13,777,431.26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16,709,568.24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569,462.03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72,334,961.18</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13.93%</w:t>
      </w:r>
      <w:r>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5、开发支出" w:id="263"/>
      <w:bookmarkEnd w:id="263"/>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1" w:hRule="exact"/>
        </w:trPr>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9" w:space="0" w:color="D2D2D2"/>
            </w:tcBorders>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13" w:space="0" w:color="D2D2D2"/>
            </w:tcBorders>
            <w:shd w:val="clear" w:color="auto" w:fill="E0FFFF"/>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vMerge w:val="restart"/>
            <w:tcBorders>
              <w:top w:val="single" w:sz="4" w:space="0" w:color="000000"/>
              <w:left w:val="single" w:sz="10" w:space="0" w:color="D2D2D2"/>
              <w:right w:val="single" w:sz="4" w:space="0" w:color="000000"/>
            </w:tcBorders>
            <w:shd w:val="clear" w:color="auto" w:fill="E0FFFF"/>
          </w:tcPr>
          <w:p>
            <w:pPr/>
          </w:p>
        </w:tc>
        <w:tc>
          <w:tcPr>
            <w:tcW w:w="1063" w:type="dxa"/>
            <w:vMerge w:val="restart"/>
            <w:tcBorders>
              <w:top w:val="single" w:sz="4" w:space="0" w:color="000000"/>
              <w:left w:val="single" w:sz="4" w:space="0" w:color="000000"/>
              <w:right w:val="single" w:sz="4" w:space="0" w:color="000000"/>
            </w:tcBorders>
          </w:tcPr>
          <w:p>
            <w:pPr/>
          </w:p>
        </w:tc>
      </w:tr>
      <w:tr>
        <w:trPr>
          <w:trHeight w:val="392" w:hRule="exact"/>
        </w:trPr>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9" w:space="0" w:color="D2D2D2"/>
            </w:tcBorders>
          </w:tcPr>
          <w:p>
            <w:pPr/>
          </w:p>
        </w:tc>
        <w:tc>
          <w:tcPr>
            <w:tcW w:w="1063" w:type="dxa"/>
            <w:vMerge/>
            <w:tcBorders>
              <w:left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9" w:space="0" w:color="D2D2D2"/>
              <w:right w:val="single" w:sz="13"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4" w:space="0" w:color="000000"/>
            </w:tcBorders>
            <w:shd w:val="clear" w:color="auto" w:fill="E0FFFF"/>
          </w:tcPr>
          <w:p>
            <w:pPr/>
          </w:p>
        </w:tc>
        <w:tc>
          <w:tcPr>
            <w:tcW w:w="1063" w:type="dxa"/>
            <w:vMerge/>
            <w:tcBorders>
              <w:left w:val="single" w:sz="4" w:space="0" w:color="000000"/>
              <w:right w:val="single" w:sz="4" w:space="0" w:color="000000"/>
            </w:tcBorders>
          </w:tcPr>
          <w:p>
            <w:pPr/>
          </w:p>
        </w:tc>
      </w:tr>
      <w:tr>
        <w:trPr>
          <w:trHeight w:val="161" w:hRule="exact"/>
        </w:trPr>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9" w:space="0" w:color="D2D2D2"/>
            </w:tcBorders>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13"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研发项目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5,963,930.62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5,963,930.62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BST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研发项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1,707,227.38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1,707,227.38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支付业务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1,405,638.92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1,405,638.92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重点规划项 目</w:t>
            </w:r>
            <w:r>
              <w:rPr>
                <w:rFonts w:ascii="Times New Roman" w:hAnsi="Times New Roman" w:cs="Times New Roman" w:eastAsia="Times New Roman" w:hint="default"/>
                <w:sz w:val="18"/>
                <w:szCs w:val="18"/>
              </w:rPr>
              <w:t>-</w:t>
            </w:r>
            <w:r>
              <w:rPr>
                <w:rFonts w:ascii="宋体" w:hAnsi="宋体" w:cs="宋体" w:eastAsia="宋体" w:hint="default"/>
                <w:sz w:val="18"/>
                <w:szCs w:val="18"/>
              </w:rPr>
              <w:t>云计算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广角录音第 三摄像头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2,296,517.44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2,296,517.44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第５代信息 交互终端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1,972,908.90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1,972,908.90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南天中国银 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驱动 软件开发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1,458,077.13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1,458,077.13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国密键盘第 四代信息交 互终端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542,412.05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542,412.05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上海中行桌 面式一体化 交互终端业 务开发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1,717,331.70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1,717,331.70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长安银行高 拍仪软件项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1,206,177.30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1,206,177.30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银行核心业 务系统</w:t>
            </w:r>
            <w:r>
              <w:rPr>
                <w:rFonts w:ascii="Times New Roman" w:hAnsi="Times New Roman" w:cs="Times New Roman" w:eastAsia="Times New Roman" w:hint="default"/>
                <w:sz w:val="18"/>
                <w:szCs w:val="18"/>
              </w:rPr>
              <w:t>-</w:t>
            </w:r>
            <w:r>
              <w:rPr>
                <w:rFonts w:ascii="宋体" w:hAnsi="宋体" w:cs="宋体" w:eastAsia="宋体" w:hint="default"/>
                <w:sz w:val="18"/>
                <w:szCs w:val="18"/>
              </w:rPr>
              <w:t>日终 处理子系统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502,017.12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502,017.12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银行核心业 务系统</w:t>
            </w:r>
            <w:r>
              <w:rPr>
                <w:rFonts w:ascii="Times New Roman" w:hAnsi="Times New Roman" w:cs="Times New Roman" w:eastAsia="Times New Roman" w:hint="default"/>
                <w:sz w:val="18"/>
                <w:szCs w:val="18"/>
              </w:rPr>
              <w:t>-</w:t>
            </w:r>
            <w:r>
              <w:rPr>
                <w:rFonts w:ascii="宋体" w:hAnsi="宋体" w:cs="宋体" w:eastAsia="宋体" w:hint="default"/>
                <w:sz w:val="18"/>
                <w:szCs w:val="18"/>
              </w:rPr>
              <w:t>应用 监控子系统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418,469.26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418,469.26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银行核心业 务系统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14,907,907.1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14,907,907.1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商业银行传 输系统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814,636.14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4,697,866.80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3,965,347.10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1,547,155.84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银行核心业 务公司业务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907,836.81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202,377.71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705,459.10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个人核心业 务集中授权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7,005,156.98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7,005,156.98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个人核心业 务交易查询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245,930.89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245,930.89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南天开放式 金融平台 </w:t>
            </w:r>
            <w:r>
              <w:rPr>
                <w:rFonts w:ascii="Times New Roman" w:hAnsi="Times New Roman" w:cs="Times New Roman" w:eastAsia="Times New Roman" w:hint="default"/>
                <w:sz w:val="18"/>
                <w:szCs w:val="18"/>
              </w:rPr>
              <w:t>OFP</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ESB</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1,348,097.91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1,348,097.91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银行分布式 交易处理云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577,108.91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577,108.91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银行中间业 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650,673.18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650,673.18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面向电子商 务的信息技 术服务平台</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pacing w:val="-13"/>
                <w:sz w:val="18"/>
                <w:szCs w:val="18"/>
              </w:rPr>
              <w:t>（快递、第三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方支付）研发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及产业化（中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联通沃远程 支付工程项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31,271,468.3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31,271,468.3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软件技术开 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4,086,339.16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4,086,339.16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南天</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EWAP</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高效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WEB</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开 发平台系统</w:t>
            </w:r>
          </w:p>
          <w:p>
            <w:pPr>
              <w:pStyle w:val="TableParagraph"/>
              <w:spacing w:line="240" w:lineRule="auto" w:before="72"/>
              <w:ind w:left="22" w:right="0"/>
              <w:jc w:val="left"/>
              <w:rPr>
                <w:rFonts w:ascii="Times New Roman" w:hAnsi="Times New Roman" w:cs="Times New Roman" w:eastAsia="Times New Roman" w:hint="default"/>
                <w:sz w:val="18"/>
                <w:szCs w:val="18"/>
              </w:rPr>
            </w:pPr>
            <w:r>
              <w:rPr>
                <w:rFonts w:ascii="Times New Roman"/>
                <w:sz w:val="18"/>
              </w:rPr>
              <w:t>V3.0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604,865.29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604,865.29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南天小贷融 资管理系统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705,995.86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705,995.86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南天信贷管 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493,188.47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493,188.47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云南省科技 计划申报和 管理信息系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772,361.44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772,361.44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南天移动应 用前端平台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616,265.54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616,265.54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南天银医整 合平台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1,424,840.36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1,424,840.36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云南农信金 融前端流程 再造系统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969,396.78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969,396.78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富滇银行老 挝分行核心 业务系统项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836,996.75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836,996.75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中银通项目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679,456.83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679,456.83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银行综合前 置系统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822,630.33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822,630.33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数据应用与 管理系统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879,586.14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879,586.14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自助终端接 入系统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546,178.09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546,178.09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BST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11,877,767.2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11,877,767.2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南天第三方 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云 平台软件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3,382,847.44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3,382,847.44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南天第三方 支付业务运 营支持软件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1,432,015.09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1,432,015.09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南天基于 </w:t>
            </w:r>
            <w:r>
              <w:rPr>
                <w:rFonts w:ascii="Times New Roman" w:hAnsi="Times New Roman" w:cs="Times New Roman" w:eastAsia="Times New Roman" w:hint="default"/>
                <w:sz w:val="18"/>
                <w:szCs w:val="18"/>
              </w:rPr>
              <w:t>java </w:t>
            </w:r>
            <w:r>
              <w:rPr>
                <w:rFonts w:ascii="宋体" w:hAnsi="宋体" w:cs="宋体" w:eastAsia="宋体" w:hint="default"/>
                <w:sz w:val="18"/>
                <w:szCs w:val="18"/>
              </w:rPr>
              <w:t>的虚拟 账户软件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1,863,363.43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1,863,363.43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南天基于视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1,883,471.34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4,386.80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1,879,084.54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29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10"/>
              <w:ind w:left="22" w:right="44"/>
              <w:jc w:val="left"/>
              <w:rPr>
                <w:rFonts w:ascii="宋体" w:hAnsi="宋体" w:cs="宋体" w:eastAsia="宋体" w:hint="default"/>
                <w:sz w:val="18"/>
                <w:szCs w:val="18"/>
              </w:rPr>
            </w:pPr>
            <w:r>
              <w:rPr>
                <w:rFonts w:ascii="宋体" w:hAnsi="宋体" w:cs="宋体" w:eastAsia="宋体" w:hint="default"/>
                <w:sz w:val="18"/>
                <w:szCs w:val="18"/>
              </w:rPr>
              <w:t>频通讯的自 助发卡应用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 </w:t>
            </w:r>
            <w:r>
              <w:rPr>
                <w:rFonts w:ascii="宋体" w:hAnsi="宋体" w:cs="宋体" w:eastAsia="宋体" w:hint="default"/>
                <w:sz w:val="18"/>
                <w:szCs w:val="18"/>
              </w:rPr>
              <w:t>研 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南天金融服 务网格化信 息管理软件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1,072,135.74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1,072,135.74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南天银行社 保联名卡发 卡平台软件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1,339,760.04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1,339,760.04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南天中小型 银行报修呼 叫中心平台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 </w:t>
            </w:r>
            <w:r>
              <w:rPr>
                <w:rFonts w:ascii="宋体" w:hAnsi="宋体" w:cs="宋体" w:eastAsia="宋体" w:hint="default"/>
                <w:sz w:val="18"/>
                <w:szCs w:val="18"/>
              </w:rPr>
              <w:t>研 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983,038.77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983,038.77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南天驻场运 维服务管理 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 </w:t>
            </w:r>
            <w:r>
              <w:rPr>
                <w:rFonts w:ascii="宋体" w:hAnsi="宋体" w:cs="宋体" w:eastAsia="宋体" w:hint="default"/>
                <w:sz w:val="18"/>
                <w:szCs w:val="18"/>
              </w:rPr>
              <w:t>研 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1,962,789.12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1,962,789.12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30,817.91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2,298,807.40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38,241.49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2,282,473.44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8,910.38</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综合性项目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7,359,725.00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7,359,725.00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自助服务网 络化智能监 控及运维管 理平台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5,875,870.47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5,875,870.47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面向社会管 理和服务的 数据中心虚 拟资源调度 与管理系统 研发及应用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5,678,511.39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5,678,511.39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易汇项目管 理系统</w:t>
            </w:r>
            <w:r>
              <w:rPr>
                <w:rFonts w:ascii="Times New Roman" w:hAnsi="Times New Roman" w:cs="Times New Roman" w:eastAsia="Times New Roman" w:hint="default"/>
                <w:sz w:val="18"/>
                <w:szCs w:val="18"/>
              </w:rPr>
              <w:t>(3.0)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2,015,255.71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2,015,255.71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业务监控系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1,483,846.52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1,483,846.52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财务公司资 金管理系统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1,603,641.19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1,603,641.19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新一代</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IPAD</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2,868,530.24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2,868,530.24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新一代短信 应用系统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6,246,623.53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6,246,623.53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新一代手机 银行</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7,165,759.88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7,165,759.88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银行中间业 务系统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8,659,142.52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8,659,142.52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银行前端业 务系统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2,690,552.34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2,690,552.34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移动金融平 台项目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1,486,563.19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1,486,563.19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银行中间件 渠道软件开 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10,805,572.3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10,805,572.3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核心升级项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863,103.79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863,103.79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12,399,835.9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183,085,167.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15,562,357.2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179,208,276.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714,369.48</w:t>
            </w:r>
          </w:p>
        </w:tc>
      </w:tr>
    </w:tbl>
    <w:p>
      <w:pPr>
        <w:pStyle w:val="BodyText"/>
        <w:spacing w:line="357" w:lineRule="auto" w:before="51"/>
        <w:ind w:right="2133"/>
        <w:jc w:val="left"/>
        <w:rPr>
          <w:rFonts w:ascii="MS Gothic" w:hAnsi="MS Gothic" w:cs="MS Gothic" w:eastAsia="MS Gothic" w:hint="default"/>
        </w:rPr>
      </w:pPr>
      <w:r>
        <w:rPr/>
        <w:t>其他说明 公司确认资本化开始时点、依据详见</w:t>
      </w:r>
      <w:r>
        <w:rPr>
          <w:rFonts w:ascii="Times New Roman" w:hAnsi="Times New Roman" w:cs="Times New Roman" w:eastAsia="Times New Roman" w:hint="default"/>
        </w:rPr>
        <w:t>“</w:t>
      </w:r>
      <w:r>
        <w:rPr/>
        <w:t>本节五、重要会计政策及会计估计</w:t>
      </w:r>
      <w:r>
        <w:rPr>
          <w:rFonts w:ascii="Times New Roman" w:hAnsi="Times New Roman" w:cs="Times New Roman" w:eastAsia="Times New Roman" w:hint="default"/>
        </w:rPr>
        <w:t>19</w:t>
      </w:r>
      <w:r>
        <w:rPr/>
        <w:t>（</w:t>
      </w:r>
      <w:r>
        <w:rPr>
          <w:rFonts w:ascii="Times New Roman" w:hAnsi="Times New Roman" w:cs="Times New Roman" w:eastAsia="Times New Roman" w:hint="default"/>
        </w:rPr>
        <w:t>2</w:t>
      </w:r>
      <w:r>
        <w:rPr/>
        <w:t>）内部研究开发支出会计政策</w:t>
      </w:r>
      <w:r>
        <w:rPr>
          <w:rFonts w:ascii="Times New Roman" w:hAnsi="Times New Roman" w:cs="Times New Roman" w:eastAsia="Times New Roman" w:hint="default"/>
        </w:rPr>
        <w:t>”</w:t>
      </w:r>
      <w:r>
        <w:rPr>
          <w:rFonts w:ascii="MS Gothic" w:hAnsi="MS Gothic" w:cs="MS Gothic" w:eastAsia="MS Gothic" w:hint="default"/>
        </w:rPr>
        <w:t>｡</w:t>
      </w:r>
    </w:p>
    <w:p>
      <w:pPr>
        <w:spacing w:line="240" w:lineRule="auto" w:before="5"/>
        <w:rPr>
          <w:rFonts w:ascii="MS Gothic" w:hAnsi="MS Gothic" w:cs="MS Gothic" w:eastAsia="MS Gothic" w:hint="default"/>
          <w:sz w:val="18"/>
          <w:szCs w:val="18"/>
        </w:rPr>
      </w:pPr>
    </w:p>
    <w:p>
      <w:pPr>
        <w:pStyle w:val="Heading4"/>
        <w:spacing w:line="240" w:lineRule="auto"/>
        <w:ind w:right="0"/>
        <w:jc w:val="left"/>
        <w:rPr>
          <w:b w:val="0"/>
          <w:bCs w:val="0"/>
        </w:rPr>
      </w:pPr>
      <w:bookmarkStart w:name="16、长期待摊费用" w:id="264"/>
      <w:bookmarkEnd w:id="264"/>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空调改造工程</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284,905.00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26,116.31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28,490.53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230,298.16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配电监控消防改造 工程</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808,450.00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47,159.56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80,844.97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680,445.47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1,569,838.58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748,864.56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550,500.17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270,473.85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1,569,838.58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1,093,355.00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822,140.43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659,835.67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1,181,217.48</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7、递延所得税资产/递延所得税负债" w:id="265"/>
      <w:bookmarkEnd w:id="265"/>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以抵销后净额列示的递延所得税资产或负债" w:id="266"/>
      <w:bookmarkEnd w:id="266"/>
      <w:r>
        <w:rPr>
          <w:b w:val="0"/>
          <w:bCs w:val="0"/>
        </w:rPr>
      </w:r>
      <w:r>
        <w:rPr/>
        <w:t>（</w:t>
      </w:r>
      <w:r>
        <w:rPr>
          <w:rFonts w:ascii="Times New Roman" w:hAnsi="Times New Roman" w:cs="Times New Roman" w:eastAsia="Times New Roman" w:hint="default"/>
        </w:rPr>
        <w:t>1</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38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3"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3" w:right="0"/>
              <w:jc w:val="left"/>
              <w:rPr>
                <w:rFonts w:ascii="宋体" w:hAnsi="宋体" w:cs="宋体" w:eastAsia="宋体" w:hint="default"/>
                <w:sz w:val="18"/>
                <w:szCs w:val="18"/>
              </w:rPr>
            </w:pPr>
            <w:r>
              <w:rPr>
                <w:rFonts w:ascii="宋体" w:hAnsi="宋体" w:cs="宋体" w:eastAsia="宋体" w:hint="default"/>
                <w:sz w:val="18"/>
                <w:szCs w:val="18"/>
              </w:rPr>
              <w:t>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1" w:right="0"/>
              <w:jc w:val="left"/>
              <w:rPr>
                <w:rFonts w:ascii="宋体" w:hAnsi="宋体" w:cs="宋体" w:eastAsia="宋体" w:hint="default"/>
                <w:sz w:val="18"/>
                <w:szCs w:val="18"/>
              </w:rPr>
            </w:pPr>
            <w:r>
              <w:rPr>
                <w:rFonts w:ascii="宋体" w:hAnsi="宋体" w:cs="宋体" w:eastAsia="宋体" w:hint="default"/>
                <w:sz w:val="18"/>
                <w:szCs w:val="18"/>
              </w:rPr>
              <w:t>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16,838,460.13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11,754,355.67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未确认递延所得税资产明细" w:id="267"/>
      <w:bookmarkEnd w:id="267"/>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72,900,728.70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90,275,608.94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57,930,080.59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48,063,514.11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13,896,564.46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3,816,014.52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交易性金融资产的公允价值变动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5,680.00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144,727,373.75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145,160,817.57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未确认递延所得税资产的可抵扣亏损将于以下年度到期" w:id="268"/>
      <w:bookmarkEnd w:id="268"/>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5,192,698.94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5,163,988.96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30,838,807.43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30,838,807.43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8,175,870.47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22,018,969.89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15,645,897.63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32,242,442.66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13,047,454.23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72,900,728.70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90,275,608.94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8、短期借款" w:id="269"/>
      <w:bookmarkEnd w:id="269"/>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短期借款分类" w:id="270"/>
      <w:bookmarkEnd w:id="27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21,146,653.12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127,666,970.70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320,513,623.82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275,500,000.00</w:t>
            </w:r>
          </w:p>
        </w:tc>
      </w:tr>
    </w:tbl>
    <w:p>
      <w:pPr>
        <w:pStyle w:val="BodyText"/>
        <w:spacing w:line="240" w:lineRule="auto" w:before="51"/>
        <w:ind w:left="154" w:right="0"/>
        <w:jc w:val="left"/>
      </w:pPr>
      <w:r>
        <w:rPr/>
        <w:t>短期借款分类的说明：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pPr>
      <w:r>
        <w:rPr/>
        <w:t>借款列表</w:t>
      </w:r>
    </w:p>
    <w:p>
      <w:pPr>
        <w:spacing w:line="240" w:lineRule="auto" w:before="11"/>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2567"/>
        <w:gridCol w:w="2126"/>
        <w:gridCol w:w="1140"/>
        <w:gridCol w:w="1413"/>
        <w:gridCol w:w="2120"/>
      </w:tblGrid>
      <w:tr>
        <w:trPr>
          <w:trHeight w:val="578" w:hRule="exact"/>
        </w:trPr>
        <w:tc>
          <w:tcPr>
            <w:tcW w:w="2567" w:type="dxa"/>
            <w:tcBorders>
              <w:top w:val="nil" w:sz="6" w:space="0" w:color="auto"/>
              <w:left w:val="nil" w:sz="6" w:space="0" w:color="auto"/>
              <w:bottom w:val="single" w:sz="6" w:space="0" w:color="000000"/>
              <w:right w:val="single" w:sz="6"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2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贷款银行</w:t>
            </w:r>
          </w:p>
        </w:tc>
        <w:tc>
          <w:tcPr>
            <w:tcW w:w="114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41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抵押或担保情况</w:t>
            </w:r>
          </w:p>
        </w:tc>
        <w:tc>
          <w:tcPr>
            <w:tcW w:w="212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借款金额</w:t>
            </w:r>
          </w:p>
        </w:tc>
      </w:tr>
      <w:tr>
        <w:trPr>
          <w:trHeight w:val="650" w:hRule="exact"/>
        </w:trPr>
        <w:tc>
          <w:tcPr>
            <w:tcW w:w="2567" w:type="dxa"/>
            <w:tcBorders>
              <w:top w:val="single" w:sz="6" w:space="0" w:color="000000"/>
              <w:left w:val="nil" w:sz="6" w:space="0" w:color="auto"/>
              <w:bottom w:val="single" w:sz="6" w:space="0" w:color="000000"/>
              <w:right w:val="single" w:sz="6" w:space="0" w:color="000000"/>
            </w:tcBorders>
          </w:tcPr>
          <w:p>
            <w:pPr>
              <w:pStyle w:val="TableParagraph"/>
              <w:spacing w:line="319" w:lineRule="auto" w:before="11"/>
              <w:ind w:left="24" w:right="15"/>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 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1"/>
              <w:ind w:left="2" w:right="126"/>
              <w:jc w:val="left"/>
              <w:rPr>
                <w:rFonts w:ascii="宋体" w:hAnsi="宋体" w:cs="宋体" w:eastAsia="宋体" w:hint="default"/>
                <w:sz w:val="18"/>
                <w:szCs w:val="18"/>
              </w:rPr>
            </w:pPr>
            <w:r>
              <w:rPr>
                <w:rFonts w:ascii="宋体" w:hAnsi="宋体" w:cs="宋体" w:eastAsia="宋体" w:hint="default"/>
                <w:sz w:val="18"/>
                <w:szCs w:val="18"/>
              </w:rPr>
              <w:t>中国进出口银行云南省分 行</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41,700,000.00</w:t>
            </w:r>
          </w:p>
        </w:tc>
      </w:tr>
      <w:tr>
        <w:trPr>
          <w:trHeight w:val="649" w:hRule="exact"/>
        </w:trPr>
        <w:tc>
          <w:tcPr>
            <w:tcW w:w="2567"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1"/>
              <w:ind w:left="24" w:right="15"/>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 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 w:right="126"/>
              <w:jc w:val="left"/>
              <w:rPr>
                <w:rFonts w:ascii="宋体" w:hAnsi="宋体" w:cs="宋体" w:eastAsia="宋体" w:hint="default"/>
                <w:sz w:val="18"/>
                <w:szCs w:val="18"/>
              </w:rPr>
            </w:pPr>
            <w:r>
              <w:rPr>
                <w:rFonts w:ascii="宋体" w:hAnsi="宋体" w:cs="宋体" w:eastAsia="宋体" w:hint="default"/>
                <w:sz w:val="18"/>
                <w:szCs w:val="18"/>
              </w:rPr>
              <w:t>中国银行股份有限公司昆 明北站支行</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649" w:hRule="exact"/>
        </w:trPr>
        <w:tc>
          <w:tcPr>
            <w:tcW w:w="2567"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24" w:right="15"/>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 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126"/>
              <w:jc w:val="left"/>
              <w:rPr>
                <w:rFonts w:ascii="宋体" w:hAnsi="宋体" w:cs="宋体" w:eastAsia="宋体" w:hint="default"/>
                <w:sz w:val="18"/>
                <w:szCs w:val="18"/>
              </w:rPr>
            </w:pPr>
            <w:r>
              <w:rPr>
                <w:rFonts w:ascii="宋体" w:hAnsi="宋体" w:cs="宋体" w:eastAsia="宋体" w:hint="default"/>
                <w:sz w:val="18"/>
                <w:szCs w:val="18"/>
              </w:rPr>
              <w:t>中国农业银行股份有限公 司昆明正义支行</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649" w:hRule="exact"/>
        </w:trPr>
        <w:tc>
          <w:tcPr>
            <w:tcW w:w="2567"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24" w:right="15"/>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 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恒丰银行昆明分行</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票据融资</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62,907,346.70</w:t>
            </w:r>
          </w:p>
        </w:tc>
      </w:tr>
      <w:tr>
        <w:trPr>
          <w:trHeight w:val="648" w:hRule="exact"/>
        </w:trPr>
        <w:tc>
          <w:tcPr>
            <w:tcW w:w="2567"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24" w:right="15"/>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 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民生银行昆明分行</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票据融资</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649" w:hRule="exact"/>
        </w:trPr>
        <w:tc>
          <w:tcPr>
            <w:tcW w:w="2567"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1"/>
              <w:ind w:left="24" w:right="15"/>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 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民生昆明分行</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票据融资</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337" w:hRule="exact"/>
        </w:trPr>
        <w:tc>
          <w:tcPr>
            <w:tcW w:w="25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深圳南天东华科技有限公司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华夏银行深圳南头支行</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天祥大厦</w:t>
            </w:r>
            <w:r>
              <w:rPr>
                <w:rFonts w:ascii="Times New Roman" w:hAnsi="Times New Roman" w:cs="Times New Roman" w:eastAsia="Times New Roman" w:hint="default"/>
                <w:sz w:val="18"/>
                <w:szCs w:val="18"/>
              </w:rPr>
              <w:t>7B2</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15,500,000.00</w:t>
            </w:r>
          </w:p>
        </w:tc>
      </w:tr>
      <w:tr>
        <w:trPr>
          <w:trHeight w:val="337" w:hRule="exact"/>
        </w:trPr>
        <w:tc>
          <w:tcPr>
            <w:tcW w:w="25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上海南天电脑系统有限公司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交通银行上海长宁支行</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649" w:hRule="exact"/>
        </w:trPr>
        <w:tc>
          <w:tcPr>
            <w:tcW w:w="25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广州南天电脑系统有限公司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126"/>
              <w:jc w:val="left"/>
              <w:rPr>
                <w:rFonts w:ascii="宋体" w:hAnsi="宋体" w:cs="宋体" w:eastAsia="宋体" w:hint="default"/>
                <w:sz w:val="18"/>
                <w:szCs w:val="18"/>
              </w:rPr>
            </w:pPr>
            <w:r>
              <w:rPr>
                <w:rFonts w:ascii="宋体" w:hAnsi="宋体" w:cs="宋体" w:eastAsia="宋体" w:hint="default"/>
                <w:sz w:val="18"/>
                <w:szCs w:val="18"/>
              </w:rPr>
              <w:t>广东华兴银行股份有限公 司广州分行</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0"/>
              <w:ind w:left="3" w:right="132"/>
              <w:jc w:val="left"/>
              <w:rPr>
                <w:rFonts w:ascii="宋体" w:hAnsi="宋体" w:cs="宋体" w:eastAsia="宋体" w:hint="default"/>
                <w:sz w:val="18"/>
                <w:szCs w:val="18"/>
              </w:rPr>
            </w:pPr>
            <w:r>
              <w:rPr>
                <w:rFonts w:ascii="宋体" w:hAnsi="宋体" w:cs="宋体" w:eastAsia="宋体" w:hint="default"/>
                <w:sz w:val="18"/>
                <w:szCs w:val="18"/>
              </w:rPr>
              <w:t>南天大厦第</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5,646,653.12</w:t>
            </w:r>
          </w:p>
        </w:tc>
      </w:tr>
      <w:tr>
        <w:trPr>
          <w:trHeight w:val="337" w:hRule="exact"/>
        </w:trPr>
        <w:tc>
          <w:tcPr>
            <w:tcW w:w="25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广州南天电脑系统有限公司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票据融资</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10,300,000.00</w:t>
            </w:r>
          </w:p>
        </w:tc>
      </w:tr>
      <w:tr>
        <w:trPr>
          <w:trHeight w:val="336" w:hRule="exact"/>
        </w:trPr>
        <w:tc>
          <w:tcPr>
            <w:tcW w:w="25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广州南天电脑系统有限公司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华兴银行</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票据融资</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1,459,624.00</w:t>
            </w:r>
          </w:p>
        </w:tc>
      </w:tr>
      <w:tr>
        <w:trPr>
          <w:trHeight w:val="339" w:hRule="exact"/>
        </w:trPr>
        <w:tc>
          <w:tcPr>
            <w:tcW w:w="25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413"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320,513,623.82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5"/>
        <w:spacing w:line="240" w:lineRule="auto"/>
        <w:ind w:left="278" w:right="0"/>
        <w:jc w:val="left"/>
      </w:pPr>
      <w:r>
        <w:rPr/>
        <w:t>抵押明细</w:t>
      </w:r>
    </w:p>
    <w:p>
      <w:pPr>
        <w:spacing w:line="240" w:lineRule="auto" w:before="11"/>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221"/>
        <w:gridCol w:w="2033"/>
        <w:gridCol w:w="3092"/>
      </w:tblGrid>
      <w:tr>
        <w:trPr>
          <w:trHeight w:val="355" w:hRule="exact"/>
        </w:trPr>
        <w:tc>
          <w:tcPr>
            <w:tcW w:w="422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683"/>
              <w:jc w:val="right"/>
              <w:rPr>
                <w:rFonts w:ascii="宋体" w:hAnsi="宋体" w:cs="宋体" w:eastAsia="宋体" w:hint="default"/>
                <w:sz w:val="21"/>
                <w:szCs w:val="21"/>
              </w:rPr>
            </w:pPr>
            <w:r>
              <w:rPr>
                <w:rFonts w:ascii="宋体" w:hAnsi="宋体" w:cs="宋体" w:eastAsia="宋体" w:hint="default"/>
                <w:sz w:val="21"/>
                <w:szCs w:val="21"/>
              </w:rPr>
              <w:t>贷款单位</w:t>
            </w:r>
          </w:p>
        </w:tc>
        <w:tc>
          <w:tcPr>
            <w:tcW w:w="203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587" w:right="0"/>
              <w:jc w:val="left"/>
              <w:rPr>
                <w:rFonts w:ascii="宋体" w:hAnsi="宋体" w:cs="宋体" w:eastAsia="宋体" w:hint="default"/>
                <w:sz w:val="21"/>
                <w:szCs w:val="21"/>
              </w:rPr>
            </w:pPr>
            <w:r>
              <w:rPr>
                <w:rFonts w:ascii="宋体" w:hAnsi="宋体" w:cs="宋体" w:eastAsia="宋体" w:hint="default"/>
                <w:sz w:val="21"/>
                <w:szCs w:val="21"/>
              </w:rPr>
              <w:t>借款余额</w:t>
            </w:r>
          </w:p>
        </w:tc>
        <w:tc>
          <w:tcPr>
            <w:tcW w:w="3092"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抵押物</w:t>
            </w:r>
          </w:p>
        </w:tc>
      </w:tr>
      <w:tr>
        <w:trPr>
          <w:trHeight w:val="352" w:hRule="exact"/>
        </w:trPr>
        <w:tc>
          <w:tcPr>
            <w:tcW w:w="422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682"/>
              <w:jc w:val="right"/>
              <w:rPr>
                <w:rFonts w:ascii="宋体" w:hAnsi="宋体" w:cs="宋体" w:eastAsia="宋体" w:hint="default"/>
                <w:sz w:val="21"/>
                <w:szCs w:val="21"/>
              </w:rPr>
            </w:pPr>
            <w:r>
              <w:rPr>
                <w:rFonts w:ascii="宋体" w:hAnsi="宋体" w:cs="宋体" w:eastAsia="宋体" w:hint="default"/>
                <w:sz w:val="21"/>
                <w:szCs w:val="21"/>
              </w:rPr>
              <w:t>深圳南天东华科技有限公司</w:t>
            </w:r>
          </w:p>
        </w:tc>
        <w:tc>
          <w:tcPr>
            <w:tcW w:w="2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15,500,000.00</w:t>
            </w:r>
          </w:p>
        </w:tc>
        <w:tc>
          <w:tcPr>
            <w:tcW w:w="3092" w:type="dxa"/>
            <w:tcBorders>
              <w:top w:val="single" w:sz="12" w:space="0" w:color="000000"/>
              <w:left w:val="single" w:sz="6" w:space="0" w:color="000000"/>
              <w:bottom w:val="single" w:sz="12" w:space="0" w:color="000000"/>
              <w:right w:val="nil" w:sz="6" w:space="0" w:color="auto"/>
            </w:tcBorders>
          </w:tcPr>
          <w:p>
            <w:pPr>
              <w:pStyle w:val="TableParagraph"/>
              <w:spacing w:line="276" w:lineRule="exact"/>
              <w:ind w:right="6"/>
              <w:jc w:val="center"/>
              <w:rPr>
                <w:rFonts w:ascii="Times New Roman" w:hAnsi="Times New Roman" w:cs="Times New Roman" w:eastAsia="Times New Roman" w:hint="default"/>
                <w:sz w:val="21"/>
                <w:szCs w:val="21"/>
              </w:rPr>
            </w:pPr>
            <w:r>
              <w:rPr>
                <w:rFonts w:ascii="宋体" w:hAnsi="宋体" w:cs="宋体" w:eastAsia="宋体" w:hint="default"/>
                <w:sz w:val="21"/>
                <w:szCs w:val="21"/>
              </w:rPr>
              <w:t>天祥大厦</w:t>
            </w:r>
            <w:r>
              <w:rPr>
                <w:rFonts w:ascii="Times New Roman" w:hAnsi="Times New Roman" w:cs="Times New Roman" w:eastAsia="Times New Roman" w:hint="default"/>
                <w:sz w:val="21"/>
                <w:szCs w:val="21"/>
              </w:rPr>
              <w:t>7B2</w:t>
            </w:r>
          </w:p>
        </w:tc>
      </w:tr>
      <w:tr>
        <w:trPr>
          <w:trHeight w:val="353" w:hRule="exact"/>
        </w:trPr>
        <w:tc>
          <w:tcPr>
            <w:tcW w:w="422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682"/>
              <w:jc w:val="right"/>
              <w:rPr>
                <w:rFonts w:ascii="宋体" w:hAnsi="宋体" w:cs="宋体" w:eastAsia="宋体" w:hint="default"/>
                <w:sz w:val="21"/>
                <w:szCs w:val="21"/>
              </w:rPr>
            </w:pPr>
            <w:r>
              <w:rPr>
                <w:rFonts w:ascii="宋体" w:hAnsi="宋体" w:cs="宋体" w:eastAsia="宋体" w:hint="default"/>
                <w:sz w:val="21"/>
                <w:szCs w:val="21"/>
              </w:rPr>
              <w:t>广州南天电脑系统有限公司</w:t>
            </w:r>
          </w:p>
        </w:tc>
        <w:tc>
          <w:tcPr>
            <w:tcW w:w="2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5,646,653.12</w:t>
            </w:r>
          </w:p>
        </w:tc>
        <w:tc>
          <w:tcPr>
            <w:tcW w:w="3092" w:type="dxa"/>
            <w:tcBorders>
              <w:top w:val="single" w:sz="12" w:space="0" w:color="000000"/>
              <w:left w:val="single" w:sz="6" w:space="0" w:color="000000"/>
              <w:bottom w:val="single" w:sz="12" w:space="0" w:color="000000"/>
              <w:right w:val="nil" w:sz="6" w:space="0" w:color="auto"/>
            </w:tcBorders>
          </w:tcPr>
          <w:p>
            <w:pPr>
              <w:pStyle w:val="TableParagraph"/>
              <w:spacing w:line="276" w:lineRule="exact"/>
              <w:ind w:right="5"/>
              <w:jc w:val="center"/>
              <w:rPr>
                <w:rFonts w:ascii="宋体" w:hAnsi="宋体" w:cs="宋体" w:eastAsia="宋体" w:hint="default"/>
                <w:sz w:val="21"/>
                <w:szCs w:val="21"/>
              </w:rPr>
            </w:pPr>
            <w:r>
              <w:rPr>
                <w:rFonts w:ascii="宋体" w:hAnsi="宋体" w:cs="宋体" w:eastAsia="宋体" w:hint="default"/>
                <w:sz w:val="21"/>
                <w:szCs w:val="21"/>
              </w:rPr>
              <w:t>南天大厦第</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层</w:t>
            </w:r>
          </w:p>
        </w:tc>
      </w:tr>
      <w:tr>
        <w:trPr>
          <w:trHeight w:val="352" w:hRule="exact"/>
        </w:trPr>
        <w:tc>
          <w:tcPr>
            <w:tcW w:w="422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21,146,653.12</w:t>
            </w:r>
          </w:p>
        </w:tc>
        <w:tc>
          <w:tcPr>
            <w:tcW w:w="309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4"/>
        <w:spacing w:line="240" w:lineRule="auto" w:before="35"/>
        <w:ind w:left="154" w:right="0"/>
        <w:jc w:val="left"/>
        <w:rPr>
          <w:b w:val="0"/>
          <w:bCs w:val="0"/>
        </w:rPr>
      </w:pPr>
      <w:bookmarkStart w:name="19、应付票据" w:id="271"/>
      <w:bookmarkEnd w:id="271"/>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54,479,843.09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19,114,808.00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15,603,271.70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60,487,248.49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70,083,114.79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79,602,056.49</w:t>
            </w:r>
          </w:p>
        </w:tc>
      </w:tr>
    </w:tbl>
    <w:p>
      <w:pPr>
        <w:pStyle w:val="BodyText"/>
        <w:spacing w:line="240" w:lineRule="auto" w:before="51"/>
        <w:ind w:left="154" w:right="0"/>
        <w:jc w:val="left"/>
      </w:pPr>
      <w:r>
        <w:rPr/>
        <w:t>本期末已到期未支付的应付票据总额为元。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0、应付账款" w:id="272"/>
      <w:bookmarkEnd w:id="272"/>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账款列示" w:id="273"/>
      <w:bookmarkEnd w:id="27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361,901,735.34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402,174,298.93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2,217,509.55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361,901,735.34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404,391,808.48</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账龄超过1年的重要应付账款" w:id="274"/>
      <w:bookmarkEnd w:id="27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YDWL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10,655,741.26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YLQX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7,521,598.00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HHJT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智能系统股份有限公司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7,143,797.00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ＭＹ贸易公司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6,518,398.91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SZ(</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5,248,579.00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XTTX</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5,013,212.82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JGW</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软件（上海）有限公司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4,870,817.86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协议退货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PYCX</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科技（深圳）有限公司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2,629,327.92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NMGX</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50,847,472.77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1、预收款项" w:id="275"/>
      <w:bookmarkEnd w:id="275"/>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预收款项列示" w:id="276"/>
      <w:bookmarkEnd w:id="27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货款及劳务款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113,651,828.91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75,793,457.63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449,321.46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113,651,828.91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76,242,779.09</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账龄超过1年的重要预收款项" w:id="277"/>
      <w:bookmarkEnd w:id="27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54,102.56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上海伟贺科技发展有限公司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136,202.56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2、应付职工薪酬" w:id="278"/>
      <w:bookmarkEnd w:id="278"/>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职工薪酬列示" w:id="279"/>
      <w:bookmarkEnd w:id="27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21,040,471.70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472,039,701.15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461,734,668.91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31,345,503.94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38,981,272.36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38,981,290.12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877.52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598,327.34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598,327.34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127,410.88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127,410.88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21,041,366.98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511,746,711.73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501,441,697.25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31,346,381.46</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短期薪酬列示" w:id="280"/>
      <w:bookmarkEnd w:id="28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13,231,672.38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407,479,971.86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397,486,704.73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23,224,939.51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7,632,943.64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7,632,943.64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20,085,956.29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20,085,936.63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17,818,105.61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17,818,075.31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789,858.65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789,866.55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1,477,992.03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1,477,994.77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185,499.36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26,624,816.90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26,677,041.90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133,274.36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7,622,885.50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10,193,163.74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9,829,193.29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7,986,855.95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22,848.72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22,848.72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21,040,471.70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472,039,701.15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461,734,668.91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31,345,503.94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设定提存计划列示" w:id="281"/>
      <w:bookmarkEnd w:id="28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37,117,927.10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37,117,927.10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1,863,345.26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1,863,363.02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77.52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38,981,272.36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38,981,290.12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877.52</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3、应交税费" w:id="282"/>
      <w:bookmarkEnd w:id="282"/>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30,393,702.03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24,761,843.86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3,363,441.24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159,361.86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5,005,191.75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4,784,035.54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8,413,602.22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6,416,146.56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2,369,265.97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1,739,383.36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445,519.68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308,728.16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241,528.60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210,442.01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10,771,212.52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1,042,539.44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871,798.94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634,634.10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355,458.26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副食品调剂基金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2,327.26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31,566.40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25,064.09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河道维护费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31,604.45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32,180.09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堤防维护费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6,807.52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62,714,989.26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39,703,236.65</w:t>
            </w:r>
          </w:p>
        </w:tc>
      </w:tr>
    </w:tbl>
    <w:p>
      <w:pPr>
        <w:pStyle w:val="BodyText"/>
        <w:spacing w:line="240" w:lineRule="auto" w:before="51"/>
        <w:ind w:left="154" w:right="0"/>
        <w:jc w:val="left"/>
      </w:pPr>
      <w:r>
        <w:rPr/>
        <w:t>其他说明：</w:t>
      </w:r>
    </w:p>
    <w:p>
      <w:pPr>
        <w:pStyle w:val="Heading5"/>
        <w:spacing w:line="256" w:lineRule="auto" w:before="89"/>
        <w:ind w:left="154" w:right="1123"/>
        <w:jc w:val="left"/>
      </w:pPr>
      <w:r>
        <w:rPr>
          <w:spacing w:val="-1"/>
        </w:rPr>
        <w:t>应交税费期末余额较期初增加</w:t>
      </w:r>
      <w:r>
        <w:rPr>
          <w:rFonts w:ascii="Times New Roman" w:hAnsi="Times New Roman" w:cs="Times New Roman" w:eastAsia="Times New Roman" w:hint="default"/>
          <w:spacing w:val="-1"/>
        </w:rPr>
        <w:t>57.96%</w:t>
      </w:r>
      <w:r>
        <w:rPr>
          <w:spacing w:val="-1"/>
        </w:rPr>
        <w:t>，主要原因是子公司广州南天电脑系统有限公司处置投资性房地产产</w:t>
      </w:r>
      <w:r>
        <w:rPr>
          <w:spacing w:val="-96"/>
        </w:rPr>
        <w:t> </w:t>
      </w:r>
      <w:r>
        <w:rPr>
          <w:spacing w:val="-96"/>
        </w:rPr>
      </w:r>
      <w:r>
        <w:rPr/>
        <w:t>生的税费在报表日尚未缴纳。</w:t>
      </w:r>
    </w:p>
    <w:p>
      <w:pPr>
        <w:spacing w:line="240" w:lineRule="auto" w:before="10"/>
        <w:rPr>
          <w:rFonts w:ascii="宋体" w:hAnsi="宋体" w:cs="宋体" w:eastAsia="宋体" w:hint="default"/>
          <w:sz w:val="24"/>
          <w:szCs w:val="24"/>
        </w:rPr>
      </w:pPr>
    </w:p>
    <w:p>
      <w:pPr>
        <w:pStyle w:val="Heading4"/>
        <w:spacing w:line="240" w:lineRule="auto"/>
        <w:ind w:left="154" w:right="0"/>
        <w:jc w:val="left"/>
        <w:rPr>
          <w:b w:val="0"/>
          <w:bCs w:val="0"/>
        </w:rPr>
      </w:pPr>
      <w:bookmarkStart w:name="24、应付利息" w:id="283"/>
      <w:bookmarkEnd w:id="283"/>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218,270.38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33,737.38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185,725.91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1,081,724.99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非公开定向债务融资工具利息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8,132,465.74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403,996.29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9,247,928.11</w:t>
            </w:r>
          </w:p>
        </w:tc>
      </w:tr>
    </w:tbl>
    <w:p>
      <w:pPr>
        <w:pStyle w:val="BodyText"/>
        <w:spacing w:line="240" w:lineRule="auto" w:before="51"/>
        <w:ind w:left="154"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54" w:right="0"/>
        <w:jc w:val="left"/>
      </w:pPr>
      <w:r>
        <w:rPr/>
        <w:t>其他说明：</w:t>
      </w:r>
    </w:p>
    <w:p>
      <w:pPr>
        <w:pStyle w:val="Heading5"/>
        <w:spacing w:line="240" w:lineRule="auto" w:before="89"/>
        <w:ind w:right="0"/>
        <w:jc w:val="left"/>
      </w:pPr>
      <w:r>
        <w:rPr/>
        <w:t>应付利息期末余额较期初减少</w:t>
      </w:r>
      <w:r>
        <w:rPr>
          <w:rFonts w:ascii="Times New Roman" w:hAnsi="Times New Roman" w:cs="Times New Roman" w:eastAsia="Times New Roman" w:hint="default"/>
        </w:rPr>
        <w:t>95.63%</w:t>
      </w:r>
      <w:r>
        <w:rPr/>
        <w:t>，主要原因是本期归还非公开定向债务融资工具所致。</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25、其他应付款" w:id="284"/>
      <w:bookmarkEnd w:id="284"/>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按款项性质列示其他应付款" w:id="285"/>
      <w:bookmarkEnd w:id="28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8,391,913.10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422,878.36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3,648,857.70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9,119,434.35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593,980.93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965,753.54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1,541,991.42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1,030,152.76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14,176,743.15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11,538,219.01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账龄超过1年的重要其他应付款" w:id="286"/>
      <w:bookmarkEnd w:id="28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HNWJ</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有限公司云南分公司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2,300,981.97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工程质量保证金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YNJ</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集团总公司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266,333.43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收到返还的工会经费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262,190.40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TYHJ</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232,688.00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HBGG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179,022.27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3,241,216.07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6、一年内到期的非流动负债" w:id="287"/>
      <w:bookmarkEnd w:id="287"/>
      <w:r>
        <w:rPr>
          <w:b w:val="0"/>
          <w:bCs w:val="0"/>
        </w:rPr>
      </w:r>
      <w:r>
        <w:rPr>
          <w:rFonts w:ascii="Times New Roman" w:hAnsi="Times New Roman" w:cs="Times New Roman" w:eastAsia="Times New Roman" w:hint="default"/>
        </w:rPr>
        <w:t>26</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584,003.21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4,371,431.49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584,003.21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4,371,431.49</w:t>
            </w:r>
          </w:p>
        </w:tc>
      </w:tr>
    </w:tbl>
    <w:p>
      <w:pPr>
        <w:pStyle w:val="BodyText"/>
        <w:spacing w:line="240" w:lineRule="auto" w:before="51"/>
        <w:ind w:left="154" w:right="0"/>
        <w:jc w:val="left"/>
      </w:pPr>
      <w:r>
        <w:rPr/>
        <w:t>其他说明：</w:t>
      </w:r>
    </w:p>
    <w:p>
      <w:pPr>
        <w:pStyle w:val="Heading5"/>
        <w:spacing w:line="289" w:lineRule="exact" w:before="91"/>
        <w:ind w:right="0"/>
        <w:jc w:val="left"/>
      </w:pPr>
      <w:r>
        <w:rPr/>
        <w:t>（</w:t>
      </w:r>
      <w:r>
        <w:rPr>
          <w:rFonts w:ascii="Times New Roman" w:hAnsi="Times New Roman" w:cs="Times New Roman" w:eastAsia="Times New Roman" w:hint="default"/>
        </w:rPr>
        <w:t>1</w:t>
      </w:r>
      <w:r>
        <w:rPr/>
        <w:t>）一年内到期的非流动负债期末比期初减少</w:t>
      </w:r>
      <w:r>
        <w:rPr>
          <w:rFonts w:ascii="Times New Roman" w:hAnsi="Times New Roman" w:cs="Times New Roman" w:eastAsia="Times New Roman" w:hint="default"/>
        </w:rPr>
        <w:t>86.64%</w:t>
      </w:r>
      <w:r>
        <w:rPr/>
        <w:t>，主要原因是本期归还银行借款所致。</w:t>
      </w:r>
    </w:p>
    <w:p>
      <w:pPr>
        <w:pStyle w:val="Heading3"/>
        <w:spacing w:line="324" w:lineRule="exact"/>
        <w:ind w:right="0"/>
        <w:jc w:val="left"/>
      </w:pPr>
      <w:r>
        <w:rPr>
          <w:sz w:val="21"/>
          <w:szCs w:val="21"/>
        </w:rPr>
        <w:t>（</w:t>
      </w:r>
      <w:r>
        <w:rPr>
          <w:rFonts w:ascii="Times New Roman" w:hAnsi="Times New Roman" w:cs="Times New Roman" w:eastAsia="Times New Roman" w:hint="default"/>
          <w:sz w:val="21"/>
          <w:szCs w:val="21"/>
        </w:rPr>
        <w:t>2</w:t>
      </w:r>
      <w:r>
        <w:rPr>
          <w:sz w:val="21"/>
          <w:szCs w:val="21"/>
        </w:rPr>
        <w:t>）</w:t>
      </w:r>
      <w:r>
        <w:rPr/>
        <w:t>一年内到期的长期借款明细</w:t>
      </w:r>
    </w:p>
    <w:p>
      <w:pPr>
        <w:spacing w:line="240" w:lineRule="auto" w:before="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529"/>
        <w:gridCol w:w="1415"/>
        <w:gridCol w:w="1137"/>
        <w:gridCol w:w="1132"/>
        <w:gridCol w:w="1134"/>
        <w:gridCol w:w="1134"/>
        <w:gridCol w:w="708"/>
        <w:gridCol w:w="1157"/>
      </w:tblGrid>
      <w:tr>
        <w:trPr>
          <w:trHeight w:val="667" w:hRule="exact"/>
        </w:trPr>
        <w:tc>
          <w:tcPr>
            <w:tcW w:w="152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141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79" w:right="0"/>
              <w:jc w:val="left"/>
              <w:rPr>
                <w:rFonts w:ascii="宋体" w:hAnsi="宋体" w:cs="宋体" w:eastAsia="宋体" w:hint="default"/>
                <w:sz w:val="21"/>
                <w:szCs w:val="21"/>
              </w:rPr>
            </w:pPr>
            <w:r>
              <w:rPr>
                <w:rFonts w:ascii="宋体" w:hAnsi="宋体" w:cs="宋体" w:eastAsia="宋体" w:hint="default"/>
                <w:sz w:val="21"/>
                <w:szCs w:val="21"/>
              </w:rPr>
              <w:t>贷款银行</w:t>
            </w:r>
          </w:p>
        </w:tc>
        <w:tc>
          <w:tcPr>
            <w:tcW w:w="113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41"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113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2" w:right="0"/>
              <w:jc w:val="left"/>
              <w:rPr>
                <w:rFonts w:ascii="宋体" w:hAnsi="宋体" w:cs="宋体" w:eastAsia="宋体" w:hint="default"/>
                <w:sz w:val="21"/>
                <w:szCs w:val="21"/>
              </w:rPr>
            </w:pPr>
            <w:r>
              <w:rPr>
                <w:rFonts w:ascii="宋体" w:hAnsi="宋体" w:cs="宋体" w:eastAsia="宋体" w:hint="default"/>
                <w:sz w:val="21"/>
                <w:szCs w:val="21"/>
              </w:rPr>
              <w:t>借款起始日</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3"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35" w:right="0"/>
              <w:jc w:val="left"/>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40" w:lineRule="auto" w:before="37"/>
              <w:ind w:left="4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57"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361" w:right="53" w:hanging="316"/>
              <w:jc w:val="left"/>
              <w:rPr>
                <w:rFonts w:ascii="宋体" w:hAnsi="宋体" w:cs="宋体" w:eastAsia="宋体" w:hint="default"/>
                <w:sz w:val="21"/>
                <w:szCs w:val="21"/>
              </w:rPr>
            </w:pPr>
            <w:r>
              <w:rPr>
                <w:rFonts w:ascii="宋体" w:hAnsi="宋体" w:cs="宋体" w:eastAsia="宋体" w:hint="default"/>
                <w:sz w:val="21"/>
                <w:szCs w:val="21"/>
              </w:rPr>
              <w:t>抵押或担保 情况</w:t>
            </w:r>
          </w:p>
        </w:tc>
      </w:tr>
      <w:tr>
        <w:trPr>
          <w:trHeight w:val="1056" w:hRule="exact"/>
        </w:trPr>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 w:right="3"/>
              <w:jc w:val="both"/>
              <w:rPr>
                <w:rFonts w:ascii="宋体" w:hAnsi="宋体" w:cs="宋体" w:eastAsia="宋体" w:hint="default"/>
                <w:sz w:val="18"/>
                <w:szCs w:val="18"/>
              </w:rPr>
            </w:pPr>
            <w:r>
              <w:rPr>
                <w:rFonts w:ascii="宋体" w:hAnsi="宋体" w:cs="宋体" w:eastAsia="宋体" w:hint="default"/>
                <w:spacing w:val="8"/>
                <w:sz w:val="18"/>
                <w:szCs w:val="18"/>
              </w:rPr>
              <w:t>意大利政府委托中</w:t>
            </w:r>
            <w:r>
              <w:rPr>
                <w:rFonts w:ascii="宋体" w:hAnsi="宋体" w:cs="宋体" w:eastAsia="宋体" w:hint="default"/>
                <w:sz w:val="18"/>
                <w:szCs w:val="18"/>
              </w:rPr>
              <w:t> </w:t>
            </w:r>
            <w:r>
              <w:rPr>
                <w:rFonts w:ascii="宋体" w:hAnsi="宋体" w:cs="宋体" w:eastAsia="宋体" w:hint="default"/>
                <w:spacing w:val="8"/>
                <w:sz w:val="18"/>
                <w:szCs w:val="18"/>
              </w:rPr>
              <w:t>国银行云南省分行</w:t>
            </w:r>
            <w:r>
              <w:rPr>
                <w:rFonts w:ascii="宋体" w:hAnsi="宋体" w:cs="宋体" w:eastAsia="宋体" w:hint="default"/>
                <w:sz w:val="18"/>
                <w:szCs w:val="18"/>
              </w:rPr>
              <w:t> 贷款</w:t>
            </w:r>
          </w:p>
        </w:tc>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9" w:right="68" w:hanging="450"/>
              <w:jc w:val="left"/>
              <w:rPr>
                <w:rFonts w:ascii="宋体" w:hAnsi="宋体" w:cs="宋体" w:eastAsia="宋体" w:hint="default"/>
                <w:sz w:val="18"/>
                <w:szCs w:val="18"/>
              </w:rPr>
            </w:pPr>
            <w:r>
              <w:rPr>
                <w:rFonts w:ascii="宋体" w:hAnsi="宋体" w:cs="宋体" w:eastAsia="宋体" w:hint="default"/>
                <w:sz w:val="18"/>
                <w:szCs w:val="18"/>
              </w:rPr>
              <w:t>中国银行云南省 分行</w:t>
            </w:r>
          </w:p>
        </w:tc>
        <w:tc>
          <w:tcPr>
            <w:tcW w:w="1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Arial" w:hAnsi="Arial" w:cs="Arial" w:eastAsia="Arial" w:hint="default"/>
                <w:sz w:val="18"/>
                <w:szCs w:val="18"/>
              </w:rPr>
            </w:pPr>
            <w:r>
              <w:rPr>
                <w:rFonts w:ascii="Arial"/>
                <w:spacing w:val="-1"/>
                <w:w w:val="80"/>
                <w:sz w:val="18"/>
              </w:rPr>
              <w:t>584,003.21</w:t>
            </w:r>
            <w:r>
              <w:rPr>
                <w:rFonts w:ascii="Arial"/>
                <w:spacing w:val="-1"/>
                <w:sz w:val="18"/>
              </w:rPr>
            </w:r>
          </w:p>
        </w:tc>
        <w:tc>
          <w:tcPr>
            <w:tcW w:w="1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美金借款</w:t>
            </w:r>
          </w:p>
        </w:tc>
        <w:tc>
          <w:tcPr>
            <w:tcW w:w="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157"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1"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352" w:hRule="exact"/>
        </w:trPr>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15" w:type="dxa"/>
            <w:tcBorders>
              <w:top w:val="single" w:sz="12" w:space="0" w:color="000000"/>
              <w:left w:val="single" w:sz="6" w:space="0" w:color="000000"/>
              <w:bottom w:val="single" w:sz="12" w:space="0" w:color="000000"/>
              <w:right w:val="single" w:sz="6" w:space="0" w:color="000000"/>
            </w:tcBorders>
          </w:tcPr>
          <w:p>
            <w:pPr/>
          </w:p>
        </w:tc>
        <w:tc>
          <w:tcPr>
            <w:tcW w:w="1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584,003.21</w:t>
            </w:r>
          </w:p>
        </w:tc>
        <w:tc>
          <w:tcPr>
            <w:tcW w:w="1132"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708" w:type="dxa"/>
            <w:tcBorders>
              <w:top w:val="single" w:sz="12" w:space="0" w:color="000000"/>
              <w:left w:val="single" w:sz="6" w:space="0" w:color="000000"/>
              <w:bottom w:val="single" w:sz="12" w:space="0" w:color="000000"/>
              <w:right w:val="single" w:sz="6" w:space="0" w:color="000000"/>
            </w:tcBorders>
          </w:tcPr>
          <w:p>
            <w:pPr/>
          </w:p>
        </w:tc>
        <w:tc>
          <w:tcPr>
            <w:tcW w:w="1157"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4"/>
        <w:spacing w:line="240" w:lineRule="auto" w:before="35"/>
        <w:ind w:left="154" w:right="0"/>
        <w:jc w:val="left"/>
        <w:rPr>
          <w:b w:val="0"/>
          <w:bCs w:val="0"/>
        </w:rPr>
      </w:pPr>
      <w:bookmarkStart w:name="27、其他流动负债" w:id="288"/>
      <w:bookmarkEnd w:id="288"/>
      <w:r>
        <w:rPr>
          <w:b w:val="0"/>
          <w:bCs w:val="0"/>
        </w:rPr>
      </w:r>
      <w:r>
        <w:rPr>
          <w:rFonts w:ascii="Times New Roman" w:hAnsi="Times New Roman" w:cs="Times New Roman" w:eastAsia="Times New Roman" w:hint="default"/>
        </w:rPr>
        <w:t>27</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bl>
    <w:p>
      <w:pPr>
        <w:pStyle w:val="BodyText"/>
        <w:spacing w:line="240" w:lineRule="auto" w:before="51"/>
        <w:ind w:left="154"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w:t>
      </w:r>
    </w:p>
    <w:p>
      <w:pPr>
        <w:pStyle w:val="Heading5"/>
        <w:spacing w:line="256" w:lineRule="auto" w:before="89"/>
        <w:ind w:right="0"/>
        <w:jc w:val="left"/>
      </w:pPr>
      <w:r>
        <w:rPr>
          <w:spacing w:val="-1"/>
        </w:rPr>
        <w:t>本公司于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19</w:t>
      </w:r>
      <w:r>
        <w:rPr>
          <w:spacing w:val="-1"/>
        </w:rPr>
        <w:t>日发行</w:t>
      </w:r>
      <w:r>
        <w:rPr>
          <w:rFonts w:ascii="Times New Roman" w:hAnsi="Times New Roman" w:cs="Times New Roman" w:eastAsia="Times New Roman" w:hint="default"/>
          <w:spacing w:val="-1"/>
        </w:rPr>
        <w:t>2014</w:t>
      </w:r>
      <w:r>
        <w:rPr>
          <w:spacing w:val="-1"/>
        </w:rPr>
        <w:t>年度第一期非公开定向债务融资工具，实际发行总额</w:t>
      </w:r>
      <w:r>
        <w:rPr>
          <w:rFonts w:ascii="Times New Roman" w:hAnsi="Times New Roman" w:cs="Times New Roman" w:eastAsia="Times New Roman" w:hint="default"/>
          <w:spacing w:val="-1"/>
        </w:rPr>
        <w:t>2</w:t>
      </w:r>
      <w:r>
        <w:rPr>
          <w:spacing w:val="-1"/>
        </w:rPr>
        <w:t>亿元，期限</w:t>
      </w:r>
      <w:r>
        <w:rPr>
          <w:rFonts w:ascii="Times New Roman" w:hAnsi="Times New Roman" w:cs="Times New Roman" w:eastAsia="Times New Roman" w:hint="default"/>
          <w:spacing w:val="-1"/>
        </w:rPr>
        <w:t>365</w:t>
      </w:r>
      <w:r>
        <w:rPr>
          <w:spacing w:val="-1"/>
        </w:rPr>
        <w:t>天，</w:t>
      </w:r>
      <w:r>
        <w:rPr>
          <w:spacing w:val="-79"/>
        </w:rPr>
        <w:t> </w:t>
      </w:r>
      <w:r>
        <w:rPr/>
        <w:t>年利率</w:t>
      </w:r>
      <w:r>
        <w:rPr>
          <w:rFonts w:ascii="Times New Roman" w:hAnsi="Times New Roman" w:cs="Times New Roman" w:eastAsia="Times New Roman" w:hint="default"/>
        </w:rPr>
        <w:t>7.50%</w:t>
      </w:r>
      <w:r>
        <w:rPr/>
        <w:t>，计息方式为利随本清。</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日，本公司已经归还上述融资。</w:t>
      </w:r>
    </w:p>
    <w:p>
      <w:pPr>
        <w:spacing w:line="240" w:lineRule="auto" w:before="5"/>
        <w:rPr>
          <w:rFonts w:ascii="宋体" w:hAnsi="宋体" w:cs="宋体" w:eastAsia="宋体" w:hint="default"/>
          <w:sz w:val="23"/>
          <w:szCs w:val="23"/>
        </w:rPr>
      </w:pPr>
    </w:p>
    <w:p>
      <w:pPr>
        <w:pStyle w:val="Heading4"/>
        <w:spacing w:line="240" w:lineRule="auto"/>
        <w:ind w:left="154" w:right="0"/>
        <w:jc w:val="left"/>
        <w:rPr>
          <w:b w:val="0"/>
          <w:bCs w:val="0"/>
        </w:rPr>
      </w:pPr>
      <w:bookmarkStart w:name="28、长期借款" w:id="289"/>
      <w:bookmarkEnd w:id="289"/>
      <w:r>
        <w:rPr>
          <w:b w:val="0"/>
          <w:bCs w:val="0"/>
        </w:rPr>
      </w:r>
      <w:r>
        <w:rPr>
          <w:rFonts w:ascii="Times New Roman" w:hAnsi="Times New Roman" w:cs="Times New Roman" w:eastAsia="Times New Roman" w:hint="default"/>
        </w:rPr>
        <w:t>28</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长期借款分类" w:id="290"/>
      <w:bookmarkEnd w:id="29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3,212,017.69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17,269,377.25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144,257,824.41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147,469,842.10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17,269,377.25</w:t>
            </w:r>
          </w:p>
        </w:tc>
      </w:tr>
    </w:tbl>
    <w:p>
      <w:pPr>
        <w:spacing w:line="321" w:lineRule="auto" w:before="51"/>
        <w:ind w:left="153" w:right="2230" w:firstLine="0"/>
        <w:jc w:val="left"/>
        <w:rPr>
          <w:rFonts w:ascii="宋体" w:hAnsi="宋体" w:cs="宋体" w:eastAsia="宋体" w:hint="default"/>
          <w:sz w:val="18"/>
          <w:szCs w:val="18"/>
        </w:rPr>
      </w:pPr>
      <w:r>
        <w:rPr>
          <w:rFonts w:ascii="宋体" w:hAnsi="宋体" w:cs="宋体" w:eastAsia="宋体" w:hint="default"/>
          <w:sz w:val="18"/>
          <w:szCs w:val="18"/>
        </w:rPr>
        <w:t>长期借款分类的说明： </w:t>
      </w:r>
      <w:r>
        <w:rPr>
          <w:rFonts w:ascii="宋体" w:hAnsi="宋体" w:cs="宋体" w:eastAsia="宋体" w:hint="default"/>
          <w:sz w:val="21"/>
          <w:szCs w:val="21"/>
        </w:rPr>
        <w:t>长期借款期末较期初增加</w:t>
      </w:r>
      <w:r>
        <w:rPr>
          <w:rFonts w:ascii="Times New Roman" w:hAnsi="Times New Roman" w:cs="Times New Roman" w:eastAsia="Times New Roman" w:hint="default"/>
          <w:sz w:val="21"/>
          <w:szCs w:val="21"/>
        </w:rPr>
        <w:t>753.94%</w:t>
      </w:r>
      <w:r>
        <w:rPr>
          <w:rFonts w:ascii="宋体" w:hAnsi="宋体" w:cs="宋体" w:eastAsia="宋体" w:hint="default"/>
          <w:sz w:val="21"/>
          <w:szCs w:val="21"/>
        </w:rPr>
        <w:t>，主要原因是本期从中国进出口银行云南省分行借款所致。 </w:t>
      </w:r>
      <w:r>
        <w:rPr>
          <w:rFonts w:ascii="宋体" w:hAnsi="宋体" w:cs="宋体" w:eastAsia="宋体" w:hint="default"/>
          <w:sz w:val="18"/>
          <w:szCs w:val="18"/>
        </w:rPr>
        <w:t>其他说明，包括利率区间：</w:t>
      </w:r>
    </w:p>
    <w:p>
      <w:pPr>
        <w:spacing w:after="0" w:line="321"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4"/>
        <w:rPr>
          <w:rFonts w:ascii="宋体" w:hAnsi="宋体" w:cs="宋体" w:eastAsia="宋体" w:hint="default"/>
          <w:sz w:val="24"/>
          <w:szCs w:val="24"/>
        </w:rPr>
      </w:pPr>
    </w:p>
    <w:p>
      <w:pPr>
        <w:spacing w:before="31"/>
        <w:ind w:left="246"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）长期借款明细</w:t>
      </w:r>
    </w:p>
    <w:p>
      <w:pPr>
        <w:spacing w:line="240" w:lineRule="auto" w:before="4"/>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410"/>
        <w:gridCol w:w="2268"/>
        <w:gridCol w:w="1560"/>
        <w:gridCol w:w="851"/>
        <w:gridCol w:w="2119"/>
      </w:tblGrid>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贷款单位</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贷款银行</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借款金额</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币种</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抵押或担保情况</w:t>
            </w:r>
          </w:p>
        </w:tc>
      </w:tr>
      <w:tr>
        <w:trPr>
          <w:trHeight w:val="659"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192"/>
              <w:jc w:val="left"/>
              <w:rPr>
                <w:rFonts w:ascii="宋体" w:hAnsi="宋体" w:cs="宋体" w:eastAsia="宋体" w:hint="default"/>
                <w:sz w:val="22"/>
                <w:szCs w:val="22"/>
              </w:rPr>
            </w:pPr>
            <w:r>
              <w:rPr>
                <w:rFonts w:ascii="宋体" w:hAnsi="宋体" w:cs="宋体" w:eastAsia="宋体" w:hint="default"/>
                <w:sz w:val="22"/>
                <w:szCs w:val="22"/>
              </w:rPr>
              <w:t>云南南天电子信息产业</w:t>
            </w:r>
            <w:r>
              <w:rPr>
                <w:rFonts w:ascii="宋体" w:hAnsi="宋体" w:cs="宋体" w:eastAsia="宋体" w:hint="default"/>
                <w:w w:val="99"/>
                <w:sz w:val="22"/>
                <w:szCs w:val="22"/>
              </w:rPr>
              <w:t> </w:t>
            </w:r>
            <w:r>
              <w:rPr>
                <w:rFonts w:ascii="宋体" w:hAnsi="宋体" w:cs="宋体" w:eastAsia="宋体" w:hint="default"/>
                <w:sz w:val="22"/>
                <w:szCs w:val="22"/>
              </w:rPr>
              <w:t>股份有限公司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3" w:right="49"/>
              <w:jc w:val="left"/>
              <w:rPr>
                <w:rFonts w:ascii="宋体" w:hAnsi="宋体" w:cs="宋体" w:eastAsia="宋体" w:hint="default"/>
                <w:sz w:val="22"/>
                <w:szCs w:val="22"/>
              </w:rPr>
            </w:pPr>
            <w:r>
              <w:rPr>
                <w:rFonts w:ascii="宋体" w:hAnsi="宋体" w:cs="宋体" w:eastAsia="宋体" w:hint="default"/>
                <w:sz w:val="22"/>
                <w:szCs w:val="22"/>
              </w:rPr>
              <w:t>中国进出口银行云南省</w:t>
            </w:r>
            <w:r>
              <w:rPr>
                <w:rFonts w:ascii="宋体" w:hAnsi="宋体" w:cs="宋体" w:eastAsia="宋体" w:hint="default"/>
                <w:w w:val="99"/>
                <w:sz w:val="22"/>
                <w:szCs w:val="22"/>
              </w:rPr>
              <w:t> </w:t>
            </w:r>
            <w:r>
              <w:rPr>
                <w:rFonts w:ascii="宋体" w:hAnsi="宋体" w:cs="宋体" w:eastAsia="宋体" w:hint="default"/>
                <w:sz w:val="22"/>
                <w:szCs w:val="22"/>
              </w:rPr>
              <w:t>分行</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144,257,824.41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信用借款</w:t>
            </w:r>
          </w:p>
        </w:tc>
      </w:tr>
      <w:tr>
        <w:trPr>
          <w:trHeight w:val="659"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192"/>
              <w:jc w:val="left"/>
              <w:rPr>
                <w:rFonts w:ascii="宋体" w:hAnsi="宋体" w:cs="宋体" w:eastAsia="宋体" w:hint="default"/>
                <w:sz w:val="22"/>
                <w:szCs w:val="22"/>
              </w:rPr>
            </w:pPr>
            <w:r>
              <w:rPr>
                <w:rFonts w:ascii="宋体" w:hAnsi="宋体" w:cs="宋体" w:eastAsia="宋体" w:hint="default"/>
                <w:sz w:val="22"/>
                <w:szCs w:val="22"/>
              </w:rPr>
              <w:t>云南南天电子信息产业</w:t>
            </w:r>
            <w:r>
              <w:rPr>
                <w:rFonts w:ascii="宋体" w:hAnsi="宋体" w:cs="宋体" w:eastAsia="宋体" w:hint="default"/>
                <w:w w:val="99"/>
                <w:sz w:val="22"/>
                <w:szCs w:val="22"/>
              </w:rPr>
              <w:t> </w:t>
            </w:r>
            <w:r>
              <w:rPr>
                <w:rFonts w:ascii="宋体" w:hAnsi="宋体" w:cs="宋体" w:eastAsia="宋体" w:hint="default"/>
                <w:sz w:val="22"/>
                <w:szCs w:val="22"/>
              </w:rPr>
              <w:t>股份有限公司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3" w:right="49"/>
              <w:jc w:val="left"/>
              <w:rPr>
                <w:rFonts w:ascii="宋体" w:hAnsi="宋体" w:cs="宋体" w:eastAsia="宋体" w:hint="default"/>
                <w:sz w:val="22"/>
                <w:szCs w:val="22"/>
              </w:rPr>
            </w:pPr>
            <w:r>
              <w:rPr>
                <w:rFonts w:ascii="宋体" w:hAnsi="宋体" w:cs="宋体" w:eastAsia="宋体" w:hint="default"/>
                <w:sz w:val="22"/>
                <w:szCs w:val="22"/>
              </w:rPr>
              <w:t>意大利政府委托中国银</w:t>
            </w:r>
            <w:r>
              <w:rPr>
                <w:rFonts w:ascii="宋体" w:hAnsi="宋体" w:cs="宋体" w:eastAsia="宋体" w:hint="default"/>
                <w:w w:val="99"/>
                <w:sz w:val="22"/>
                <w:szCs w:val="22"/>
              </w:rPr>
              <w:t> </w:t>
            </w:r>
            <w:r>
              <w:rPr>
                <w:rFonts w:ascii="宋体" w:hAnsi="宋体" w:cs="宋体" w:eastAsia="宋体" w:hint="default"/>
                <w:sz w:val="22"/>
                <w:szCs w:val="22"/>
              </w:rPr>
              <w:t>行云南省分行贷款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2"/>
                <w:szCs w:val="22"/>
              </w:rPr>
            </w:pPr>
            <w:r>
              <w:rPr>
                <w:rFonts w:ascii="Times New Roman"/>
                <w:w w:val="95"/>
                <w:sz w:val="22"/>
              </w:rPr>
              <w:t>3,212,017.69</w:t>
            </w:r>
            <w:r>
              <w:rPr>
                <w:rFonts w:ascii="Times New Roman"/>
                <w:sz w:val="22"/>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美金</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抵押借款</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6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147,469,842.10</w:t>
            </w:r>
          </w:p>
        </w:tc>
        <w:tc>
          <w:tcPr>
            <w:tcW w:w="851" w:type="dxa"/>
            <w:tcBorders>
              <w:top w:val="single" w:sz="6" w:space="0" w:color="000000"/>
              <w:left w:val="single" w:sz="6" w:space="0" w:color="000000"/>
              <w:bottom w:val="single" w:sz="6" w:space="0" w:color="000000"/>
              <w:right w:val="single" w:sz="6" w:space="0" w:color="000000"/>
            </w:tcBorders>
          </w:tcPr>
          <w:p>
            <w:pPr/>
          </w:p>
        </w:tc>
        <w:tc>
          <w:tcPr>
            <w:tcW w:w="211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22"/>
          <w:szCs w:val="22"/>
        </w:rPr>
      </w:pPr>
    </w:p>
    <w:p>
      <w:pPr>
        <w:pStyle w:val="Heading3"/>
        <w:spacing w:line="240" w:lineRule="auto" w:before="26"/>
        <w:ind w:left="154" w:right="0"/>
        <w:jc w:val="left"/>
      </w:pPr>
      <w:r>
        <w:rPr/>
        <w:t>（</w:t>
      </w:r>
      <w:r>
        <w:rPr>
          <w:rFonts w:ascii="Times New Roman" w:hAnsi="Times New Roman" w:cs="Times New Roman" w:eastAsia="Times New Roman" w:hint="default"/>
        </w:rPr>
        <w:t>3</w:t>
      </w:r>
      <w:r>
        <w:rPr/>
        <w:t>）抵押借款</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970"/>
        <w:gridCol w:w="1700"/>
        <w:gridCol w:w="3544"/>
      </w:tblGrid>
      <w:tr>
        <w:trPr>
          <w:trHeight w:val="356" w:hRule="exact"/>
        </w:trPr>
        <w:tc>
          <w:tcPr>
            <w:tcW w:w="397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借款余额</w:t>
            </w:r>
          </w:p>
        </w:tc>
        <w:tc>
          <w:tcPr>
            <w:tcW w:w="3544"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抵押物</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云南南天电子信息产业股份有限公司</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3,212,017.69</w:t>
            </w:r>
          </w:p>
        </w:tc>
        <w:tc>
          <w:tcPr>
            <w:tcW w:w="354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零部件车间，配电楼，综合车间</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3,212,017.69</w:t>
            </w:r>
          </w:p>
        </w:tc>
        <w:tc>
          <w:tcPr>
            <w:tcW w:w="3544" w:type="dxa"/>
            <w:tcBorders>
              <w:top w:val="single" w:sz="12" w:space="0" w:color="000000"/>
              <w:left w:val="single" w:sz="6" w:space="0" w:color="000000"/>
              <w:bottom w:val="single" w:sz="12" w:space="0" w:color="000000"/>
              <w:right w:val="nil" w:sz="6" w:space="0" w:color="auto"/>
            </w:tcBorders>
          </w:tcPr>
          <w:p>
            <w:pPr/>
          </w:p>
        </w:tc>
      </w:tr>
    </w:tbl>
    <w:p>
      <w:pPr>
        <w:pStyle w:val="Heading3"/>
        <w:spacing w:line="293" w:lineRule="exact"/>
        <w:ind w:left="154" w:right="0"/>
        <w:jc w:val="left"/>
      </w:pPr>
      <w:r>
        <w:rPr/>
        <w:t>（</w:t>
      </w:r>
      <w:r>
        <w:rPr>
          <w:rFonts w:ascii="Times New Roman" w:hAnsi="Times New Roman" w:cs="Times New Roman" w:eastAsia="Times New Roman" w:hint="default"/>
        </w:rPr>
        <w:t>4</w:t>
      </w:r>
      <w:r>
        <w:rPr/>
        <w:t>）外币长期借款原币金额以及折算汇率列示</w:t>
      </w:r>
    </w:p>
    <w:p>
      <w:pPr>
        <w:spacing w:line="240" w:lineRule="auto" w:before="4"/>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702"/>
        <w:gridCol w:w="2552"/>
        <w:gridCol w:w="1985"/>
        <w:gridCol w:w="3261"/>
      </w:tblGrid>
      <w:tr>
        <w:trPr>
          <w:trHeight w:val="355" w:hRule="exact"/>
        </w:trPr>
        <w:tc>
          <w:tcPr>
            <w:tcW w:w="1702" w:type="dxa"/>
            <w:vMerge w:val="restart"/>
            <w:tcBorders>
              <w:top w:val="single" w:sz="6" w:space="0" w:color="000000"/>
              <w:left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7797" w:type="dxa"/>
            <w:gridSpan w:val="3"/>
            <w:tcBorders>
              <w:top w:val="single" w:sz="6" w:space="0" w:color="000000"/>
              <w:left w:val="single" w:sz="6" w:space="0" w:color="000000"/>
              <w:bottom w:val="single" w:sz="12"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744" w:hRule="exact"/>
        </w:trPr>
        <w:tc>
          <w:tcPr>
            <w:tcW w:w="1702" w:type="dxa"/>
            <w:vMerge/>
            <w:tcBorders>
              <w:left w:val="single" w:sz="6" w:space="0" w:color="000000"/>
              <w:bottom w:val="single" w:sz="12" w:space="0" w:color="000000"/>
              <w:right w:val="single" w:sz="6" w:space="0" w:color="000000"/>
            </w:tcBorders>
          </w:tcPr>
          <w:p>
            <w:pP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43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38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美元</w:t>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588" w:right="0"/>
              <w:jc w:val="left"/>
              <w:rPr>
                <w:rFonts w:ascii="Times New Roman" w:hAnsi="Times New Roman" w:cs="Times New Roman" w:eastAsia="Times New Roman" w:hint="default"/>
                <w:sz w:val="21"/>
                <w:szCs w:val="21"/>
              </w:rPr>
            </w:pPr>
            <w:r>
              <w:rPr>
                <w:rFonts w:ascii="Times New Roman"/>
                <w:sz w:val="21"/>
              </w:rPr>
              <w:t>494,643.60</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6.4936</w:t>
            </w: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3,212,017.69</w:t>
            </w:r>
          </w:p>
        </w:tc>
      </w:tr>
      <w:tr>
        <w:trPr>
          <w:trHeight w:val="35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single" w:sz="6" w:space="0" w:color="000000"/>
            </w:tcBorders>
          </w:tcPr>
          <w:p>
            <w:pP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3,212,017.69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5"/>
        <w:ind w:left="154" w:right="0"/>
        <w:jc w:val="left"/>
        <w:rPr>
          <w:b w:val="0"/>
          <w:bCs w:val="0"/>
        </w:rPr>
      </w:pPr>
      <w:bookmarkStart w:name="29、预计负债" w:id="291"/>
      <w:bookmarkEnd w:id="291"/>
      <w:r>
        <w:rPr>
          <w:b w:val="0"/>
          <w:bCs w:val="0"/>
        </w:rPr>
      </w:r>
      <w:r>
        <w:rPr>
          <w:rFonts w:ascii="Times New Roman" w:hAnsi="Times New Roman" w:cs="Times New Roman" w:eastAsia="Times New Roman" w:hint="default"/>
        </w:rPr>
        <w:t>29</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7,703,119.50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4,677,038.00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8,808,119.50</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4,677,038.00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其他说明，包括重要预计负债的相关重要假设、估计说明：</w:t>
      </w:r>
    </w:p>
    <w:p>
      <w:pPr>
        <w:pStyle w:val="Heading5"/>
        <w:spacing w:line="240" w:lineRule="auto" w:before="90"/>
        <w:ind w:left="154" w:right="0"/>
        <w:jc w:val="left"/>
      </w:pPr>
      <w:r>
        <w:rPr/>
        <w:t>预计负债期末余额较期初增加</w:t>
      </w:r>
      <w:r>
        <w:rPr>
          <w:rFonts w:ascii="Times New Roman" w:hAnsi="Times New Roman" w:cs="Times New Roman" w:eastAsia="Times New Roman" w:hint="default"/>
        </w:rPr>
        <w:t>88.33%</w:t>
      </w:r>
      <w:r>
        <w:rPr/>
        <w:t>，主要原因是本公司</w:t>
      </w:r>
      <w:r>
        <w:rPr>
          <w:rFonts w:ascii="Times New Roman" w:hAnsi="Times New Roman" w:cs="Times New Roman" w:eastAsia="Times New Roman" w:hint="default"/>
        </w:rPr>
        <w:t>BST</w:t>
      </w:r>
      <w:r>
        <w:rPr/>
        <w:t>、</w:t>
      </w:r>
      <w:r>
        <w:rPr>
          <w:rFonts w:ascii="Times New Roman" w:hAnsi="Times New Roman" w:cs="Times New Roman" w:eastAsia="Times New Roman" w:hint="default"/>
        </w:rPr>
        <w:t>BP</w:t>
      </w:r>
      <w:r>
        <w:rPr/>
        <w:t>、</w:t>
      </w:r>
      <w:r>
        <w:rPr>
          <w:rFonts w:ascii="Times New Roman" w:hAnsi="Times New Roman" w:cs="Times New Roman" w:eastAsia="Times New Roman" w:hint="default"/>
        </w:rPr>
        <w:t>PR</w:t>
      </w:r>
      <w:r>
        <w:rPr/>
        <w:t>售后维修费用增加所致。</w:t>
      </w:r>
    </w:p>
    <w:p>
      <w:pPr>
        <w:spacing w:line="240" w:lineRule="auto" w:before="8"/>
        <w:rPr>
          <w:rFonts w:ascii="宋体" w:hAnsi="宋体" w:cs="宋体" w:eastAsia="宋体" w:hint="default"/>
          <w:sz w:val="24"/>
          <w:szCs w:val="24"/>
        </w:rPr>
      </w:pPr>
    </w:p>
    <w:p>
      <w:pPr>
        <w:pStyle w:val="Heading4"/>
        <w:spacing w:line="240" w:lineRule="auto"/>
        <w:ind w:left="154" w:right="0"/>
        <w:jc w:val="left"/>
        <w:rPr>
          <w:b w:val="0"/>
          <w:bCs w:val="0"/>
        </w:rPr>
      </w:pPr>
      <w:bookmarkStart w:name="30、递延收益" w:id="292"/>
      <w:bookmarkEnd w:id="292"/>
      <w:r>
        <w:rPr>
          <w:b w:val="0"/>
          <w:bCs w:val="0"/>
        </w:rPr>
      </w:r>
      <w:r>
        <w:rPr>
          <w:rFonts w:ascii="Times New Roman" w:hAnsi="Times New Roman" w:cs="Times New Roman" w:eastAsia="Times New Roman" w:hint="default"/>
        </w:rPr>
        <w:t>30</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46,023,758.11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9,750,343.90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12,039,425.58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43,734,676.43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center"/>
              <w:rPr>
                <w:rFonts w:ascii="宋体" w:hAnsi="宋体" w:cs="宋体" w:eastAsia="宋体" w:hint="default"/>
                <w:sz w:val="18"/>
                <w:szCs w:val="18"/>
              </w:rPr>
            </w:pPr>
            <w:r>
              <w:rPr>
                <w:rFonts w:ascii="宋体" w:hAnsi="宋体" w:cs="宋体" w:eastAsia="宋体" w:hint="default"/>
                <w:sz w:val="18"/>
                <w:szCs w:val="18"/>
              </w:rPr>
              <w:t>收到政府补助资金</w:t>
            </w:r>
          </w:p>
        </w:tc>
      </w:tr>
      <w:tr>
        <w:trPr>
          <w:trHeight w:val="40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46,023,758.11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9,750,343.90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12,039,425.58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43,734,676.43</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7"/>
        <w:gridCol w:w="1367"/>
        <w:gridCol w:w="1367"/>
        <w:gridCol w:w="1367"/>
        <w:gridCol w:w="1355"/>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8" w:right="0"/>
              <w:jc w:val="left"/>
              <w:rPr>
                <w:rFonts w:ascii="宋体" w:hAnsi="宋体" w:cs="宋体" w:eastAsia="宋体" w:hint="default"/>
                <w:sz w:val="18"/>
                <w:szCs w:val="18"/>
              </w:rPr>
            </w:pPr>
            <w:r>
              <w:rPr>
                <w:rFonts w:ascii="宋体" w:hAnsi="宋体" w:cs="宋体" w:eastAsia="宋体" w:hint="default"/>
                <w:sz w:val="18"/>
                <w:szCs w:val="18"/>
              </w:rPr>
              <w:t>本期新增补助金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本期计入营业外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7"/>
              <w:jc w:val="right"/>
              <w:rPr>
                <w:rFonts w:ascii="宋体" w:hAnsi="宋体" w:cs="宋体" w:eastAsia="宋体" w:hint="default"/>
                <w:sz w:val="18"/>
                <w:szCs w:val="18"/>
              </w:rPr>
            </w:pPr>
            <w:r>
              <w:rPr>
                <w:rFonts w:ascii="宋体" w:hAnsi="宋体" w:cs="宋体" w:eastAsia="宋体" w:hint="default"/>
                <w:sz w:val="18"/>
                <w:szCs w:val="18"/>
              </w:rPr>
              <w:t>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年电子信息 产业振兴和技术 改造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12,045,099.12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406,593.89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11,638,505.23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南天商业银行中 间业务云平台改 造项目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金融行业业务管 理与信息服务系 统应用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2,389,064.46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2,389,064.46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经济开发区项目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3,659,857.09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123,542.04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3,536,315.05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基于云计算的银 行核心业务系统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基于云计算的银 行核心业务系统 建设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云科南天众创空 间</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符合国家标准的 移动支付产品研 发与应用示范项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南天多功能实时 制卡智能终端研 发产业化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年昆明市工 业发展引导资金 信息产业发展项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307,443.90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307,443.90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宋体" w:hAnsi="宋体" w:cs="宋体" w:eastAsia="宋体" w:hint="default"/>
                <w:sz w:val="18"/>
                <w:szCs w:val="18"/>
              </w:rPr>
              <w:t>经开区财政局拨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年企业扶持 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第三方支付平台 项目资金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南天智慧银行智 能终端研发及产 业化项目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经开区财政分局</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年企业生产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9.100006pt;margin-top:692.73999pt;width:74.2pt;height:15.65pt;mso-position-horizontal-relative:page;mso-position-vertical-relative:page;z-index:-1050640"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25.300003pt;margin-top:692.73999pt;width:68pt;height:15.65pt;mso-position-horizontal-relative:page;mso-position-vertical-relative:page;z-index:-1050616" coordorigin="2506,13855" coordsize="1360,313">
            <v:shape style="position:absolute;left:2506;top:13855;width:1360;height:313" coordorigin="2506,13855" coordsize="1360,313" path="m2506,14167l3866,14167,3866,13855,2506,13855,2506,1416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228"/>
        <w:gridCol w:w="1141"/>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面向电子商务的 信息技术服务平 台（快递、第三 方支付）研发及 产业化</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科技小巨人项目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63,298.79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30,887.46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张江专项资金项 目（南天面向金 融行业</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运维交 付系统建设项 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310,698.65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192,671.76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118,026.89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科技创新行动计 划政府资助项目</w:t>
            </w:r>
          </w:p>
          <w:p>
            <w:pPr>
              <w:pStyle w:val="TableParagraph"/>
              <w:spacing w:line="312" w:lineRule="auto" w:before="19"/>
              <w:ind w:left="22" w:right="7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 金融行业云运维 服务模式研究及 应用）</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468,240.00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427,386.53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120,853.47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张江专项资金项 目（基于视频通 讯的银行远程客 户服务系统应用 推广）</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张江专项资金项 目（基于云计算 的第三方支付系 统解决方案应用 推广）</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长宁区财政局零 余额专户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 科技扶持款</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上海市长宁区财 政局零余额专户 职工职业培训补 贴</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159,600.00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159,600.00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信息系统运维服 务支撑平台</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pacing w:val="-6"/>
                <w:sz w:val="18"/>
                <w:szCs w:val="18"/>
              </w:rPr>
              <w:t>信息系统（金融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运行维护支持系 统研发及产业化</w:t>
            </w:r>
          </w:p>
        </w:tc>
        <w:tc>
          <w:tcPr>
            <w:tcW w:w="228" w:type="dxa"/>
            <w:tcBorders>
              <w:top w:val="single" w:sz="4" w:space="0" w:color="000000"/>
              <w:left w:val="single" w:sz="4" w:space="0" w:color="000000"/>
              <w:bottom w:val="single" w:sz="4" w:space="0" w:color="000000"/>
              <w:right w:val="nil" w:sz="6" w:space="0" w:color="auto"/>
            </w:tcBorders>
          </w:tcPr>
          <w:p>
            <w:pPr/>
          </w:p>
        </w:tc>
        <w:tc>
          <w:tcPr>
            <w:tcW w:w="1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2,437,500.00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面向社会管理和</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7,500,000.00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29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服务的数据中心 虚拟资源调度与 管理系统研发及 应用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自助服务网络化 智能监控及运维 管理平台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云南省高新技术 企业创新能力建 设专项补助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昆明市</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年科 技计划项目补助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年昆明市盘 龙区科技计划项 目补助款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年省级第三 季度制造业扩销 促产补助资金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云南省科技计划 项目管理信息系 统（二期）研发 与建设政府补助 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年云南省重 点新产品研发补 助款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深圳福田区国库 支付中心产业专 项资金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46,023,758.11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9,750,343.90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12,039,425.58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43,734,676.43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1、股本" w:id="293"/>
      <w:bookmarkEnd w:id="293"/>
      <w:r>
        <w:rPr>
          <w:b w:val="0"/>
          <w:bCs w:val="0"/>
        </w:rPr>
      </w:r>
      <w:r>
        <w:rPr>
          <w:rFonts w:ascii="Times New Roman" w:hAnsi="Times New Roman" w:cs="Times New Roman" w:eastAsia="Times New Roman" w:hint="default"/>
        </w:rPr>
        <w:t>31</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246,606,046.00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246,606,046.00</w:t>
            </w:r>
          </w:p>
        </w:tc>
      </w:tr>
    </w:tbl>
    <w:p>
      <w:pPr>
        <w:pStyle w:val="BodyText"/>
        <w:spacing w:line="357" w:lineRule="auto" w:before="51"/>
        <w:ind w:right="8073"/>
        <w:jc w:val="left"/>
      </w:pPr>
      <w:r>
        <w:rPr/>
        <w:t>其他说明： 详见</w:t>
      </w:r>
      <w:r>
        <w:rPr>
          <w:rFonts w:ascii="Times New Roman" w:hAnsi="Times New Roman" w:cs="Times New Roman" w:eastAsia="Times New Roman" w:hint="default"/>
        </w:rPr>
        <w:t>“</w:t>
      </w:r>
      <w:r>
        <w:rPr/>
        <w:t>第六节一、股份变动情况</w:t>
      </w:r>
      <w:r>
        <w:rPr>
          <w:rFonts w:ascii="Times New Roman" w:hAnsi="Times New Roman" w:cs="Times New Roman" w:eastAsia="Times New Roman" w:hint="default"/>
        </w:rPr>
        <w:t>”</w:t>
      </w:r>
      <w:r>
        <w:rPr/>
        <w:t>。</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2、资本公积" w:id="294"/>
      <w:bookmarkEnd w:id="294"/>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733,762,106.07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733,762,106.07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64,446,211.89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2,965,780.46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67,411,992.35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798,208,317.96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2,965,780.46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801,174,098.42</w:t>
            </w:r>
          </w:p>
        </w:tc>
      </w:tr>
    </w:tbl>
    <w:p>
      <w:pPr>
        <w:pStyle w:val="BodyText"/>
        <w:spacing w:line="240" w:lineRule="auto" w:before="51"/>
        <w:ind w:left="154" w:right="0"/>
        <w:jc w:val="left"/>
      </w:pPr>
      <w:r>
        <w:rPr/>
        <w:t>其他说明，包括本期增减变动情况、变动原因说明：</w:t>
      </w:r>
    </w:p>
    <w:p>
      <w:pPr>
        <w:pStyle w:val="Heading5"/>
        <w:spacing w:line="273" w:lineRule="auto" w:before="89"/>
        <w:ind w:left="154" w:right="0"/>
        <w:jc w:val="left"/>
      </w:pPr>
      <w:r>
        <w:rPr>
          <w:spacing w:val="-1"/>
        </w:rPr>
        <w:t>本公司按享有权益比例核算联营企业云南医药工业股份有限公司除净利润、其他综合收益以外的其他权益</w:t>
      </w:r>
      <w:r>
        <w:rPr>
          <w:spacing w:val="-81"/>
        </w:rPr>
        <w:t> </w:t>
      </w:r>
      <w:r>
        <w:rPr>
          <w:spacing w:val="-81"/>
        </w:rPr>
      </w:r>
      <w:r>
        <w:rPr/>
        <w:t>变动增加</w:t>
      </w:r>
      <w:r>
        <w:rPr>
          <w:rFonts w:ascii="Times New Roman" w:hAnsi="Times New Roman" w:cs="Times New Roman" w:eastAsia="Times New Roman" w:hint="default"/>
        </w:rPr>
        <w:t>2,965,780.46</w:t>
      </w:r>
      <w:r>
        <w:rPr/>
        <w:t>元。</w:t>
      </w:r>
    </w:p>
    <w:p>
      <w:pPr>
        <w:spacing w:line="240" w:lineRule="auto" w:before="2"/>
        <w:rPr>
          <w:rFonts w:ascii="宋体" w:hAnsi="宋体" w:cs="宋体" w:eastAsia="宋体" w:hint="default"/>
          <w:sz w:val="22"/>
          <w:szCs w:val="22"/>
        </w:rPr>
      </w:pPr>
    </w:p>
    <w:p>
      <w:pPr>
        <w:pStyle w:val="Heading4"/>
        <w:spacing w:line="240" w:lineRule="auto"/>
        <w:ind w:left="154" w:right="0"/>
        <w:jc w:val="left"/>
        <w:rPr>
          <w:b w:val="0"/>
          <w:bCs w:val="0"/>
        </w:rPr>
      </w:pPr>
      <w:bookmarkStart w:name="33、其他综合收益" w:id="295"/>
      <w:bookmarkEnd w:id="295"/>
      <w:r>
        <w:rPr>
          <w:b w:val="0"/>
          <w:bCs w:val="0"/>
        </w:rPr>
      </w:r>
      <w:r>
        <w:rPr>
          <w:rFonts w:ascii="Times New Roman" w:hAnsi="Times New Roman" w:cs="Times New Roman" w:eastAsia="Times New Roman" w:hint="default"/>
        </w:rPr>
        <w:t>33</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397"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2,320,932.52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465,150.2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2,320,932.52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-1,855,782.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-1,855,782.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465,150.2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2,320,932.52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465,150.2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392"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其他说明，包括对现金流量套期损益的有效部分转为被套期项目初始确认金额调整：</w:t>
      </w:r>
    </w:p>
    <w:p>
      <w:pPr>
        <w:pStyle w:val="Heading5"/>
        <w:spacing w:line="240" w:lineRule="auto" w:before="90"/>
        <w:ind w:right="0"/>
        <w:jc w:val="left"/>
      </w:pPr>
      <w:r>
        <w:rPr/>
        <w:t>本公司按照享有权益比例分享联营企业云南医药工业股份有限公司将重分类进损益的其他综合收益</w:t>
      </w:r>
    </w:p>
    <w:p>
      <w:pPr>
        <w:pStyle w:val="Heading5"/>
        <w:spacing w:line="240" w:lineRule="auto" w:before="37"/>
        <w:ind w:right="0"/>
        <w:jc w:val="left"/>
      </w:pPr>
      <w:r>
        <w:rPr>
          <w:rFonts w:ascii="Times New Roman" w:hAnsi="Times New Roman" w:cs="Times New Roman" w:eastAsia="Times New Roman" w:hint="default"/>
        </w:rPr>
        <w:t>-1,855,782.25</w:t>
      </w:r>
      <w:r>
        <w:rPr/>
        <w:t>元。</w:t>
      </w:r>
    </w:p>
    <w:p>
      <w:pPr>
        <w:spacing w:line="240" w:lineRule="auto" w:before="8"/>
        <w:rPr>
          <w:rFonts w:ascii="宋体" w:hAnsi="宋体" w:cs="宋体" w:eastAsia="宋体" w:hint="default"/>
          <w:sz w:val="24"/>
          <w:szCs w:val="24"/>
        </w:rPr>
      </w:pPr>
    </w:p>
    <w:p>
      <w:pPr>
        <w:pStyle w:val="Heading4"/>
        <w:spacing w:line="240" w:lineRule="auto"/>
        <w:ind w:left="154" w:right="0"/>
        <w:jc w:val="left"/>
        <w:rPr>
          <w:b w:val="0"/>
          <w:bCs w:val="0"/>
        </w:rPr>
      </w:pPr>
      <w:bookmarkStart w:name="34、盈余公积" w:id="296"/>
      <w:bookmarkEnd w:id="296"/>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58,418,856.20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2,420,955.91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60,839,812.11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11,232,558.71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11,232,558.71</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69,651,414.91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2,420,955.91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72,072,370.82</w:t>
            </w:r>
          </w:p>
        </w:tc>
      </w:tr>
    </w:tbl>
    <w:p>
      <w:pPr>
        <w:pStyle w:val="BodyText"/>
        <w:spacing w:line="240" w:lineRule="auto" w:before="51"/>
        <w:ind w:left="154" w:right="0"/>
        <w:jc w:val="left"/>
      </w:pPr>
      <w:r>
        <w:rPr/>
        <w:t>盈余公积说明，包括本期增减变动情况、变动原因说明：</w:t>
      </w:r>
    </w:p>
    <w:p>
      <w:pPr>
        <w:pStyle w:val="Heading5"/>
        <w:spacing w:line="240" w:lineRule="auto" w:before="89"/>
        <w:ind w:left="154" w:right="0"/>
        <w:jc w:val="left"/>
      </w:pPr>
      <w:r>
        <w:rPr/>
        <w:t>根据公司法、本公司章程的规定，本公司按母公司净利润的</w:t>
      </w:r>
      <w:r>
        <w:rPr>
          <w:rFonts w:ascii="Times New Roman" w:hAnsi="Times New Roman" w:cs="Times New Roman" w:eastAsia="Times New Roman" w:hint="default"/>
        </w:rPr>
        <w:t>10%</w:t>
      </w:r>
      <w:r>
        <w:rPr/>
        <w:t>提取法定盈余公积金。</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5、未分配利润" w:id="297"/>
      <w:bookmarkEnd w:id="297"/>
      <w:r>
        <w:rPr>
          <w:b w:val="0"/>
          <w:bCs w:val="0"/>
        </w:rPr>
      </w:r>
      <w:r>
        <w:rPr>
          <w:rFonts w:ascii="Times New Roman" w:hAnsi="Times New Roman" w:cs="Times New Roman" w:eastAsia="Times New Roman" w:hint="default"/>
        </w:rPr>
        <w:t>35</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300,092,647.93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298,241,070.70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300,092,647.93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298,241,070.70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18,561,982.18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11,845,160.65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2,420,955.91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5,061,462.52</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4,932,120.89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4,932,120.90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3,564,061.27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307,737,492.04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300,092,647.93</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left="154" w:right="0"/>
        <w:jc w:val="left"/>
        <w:rPr>
          <w:b w:val="0"/>
          <w:bCs w:val="0"/>
        </w:rPr>
      </w:pPr>
      <w:bookmarkStart w:name="36、营业收入和营业成本" w:id="298"/>
      <w:bookmarkEnd w:id="298"/>
      <w:r>
        <w:rPr>
          <w:b w:val="0"/>
          <w:bCs w:val="0"/>
        </w:rPr>
      </w:r>
      <w:r>
        <w:rPr>
          <w:rFonts w:ascii="Times New Roman" w:hAnsi="Times New Roman" w:cs="Times New Roman" w:eastAsia="Times New Roman" w:hint="default"/>
        </w:rPr>
        <w:t>36</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2,042,645,851.05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1,584,030,857.86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1,799,893,936.16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1,393,674,544.08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95,368,525.20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33,233,736.60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28,832,462.37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10,600,057.55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2,138,014,376.25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1,617,264,594.46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1,828,726,398.53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1,404,274,601.63</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7、营业税金及附加" w:id="299"/>
      <w:bookmarkEnd w:id="299"/>
      <w:r>
        <w:rPr>
          <w:b w:val="0"/>
          <w:bCs w:val="0"/>
        </w:rPr>
      </w:r>
      <w:r>
        <w:rPr>
          <w:rFonts w:ascii="Times New Roman" w:hAnsi="Times New Roman" w:cs="Times New Roman" w:eastAsia="Times New Roman" w:hint="default"/>
        </w:rPr>
        <w:t>37</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1,280,300.88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1,187,259.28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3,813,761.50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4,027,286.10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1,634,469.17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1,725,979.84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999,541.89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856,182.30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15,290.63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出租房屋房产税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1,383,021.77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1,135,307.18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副食品调剂基金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26,685.47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47,461.31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58,834.78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52,857.62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9,202,817.49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9,047,624.26</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8、销售费用" w:id="300"/>
      <w:bookmarkEnd w:id="300"/>
      <w:r>
        <w:rPr>
          <w:b w:val="0"/>
          <w:bCs w:val="0"/>
        </w:rPr>
      </w:r>
      <w:r>
        <w:rPr>
          <w:rFonts w:ascii="Times New Roman" w:hAnsi="Times New Roman" w:cs="Times New Roman" w:eastAsia="Times New Roman" w:hint="default"/>
        </w:rPr>
        <w:t>38</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91,417,582.03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73,619,668.84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18,255,206.49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21,933,374.99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11,852,584.39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9,036,634.03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4,972,890.57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5,899,754.09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4,976,908.77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8,118,299.76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3,378,855.11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3,617,330.53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2,375,639.29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2,473,642.53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1,600,433.83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955,709.94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1,213,377.13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1,130,104.88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1,817,078.04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1,520,005.55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1,688,737.91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1,825,730.59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4,564,243.36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576,572.46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148,113,536.92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130,706,828.19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9、管理费用" w:id="301"/>
      <w:bookmarkEnd w:id="301"/>
      <w:r>
        <w:rPr>
          <w:b w:val="0"/>
          <w:bCs w:val="0"/>
        </w:rPr>
      </w:r>
      <w:r>
        <w:rPr>
          <w:rFonts w:ascii="Times New Roman" w:hAnsi="Times New Roman" w:cs="Times New Roman" w:eastAsia="Times New Roman" w:hint="default"/>
        </w:rPr>
        <w:t>39</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179,208,276.99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135,590,863.81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69,351,261.97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75,397,881.44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17,794,730.52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20,962,826.03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6,087,525.47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6,389,826.20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5,908,558.94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5,474,321.35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中介费用（包括咨询费）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6,646,862.70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2,674,650.14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5,232,350.82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8,373,680.18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4,091,226.87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3,837,403.92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2,427,218.51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7,132,288.22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912,351.40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596,372.68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1,086,286.17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1,740,513.54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963,974.69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1,304,492.28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1,046,083.67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962,556.17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678,340.01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204,742.64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325,283.29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17,788.53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435,444.07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377,075.00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476,958.72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714,000.43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166,982.89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516,642.85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629,901.38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488,342.40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203,323.63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201,368.87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697,049.00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595,829.00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1,619,121.53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1,210,816.90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305,989,113.24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274,764,282.58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0、财务费用" w:id="302"/>
      <w:bookmarkEnd w:id="302"/>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26,650,369.04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25,129,570.07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6,086,570.44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5,633,613.92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20,563,798.60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19,495,956.15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414,256.56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403,824.11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1,712,212.93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157,793.61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-1,297,956.37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246,030.50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1,499,759.46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706,779.62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1,381,314.58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20,765,701.69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21,830,080.85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1、资产减值损失" w:id="303"/>
      <w:bookmarkEnd w:id="303"/>
      <w:r>
        <w:rPr>
          <w:b w:val="0"/>
          <w:bCs w:val="0"/>
        </w:rPr>
      </w:r>
      <w:r>
        <w:rPr>
          <w:rFonts w:ascii="Times New Roman" w:hAnsi="Times New Roman" w:cs="Times New Roman" w:eastAsia="Times New Roman" w:hint="default"/>
        </w:rPr>
        <w:t>41</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22,996,132.02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8,552,392.03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2,575,757.53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8,397,643.28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50,612.28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31,290.00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16,569,078.70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12,285,384.34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43,691,580.53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29,266,709.65</w:t>
            </w:r>
          </w:p>
        </w:tc>
      </w:tr>
    </w:tbl>
    <w:p>
      <w:pPr>
        <w:pStyle w:val="BodyText"/>
        <w:spacing w:line="240" w:lineRule="auto" w:before="51"/>
        <w:ind w:left="154" w:right="0"/>
        <w:jc w:val="left"/>
      </w:pPr>
      <w:r>
        <w:rPr/>
        <w:t>其他说明：</w:t>
      </w:r>
    </w:p>
    <w:p>
      <w:pPr>
        <w:pStyle w:val="Heading5"/>
        <w:spacing w:line="240" w:lineRule="auto" w:before="90"/>
        <w:ind w:right="0"/>
        <w:jc w:val="left"/>
      </w:pPr>
      <w:r>
        <w:rPr/>
        <w:t>本期资产价值损失较上期增加</w:t>
      </w:r>
      <w:r>
        <w:rPr>
          <w:rFonts w:ascii="Times New Roman" w:hAnsi="Times New Roman" w:cs="Times New Roman" w:eastAsia="Times New Roman" w:hint="default"/>
        </w:rPr>
        <w:t>49.29%</w:t>
      </w:r>
      <w:r>
        <w:rPr/>
        <w:t>，主要原因是本公司按照坏账政策计提减值准备所致。</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42、公允价值变动收益" w:id="304"/>
      <w:bookmarkEnd w:id="304"/>
      <w:r>
        <w:rPr>
          <w:b w:val="0"/>
          <w:bCs w:val="0"/>
        </w:rPr>
      </w:r>
      <w:r>
        <w:rPr>
          <w:rFonts w:ascii="Times New Roman" w:hAnsi="Times New Roman" w:cs="Times New Roman" w:eastAsia="Times New Roman" w:hint="default"/>
        </w:rPr>
        <w:t>42</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1,280.00</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3、投资收益" w:id="305"/>
      <w:bookmarkEnd w:id="305"/>
      <w:r>
        <w:rPr>
          <w:b w:val="0"/>
          <w:bCs w:val="0"/>
        </w:rPr>
      </w:r>
      <w:r>
        <w:rPr>
          <w:rFonts w:ascii="Times New Roman" w:hAnsi="Times New Roman" w:cs="Times New Roman" w:eastAsia="Times New Roman" w:hint="default"/>
        </w:rPr>
        <w:t>43</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5,508,818.19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14,617,976.03</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3"/>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3,659.63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-156.20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9,307,400.00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7,026,000.00</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14,819,877.82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21,643,919.83</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4、营业外收入" w:id="306"/>
      <w:bookmarkEnd w:id="306"/>
      <w:r>
        <w:rPr>
          <w:b w:val="0"/>
          <w:bCs w:val="0"/>
        </w:rPr>
      </w:r>
      <w:r>
        <w:rPr>
          <w:rFonts w:ascii="Times New Roman" w:hAnsi="Times New Roman" w:cs="Times New Roman" w:eastAsia="Times New Roman" w:hint="default"/>
        </w:rPr>
        <w:t>44</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3"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238,650.31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14,222,440.97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238,650.31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238,650.31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14,222,440.97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238,650.31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12,039,425.58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17,652,559.79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12,039,425.58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212,232.49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3,994,183.18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318,916.88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584,148.52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314,829.38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12,809,225.26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36,453,332.46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12,592,905.27</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面向社会管 理和服务的 数据中心虚 拟资源调度 与管理系统 研发及应用 示范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云南省科技 计划项目管 理信息系统</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pacing w:val="-12"/>
                <w:sz w:val="18"/>
                <w:szCs w:val="18"/>
              </w:rPr>
              <w:t>（二期）研发</w:t>
            </w:r>
            <w:r>
              <w:rPr>
                <w:rFonts w:ascii="宋体" w:hAnsi="宋体" w:cs="宋体" w:eastAsia="宋体" w:hint="default"/>
                <w:sz w:val="18"/>
                <w:szCs w:val="18"/>
              </w:rPr>
              <w:t> 与建设政府 补助款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长宁区财政 局零余额专 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 技扶持款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年昆明 市工业发展 引导资金信 息产业发展 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符合国家标 准的移动支 付产品研究 与运用示范 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信息系统运 维服务支撑 平台</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2"/>
                <w:sz w:val="18"/>
                <w:szCs w:val="18"/>
              </w:rPr>
              <w:t>信息系统（金</w:t>
            </w:r>
            <w:r>
              <w:rPr>
                <w:rFonts w:ascii="宋体" w:hAnsi="宋体" w:cs="宋体" w:eastAsia="宋体" w:hint="default"/>
                <w:sz w:val="18"/>
                <w:szCs w:val="18"/>
              </w:rPr>
              <w:t> </w:t>
            </w:r>
            <w:r>
              <w:rPr>
                <w:rFonts w:ascii="宋体" w:hAnsi="宋体" w:cs="宋体" w:eastAsia="宋体" w:hint="default"/>
                <w:spacing w:val="-12"/>
                <w:sz w:val="18"/>
                <w:szCs w:val="18"/>
              </w:rPr>
              <w:t>融）运行维护</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支持系统研 发及产业化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其他零星政 府补助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607,860.00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1,873,751.34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科技创新行 动计划政府 </w:t>
            </w:r>
            <w:r>
              <w:rPr>
                <w:rFonts w:ascii="宋体" w:hAnsi="宋体" w:cs="宋体" w:eastAsia="宋体" w:hint="default"/>
                <w:spacing w:val="-12"/>
                <w:sz w:val="18"/>
                <w:szCs w:val="18"/>
              </w:rPr>
              <w:t>资助项目（基</w:t>
            </w:r>
            <w:r>
              <w:rPr>
                <w:rFonts w:ascii="宋体" w:hAnsi="宋体" w:cs="宋体" w:eastAsia="宋体" w:hint="default"/>
                <w:sz w:val="18"/>
                <w:szCs w:val="18"/>
              </w:rPr>
              <w:t>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ITSS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的金 融行业云运 维服务模式 研究及应用）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65pt;height:46.8pt;mso-position-horizontal-relative:char;mso-position-vertical-relative:line" coordorigin="0,0" coordsize="1053,936">
                  <v:group style="position:absolute;left:0;top:0;width:1053;height:936" coordorigin="0,0" coordsize="1053,936">
                    <v:shape style="position:absolute;left:0;top:0;width:1053;height:936" coordorigin="0,0" coordsize="1053,936" path="m0,936l1052,936,1052,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427,386.53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电子信息产 业振兴和技 术改造</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406,593.89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昆明市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年科技计划 项目补助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深圳福田区 国库支付中 心产业专项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370,500.00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经开区财政 分局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企业生产扶 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212,800.00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张江专项资 </w:t>
            </w:r>
            <w:r>
              <w:rPr>
                <w:rFonts w:ascii="宋体" w:hAnsi="宋体" w:cs="宋体" w:eastAsia="宋体" w:hint="default"/>
                <w:spacing w:val="-12"/>
                <w:sz w:val="18"/>
                <w:szCs w:val="18"/>
              </w:rPr>
              <w:t>金项目（南天</w:t>
            </w:r>
            <w:r>
              <w:rPr>
                <w:rFonts w:ascii="宋体" w:hAnsi="宋体" w:cs="宋体" w:eastAsia="宋体" w:hint="default"/>
                <w:sz w:val="18"/>
                <w:szCs w:val="18"/>
              </w:rPr>
              <w:t> 面向金融行 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运维交 付系统建设 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192,671.76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1,305,301.35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上海市长宁 区财政局零 余额专户职 工职业培训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自助服务网 络化智能监 控及运维管 理平台</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经济开发区</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123,542.04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292,951.48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年云南 省重点新产 品研发补助 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上海市长宁 区残疾人劳 动服务所残 疾人岗位补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47,583.90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小巨人政府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30,887.46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92,882.31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长宁区虹桥 临空经济园 区专项资金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上海市长宁 区财政局企 业职工职业 培训专项补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昆明市科学 技术局云南 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 点新产品补 助款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南天终端安 全管理平台 产业化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1,694,444.44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联合开发带 扫描功能的 高级存折打 印机</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458,333.33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云南省企业 成功上市和 发行债券专 项奖励资金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南天基于云 计算架构的 移动支付系 统和终端研</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发产业化项 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金融行业业 务管理与信 息服务系统 应用项目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5" w:right="0"/>
              <w:jc w:val="left"/>
              <w:rPr>
                <w:rFonts w:ascii="Times New Roman" w:hAnsi="Times New Roman" w:cs="Times New Roman" w:eastAsia="Times New Roman" w:hint="default"/>
                <w:sz w:val="18"/>
                <w:szCs w:val="18"/>
              </w:rPr>
            </w:pPr>
            <w:r>
              <w:rPr>
                <w:rFonts w:ascii="Times New Roman"/>
                <w:sz w:val="18"/>
              </w:rPr>
              <w:t>5,790,935.54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12,039,425.5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17,652,559.7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5、营业外支出" w:id="307"/>
      <w:bookmarkEnd w:id="307"/>
      <w:r>
        <w:rPr>
          <w:b w:val="0"/>
          <w:bCs w:val="0"/>
        </w:rPr>
      </w:r>
      <w:r>
        <w:rPr>
          <w:rFonts w:ascii="Times New Roman" w:hAnsi="Times New Roman" w:cs="Times New Roman" w:eastAsia="Times New Roman" w:hint="default"/>
        </w:rPr>
        <w:t>45</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407,223.89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77,281.60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407,223.89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407,223.89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77,281.60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407,223.89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2,217,977.42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1,338,632.21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2,001,187.12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2,675,201.31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1,465,913.81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6、所得税费用" w:id="308"/>
      <w:bookmarkEnd w:id="308"/>
      <w:r>
        <w:rPr>
          <w:b w:val="0"/>
          <w:bCs w:val="0"/>
        </w:rPr>
      </w:r>
      <w:r>
        <w:rPr>
          <w:rFonts w:ascii="Times New Roman" w:hAnsi="Times New Roman" w:cs="Times New Roman" w:eastAsia="Times New Roman" w:hint="default"/>
        </w:rPr>
        <w:t>46</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所得税费用表" w:id="309"/>
      <w:bookmarkEnd w:id="30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3,609,359.57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4,284,131.74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-5,084,104.46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1,494,316.25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-1,474,744.89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5,778,447.99</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会计利润与所得税费用调整过程" w:id="310"/>
      <w:bookmarkEnd w:id="31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17,946,613.69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2,691,992.06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-818,417.46</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-2,536,252.18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-2,230,226.01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2,383,848.84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-1,126,904.95</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9,557,685.80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税率变动的影响对期初递延所得税余额的影响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-5,180,328.94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-4,216,142.04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-1,474,744.89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8856" w:firstLine="0"/>
        <w:jc w:val="left"/>
        <w:rPr>
          <w:rFonts w:ascii="宋体" w:hAnsi="宋体" w:cs="宋体" w:eastAsia="宋体" w:hint="default"/>
          <w:sz w:val="21"/>
          <w:szCs w:val="21"/>
        </w:rPr>
      </w:pPr>
      <w:bookmarkStart w:name="47、其他综合收益" w:id="311"/>
      <w:bookmarkEnd w:id="311"/>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 </w:t>
      </w:r>
      <w:bookmarkStart w:name="48、现金流量表项目" w:id="312"/>
      <w:bookmarkEnd w:id="312"/>
      <w:r>
        <w:rPr>
          <w:rFonts w:ascii="宋体" w:hAnsi="宋体" w:cs="宋体" w:eastAsia="宋体" w:hint="default"/>
          <w:sz w:val="18"/>
          <w:szCs w:val="18"/>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0"/>
        <w:jc w:val="left"/>
        <w:rPr>
          <w:b w:val="0"/>
          <w:bCs w:val="0"/>
        </w:rPr>
      </w:pPr>
      <w:bookmarkStart w:name="（1）收到的其他与经营活动有关的现金" w:id="313"/>
      <w:bookmarkEnd w:id="31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6,544,447.13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5,633,613.92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33,053,799.74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25,015,329.30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8,444,749.56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12,671,363.50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职工归还备用金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1,469,352.55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308,066.73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CISCO SYSTEMS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品牌推广费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6,666,309.68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1,269,716.09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代垫款及往来款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9,023,656.28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4,161,617.90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11,590,986.99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5,390,255.27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收回受限保证金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27,567,946.06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8,190,017.34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830,535.55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代收代付水电费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1,691,243.36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86,874,562.63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82,848,444.32</w:t>
            </w:r>
          </w:p>
        </w:tc>
      </w:tr>
    </w:tbl>
    <w:p>
      <w:pPr>
        <w:pStyle w:val="BodyText"/>
        <w:spacing w:line="240" w:lineRule="auto" w:before="51"/>
        <w:ind w:left="154" w:right="0"/>
        <w:jc w:val="left"/>
      </w:pPr>
      <w:r>
        <w:rPr/>
        <w:t>收到的其他与经营活动有关的现金说明：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支付的其他与经营活动有关的现金" w:id="314"/>
      <w:bookmarkEnd w:id="31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41,132,124.92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32,147,397.33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支付使用受限的保证金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37,819,339.77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1,975,762.45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28,720,231.80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38,470,754.75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13,771,810.81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11,055,949.05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11,182,050.98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19,412,045.94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11,139,344.50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17,195,791.88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5,316,414.04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5,809,861.88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3,661,258.92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7,738,930.15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2,898,470.72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4,870,576.17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2,766,300.76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3,956,892.50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IMB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税金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2,315,356.45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代垫款及往来款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1,748,694.31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4,823,923.64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代收代付水电费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1,461,106.22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1,456,824.68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4,283,878.52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1,306,292.44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727,060.35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1,039,280.13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376,611.30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32,746,556.95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8,442,144.29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200,858,069.70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160,910,968.90</w:t>
            </w:r>
          </w:p>
        </w:tc>
      </w:tr>
    </w:tbl>
    <w:p>
      <w:pPr>
        <w:pStyle w:val="BodyText"/>
        <w:spacing w:line="240" w:lineRule="auto" w:before="51"/>
        <w:ind w:left="154"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3）收到的其他与筹资活动有关的现金" w:id="315"/>
      <w:bookmarkEnd w:id="315"/>
      <w:r>
        <w:rPr>
          <w:b w:val="0"/>
          <w:bCs w:val="0"/>
        </w:rPr>
      </w: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非公开定向债务融资工具</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200,000,000.00</w:t>
            </w:r>
          </w:p>
        </w:tc>
      </w:tr>
    </w:tbl>
    <w:p>
      <w:pPr>
        <w:pStyle w:val="BodyText"/>
        <w:spacing w:line="240" w:lineRule="auto" w:before="51"/>
        <w:ind w:left="154"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4）支付的其他与筹资活动有关的现金" w:id="316"/>
      <w:bookmarkEnd w:id="316"/>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496.569977pt;width:151.25pt;height:40.9pt;mso-position-horizontal-relative:page;mso-position-vertical-relative:page;z-index:-1050568" coordorigin="4467,9931" coordsize="3025,818">
            <v:group style="position:absolute;left:4478;top:9943;width:2;height:393" coordorigin="4478,9943" coordsize="2,393">
              <v:shape style="position:absolute;left:4478;top:9943;width:2;height:393" coordorigin="4478,9943" coordsize="0,393" path="m4478,9943l4478,10335e" filled="false" stroked="true" strokeweight="1.140pt" strokecolor="#ffffff">
                <v:path arrowok="t"/>
              </v:shape>
            </v:group>
            <v:group style="position:absolute;left:4490;top:9943;width:3002;height:393" coordorigin="4490,9943" coordsize="3002,393">
              <v:shape style="position:absolute;left:4490;top:9943;width:3002;height:393" coordorigin="4490,9943" coordsize="3002,393" path="m4490,10335l7491,10335,7491,9943,4490,9943,4490,10335xe" filled="true" fillcolor="#ffffff" stroked="false">
                <v:path arrowok="t"/>
                <v:fill type="solid"/>
              </v:shape>
            </v:group>
            <v:group style="position:absolute;left:4478;top:10345;width:2;height:393" coordorigin="4478,10345" coordsize="2,393">
              <v:shape style="position:absolute;left:4478;top:10345;width:2;height:393" coordorigin="4478,10345" coordsize="0,393" path="m4478,10345l4478,10737e" filled="false" stroked="true" strokeweight="1.140pt" strokecolor="#ffffff">
                <v:path arrowok="t"/>
              </v:shape>
            </v:group>
            <v:group style="position:absolute;left:4490;top:10345;width:3002;height:393" coordorigin="4490,10345" coordsize="3002,393">
              <v:shape style="position:absolute;left:4490;top:10345;width:3002;height:393" coordorigin="4490,10345" coordsize="3002,393" path="m4490,10737l7491,10737,7491,10345,4490,10345,4490,1073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非公开定向债务融资工具承销费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bl>
    <w:p>
      <w:pPr>
        <w:pStyle w:val="BodyText"/>
        <w:spacing w:line="240" w:lineRule="auto" w:before="51"/>
        <w:ind w:left="15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9、现金流量表补充资料" w:id="317"/>
      <w:bookmarkEnd w:id="317"/>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18"/>
      <w:bookmarkEnd w:id="31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19,421,358.58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9,690,441.86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43,691,580.53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29,266,709.65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19,564,768.62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21,642,194.25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18,133,645.53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21,296,861.86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822,140.43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955,783.67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-47,125,675.27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-14,154,423.08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15,814.00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5,252.70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-5,680.00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-1,280.00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26,650,369.04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25,129,570.07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-14,819,877.82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-21,643,919.83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-5,084,104.46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1,494,316.25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33,880,144.46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-22,772,662.79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50,198,252.62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-11,463,446.94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-66,964,439.39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-67,688,502.06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-5,261,081.68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73,117,215.19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-28,243,104.39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870,147,481.01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805,471,393.11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805,471,393.11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761,153,270.64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64,676,087.90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44,318,122.47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现金和现金等价物的构成" w:id="319"/>
      <w:bookmarkEnd w:id="319"/>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870,147,481.01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805,471,393.11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134,925.30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65,850.13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866,857,677.52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791,745,231.94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3,154,878.19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13,660,311.04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870,147,481.01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805,471,393.11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0、所有权或使用权受到限制的资产" w:id="320"/>
      <w:bookmarkEnd w:id="320"/>
      <w:r>
        <w:rPr>
          <w:b w:val="0"/>
          <w:bCs w:val="0"/>
        </w:rPr>
      </w:r>
      <w:r>
        <w:rPr>
          <w:rFonts w:ascii="Times New Roman" w:hAnsi="Times New Roman" w:cs="Times New Roman" w:eastAsia="Times New Roman" w:hint="default"/>
        </w:rPr>
        <w:t>50</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55,510,396.97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w:t>
            </w:r>
          </w:p>
        </w:tc>
      </w:tr>
      <w:tr>
        <w:trPr>
          <w:trHeight w:val="317" w:hRule="exact"/>
        </w:trPr>
        <w:tc>
          <w:tcPr>
            <w:tcW w:w="3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6,965,842.36</w:t>
            </w:r>
          </w:p>
        </w:tc>
        <w:tc>
          <w:tcPr>
            <w:tcW w:w="3184"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零部件车间，配电楼，综合车间用于意 大利政府抵押借款；天祥大厦 </w:t>
            </w:r>
            <w:r>
              <w:rPr>
                <w:rFonts w:ascii="Times New Roman" w:hAnsi="Times New Roman" w:cs="Times New Roman" w:eastAsia="Times New Roman" w:hint="default"/>
                <w:sz w:val="18"/>
                <w:szCs w:val="18"/>
              </w:rPr>
              <w:t>7B2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抵押 借款；广州南天大厦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宋体" w:hAnsi="宋体" w:cs="宋体" w:eastAsia="宋体" w:hint="default"/>
                <w:sz w:val="18"/>
                <w:szCs w:val="18"/>
              </w:rPr>
              <w:t>抵押借款</w:t>
            </w:r>
          </w:p>
        </w:tc>
      </w:tr>
      <w:tr>
        <w:trPr>
          <w:trHeight w:val="393" w:hRule="exact"/>
        </w:trPr>
        <w:tc>
          <w:tcPr>
            <w:tcW w:w="3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317" w:hRule="exact"/>
        </w:trPr>
        <w:tc>
          <w:tcPr>
            <w:tcW w:w="3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62,476,239.33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Heading5"/>
        <w:spacing w:line="256" w:lineRule="auto" w:before="90"/>
        <w:ind w:right="1130"/>
        <w:jc w:val="both"/>
      </w:pPr>
      <w:r>
        <w:rPr/>
        <w:t>（</w:t>
      </w:r>
      <w:r>
        <w:rPr>
          <w:rFonts w:ascii="Times New Roman" w:hAnsi="Times New Roman" w:cs="Times New Roman" w:eastAsia="Times New Roman" w:hint="default"/>
        </w:rPr>
        <w:t>1</w:t>
      </w:r>
      <w:r>
        <w:rPr/>
        <w:t>）本公司以零部件车间，配电楼，综合车间为抵押物，向意大利政府通过中国银行云南省分行贷给本</w:t>
      </w:r>
      <w:r>
        <w:rPr>
          <w:spacing w:val="-35"/>
        </w:rPr>
        <w:t> </w:t>
      </w:r>
      <w:r>
        <w:rPr>
          <w:spacing w:val="-35"/>
        </w:rPr>
      </w:r>
      <w:r>
        <w:rPr>
          <w:spacing w:val="-2"/>
        </w:rPr>
        <w:t>公司的委托贷款</w:t>
      </w:r>
      <w:r>
        <w:rPr>
          <w:rFonts w:ascii="Times New Roman" w:hAnsi="Times New Roman" w:cs="Times New Roman" w:eastAsia="Times New Roman" w:hint="default"/>
          <w:spacing w:val="-2"/>
        </w:rPr>
        <w:t>2,498,200.00</w:t>
      </w:r>
      <w:r>
        <w:rPr>
          <w:spacing w:val="-2"/>
        </w:rPr>
        <w:t>美元提供抵押担保，借款期限为</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14</w:t>
      </w:r>
      <w:r>
        <w:rPr>
          <w:spacing w:val="-2"/>
        </w:rPr>
        <w:t>日至</w:t>
      </w:r>
      <w:r>
        <w:rPr>
          <w:rFonts w:ascii="Times New Roman" w:hAnsi="Times New Roman" w:cs="Times New Roman" w:eastAsia="Times New Roman" w:hint="default"/>
          <w:spacing w:val="-2"/>
        </w:rPr>
        <w:t>2022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日，借款利率固</w:t>
      </w:r>
      <w:r>
        <w:rPr>
          <w:spacing w:val="-72"/>
        </w:rPr>
        <w:t> </w:t>
      </w:r>
      <w:r>
        <w:rPr>
          <w:spacing w:val="-72"/>
        </w:rPr>
      </w:r>
      <w:r>
        <w:rPr>
          <w:spacing w:val="-2"/>
        </w:rPr>
        <w:t>定为</w:t>
      </w:r>
      <w:r>
        <w:rPr>
          <w:rFonts w:ascii="Times New Roman" w:hAnsi="Times New Roman" w:cs="Times New Roman" w:eastAsia="Times New Roman" w:hint="default"/>
          <w:spacing w:val="-2"/>
        </w:rPr>
        <w:t>1%</w:t>
      </w:r>
      <w:r>
        <w:rPr>
          <w:spacing w:val="-2"/>
        </w:rPr>
        <w:t>，尚未偿还的委托贷款期初余额为</w:t>
      </w:r>
      <w:r>
        <w:rPr>
          <w:rFonts w:ascii="Times New Roman" w:hAnsi="Times New Roman" w:cs="Times New Roman" w:eastAsia="Times New Roman" w:hint="default"/>
          <w:spacing w:val="-2"/>
        </w:rPr>
        <w:t>674,514.00</w:t>
      </w:r>
      <w:r>
        <w:rPr>
          <w:spacing w:val="-2"/>
        </w:rPr>
        <w:t>美元，期末余额为</w:t>
      </w:r>
      <w:r>
        <w:rPr>
          <w:rFonts w:ascii="Times New Roman" w:hAnsi="Times New Roman" w:cs="Times New Roman" w:eastAsia="Times New Roman" w:hint="default"/>
          <w:spacing w:val="-2"/>
        </w:rPr>
        <w:t>584,578.80</w:t>
      </w:r>
      <w:r>
        <w:rPr>
          <w:spacing w:val="-2"/>
        </w:rPr>
        <w:t>美元，用于抵押的固定资</w:t>
      </w:r>
      <w:r>
        <w:rPr>
          <w:spacing w:val="-86"/>
        </w:rPr>
        <w:t> </w:t>
      </w:r>
      <w:r>
        <w:rPr>
          <w:spacing w:val="-86"/>
        </w:rPr>
      </w:r>
      <w:r>
        <w:rPr/>
        <w:t>产期初账面价值</w:t>
      </w:r>
      <w:r>
        <w:rPr>
          <w:rFonts w:ascii="Times New Roman" w:hAnsi="Times New Roman" w:cs="Times New Roman" w:eastAsia="Times New Roman" w:hint="default"/>
        </w:rPr>
        <w:t>2,082,775.54</w:t>
      </w:r>
      <w:r>
        <w:rPr/>
        <w:t>元，期末账面价值</w:t>
      </w:r>
      <w:r>
        <w:rPr>
          <w:rFonts w:ascii="Times New Roman" w:hAnsi="Times New Roman" w:cs="Times New Roman" w:eastAsia="Times New Roman" w:hint="default"/>
        </w:rPr>
        <w:t>1,924,361.02</w:t>
      </w:r>
      <w:r>
        <w:rPr/>
        <w:t>元。上述借款额在</w:t>
      </w:r>
      <w:r>
        <w:rPr>
          <w:rFonts w:ascii="Times New Roman" w:hAnsi="Times New Roman" w:cs="Times New Roman" w:eastAsia="Times New Roman" w:hint="default"/>
        </w:rPr>
        <w:t>“</w:t>
      </w:r>
      <w:r>
        <w:rPr/>
        <w:t>长期借款</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一年到期的非</w:t>
      </w:r>
      <w:r>
        <w:rPr>
          <w:spacing w:val="-101"/>
        </w:rPr>
        <w:t> </w:t>
      </w:r>
      <w:r>
        <w:rPr>
          <w:spacing w:val="-101"/>
        </w:rPr>
      </w:r>
      <w:r>
        <w:rPr/>
        <w:t>流动负债</w:t>
      </w:r>
      <w:r>
        <w:rPr>
          <w:rFonts w:ascii="Times New Roman" w:hAnsi="Times New Roman" w:cs="Times New Roman" w:eastAsia="Times New Roman" w:hint="default"/>
        </w:rPr>
        <w:t>”</w:t>
      </w:r>
      <w:r>
        <w:rPr/>
        <w:t>列报。</w:t>
      </w:r>
    </w:p>
    <w:p>
      <w:pPr>
        <w:pStyle w:val="Heading5"/>
        <w:spacing w:line="256" w:lineRule="auto" w:before="54"/>
        <w:ind w:right="1023"/>
        <w:jc w:val="left"/>
      </w:pPr>
      <w:r>
        <w:rPr/>
        <w:t>（</w:t>
      </w:r>
      <w:r>
        <w:rPr>
          <w:rFonts w:ascii="Times New Roman" w:hAnsi="Times New Roman" w:cs="Times New Roman" w:eastAsia="Times New Roman" w:hint="default"/>
        </w:rPr>
        <w:t>2</w:t>
      </w:r>
      <w:r>
        <w:rPr/>
        <w:t>）本公司的子公司深圳南天东华科技有限公司（简称</w:t>
      </w:r>
      <w:r>
        <w:rPr>
          <w:rFonts w:ascii="Times New Roman" w:hAnsi="Times New Roman" w:cs="Times New Roman" w:eastAsia="Times New Roman" w:hint="default"/>
        </w:rPr>
        <w:t>“</w:t>
      </w:r>
      <w:r>
        <w:rPr/>
        <w:t>深圳南天</w:t>
      </w:r>
      <w:r>
        <w:rPr>
          <w:rFonts w:ascii="Times New Roman" w:hAnsi="Times New Roman" w:cs="Times New Roman" w:eastAsia="Times New Roman" w:hint="default"/>
        </w:rPr>
        <w:t>”</w:t>
      </w:r>
      <w:r>
        <w:rPr/>
        <w:t>）以深圳市福田区天祥大厦</w:t>
      </w:r>
      <w:r>
        <w:rPr>
          <w:rFonts w:ascii="Times New Roman" w:hAnsi="Times New Roman" w:cs="Times New Roman" w:eastAsia="Times New Roman" w:hint="default"/>
        </w:rPr>
        <w:t>7</w:t>
      </w:r>
      <w:r>
        <w:rPr/>
        <w:t>层</w:t>
      </w:r>
      <w:r>
        <w:rPr>
          <w:rFonts w:ascii="Times New Roman" w:hAnsi="Times New Roman" w:cs="Times New Roman" w:eastAsia="Times New Roman" w:hint="default"/>
        </w:rPr>
        <w:t>B2</w:t>
      </w:r>
      <w:r>
        <w:rPr/>
        <w:t>为抵</w:t>
      </w:r>
      <w:r>
        <w:rPr>
          <w:spacing w:val="1"/>
        </w:rPr>
        <w:t> </w:t>
      </w:r>
      <w:r>
        <w:rPr/>
        <w:t>押物，向华夏银行深圳南头支行借款</w:t>
      </w:r>
      <w:r>
        <w:rPr>
          <w:rFonts w:ascii="Times New Roman" w:hAnsi="Times New Roman" w:cs="Times New Roman" w:eastAsia="Times New Roman" w:hint="default"/>
        </w:rPr>
        <w:t>15,500,000.00</w:t>
      </w:r>
      <w:r>
        <w:rPr/>
        <w:t>元，借款期限为：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w:t>
      </w:r>
      <w:r>
        <w:rPr>
          <w:spacing w:val="-42"/>
        </w:rPr>
        <w:t> </w:t>
      </w:r>
      <w:r>
        <w:rPr>
          <w:spacing w:val="-5"/>
        </w:rPr>
        <w:t>，借款</w:t>
      </w:r>
      <w:r>
        <w:rPr/>
        <w:t> 固定利率为：</w:t>
      </w:r>
      <w:r>
        <w:rPr>
          <w:rFonts w:ascii="Times New Roman" w:hAnsi="Times New Roman" w:cs="Times New Roman" w:eastAsia="Times New Roman" w:hint="default"/>
        </w:rPr>
        <w:t>7.20%</w:t>
      </w:r>
      <w:r>
        <w:rPr/>
        <w:t>，尚未偿还的借款期末余额为</w:t>
      </w:r>
      <w:r>
        <w:rPr>
          <w:rFonts w:ascii="Times New Roman" w:hAnsi="Times New Roman" w:cs="Times New Roman" w:eastAsia="Times New Roman" w:hint="default"/>
        </w:rPr>
        <w:t>15,500,000.00</w:t>
      </w:r>
      <w:r>
        <w:rPr/>
        <w:t>元。用于抵押的固定资产期初账面价值为： </w:t>
      </w:r>
      <w:r>
        <w:rPr>
          <w:rFonts w:ascii="Times New Roman" w:hAnsi="Times New Roman" w:cs="Times New Roman" w:eastAsia="Times New Roman" w:hint="default"/>
        </w:rPr>
        <w:t>1,870,737.52</w:t>
      </w:r>
      <w:r>
        <w:rPr/>
        <w:t>元，期末账面价值为：</w:t>
      </w:r>
      <w:r>
        <w:rPr>
          <w:rFonts w:ascii="Times New Roman" w:hAnsi="Times New Roman" w:cs="Times New Roman" w:eastAsia="Times New Roman" w:hint="default"/>
        </w:rPr>
        <w:t>1,799,738.14</w:t>
      </w:r>
      <w:r>
        <w:rPr/>
        <w:t>元。上述借款额在</w:t>
      </w:r>
      <w:r>
        <w:rPr>
          <w:rFonts w:ascii="Times New Roman" w:hAnsi="Times New Roman" w:cs="Times New Roman" w:eastAsia="Times New Roman" w:hint="default"/>
        </w:rPr>
        <w:t>“</w:t>
      </w:r>
      <w:r>
        <w:rPr/>
        <w:t>短期借款</w:t>
      </w:r>
      <w:r>
        <w:rPr>
          <w:rFonts w:ascii="Times New Roman" w:hAnsi="Times New Roman" w:cs="Times New Roman" w:eastAsia="Times New Roman" w:hint="default"/>
        </w:rPr>
        <w:t>”</w:t>
      </w:r>
      <w:r>
        <w:rPr/>
        <w:t>中列报。</w:t>
      </w:r>
    </w:p>
    <w:p>
      <w:pPr>
        <w:pStyle w:val="Heading5"/>
        <w:spacing w:line="256" w:lineRule="auto" w:before="55"/>
        <w:ind w:right="0"/>
        <w:jc w:val="left"/>
      </w:pPr>
      <w:r>
        <w:rPr>
          <w:spacing w:val="-1"/>
        </w:rPr>
        <w:t>（</w:t>
      </w:r>
      <w:r>
        <w:rPr>
          <w:rFonts w:ascii="Times New Roman" w:hAnsi="Times New Roman" w:cs="Times New Roman" w:eastAsia="Times New Roman" w:hint="default"/>
          <w:spacing w:val="-1"/>
        </w:rPr>
        <w:t>3</w:t>
      </w:r>
      <w:r>
        <w:rPr>
          <w:spacing w:val="-1"/>
        </w:rPr>
        <w:t>）本公司的子公司广州南天电脑系统有限公司（简称</w:t>
      </w:r>
      <w:r>
        <w:rPr>
          <w:rFonts w:ascii="Times New Roman" w:hAnsi="Times New Roman" w:cs="Times New Roman" w:eastAsia="Times New Roman" w:hint="default"/>
          <w:spacing w:val="-1"/>
        </w:rPr>
        <w:t>“</w:t>
      </w:r>
      <w:r>
        <w:rPr>
          <w:spacing w:val="-1"/>
        </w:rPr>
        <w:t>广州南天）以广州市天河区天河软件工业园南天</w:t>
      </w:r>
      <w:r>
        <w:rPr>
          <w:spacing w:val="-70"/>
        </w:rPr>
        <w:t> </w:t>
      </w:r>
      <w:r>
        <w:rPr>
          <w:spacing w:val="-70"/>
        </w:rPr>
      </w:r>
      <w:r>
        <w:rPr>
          <w:spacing w:val="-2"/>
        </w:rPr>
        <w:t>大厦</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5</w:t>
      </w:r>
      <w:r>
        <w:rPr>
          <w:spacing w:val="-2"/>
        </w:rPr>
        <w:t>层为抵押物，向广东华兴银行股份有限公司广州分行的借款</w:t>
      </w:r>
      <w:r>
        <w:rPr>
          <w:rFonts w:ascii="Times New Roman" w:hAnsi="Times New Roman" w:cs="Times New Roman" w:eastAsia="Times New Roman" w:hint="default"/>
          <w:spacing w:val="-2"/>
        </w:rPr>
        <w:t>5,646,653.12</w:t>
      </w:r>
      <w:r>
        <w:rPr>
          <w:spacing w:val="-2"/>
        </w:rPr>
        <w:t>元提供抵押担保。借款期</w:t>
      </w:r>
      <w:r>
        <w:rPr>
          <w:spacing w:val="-77"/>
        </w:rPr>
        <w:t> </w:t>
      </w:r>
      <w:r>
        <w:rPr>
          <w:spacing w:val="-77"/>
        </w:rPr>
      </w:r>
      <w:r>
        <w:rPr/>
        <w:t>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日，借款利率为固定利率</w:t>
      </w:r>
      <w:r>
        <w:rPr>
          <w:rFonts w:ascii="Times New Roman" w:hAnsi="Times New Roman" w:cs="Times New Roman" w:eastAsia="Times New Roman" w:hint="default"/>
        </w:rPr>
        <w:t>5.98%</w:t>
      </w:r>
      <w:r>
        <w:rPr/>
        <w:t>。期末尚未偿还的贷款余额为 </w:t>
      </w:r>
      <w:r>
        <w:rPr>
          <w:rFonts w:ascii="Times New Roman" w:hAnsi="Times New Roman" w:cs="Times New Roman" w:eastAsia="Times New Roman" w:hint="default"/>
          <w:spacing w:val="-1"/>
        </w:rPr>
        <w:t>5,646,653.12</w:t>
      </w:r>
      <w:r>
        <w:rPr>
          <w:spacing w:val="-1"/>
        </w:rPr>
        <w:t>元。用于抵押的固定资产（</w:t>
      </w:r>
      <w:r>
        <w:rPr>
          <w:rFonts w:ascii="Times New Roman" w:hAnsi="Times New Roman" w:cs="Times New Roman" w:eastAsia="Times New Roman" w:hint="default"/>
          <w:spacing w:val="-1"/>
        </w:rPr>
        <w:t>5</w:t>
      </w:r>
      <w:r>
        <w:rPr>
          <w:spacing w:val="-1"/>
        </w:rPr>
        <w:t>层）期末账面价值为：</w:t>
      </w:r>
      <w:r>
        <w:rPr>
          <w:rFonts w:ascii="Times New Roman" w:hAnsi="Times New Roman" w:cs="Times New Roman" w:eastAsia="Times New Roman" w:hint="default"/>
          <w:spacing w:val="-1"/>
        </w:rPr>
        <w:t>1,957,098.95</w:t>
      </w:r>
      <w:r>
        <w:rPr>
          <w:spacing w:val="-1"/>
        </w:rPr>
        <w:t>元。用于抵押的投资性房地产</w:t>
      </w:r>
    </w:p>
    <w:p>
      <w:pPr>
        <w:pStyle w:val="Heading5"/>
        <w:spacing w:line="240" w:lineRule="auto" w:before="5"/>
        <w:ind w:right="0"/>
        <w:jc w:val="left"/>
      </w:pPr>
      <w:r>
        <w:rPr/>
        <w:t>（</w:t>
      </w:r>
      <w:r>
        <w:rPr>
          <w:rFonts w:ascii="Times New Roman" w:hAnsi="Times New Roman" w:cs="Times New Roman" w:eastAsia="Times New Roman" w:hint="default"/>
        </w:rPr>
        <w:t>4</w:t>
      </w:r>
      <w:r>
        <w:rPr/>
        <w:t>层）期末账面价值为：</w:t>
      </w:r>
      <w:r>
        <w:rPr>
          <w:rFonts w:ascii="Times New Roman" w:hAnsi="Times New Roman" w:cs="Times New Roman" w:eastAsia="Times New Roman" w:hint="default"/>
        </w:rPr>
        <w:t>1,284,644.25</w:t>
      </w:r>
      <w:r>
        <w:rPr/>
        <w:t>元。上述借款额在</w:t>
      </w:r>
      <w:r>
        <w:rPr>
          <w:rFonts w:ascii="Times New Roman" w:hAnsi="Times New Roman" w:cs="Times New Roman" w:eastAsia="Times New Roman" w:hint="default"/>
        </w:rPr>
        <w:t>“</w:t>
      </w:r>
      <w:r>
        <w:rPr/>
        <w:t>短期借款</w:t>
      </w:r>
      <w:r>
        <w:rPr>
          <w:rFonts w:ascii="Times New Roman" w:hAnsi="Times New Roman" w:cs="Times New Roman" w:eastAsia="Times New Roman" w:hint="default"/>
        </w:rPr>
        <w:t>”</w:t>
      </w:r>
      <w:r>
        <w:rPr/>
        <w:t>中列报。</w:t>
      </w:r>
    </w:p>
    <w:p>
      <w:pPr>
        <w:pStyle w:val="Heading5"/>
        <w:spacing w:line="256" w:lineRule="auto" w:before="71"/>
        <w:ind w:right="1012"/>
        <w:jc w:val="left"/>
      </w:pPr>
      <w:r>
        <w:rPr/>
        <w:t>（</w:t>
      </w:r>
      <w:r>
        <w:rPr>
          <w:rFonts w:ascii="Times New Roman" w:hAnsi="Times New Roman" w:cs="Times New Roman" w:eastAsia="Times New Roman" w:hint="default"/>
        </w:rPr>
        <w:t>4</w:t>
      </w:r>
      <w:r>
        <w:rPr/>
        <w:t>）本期本公司受限货币资金主要在</w:t>
      </w:r>
      <w:r>
        <w:rPr>
          <w:rFonts w:ascii="Times New Roman" w:hAnsi="Times New Roman" w:cs="Times New Roman" w:eastAsia="Times New Roman" w:hint="default"/>
        </w:rPr>
        <w:t>“</w:t>
      </w:r>
      <w:r>
        <w:rPr/>
        <w:t>其他货币资金</w:t>
      </w:r>
      <w:r>
        <w:rPr>
          <w:rFonts w:ascii="Times New Roman" w:hAnsi="Times New Roman" w:cs="Times New Roman" w:eastAsia="Times New Roman" w:hint="default"/>
        </w:rPr>
        <w:t>”</w:t>
      </w:r>
      <w:r>
        <w:rPr/>
        <w:t>中的期末未到期保函保证金及银行承兑汇票保证金。 其中：保函保证金</w:t>
      </w:r>
      <w:r>
        <w:rPr>
          <w:rFonts w:ascii="Times New Roman" w:hAnsi="Times New Roman" w:cs="Times New Roman" w:eastAsia="Times New Roman" w:hint="default"/>
        </w:rPr>
        <w:t>34,584,784.96</w:t>
      </w:r>
      <w:r>
        <w:rPr/>
        <w:t>元，银行承兑汇票保证金</w:t>
      </w:r>
      <w:r>
        <w:rPr>
          <w:rFonts w:ascii="Times New Roman" w:hAnsi="Times New Roman" w:cs="Times New Roman" w:eastAsia="Times New Roman" w:hint="default"/>
        </w:rPr>
        <w:t>20,925,612.01</w:t>
      </w:r>
      <w:r>
        <w:rPr/>
        <w:t>元。</w:t>
      </w:r>
    </w:p>
    <w:p>
      <w:pPr>
        <w:spacing w:after="0" w:line="25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1、外币货币性项目" w:id="321"/>
      <w:bookmarkEnd w:id="321"/>
      <w:r>
        <w:rPr>
          <w:b w:val="0"/>
          <w:bCs w:val="0"/>
        </w:rPr>
      </w:r>
      <w:r>
        <w:rPr>
          <w:rFonts w:ascii="Times New Roman" w:hAnsi="Times New Roman" w:cs="Times New Roman" w:eastAsia="Times New Roman" w:hint="default"/>
        </w:rPr>
        <w:t>51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22"/>
      <w:bookmarkEnd w:id="32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2,255,357.93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14,645,392.26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664.91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89,935.20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584,003.21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89,935.20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584,003.21</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494,643.60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3,212,017.69</w:t>
            </w:r>
          </w:p>
        </w:tc>
      </w:tr>
    </w:tbl>
    <w:p>
      <w:pPr>
        <w:pStyle w:val="BodyText"/>
        <w:spacing w:line="240" w:lineRule="auto" w:before="51"/>
        <w:ind w:left="154" w:right="0"/>
        <w:jc w:val="left"/>
      </w:pPr>
      <w:r>
        <w:rPr/>
        <w:t>其他说明：</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合并范围的变更" w:id="323"/>
      <w:bookmarkEnd w:id="323"/>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spacing w:line="501" w:lineRule="auto" w:before="0"/>
        <w:ind w:left="153" w:right="7603" w:firstLine="0"/>
        <w:jc w:val="left"/>
        <w:rPr>
          <w:rFonts w:ascii="宋体" w:hAnsi="宋体" w:cs="宋体" w:eastAsia="宋体" w:hint="default"/>
          <w:sz w:val="21"/>
          <w:szCs w:val="21"/>
        </w:rPr>
      </w:pPr>
      <w:bookmarkStart w:name="1、其他" w:id="324"/>
      <w:bookmarkEnd w:id="32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本公司本期合并范围未发生变更。 </w:t>
      </w:r>
      <w:bookmarkStart w:name="九、在其他主体中的权益" w:id="325"/>
      <w:bookmarkEnd w:id="325"/>
      <w:r>
        <w:rPr>
          <w:rFonts w:ascii="宋体" w:hAnsi="宋体" w:cs="宋体" w:eastAsia="宋体" w:hint="default"/>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326"/>
      <w:bookmarkEnd w:id="32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69"/>
        <w:ind w:right="0"/>
        <w:jc w:val="left"/>
        <w:rPr>
          <w:b w:val="0"/>
          <w:bCs w:val="0"/>
        </w:rPr>
      </w:pPr>
      <w:bookmarkStart w:name="（1）企业集团的构成" w:id="327"/>
      <w:bookmarkEnd w:id="32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北京南天信息工 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北京市海淀区车 道沟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号滨河大 厦五层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上海南天电脑系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上海市长宁区金 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 南天信息大厦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武汉南天电脑系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武汉市武珞路 </w:t>
            </w:r>
            <w:r>
              <w:rPr>
                <w:rFonts w:ascii="Times New Roman" w:hAnsi="Times New Roman" w:cs="Times New Roman" w:eastAsia="Times New Roman" w:hint="default"/>
                <w:sz w:val="18"/>
                <w:szCs w:val="18"/>
              </w:rPr>
              <w:t>628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号亚贸广场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西安南天电脑系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西安市高新区高 新路</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11,001</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昆明南天电脑系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昆明市环城东路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广州南天电脑系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广州市天河区建 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号南天大 厦五楼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深圳南天东华科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深圳市福田区天 安工业区天祥大 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7-B2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北京南天软件有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北京市海淀区上 地信息路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云南南天信息设 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昆明经济技术开 发区信息产业基 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18-1-2#</w:t>
            </w:r>
            <w:r>
              <w:rPr>
                <w:rFonts w:ascii="宋体" w:hAnsi="宋体" w:cs="宋体" w:eastAsia="宋体" w:hint="default"/>
                <w:sz w:val="18"/>
                <w:szCs w:val="18"/>
              </w:rPr>
              <w:t>地块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重庆南天数据资 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重庆市北部新区 高新园黄山大道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号（水星科技大</w:t>
            </w:r>
            <w:r>
              <w:rPr>
                <w:rFonts w:ascii="宋体" w:hAnsi="宋体" w:cs="宋体" w:eastAsia="宋体" w:hint="default"/>
                <w:sz w:val="18"/>
                <w:szCs w:val="18"/>
              </w:rPr>
              <w:t> 厦北翼写字楼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4"/>
              <w:ind w:left="22" w:right="0"/>
              <w:jc w:val="both"/>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天鸿志（北京）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北京市朝阳区甘 露园南里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成都南天佳信信 息工程有限公司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成都市武侯区锦 绣路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号棕北国</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51"/>
        <w:ind w:left="154" w:right="6972"/>
        <w:jc w:val="left"/>
      </w:pPr>
      <w:r>
        <w:rPr/>
        <w:t>在子公司的持股比例不同于表决权比例的说明： 无</w:t>
      </w:r>
    </w:p>
    <w:p>
      <w:pPr>
        <w:pStyle w:val="BodyText"/>
        <w:spacing w:line="357" w:lineRule="auto" w:before="29"/>
        <w:ind w:right="2833"/>
        <w:jc w:val="left"/>
      </w:pPr>
      <w:r>
        <w:rPr/>
        <w:t>持有半数或以下表决权但仍控制被投资单位、以及持有半数以上表决权但不控制被投资单位的依据： 无</w:t>
      </w:r>
    </w:p>
    <w:p>
      <w:pPr>
        <w:pStyle w:val="BodyText"/>
        <w:spacing w:line="357" w:lineRule="auto" w:before="29"/>
        <w:ind w:left="154" w:right="6432"/>
        <w:jc w:val="left"/>
      </w:pPr>
      <w:r>
        <w:rPr/>
        <w:t>对于纳入合并范围的重要的结构化主体，控制的依据： 无</w:t>
      </w:r>
    </w:p>
    <w:p>
      <w:pPr>
        <w:pStyle w:val="BodyText"/>
        <w:spacing w:line="357" w:lineRule="auto" w:before="29"/>
        <w:ind w:left="154" w:right="7692"/>
        <w:jc w:val="left"/>
      </w:pPr>
      <w:r>
        <w:rPr/>
        <w:t>确定公司是代理人还是委托人的依据： 无</w:t>
      </w:r>
    </w:p>
    <w:p>
      <w:pPr>
        <w:pStyle w:val="BodyText"/>
        <w:spacing w:line="240" w:lineRule="auto" w:before="29"/>
        <w:ind w:left="154" w:right="0"/>
        <w:jc w:val="both"/>
      </w:pPr>
      <w:r>
        <w:rPr/>
        <w:t>其他说明：</w:t>
      </w:r>
    </w:p>
    <w:p>
      <w:pPr>
        <w:pStyle w:val="Heading5"/>
        <w:spacing w:line="256" w:lineRule="auto" w:before="89"/>
        <w:ind w:right="1130"/>
        <w:jc w:val="both"/>
      </w:pPr>
      <w:r>
        <w:rPr/>
        <w:t>广州南天电脑系统有限公司持有天鸿志（北京）科技有限公司</w:t>
      </w:r>
      <w:r>
        <w:rPr>
          <w:rFonts w:ascii="Times New Roman" w:hAnsi="Times New Roman" w:cs="Times New Roman" w:eastAsia="Times New Roman" w:hint="default"/>
        </w:rPr>
        <w:t>100.00%</w:t>
      </w:r>
      <w:r>
        <w:rPr/>
        <w:t>的股权，广州南天电脑系统有限公 </w:t>
      </w:r>
      <w:r>
        <w:rPr>
          <w:spacing w:val="-1"/>
        </w:rPr>
        <w:t>司直接持有成都南天佳信信息工程有限公司</w:t>
      </w:r>
      <w:r>
        <w:rPr>
          <w:rFonts w:ascii="Times New Roman" w:hAnsi="Times New Roman" w:cs="Times New Roman" w:eastAsia="Times New Roman" w:hint="default"/>
          <w:spacing w:val="-1"/>
        </w:rPr>
        <w:t>41.00%</w:t>
      </w:r>
      <w:r>
        <w:rPr>
          <w:spacing w:val="-1"/>
        </w:rPr>
        <w:t>的股权，天鸿志（北京）科技有限公司直接持有成都南</w:t>
      </w:r>
      <w:r>
        <w:rPr>
          <w:spacing w:val="-99"/>
        </w:rPr>
        <w:t> </w:t>
      </w:r>
      <w:r>
        <w:rPr>
          <w:spacing w:val="-99"/>
        </w:rPr>
      </w:r>
      <w:r>
        <w:rPr>
          <w:spacing w:val="-2"/>
        </w:rPr>
        <w:t>天佳信信息工程有限公司</w:t>
      </w:r>
      <w:r>
        <w:rPr>
          <w:rFonts w:ascii="Times New Roman" w:hAnsi="Times New Roman" w:cs="Times New Roman" w:eastAsia="Times New Roman" w:hint="default"/>
          <w:spacing w:val="-2"/>
        </w:rPr>
        <w:t>20.00%</w:t>
      </w:r>
      <w:r>
        <w:rPr>
          <w:spacing w:val="-2"/>
        </w:rPr>
        <w:t>的股权，因此南天信息共计持有成都南天佳信信息工程有限公司</w:t>
      </w:r>
      <w:r>
        <w:rPr>
          <w:rFonts w:ascii="Times New Roman" w:hAnsi="Times New Roman" w:cs="Times New Roman" w:eastAsia="Times New Roman" w:hint="default"/>
          <w:spacing w:val="-2"/>
        </w:rPr>
        <w:t>61.00%</w:t>
      </w:r>
      <w:r>
        <w:rPr>
          <w:spacing w:val="-2"/>
        </w:rPr>
        <w:t>股</w:t>
      </w:r>
      <w:r>
        <w:rPr>
          <w:spacing w:val="-60"/>
        </w:rPr>
        <w:t> </w:t>
      </w:r>
      <w:r>
        <w:rPr/>
        <w:t>权。</w:t>
      </w:r>
    </w:p>
    <w:p>
      <w:pPr>
        <w:spacing w:line="240" w:lineRule="auto" w:before="10"/>
        <w:rPr>
          <w:rFonts w:ascii="宋体" w:hAnsi="宋体" w:cs="宋体" w:eastAsia="宋体" w:hint="default"/>
          <w:sz w:val="24"/>
          <w:szCs w:val="24"/>
        </w:rPr>
      </w:pPr>
    </w:p>
    <w:p>
      <w:pPr>
        <w:pStyle w:val="Heading4"/>
        <w:spacing w:line="240" w:lineRule="auto"/>
        <w:ind w:left="154" w:right="0"/>
        <w:jc w:val="both"/>
        <w:rPr>
          <w:b w:val="0"/>
          <w:bCs w:val="0"/>
        </w:rPr>
      </w:pPr>
      <w:bookmarkStart w:name="（2）重要的非全资子公司" w:id="328"/>
      <w:bookmarkEnd w:id="32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成都南天佳信信息工程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1,419,782.91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9,370,094.84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西安南天电脑系统有限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-560,406.51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-5,190,329.89</w:t>
            </w:r>
          </w:p>
        </w:tc>
      </w:tr>
    </w:tbl>
    <w:p>
      <w:pPr>
        <w:pStyle w:val="BodyText"/>
        <w:spacing w:line="357" w:lineRule="auto" w:before="51"/>
        <w:ind w:left="154" w:right="6432"/>
        <w:jc w:val="left"/>
      </w:pPr>
      <w:r>
        <w:rPr/>
        <w:t>子公司少数股东的持股比例不同于表决权比例的说明： 无</w:t>
      </w:r>
    </w:p>
    <w:p>
      <w:pPr>
        <w:pStyle w:val="BodyText"/>
        <w:spacing w:line="240" w:lineRule="auto" w:before="29"/>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重要非全资子公司的主要财务信息" w:id="329"/>
      <w:bookmarkEnd w:id="32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成都南 天佳信 信息工 程有限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50,351,7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70.60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2,374,87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52,726,6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49.89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30,106,8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48.27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1,105,00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31,211,8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38,622,4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2,891,32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6.02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41,513,7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25,191,7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52.69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25,191,7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52.69</w:t>
            </w: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西安南 天电脑 系统有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14,495,8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73.46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1,561,03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16,056,9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07.22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33,358,0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06.90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33,358,0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9,702,32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1,788,37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7.78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11,490,7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26,923,7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78.40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26,923,7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78.40</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成都南天佳 信信息工程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48,123,402.6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5,192,764.65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5,192,764.65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6,728,742.10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79,955,031.6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3,869,498.66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3,869,498.66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-2,396,608.52</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西安南天电 脑系统有限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22,305,348.6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-1,868,021.71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-1,868,021.71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2,401,645.49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11,062,723.4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-5,109,089.99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-5,109,089.99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-2,177,797.38</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使用企业集团资产和清偿企业集团债务的重大限制" w:id="330"/>
      <w:bookmarkEnd w:id="330"/>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向纳入合并财务报表范围的结构化主体提供的财务支持或其他支持" w:id="331"/>
      <w:bookmarkEnd w:id="331"/>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852"/>
        <w:jc w:val="left"/>
      </w:pPr>
      <w:r>
        <w:rPr/>
        <w:t>无 其他说明：</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2、在合营安排或联营企业中的权益" w:id="332"/>
      <w:bookmarkEnd w:id="332"/>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333"/>
      <w:bookmarkEnd w:id="33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云南医药工业股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上海致同信息技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云南佳程防伪科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云南东盟公共物 流信息有限公司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广州南天佳信信 息工程有限公司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厦门南天世纪信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云南南天信息软 件工程有限公司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已经停业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left="154" w:right="5892"/>
        <w:jc w:val="left"/>
      </w:pPr>
      <w:r>
        <w:rPr/>
        <w:t>在合营企业或联营企业的持股比例不同于表决权比例的说明： 无</w:t>
      </w:r>
    </w:p>
    <w:p>
      <w:pPr>
        <w:pStyle w:val="BodyText"/>
        <w:spacing w:line="338" w:lineRule="auto" w:before="29"/>
        <w:ind w:left="154" w:right="334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无</w:t>
      </w:r>
    </w:p>
    <w:p>
      <w:pPr>
        <w:spacing w:line="240" w:lineRule="auto" w:before="4"/>
        <w:rPr>
          <w:rFonts w:ascii="宋体" w:hAnsi="宋体" w:cs="宋体" w:eastAsia="宋体" w:hint="default"/>
          <w:sz w:val="21"/>
          <w:szCs w:val="21"/>
        </w:rPr>
      </w:pPr>
    </w:p>
    <w:p>
      <w:pPr>
        <w:pStyle w:val="Heading4"/>
        <w:spacing w:line="240" w:lineRule="auto"/>
        <w:ind w:left="154" w:right="0"/>
        <w:jc w:val="left"/>
        <w:rPr>
          <w:b w:val="0"/>
          <w:bCs w:val="0"/>
        </w:rPr>
      </w:pPr>
      <w:bookmarkStart w:name="（2）重要联营企业的主要财务信息" w:id="334"/>
      <w:bookmarkEnd w:id="334"/>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不重要的合营企业和联营企业的汇总财务信息" w:id="335"/>
      <w:bookmarkEnd w:id="335"/>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合营企业或联营企业向本公司转移资金的能力存在重大限制的说明" w:id="336"/>
      <w:bookmarkEnd w:id="336"/>
      <w:r>
        <w:rPr>
          <w:b w:val="0"/>
          <w:bCs w:val="0"/>
        </w:rPr>
      </w:r>
      <w:r>
        <w:rPr/>
        <w:t>（</w:t>
      </w:r>
      <w:r>
        <w:rPr>
          <w:rFonts w:ascii="Times New Roman" w:hAnsi="Times New Roman" w:cs="Times New Roman" w:eastAsia="Times New Roman" w:hint="default"/>
        </w:rPr>
        <w:t>4</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合营企业或联营企业发生的超额亏损" w:id="337"/>
      <w:bookmarkEnd w:id="337"/>
      <w:r>
        <w:rPr>
          <w:b w:val="0"/>
          <w:bCs w:val="0"/>
        </w:rPr>
      </w:r>
      <w:r>
        <w:rPr/>
        <w:t>（</w:t>
      </w:r>
      <w:r>
        <w:rPr>
          <w:rFonts w:ascii="Times New Roman" w:hAnsi="Times New Roman" w:cs="Times New Roman" w:eastAsia="Times New Roman" w:hint="default"/>
        </w:rPr>
        <w:t>5</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与合营企业投资相关的未确认承诺" w:id="338"/>
      <w:bookmarkEnd w:id="338"/>
      <w:r>
        <w:rPr>
          <w:b w:val="0"/>
          <w:bCs w:val="0"/>
        </w:rPr>
      </w:r>
      <w:r>
        <w:rPr/>
        <w:t>（</w:t>
      </w:r>
      <w:r>
        <w:rPr>
          <w:rFonts w:ascii="Times New Roman" w:hAnsi="Times New Roman" w:cs="Times New Roman" w:eastAsia="Times New Roman" w:hint="default"/>
        </w:rPr>
        <w:t>6</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7）与合营企业或联营企业投资相关的或有负债" w:id="339"/>
      <w:bookmarkEnd w:id="339"/>
      <w:r>
        <w:rPr>
          <w:b w:val="0"/>
          <w:bCs w:val="0"/>
        </w:rPr>
      </w:r>
      <w:r>
        <w:rPr/>
        <w:t>（</w:t>
      </w:r>
      <w:r>
        <w:rPr>
          <w:rFonts w:ascii="Times New Roman" w:hAnsi="Times New Roman" w:cs="Times New Roman" w:eastAsia="Times New Roman" w:hint="default"/>
        </w:rPr>
        <w:t>7</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3、重要的共同经营" w:id="340"/>
      <w:bookmarkEnd w:id="340"/>
      <w:r>
        <w:rPr>
          <w:b w:val="0"/>
          <w:bCs w:val="0"/>
        </w:rPr>
      </w:r>
      <w:r>
        <w:rPr>
          <w:rFonts w:ascii="Times New Roman" w:hAnsi="Times New Roman" w:cs="Times New Roman" w:eastAsia="Times New Roman" w:hint="default"/>
        </w:rPr>
        <w:t>3</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在未纳入合并财务报表范围的结构化主体中的权益" w:id="341"/>
      <w:bookmarkEnd w:id="341"/>
      <w:r>
        <w:rPr>
          <w:b w:val="0"/>
          <w:bCs w:val="0"/>
        </w:rPr>
      </w:r>
      <w:r>
        <w:rPr>
          <w:rFonts w:ascii="Times New Roman" w:hAnsi="Times New Roman" w:cs="Times New Roman" w:eastAsia="Times New Roman" w:hint="default"/>
        </w:rPr>
        <w:t>4</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5、其他" w:id="342"/>
      <w:bookmarkEnd w:id="342"/>
      <w:r>
        <w:rPr>
          <w:b w:val="0"/>
          <w:bCs w:val="0"/>
        </w:rPr>
      </w:r>
      <w:r>
        <w:rPr>
          <w:rFonts w:ascii="Times New Roman" w:hAnsi="Times New Roman" w:cs="Times New Roman" w:eastAsia="Times New Roman" w:hint="default"/>
        </w:rPr>
        <w:t>5</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54" w:right="0"/>
        <w:jc w:val="left"/>
        <w:rPr>
          <w:b w:val="0"/>
          <w:bCs w:val="0"/>
        </w:rPr>
      </w:pPr>
      <w:bookmarkStart w:name="十、与金融工具相关的风险" w:id="343"/>
      <w:bookmarkEnd w:id="343"/>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154" w:right="1017" w:firstLine="420"/>
        <w:jc w:val="left"/>
      </w:pPr>
      <w:r>
        <w:rPr>
          <w:spacing w:val="-3"/>
        </w:rPr>
        <w:t>本公司在日常活动中面临金融工具的主要风险是信用风险（主要为利率风险）、流动风险和市场风险。</w:t>
      </w:r>
      <w:r>
        <w:rPr/>
        <w:t> 本公司的主要金融工具包括货币资金、应收票据、应收及其他应收款、权益投资、借款、应付票据、应付 </w:t>
      </w:r>
      <w:r>
        <w:rPr>
          <w:spacing w:val="-3"/>
        </w:rPr>
        <w:t>及其他应付款、长期应付款等。本公司管理层管理及监控这些风险，力求减少对财务业绩的潜在不利影响。</w:t>
      </w:r>
    </w:p>
    <w:p>
      <w:pPr>
        <w:pStyle w:val="Heading5"/>
        <w:spacing w:line="256" w:lineRule="auto" w:before="7"/>
        <w:ind w:left="574" w:right="1118" w:firstLine="2"/>
        <w:jc w:val="left"/>
      </w:pP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99"/>
        </w:rPr>
        <w:t> </w:t>
      </w:r>
      <w:r>
        <w:rPr>
          <w:spacing w:val="-1"/>
        </w:rPr>
        <w:t>本公司对信用风险按组合分类进行管理。信用风险主要产生于银行存款、应收票据、应收账款、其他</w:t>
      </w:r>
    </w:p>
    <w:p>
      <w:pPr>
        <w:pStyle w:val="Heading5"/>
        <w:spacing w:line="240" w:lineRule="auto" w:before="22"/>
        <w:ind w:left="154" w:right="0"/>
        <w:jc w:val="left"/>
      </w:pPr>
      <w:r>
        <w:rPr/>
        <w:t>应收款等。</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73" w:lineRule="auto" w:before="35"/>
        <w:ind w:right="1130" w:firstLine="420"/>
        <w:jc w:val="both"/>
      </w:pPr>
      <w:r>
        <w:rPr>
          <w:spacing w:val="-1"/>
        </w:rPr>
        <w:t>本公司银行存款主要存放于信用评级较高的银行，本公司认为其不存在重大的信用风险，不会产生因</w:t>
      </w:r>
      <w:r>
        <w:rPr/>
        <w:t> 对方单位违约而导致的任何重大损失。</w:t>
      </w:r>
    </w:p>
    <w:p>
      <w:pPr>
        <w:pStyle w:val="Heading5"/>
        <w:spacing w:line="273" w:lineRule="auto" w:before="7"/>
        <w:ind w:right="1131" w:firstLine="420"/>
        <w:jc w:val="both"/>
      </w:pPr>
      <w:r>
        <w:rPr>
          <w:spacing w:val="-1"/>
        </w:rPr>
        <w:t>本公司应收票据、应收账款主要为应收货款，商品销售根据顾客信用情况设定信用政策。其他应收款</w:t>
      </w:r>
      <w:r>
        <w:rPr/>
        <w:t> </w:t>
      </w:r>
      <w:r>
        <w:rPr>
          <w:spacing w:val="-1"/>
        </w:rPr>
        <w:t>主要为公司运营过程中的各类保证金，本公司在形成债权前评价信用风险，后续定期对主要债务各方信用</w:t>
      </w:r>
      <w:r>
        <w:rPr>
          <w:spacing w:val="-81"/>
        </w:rPr>
        <w:t> </w:t>
      </w:r>
      <w:r>
        <w:rPr>
          <w:spacing w:val="-81"/>
        </w:rPr>
      </w:r>
      <w:r>
        <w:rPr>
          <w:spacing w:val="-1"/>
        </w:rPr>
        <w:t>状况进行监控，对信用记录不良的债务方采取书面催收、提供担保等方式，使本公司整体信用风险在可控</w:t>
      </w:r>
      <w:r>
        <w:rPr>
          <w:spacing w:val="-83"/>
        </w:rPr>
        <w:t> </w:t>
      </w:r>
      <w:r>
        <w:rPr>
          <w:spacing w:val="-83"/>
        </w:rPr>
      </w:r>
      <w:r>
        <w:rPr/>
        <w:t>范围内。</w:t>
      </w:r>
    </w:p>
    <w:p>
      <w:pPr>
        <w:pStyle w:val="Heading5"/>
        <w:spacing w:line="264" w:lineRule="auto" w:before="7"/>
        <w:ind w:left="573" w:right="1093"/>
        <w:jc w:val="left"/>
      </w:pPr>
      <w:r>
        <w:rPr/>
        <w:t>本公司应收票据、应收账款和其他应收款等产生的信用风险敞口的量化数据，详见各相关附注披露。 </w:t>
      </w:r>
      <w:r>
        <w:rPr>
          <w:rFonts w:ascii="Times New Roman" w:hAnsi="Times New Roman" w:cs="Times New Roman" w:eastAsia="Times New Roman" w:hint="default"/>
          <w:b/>
          <w:bCs/>
        </w:rPr>
        <w:t>2</w:t>
      </w:r>
      <w:r>
        <w:rPr>
          <w:rFonts w:ascii="宋体" w:hAnsi="宋体" w:cs="宋体" w:eastAsia="宋体" w:hint="default"/>
          <w:b/>
          <w:bCs/>
        </w:rPr>
        <w:t>、流动性风险</w:t>
      </w:r>
      <w:r>
        <w:rPr>
          <w:rFonts w:ascii="宋体" w:hAnsi="宋体" w:cs="宋体" w:eastAsia="宋体" w:hint="default"/>
          <w:b/>
          <w:bCs/>
          <w:w w:val="99"/>
        </w:rPr>
        <w:t> </w:t>
      </w:r>
      <w:r>
        <w:rPr>
          <w:spacing w:val="-1"/>
        </w:rPr>
        <w:t>本公司负责监控各子公司的现金流量预测，在汇总各子公司现金流量预测的基础上，在公司层面持续</w:t>
      </w:r>
    </w:p>
    <w:p>
      <w:pPr>
        <w:pStyle w:val="Heading5"/>
        <w:spacing w:line="273" w:lineRule="auto" w:before="16"/>
        <w:ind w:right="0"/>
        <w:jc w:val="left"/>
      </w:pPr>
      <w:r>
        <w:rPr>
          <w:spacing w:val="-1"/>
        </w:rPr>
        <w:t>监控短期和长期的资金需求，以确保维持充裕的现金储备；同时持续监控是否符合借款协议的规定，从主</w:t>
      </w:r>
      <w:r>
        <w:rPr>
          <w:spacing w:val="-83"/>
        </w:rPr>
        <w:t> </w:t>
      </w:r>
      <w:r>
        <w:rPr>
          <w:spacing w:val="-83"/>
        </w:rPr>
      </w:r>
      <w:r>
        <w:rPr/>
        <w:t>要金融机构获得提供足够备用资金的承诺，以满足短期和长期的资金需求。</w:t>
      </w:r>
    </w:p>
    <w:p>
      <w:pPr>
        <w:pStyle w:val="Heading5"/>
        <w:spacing w:line="240" w:lineRule="auto" w:before="7"/>
        <w:ind w:left="573" w:right="0"/>
        <w:jc w:val="left"/>
      </w:pPr>
      <w:r>
        <w:rPr/>
        <w:t>本公司各项金融负债按未折现的合同现金流量所作的到期期限分析如下：</w:t>
      </w:r>
    </w:p>
    <w:p>
      <w:pPr>
        <w:pStyle w:val="Heading5"/>
        <w:spacing w:line="256" w:lineRule="auto" w:before="37"/>
        <w:ind w:right="1132" w:firstLine="420"/>
        <w:jc w:val="both"/>
      </w:pPr>
      <w:r>
        <w:rPr>
          <w:spacing w:val="-1"/>
        </w:rPr>
        <w:t>（</w:t>
      </w:r>
      <w:r>
        <w:rPr>
          <w:rFonts w:ascii="Times New Roman" w:hAnsi="Times New Roman" w:cs="Times New Roman" w:eastAsia="Times New Roman" w:hint="default"/>
          <w:spacing w:val="-1"/>
        </w:rPr>
        <w:t>1</w:t>
      </w:r>
      <w:r>
        <w:rPr>
          <w:spacing w:val="-1"/>
        </w:rPr>
        <w:t>）本公司流动负债包括短期借款、应付票据、应付账款、应付利息、其他应付款均预计在</w:t>
      </w:r>
      <w:r>
        <w:rPr>
          <w:rFonts w:ascii="Times New Roman" w:hAnsi="Times New Roman" w:cs="Times New Roman" w:eastAsia="Times New Roman" w:hint="default"/>
          <w:spacing w:val="-1"/>
        </w:rPr>
        <w:t>1</w:t>
      </w:r>
      <w:r>
        <w:rPr>
          <w:spacing w:val="-1"/>
        </w:rPr>
        <w:t>年内到</w:t>
      </w:r>
      <w:r>
        <w:rPr/>
        <w:t> 期偿付。</w:t>
      </w:r>
    </w:p>
    <w:p>
      <w:pPr>
        <w:pStyle w:val="Heading5"/>
        <w:spacing w:line="256" w:lineRule="auto" w:before="22"/>
        <w:ind w:right="1141" w:firstLine="420"/>
        <w:jc w:val="both"/>
      </w:pPr>
      <w:r>
        <w:rPr/>
        <w:t>（</w:t>
      </w:r>
      <w:r>
        <w:rPr>
          <w:rFonts w:ascii="Times New Roman" w:hAnsi="Times New Roman" w:cs="Times New Roman" w:eastAsia="Times New Roman" w:hint="default"/>
        </w:rPr>
        <w:t>2</w:t>
      </w:r>
      <w:r>
        <w:rPr/>
        <w:t>）本公司非流动负债（含一年内到期的非流动负债）按未折现的合同现金流量所作的到期期限分 析如下：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208"/>
        <w:gridCol w:w="1352"/>
        <w:gridCol w:w="1337"/>
        <w:gridCol w:w="1385"/>
        <w:gridCol w:w="1390"/>
        <w:gridCol w:w="1328"/>
        <w:gridCol w:w="1346"/>
      </w:tblGrid>
      <w:tr>
        <w:trPr>
          <w:trHeight w:val="355" w:hRule="exact"/>
        </w:trPr>
        <w:tc>
          <w:tcPr>
            <w:tcW w:w="1208"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138"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1208" w:type="dxa"/>
            <w:vMerge/>
            <w:tcBorders>
              <w:left w:val="single" w:sz="6" w:space="0" w:color="000000"/>
              <w:bottom w:val="single" w:sz="12" w:space="0" w:color="000000"/>
              <w:right w:val="single" w:sz="6" w:space="0" w:color="000000"/>
            </w:tcBorders>
          </w:tcPr>
          <w:p>
            <w:pP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1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四至五年</w:t>
            </w:r>
          </w:p>
        </w:tc>
        <w:tc>
          <w:tcPr>
            <w:tcW w:w="134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五年以上</w:t>
            </w:r>
          </w:p>
        </w:tc>
      </w:tr>
      <w:tr>
        <w:trPr>
          <w:trHeight w:val="353" w:hRule="exact"/>
        </w:trPr>
        <w:tc>
          <w:tcPr>
            <w:tcW w:w="12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26" w:right="0"/>
              <w:jc w:val="left"/>
              <w:rPr>
                <w:rFonts w:ascii="Times New Roman" w:hAnsi="Times New Roman" w:cs="Times New Roman" w:eastAsia="Times New Roman" w:hint="default"/>
                <w:sz w:val="18"/>
                <w:szCs w:val="18"/>
              </w:rPr>
            </w:pPr>
            <w:r>
              <w:rPr>
                <w:rFonts w:ascii="Times New Roman"/>
                <w:sz w:val="18"/>
              </w:rPr>
              <w:t>584,003.21</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95" w:right="0"/>
              <w:jc w:val="left"/>
              <w:rPr>
                <w:rFonts w:ascii="Times New Roman" w:hAnsi="Times New Roman" w:cs="Times New Roman" w:eastAsia="Times New Roman" w:hint="default"/>
                <w:sz w:val="18"/>
                <w:szCs w:val="18"/>
              </w:rPr>
            </w:pPr>
            <w:r>
              <w:rPr>
                <w:rFonts w:ascii="Times New Roman"/>
                <w:sz w:val="18"/>
              </w:rPr>
              <w:t>144,841,827.62</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59" w:right="0"/>
              <w:jc w:val="left"/>
              <w:rPr>
                <w:rFonts w:ascii="Times New Roman" w:hAnsi="Times New Roman" w:cs="Times New Roman" w:eastAsia="Times New Roman" w:hint="default"/>
                <w:sz w:val="18"/>
                <w:szCs w:val="18"/>
              </w:rPr>
            </w:pPr>
            <w:r>
              <w:rPr>
                <w:rFonts w:ascii="Times New Roman"/>
                <w:sz w:val="18"/>
              </w:rPr>
              <w:t>584,003.21</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63" w:right="0"/>
              <w:jc w:val="left"/>
              <w:rPr>
                <w:rFonts w:ascii="Times New Roman" w:hAnsi="Times New Roman" w:cs="Times New Roman" w:eastAsia="Times New Roman" w:hint="default"/>
                <w:sz w:val="18"/>
                <w:szCs w:val="18"/>
              </w:rPr>
            </w:pPr>
            <w:r>
              <w:rPr>
                <w:rFonts w:ascii="Times New Roman"/>
                <w:sz w:val="18"/>
              </w:rPr>
              <w:t>584,003.21</w:t>
            </w:r>
          </w:p>
        </w:tc>
        <w:tc>
          <w:tcPr>
            <w:tcW w:w="1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584,003.21</w:t>
            </w:r>
          </w:p>
        </w:tc>
        <w:tc>
          <w:tcPr>
            <w:tcW w:w="134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518" w:right="0"/>
              <w:jc w:val="left"/>
              <w:rPr>
                <w:rFonts w:ascii="Times New Roman" w:hAnsi="Times New Roman" w:cs="Times New Roman" w:eastAsia="Times New Roman" w:hint="default"/>
                <w:sz w:val="18"/>
                <w:szCs w:val="18"/>
              </w:rPr>
            </w:pPr>
            <w:r>
              <w:rPr>
                <w:rFonts w:ascii="Times New Roman"/>
                <w:sz w:val="18"/>
              </w:rPr>
              <w:t>876,004.85</w:t>
            </w:r>
          </w:p>
        </w:tc>
      </w:tr>
    </w:tbl>
    <w:p>
      <w:pPr>
        <w:spacing w:line="240" w:lineRule="auto" w:before="5"/>
        <w:rPr>
          <w:rFonts w:ascii="宋体" w:hAnsi="宋体" w:cs="宋体" w:eastAsia="宋体" w:hint="default"/>
          <w:sz w:val="5"/>
          <w:szCs w:val="5"/>
        </w:rPr>
      </w:pPr>
    </w:p>
    <w:p>
      <w:pPr>
        <w:pStyle w:val="Heading5"/>
        <w:spacing w:line="240" w:lineRule="auto" w:before="35"/>
        <w:ind w:left="574" w:right="0"/>
        <w:jc w:val="left"/>
      </w:pPr>
      <w:r>
        <w:rPr/>
        <w:t>（续）</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131"/>
        <w:gridCol w:w="1331"/>
        <w:gridCol w:w="1433"/>
        <w:gridCol w:w="1435"/>
        <w:gridCol w:w="1327"/>
        <w:gridCol w:w="1316"/>
        <w:gridCol w:w="1373"/>
      </w:tblGrid>
      <w:tr>
        <w:trPr>
          <w:trHeight w:val="355" w:hRule="exact"/>
        </w:trPr>
        <w:tc>
          <w:tcPr>
            <w:tcW w:w="1131"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15"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1131" w:type="dxa"/>
            <w:vMerge/>
            <w:tcBorders>
              <w:left w:val="single" w:sz="6" w:space="0" w:color="000000"/>
              <w:bottom w:val="single" w:sz="12" w:space="0" w:color="000000"/>
              <w:right w:val="single" w:sz="6" w:space="0" w:color="000000"/>
            </w:tcBorders>
          </w:tcPr>
          <w:p>
            <w:pPr/>
          </w:p>
        </w:tc>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四至五年</w:t>
            </w:r>
          </w:p>
        </w:tc>
        <w:tc>
          <w:tcPr>
            <w:tcW w:w="13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五年以上</w:t>
            </w:r>
          </w:p>
        </w:tc>
      </w:tr>
      <w:tr>
        <w:trPr>
          <w:trHeight w:val="353" w:hRule="exact"/>
        </w:trPr>
        <w:tc>
          <w:tcPr>
            <w:tcW w:w="1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69" w:right="0"/>
              <w:jc w:val="left"/>
              <w:rPr>
                <w:rFonts w:ascii="Times New Roman" w:hAnsi="Times New Roman" w:cs="Times New Roman" w:eastAsia="Times New Roman" w:hint="default"/>
                <w:sz w:val="18"/>
                <w:szCs w:val="18"/>
              </w:rPr>
            </w:pPr>
            <w:r>
              <w:rPr>
                <w:rFonts w:ascii="Times New Roman"/>
                <w:sz w:val="18"/>
              </w:rPr>
              <w:t>4,371,431.49</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70" w:right="0"/>
              <w:jc w:val="left"/>
              <w:rPr>
                <w:rFonts w:ascii="Times New Roman" w:hAnsi="Times New Roman" w:cs="Times New Roman" w:eastAsia="Times New Roman" w:hint="default"/>
                <w:sz w:val="18"/>
                <w:szCs w:val="18"/>
              </w:rPr>
            </w:pPr>
            <w:r>
              <w:rPr>
                <w:rFonts w:ascii="Times New Roman"/>
                <w:sz w:val="18"/>
              </w:rPr>
              <w:t>4,371,431.49</w:t>
            </w:r>
          </w:p>
        </w:tc>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72" w:right="0"/>
              <w:jc w:val="left"/>
              <w:rPr>
                <w:rFonts w:ascii="Times New Roman" w:hAnsi="Times New Roman" w:cs="Times New Roman" w:eastAsia="Times New Roman" w:hint="default"/>
                <w:sz w:val="18"/>
                <w:szCs w:val="18"/>
              </w:rPr>
            </w:pPr>
            <w:r>
              <w:rPr>
                <w:rFonts w:ascii="Times New Roman"/>
                <w:sz w:val="18"/>
              </w:rPr>
              <w:t>4,371,431.49</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64" w:right="0"/>
              <w:jc w:val="left"/>
              <w:rPr>
                <w:rFonts w:ascii="Times New Roman" w:hAnsi="Times New Roman" w:cs="Times New Roman" w:eastAsia="Times New Roman" w:hint="default"/>
                <w:sz w:val="18"/>
                <w:szCs w:val="18"/>
              </w:rPr>
            </w:pPr>
            <w:r>
              <w:rPr>
                <w:rFonts w:ascii="Times New Roman"/>
                <w:sz w:val="18"/>
              </w:rPr>
              <w:t>4,371,431.49</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54" w:right="0"/>
              <w:jc w:val="left"/>
              <w:rPr>
                <w:rFonts w:ascii="Times New Roman" w:hAnsi="Times New Roman" w:cs="Times New Roman" w:eastAsia="Times New Roman" w:hint="default"/>
                <w:sz w:val="18"/>
                <w:szCs w:val="18"/>
              </w:rPr>
            </w:pPr>
            <w:r>
              <w:rPr>
                <w:rFonts w:ascii="Times New Roman"/>
                <w:sz w:val="18"/>
              </w:rPr>
              <w:t>2,779,299.06</w:t>
            </w:r>
          </w:p>
        </w:tc>
        <w:tc>
          <w:tcPr>
            <w:tcW w:w="13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10" w:right="0"/>
              <w:jc w:val="left"/>
              <w:rPr>
                <w:rFonts w:ascii="Times New Roman" w:hAnsi="Times New Roman" w:cs="Times New Roman" w:eastAsia="Times New Roman" w:hint="default"/>
                <w:sz w:val="18"/>
                <w:szCs w:val="18"/>
              </w:rPr>
            </w:pPr>
            <w:r>
              <w:rPr>
                <w:rFonts w:ascii="Times New Roman"/>
                <w:sz w:val="18"/>
              </w:rPr>
              <w:t>1,375,783.72</w:t>
            </w:r>
          </w:p>
        </w:tc>
      </w:tr>
    </w:tbl>
    <w:p>
      <w:pPr>
        <w:pStyle w:val="Heading3"/>
        <w:spacing w:line="293" w:lineRule="exact"/>
        <w:ind w:left="1115" w:right="0"/>
        <w:jc w:val="left"/>
      </w:pPr>
      <w:r>
        <w:rPr>
          <w:rFonts w:ascii="Times New Roman" w:hAnsi="Times New Roman" w:cs="Times New Roman" w:eastAsia="Times New Roman" w:hint="default"/>
        </w:rPr>
        <w:t>3</w:t>
      </w:r>
      <w:r>
        <w:rPr/>
        <w:t>、市场风险</w:t>
      </w:r>
    </w:p>
    <w:p>
      <w:pPr>
        <w:pStyle w:val="Heading5"/>
        <w:spacing w:line="256" w:lineRule="auto" w:before="53"/>
        <w:ind w:left="574" w:right="0"/>
        <w:jc w:val="left"/>
      </w:pPr>
      <w:r>
        <w:rPr/>
        <w:t>（</w:t>
      </w:r>
      <w:r>
        <w:rPr>
          <w:rFonts w:ascii="Times New Roman" w:hAnsi="Times New Roman" w:cs="Times New Roman" w:eastAsia="Times New Roman" w:hint="default"/>
        </w:rPr>
        <w:t>1</w:t>
      </w:r>
      <w:r>
        <w:rPr/>
        <w:t>）利率风险 </w:t>
      </w:r>
      <w:r>
        <w:rPr>
          <w:spacing w:val="-1"/>
        </w:rPr>
        <w:t>本公司的利率风险产生于银行借款及长期应付款等带息债务。浮动利率的金融负债使本公司面临现金</w:t>
      </w:r>
    </w:p>
    <w:p>
      <w:pPr>
        <w:pStyle w:val="Heading5"/>
        <w:spacing w:line="240" w:lineRule="auto" w:before="22"/>
        <w:ind w:left="154" w:right="0"/>
        <w:jc w:val="left"/>
      </w:pPr>
      <w:r>
        <w:rPr/>
        <w:t>流量利率风险，固定利率的金融负债使本公司面临公允价值利率风险。本公司带息债务情况如下：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578"/>
        <w:gridCol w:w="3129"/>
        <w:gridCol w:w="2639"/>
      </w:tblGrid>
      <w:tr>
        <w:trPr>
          <w:trHeight w:val="355" w:hRule="exact"/>
        </w:trPr>
        <w:tc>
          <w:tcPr>
            <w:tcW w:w="3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带息债务类型</w:t>
            </w:r>
          </w:p>
        </w:tc>
        <w:tc>
          <w:tcPr>
            <w:tcW w:w="31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浮动利息债务</w:t>
            </w:r>
          </w:p>
        </w:tc>
        <w:tc>
          <w:tcPr>
            <w:tcW w:w="3129" w:type="dxa"/>
            <w:tcBorders>
              <w:top w:val="single" w:sz="12" w:space="0" w:color="000000"/>
              <w:left w:val="single" w:sz="6" w:space="0" w:color="000000"/>
              <w:bottom w:val="single" w:sz="12" w:space="0" w:color="000000"/>
              <w:right w:val="single" w:sz="6" w:space="0" w:color="000000"/>
            </w:tcBorders>
          </w:tcPr>
          <w:p>
            <w:pPr/>
          </w:p>
        </w:tc>
        <w:tc>
          <w:tcPr>
            <w:tcW w:w="263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29" w:type="dxa"/>
            <w:tcBorders>
              <w:top w:val="single" w:sz="12" w:space="0" w:color="000000"/>
              <w:left w:val="single" w:sz="6" w:space="0" w:color="000000"/>
              <w:bottom w:val="single" w:sz="12" w:space="0" w:color="000000"/>
              <w:right w:val="single" w:sz="6" w:space="0" w:color="000000"/>
            </w:tcBorders>
          </w:tcPr>
          <w:p>
            <w:pPr/>
          </w:p>
        </w:tc>
        <w:tc>
          <w:tcPr>
            <w:tcW w:w="263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29" w:type="dxa"/>
            <w:tcBorders>
              <w:top w:val="single" w:sz="12" w:space="0" w:color="000000"/>
              <w:left w:val="single" w:sz="6" w:space="0" w:color="000000"/>
              <w:bottom w:val="single" w:sz="12" w:space="0" w:color="000000"/>
              <w:right w:val="single" w:sz="6" w:space="0" w:color="000000"/>
            </w:tcBorders>
          </w:tcPr>
          <w:p>
            <w:pPr/>
          </w:p>
        </w:tc>
        <w:tc>
          <w:tcPr>
            <w:tcW w:w="263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1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320,513,623.82</w:t>
            </w:r>
          </w:p>
        </w:tc>
        <w:tc>
          <w:tcPr>
            <w:tcW w:w="26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275,500,000.00</w:t>
            </w:r>
          </w:p>
        </w:tc>
      </w:tr>
      <w:tr>
        <w:trPr>
          <w:trHeight w:val="352"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29" w:type="dxa"/>
            <w:tcBorders>
              <w:top w:val="single" w:sz="12" w:space="0" w:color="000000"/>
              <w:left w:val="single" w:sz="6" w:space="0" w:color="000000"/>
              <w:bottom w:val="single" w:sz="12" w:space="0" w:color="000000"/>
              <w:right w:val="single" w:sz="6" w:space="0" w:color="000000"/>
            </w:tcBorders>
          </w:tcPr>
          <w:p>
            <w:pPr/>
          </w:p>
        </w:tc>
        <w:tc>
          <w:tcPr>
            <w:tcW w:w="26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3,821,118.00</w:t>
            </w:r>
          </w:p>
        </w:tc>
      </w:tr>
      <w:tr>
        <w:trPr>
          <w:trHeight w:val="352"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144,257,824.41</w:t>
            </w:r>
          </w:p>
        </w:tc>
        <w:tc>
          <w:tcPr>
            <w:tcW w:w="26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13,692,339.57</w:t>
            </w:r>
          </w:p>
        </w:tc>
      </w:tr>
      <w:tr>
        <w:trPr>
          <w:trHeight w:val="353"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固定利息债务</w:t>
            </w:r>
          </w:p>
        </w:tc>
        <w:tc>
          <w:tcPr>
            <w:tcW w:w="3129" w:type="dxa"/>
            <w:tcBorders>
              <w:top w:val="single" w:sz="12" w:space="0" w:color="000000"/>
              <w:left w:val="single" w:sz="6" w:space="0" w:color="000000"/>
              <w:bottom w:val="single" w:sz="12" w:space="0" w:color="000000"/>
              <w:right w:val="single" w:sz="6" w:space="0" w:color="000000"/>
            </w:tcBorders>
          </w:tcPr>
          <w:p>
            <w:pPr/>
          </w:p>
        </w:tc>
        <w:tc>
          <w:tcPr>
            <w:tcW w:w="263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29" w:type="dxa"/>
            <w:tcBorders>
              <w:top w:val="single" w:sz="12" w:space="0" w:color="000000"/>
              <w:left w:val="single" w:sz="6" w:space="0" w:color="000000"/>
              <w:bottom w:val="single" w:sz="12" w:space="0" w:color="000000"/>
              <w:right w:val="single" w:sz="6" w:space="0" w:color="000000"/>
            </w:tcBorders>
          </w:tcPr>
          <w:p>
            <w:pPr/>
          </w:p>
        </w:tc>
        <w:tc>
          <w:tcPr>
            <w:tcW w:w="263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29" w:type="dxa"/>
            <w:tcBorders>
              <w:top w:val="single" w:sz="12" w:space="0" w:color="000000"/>
              <w:left w:val="single" w:sz="6" w:space="0" w:color="000000"/>
              <w:bottom w:val="single" w:sz="12" w:space="0" w:color="000000"/>
              <w:right w:val="single" w:sz="6" w:space="0" w:color="000000"/>
            </w:tcBorders>
          </w:tcPr>
          <w:p>
            <w:pPr/>
          </w:p>
        </w:tc>
        <w:tc>
          <w:tcPr>
            <w:tcW w:w="263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129" w:type="dxa"/>
            <w:tcBorders>
              <w:top w:val="single" w:sz="12" w:space="0" w:color="000000"/>
              <w:left w:val="single" w:sz="6" w:space="0" w:color="000000"/>
              <w:bottom w:val="single" w:sz="12" w:space="0" w:color="000000"/>
              <w:right w:val="single" w:sz="6" w:space="0" w:color="000000"/>
            </w:tcBorders>
          </w:tcPr>
          <w:p>
            <w:pPr/>
          </w:p>
        </w:tc>
        <w:tc>
          <w:tcPr>
            <w:tcW w:w="263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584,003.21</w:t>
            </w:r>
          </w:p>
        </w:tc>
        <w:tc>
          <w:tcPr>
            <w:tcW w:w="26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550,313.49</w:t>
            </w:r>
          </w:p>
        </w:tc>
      </w:tr>
      <w:tr>
        <w:trPr>
          <w:trHeight w:val="352"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3,212,017.69</w:t>
            </w:r>
          </w:p>
        </w:tc>
        <w:tc>
          <w:tcPr>
            <w:tcW w:w="26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3,577,037.68</w:t>
            </w:r>
          </w:p>
        </w:tc>
      </w:tr>
      <w:tr>
        <w:trPr>
          <w:trHeight w:val="353" w:hRule="exact"/>
        </w:trPr>
        <w:tc>
          <w:tcPr>
            <w:tcW w:w="3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129" w:type="dxa"/>
            <w:tcBorders>
              <w:top w:val="single" w:sz="12" w:space="0" w:color="000000"/>
              <w:left w:val="single" w:sz="6" w:space="0" w:color="000000"/>
              <w:bottom w:val="single" w:sz="12" w:space="0" w:color="000000"/>
              <w:right w:val="single" w:sz="6" w:space="0" w:color="000000"/>
            </w:tcBorders>
          </w:tcPr>
          <w:p>
            <w:pPr/>
          </w:p>
        </w:tc>
        <w:tc>
          <w:tcPr>
            <w:tcW w:w="26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5"/>
        <w:spacing w:line="256" w:lineRule="auto" w:before="35"/>
        <w:ind w:right="1093" w:firstLine="420"/>
        <w:jc w:val="left"/>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日，如果以浮动利率计算的借款利率上升或下降</w:t>
      </w:r>
      <w:r>
        <w:rPr>
          <w:rFonts w:ascii="Times New Roman" w:hAnsi="Times New Roman" w:cs="Times New Roman" w:eastAsia="Times New Roman" w:hint="default"/>
        </w:rPr>
        <w:t>50</w:t>
      </w:r>
      <w:r>
        <w:rPr/>
        <w:t>个基准点，而其他因素保持不变， 对税前利润的影响如下：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5242"/>
        <w:gridCol w:w="4103"/>
      </w:tblGrid>
      <w:tr>
        <w:trPr>
          <w:trHeight w:val="355" w:hRule="exact"/>
        </w:trPr>
        <w:tc>
          <w:tcPr>
            <w:tcW w:w="5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对税前利润影响</w:t>
            </w:r>
          </w:p>
        </w:tc>
      </w:tr>
      <w:tr>
        <w:trPr>
          <w:trHeight w:val="352" w:hRule="exact"/>
        </w:trPr>
        <w:tc>
          <w:tcPr>
            <w:tcW w:w="52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人民币基准利率增加</w:t>
            </w:r>
            <w:r>
              <w:rPr>
                <w:rFonts w:ascii="Times New Roman" w:hAnsi="Times New Roman" w:cs="Times New Roman" w:eastAsia="Times New Roman" w:hint="default"/>
                <w:sz w:val="18"/>
                <w:szCs w:val="18"/>
              </w:rPr>
              <w:t>50</w:t>
            </w:r>
            <w:r>
              <w:rPr>
                <w:rFonts w:ascii="宋体" w:hAnsi="宋体" w:cs="宋体" w:eastAsia="宋体" w:hint="default"/>
                <w:sz w:val="18"/>
                <w:szCs w:val="18"/>
              </w:rPr>
              <w:t>个基准点</w:t>
            </w:r>
          </w:p>
        </w:tc>
        <w:tc>
          <w:tcPr>
            <w:tcW w:w="41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-1,320,658.90</w:t>
            </w:r>
          </w:p>
        </w:tc>
      </w:tr>
      <w:tr>
        <w:trPr>
          <w:trHeight w:val="353" w:hRule="exact"/>
        </w:trPr>
        <w:tc>
          <w:tcPr>
            <w:tcW w:w="52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人民币基准利率下降</w:t>
            </w:r>
            <w:r>
              <w:rPr>
                <w:rFonts w:ascii="Times New Roman" w:hAnsi="Times New Roman" w:cs="Times New Roman" w:eastAsia="Times New Roman" w:hint="default"/>
                <w:sz w:val="18"/>
                <w:szCs w:val="18"/>
              </w:rPr>
              <w:t>50</w:t>
            </w:r>
            <w:r>
              <w:rPr>
                <w:rFonts w:ascii="宋体" w:hAnsi="宋体" w:cs="宋体" w:eastAsia="宋体" w:hint="default"/>
                <w:sz w:val="18"/>
                <w:szCs w:val="18"/>
              </w:rPr>
              <w:t>个基准点</w:t>
            </w:r>
          </w:p>
        </w:tc>
        <w:tc>
          <w:tcPr>
            <w:tcW w:w="41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1,320,658.90</w:t>
            </w:r>
          </w:p>
        </w:tc>
      </w:tr>
    </w:tbl>
    <w:p>
      <w:pPr>
        <w:spacing w:line="240" w:lineRule="auto" w:before="0"/>
        <w:rPr>
          <w:rFonts w:ascii="宋体" w:hAnsi="宋体" w:cs="宋体" w:eastAsia="宋体" w:hint="default"/>
          <w:sz w:val="20"/>
          <w:szCs w:val="20"/>
        </w:rPr>
      </w:pPr>
    </w:p>
    <w:p>
      <w:pPr>
        <w:pStyle w:val="Heading5"/>
        <w:spacing w:line="256" w:lineRule="auto" w:before="35"/>
        <w:ind w:left="574" w:right="0"/>
        <w:jc w:val="left"/>
      </w:pPr>
      <w:r>
        <w:rPr/>
        <w:t>（</w:t>
      </w:r>
      <w:r>
        <w:rPr>
          <w:rFonts w:ascii="Times New Roman" w:hAnsi="Times New Roman" w:cs="Times New Roman" w:eastAsia="Times New Roman" w:hint="default"/>
        </w:rPr>
        <w:t>2</w:t>
      </w:r>
      <w:r>
        <w:rPr/>
        <w:t>）汇率风险 </w:t>
      </w:r>
      <w:r>
        <w:rPr>
          <w:spacing w:val="-1"/>
        </w:rPr>
        <w:t>汇率风险，是指金融工具的公允价值或未来现金流量因外汇汇率变动而发生波动的风险。本公司尽可</w:t>
      </w:r>
    </w:p>
    <w:p>
      <w:pPr>
        <w:pStyle w:val="Heading5"/>
        <w:spacing w:line="273" w:lineRule="auto" w:before="22"/>
        <w:ind w:left="573" w:right="1118" w:hanging="420"/>
        <w:jc w:val="left"/>
      </w:pPr>
      <w:r>
        <w:rPr/>
        <w:t>能将外币收入与 </w:t>
      </w:r>
      <w:r>
        <w:rPr>
          <w:spacing w:val="-1"/>
        </w:rPr>
        <w:t>外币支出相匹配以降低汇率风险。本公司面临的汇率风险主要来源于以美元及港币计价的金融资产和</w:t>
      </w:r>
    </w:p>
    <w:p>
      <w:pPr>
        <w:pStyle w:val="Heading5"/>
        <w:spacing w:line="240" w:lineRule="auto" w:before="7"/>
        <w:ind w:right="0"/>
        <w:jc w:val="left"/>
        <w:rPr>
          <w:rFonts w:ascii="Times New Roman" w:hAnsi="Times New Roman" w:cs="Times New Roman" w:eastAsia="Times New Roman" w:hint="default"/>
        </w:rPr>
      </w:pPr>
      <w:r>
        <w:rPr/>
        <w:t>金融负债，本公司本期外币金融资产和外币金融负债折算成人民币的金额列示如下</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361"/>
        <w:gridCol w:w="3844"/>
        <w:gridCol w:w="3141"/>
      </w:tblGrid>
      <w:tr>
        <w:trPr>
          <w:trHeight w:val="355" w:hRule="exact"/>
        </w:trPr>
        <w:tc>
          <w:tcPr>
            <w:tcW w:w="2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314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744" w:hRule="exact"/>
        </w:trPr>
        <w:tc>
          <w:tcPr>
            <w:tcW w:w="23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6,754,982.91</w:t>
            </w:r>
          </w:p>
        </w:tc>
        <w:tc>
          <w:tcPr>
            <w:tcW w:w="31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2,255,357.93</w:t>
            </w:r>
          </w:p>
        </w:tc>
      </w:tr>
      <w:tr>
        <w:trPr>
          <w:trHeight w:val="352" w:hRule="exact"/>
        </w:trPr>
        <w:tc>
          <w:tcPr>
            <w:tcW w:w="23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3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523.88</w:t>
            </w:r>
          </w:p>
        </w:tc>
        <w:tc>
          <w:tcPr>
            <w:tcW w:w="31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664.09</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97"/>
        <w:ind w:left="154" w:right="0"/>
        <w:jc w:val="left"/>
        <w:rPr>
          <w:b w:val="0"/>
          <w:bCs w:val="0"/>
        </w:rPr>
      </w:pPr>
      <w:bookmarkStart w:name="十一、关联方及关联交易" w:id="344"/>
      <w:bookmarkEnd w:id="344"/>
      <w:r>
        <w:rPr>
          <w:b w:val="0"/>
          <w:bCs w:val="0"/>
        </w:rPr>
      </w:r>
      <w:r>
        <w:rPr/>
        <w:t>十一、关联方及关联交易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345"/>
      <w:bookmarkEnd w:id="34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南天电子信息产业 集团公司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电子计算机软硬件 </w:t>
            </w:r>
            <w:r>
              <w:rPr>
                <w:rFonts w:ascii="宋体" w:hAnsi="宋体" w:cs="宋体" w:eastAsia="宋体" w:hint="default"/>
                <w:spacing w:val="-10"/>
                <w:sz w:val="18"/>
                <w:szCs w:val="18"/>
              </w:rPr>
              <w:t>产品的开发、生产销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售等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3,434.00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26.87%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26.87%</w:t>
            </w:r>
          </w:p>
        </w:tc>
      </w:tr>
    </w:tbl>
    <w:p>
      <w:pPr>
        <w:pStyle w:val="BodyText"/>
        <w:spacing w:line="240" w:lineRule="auto" w:before="51"/>
        <w:ind w:left="154" w:right="0"/>
        <w:jc w:val="left"/>
      </w:pPr>
      <w:r>
        <w:rPr/>
        <w:t>本企业的母公司情况的说明</w:t>
      </w:r>
    </w:p>
    <w:p>
      <w:pPr>
        <w:pStyle w:val="Heading5"/>
        <w:spacing w:line="261" w:lineRule="auto" w:before="89"/>
        <w:ind w:right="1123" w:firstLine="290"/>
        <w:jc w:val="left"/>
      </w:pP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日，本公司股份总额为</w:t>
      </w:r>
      <w:r>
        <w:rPr>
          <w:rFonts w:ascii="Times New Roman" w:hAnsi="Times New Roman" w:cs="Times New Roman" w:eastAsia="Times New Roman" w:hint="default"/>
          <w:spacing w:val="-2"/>
        </w:rPr>
        <w:t>246,606,046</w:t>
      </w:r>
      <w:r>
        <w:rPr>
          <w:spacing w:val="-2"/>
        </w:rPr>
        <w:t>股。本公司的控股股东为南天电子信息产业集团公</w:t>
      </w:r>
      <w:r>
        <w:rPr/>
        <w:t> 司，其持有本公司股份</w:t>
      </w:r>
      <w:r>
        <w:rPr>
          <w:rFonts w:ascii="Times New Roman" w:hAnsi="Times New Roman" w:cs="Times New Roman" w:eastAsia="Times New Roman" w:hint="default"/>
        </w:rPr>
        <w:t>66,271,984</w:t>
      </w:r>
      <w:r>
        <w:rPr/>
        <w:t>股，占本公司总股本的</w:t>
      </w:r>
      <w:r>
        <w:rPr>
          <w:rFonts w:ascii="Times New Roman" w:hAnsi="Times New Roman" w:cs="Times New Roman" w:eastAsia="Times New Roman" w:hint="default"/>
        </w:rPr>
        <w:t>26.87%</w:t>
      </w:r>
      <w:r>
        <w:rPr/>
        <w:t>；云南省工业投资控股集团有限责任公司 是南天电子信息产业集团公司控股股东，云南省工业投资控股集团有限责任公司直接持有本公司股份 </w:t>
      </w:r>
      <w:r>
        <w:rPr>
          <w:rFonts w:ascii="Times New Roman" w:hAnsi="Times New Roman" w:cs="Times New Roman" w:eastAsia="Times New Roman" w:hint="default"/>
          <w:spacing w:val="-1"/>
        </w:rPr>
        <w:t>22,870,213</w:t>
      </w:r>
      <w:r>
        <w:rPr>
          <w:spacing w:val="-1"/>
        </w:rPr>
        <w:t>股，占本公司总股本的</w:t>
      </w:r>
      <w:r>
        <w:rPr>
          <w:rFonts w:ascii="Times New Roman" w:hAnsi="Times New Roman" w:cs="Times New Roman" w:eastAsia="Times New Roman" w:hint="default"/>
          <w:spacing w:val="-1"/>
        </w:rPr>
        <w:t>9.27%</w:t>
      </w:r>
      <w:r>
        <w:rPr>
          <w:spacing w:val="-1"/>
        </w:rPr>
        <w:t>。云南省工业投资控股集团有限责任公司直接和间接持有本公司股</w:t>
      </w:r>
      <w:r>
        <w:rPr>
          <w:spacing w:val="-97"/>
        </w:rPr>
        <w:t> </w:t>
      </w:r>
      <w:r>
        <w:rPr>
          <w:spacing w:val="-97"/>
        </w:rPr>
      </w:r>
      <w:r>
        <w:rPr/>
        <w:t>份</w:t>
      </w:r>
      <w:r>
        <w:rPr>
          <w:rFonts w:ascii="Times New Roman" w:hAnsi="Times New Roman" w:cs="Times New Roman" w:eastAsia="Times New Roman" w:hint="default"/>
        </w:rPr>
        <w:t>89,142,197</w:t>
      </w:r>
      <w:r>
        <w:rPr/>
        <w:t>股，占本公司总股本的</w:t>
      </w:r>
      <w:r>
        <w:rPr>
          <w:rFonts w:ascii="Times New Roman" w:hAnsi="Times New Roman" w:cs="Times New Roman" w:eastAsia="Times New Roman" w:hint="default"/>
        </w:rPr>
        <w:t>36.15%</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360" w:lineRule="auto" w:before="194"/>
        <w:ind w:left="154" w:right="7872"/>
        <w:jc w:val="left"/>
      </w:pPr>
      <w:r>
        <w:rPr/>
        <w:t>本企业最终控制方是云南省国资委。 其他说明：</w:t>
      </w:r>
    </w:p>
    <w:p>
      <w:pPr>
        <w:spacing w:line="240" w:lineRule="auto" w:before="12"/>
        <w:rPr>
          <w:rFonts w:ascii="宋体" w:hAnsi="宋体" w:cs="宋体" w:eastAsia="宋体" w:hint="default"/>
          <w:sz w:val="19"/>
          <w:szCs w:val="19"/>
        </w:rPr>
      </w:pPr>
    </w:p>
    <w:p>
      <w:pPr>
        <w:pStyle w:val="Heading4"/>
        <w:spacing w:line="240" w:lineRule="auto"/>
        <w:ind w:left="154" w:right="0"/>
        <w:jc w:val="left"/>
        <w:rPr>
          <w:b w:val="0"/>
          <w:bCs w:val="0"/>
        </w:rPr>
      </w:pPr>
      <w:bookmarkStart w:name="2、本企业的子公司情况" w:id="346"/>
      <w:bookmarkEnd w:id="346"/>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本企业子公司的情况详见附注九、在其他主体中的权益。</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本企业合营和联营企业情况" w:id="347"/>
      <w:bookmarkEnd w:id="347"/>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293"/>
        <w:jc w:val="left"/>
      </w:pPr>
      <w:r>
        <w:rPr/>
        <w:t>本企业重要的合营或联营企业详见附注七、合并财务报表项目注释</w:t>
      </w:r>
      <w:r>
        <w:rPr>
          <w:spacing w:val="-45"/>
        </w:rPr>
        <w:t> </w:t>
      </w:r>
      <w:r>
        <w:rPr>
          <w:rFonts w:ascii="Times New Roman" w:hAnsi="Times New Roman" w:cs="Times New Roman" w:eastAsia="Times New Roman" w:hint="default"/>
        </w:rPr>
        <w:t>19</w:t>
      </w:r>
      <w:r>
        <w:rPr/>
        <w:t>、长期股权投资。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348"/>
      <w:bookmarkEnd w:id="34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云南产权交易所有限公司、云南国资物业管理有限公司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同受工投集团控制</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349"/>
      <w:bookmarkEnd w:id="34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购销商品、提供和接受劳务的关联交易" w:id="350"/>
      <w:bookmarkEnd w:id="35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云南东盟公共物流 信息有限公司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集成产品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386,158.10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厦门南天世纪信息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集成产品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1,583,958.45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1,077,706.57</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云南产权交易所</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800,791.20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云南国资物业管理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806,663.00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云南佳程防伪科技有限公司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3,076.92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1,002,196.58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云南东盟公共物流信息有限公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集成、软件开发及服务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28,301.89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云南省工业投资控股集团有限 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集成、软件开发及服务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382,075.47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894,339.62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集成、软件开发及服务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179,245.28</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厦门南天世纪信息技术有限公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集成、软件开发及服务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199,608.66</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购销商品、提供和接受劳务的关联交易说明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关键管理人员报酬" w:id="351"/>
      <w:bookmarkEnd w:id="351"/>
      <w:r>
        <w:rPr>
          <w:b w:val="0"/>
          <w:bCs w:val="0"/>
        </w:rPr>
      </w:r>
      <w:r>
        <w:rPr/>
        <w:t>（</w:t>
      </w:r>
      <w:r>
        <w:rPr>
          <w:rFonts w:ascii="Times New Roman" w:hAnsi="Times New Roman" w:cs="Times New Roman" w:eastAsia="Times New Roman" w:hint="default"/>
        </w:rPr>
        <w:t>2</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年度报酬总额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9,385,400.00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7,211,500.00</w:t>
            </w:r>
          </w:p>
        </w:tc>
      </w:tr>
      <w:tr>
        <w:trPr>
          <w:trHeight w:val="403" w:hRule="exact"/>
        </w:trPr>
        <w:tc>
          <w:tcPr>
            <w:tcW w:w="9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年关键管理人员薪酬按照税前数额统计，</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年薪酬按照税后统计</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6、关联方应收应付款项" w:id="352"/>
      <w:bookmarkEnd w:id="352"/>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项目" w:id="353"/>
      <w:bookmarkEnd w:id="35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云南医药工业股份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583,599.90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87,460.48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583,599.90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41,868.09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云南产权交易所有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23,675.10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9,470.04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23,675.10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7,102.53</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607,275.00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96,930.52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612,507.88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48,970.62</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应付项目" w:id="354"/>
      <w:bookmarkEnd w:id="35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云南东盟物公共物流信息有 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52,318.85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厦门南天世纪信息技术有限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1,142,369.00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1,194,687.85</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其他" w:id="355"/>
      <w:bookmarkEnd w:id="355"/>
      <w:r>
        <w:rPr>
          <w:b w:val="0"/>
          <w:bCs w:val="0"/>
        </w:rPr>
      </w:r>
      <w:r>
        <w:rPr>
          <w:rFonts w:ascii="Times New Roman" w:hAnsi="Times New Roman" w:cs="Times New Roman" w:eastAsia="Times New Roman" w:hint="default"/>
        </w:rPr>
        <w:t>7</w:t>
      </w:r>
      <w:r>
        <w:rPr/>
        <w:t>、其他</w:t>
      </w:r>
      <w:r>
        <w:rPr>
          <w:b w:val="0"/>
          <w:bCs w:val="0"/>
        </w:rPr>
      </w:r>
    </w:p>
    <w:p>
      <w:pPr>
        <w:spacing w:line="240" w:lineRule="auto" w:before="9"/>
        <w:rPr>
          <w:rFonts w:ascii="宋体" w:hAnsi="宋体" w:cs="宋体" w:eastAsia="宋体" w:hint="default"/>
          <w:b/>
          <w:bCs/>
          <w:sz w:val="22"/>
          <w:szCs w:val="22"/>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z w:val="24"/>
          <w:szCs w:val="24"/>
        </w:rPr>
        <w:t>关联方其他应收款情况</w:t>
      </w:r>
    </w:p>
    <w:p>
      <w:pPr>
        <w:spacing w:line="240" w:lineRule="auto" w:before="6"/>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676"/>
        <w:gridCol w:w="1418"/>
        <w:gridCol w:w="1418"/>
        <w:gridCol w:w="1419"/>
        <w:gridCol w:w="1415"/>
      </w:tblGrid>
      <w:tr>
        <w:trPr>
          <w:trHeight w:val="356" w:hRule="exact"/>
        </w:trPr>
        <w:tc>
          <w:tcPr>
            <w:tcW w:w="3676" w:type="dxa"/>
            <w:vMerge w:val="restart"/>
            <w:tcBorders>
              <w:top w:val="single" w:sz="6" w:space="0" w:color="000000"/>
              <w:left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83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34" w:type="dxa"/>
            <w:gridSpan w:val="2"/>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2" w:hRule="exact"/>
        </w:trPr>
        <w:tc>
          <w:tcPr>
            <w:tcW w:w="3676" w:type="dxa"/>
            <w:vMerge/>
            <w:tcBorders>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2" w:hRule="exact"/>
        </w:trPr>
        <w:tc>
          <w:tcPr>
            <w:tcW w:w="36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云南佳程防伪科技有限公司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19,750.40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3,950.08</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
              <w:jc w:val="right"/>
              <w:rPr>
                <w:rFonts w:ascii="宋体" w:hAnsi="宋体" w:cs="宋体" w:eastAsia="宋体" w:hint="default"/>
                <w:sz w:val="21"/>
                <w:szCs w:val="21"/>
              </w:rPr>
            </w:pPr>
            <w:r>
              <w:rPr>
                <w:rFonts w:ascii="宋体"/>
                <w:sz w:val="21"/>
              </w:rPr>
              <w:t>5132.88</w:t>
            </w:r>
          </w:p>
        </w:tc>
        <w:tc>
          <w:tcPr>
            <w:tcW w:w="141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6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19,750.40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3,950.08</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
              <w:jc w:val="right"/>
              <w:rPr>
                <w:rFonts w:ascii="宋体" w:hAnsi="宋体" w:cs="宋体" w:eastAsia="宋体" w:hint="default"/>
                <w:sz w:val="21"/>
                <w:szCs w:val="21"/>
              </w:rPr>
            </w:pPr>
            <w:r>
              <w:rPr>
                <w:rFonts w:ascii="宋体"/>
                <w:sz w:val="21"/>
              </w:rPr>
              <w:t>5132.88</w:t>
            </w:r>
          </w:p>
        </w:tc>
        <w:tc>
          <w:tcPr>
            <w:tcW w:w="1415" w:type="dxa"/>
            <w:tcBorders>
              <w:top w:val="single" w:sz="12" w:space="0" w:color="000000"/>
              <w:left w:val="single" w:sz="6" w:space="0" w:color="000000"/>
              <w:bottom w:val="single" w:sz="12" w:space="0" w:color="000000"/>
              <w:right w:val="nil" w:sz="6" w:space="0" w:color="auto"/>
            </w:tcBorders>
          </w:tcPr>
          <w:p>
            <w:pPr/>
          </w:p>
        </w:tc>
      </w:tr>
    </w:tbl>
    <w:p>
      <w:pPr>
        <w:spacing w:line="280" w:lineRule="exact" w:before="0"/>
        <w:ind w:left="154" w:right="0" w:firstLine="0"/>
        <w:jc w:val="left"/>
        <w:rPr>
          <w:rFonts w:ascii="宋体" w:hAnsi="宋体" w:cs="宋体" w:eastAsia="宋体" w:hint="default"/>
          <w:sz w:val="24"/>
          <w:szCs w:val="24"/>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z w:val="24"/>
          <w:szCs w:val="24"/>
        </w:rPr>
        <w:t>关联方其他应付款据情况</w:t>
      </w:r>
    </w:p>
    <w:p>
      <w:pPr>
        <w:spacing w:line="240" w:lineRule="auto" w:before="6"/>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5599"/>
        <w:gridCol w:w="1874"/>
        <w:gridCol w:w="1873"/>
      </w:tblGrid>
      <w:tr>
        <w:trPr>
          <w:trHeight w:val="355" w:hRule="exact"/>
        </w:trPr>
        <w:tc>
          <w:tcPr>
            <w:tcW w:w="5599"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7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5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73"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508"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2" w:hRule="exact"/>
        </w:trPr>
        <w:tc>
          <w:tcPr>
            <w:tcW w:w="559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云南东盟公共物流信息有限公司</w:t>
            </w:r>
          </w:p>
        </w:tc>
        <w:tc>
          <w:tcPr>
            <w:tcW w:w="18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09" w:right="0"/>
              <w:jc w:val="left"/>
              <w:rPr>
                <w:rFonts w:ascii="Times New Roman" w:hAnsi="Times New Roman" w:cs="Times New Roman" w:eastAsia="Times New Roman" w:hint="default"/>
                <w:sz w:val="21"/>
                <w:szCs w:val="21"/>
              </w:rPr>
            </w:pPr>
            <w:r>
              <w:rPr>
                <w:rFonts w:ascii="Times New Roman"/>
                <w:sz w:val="21"/>
              </w:rPr>
              <w:t>117,211.20</w:t>
            </w:r>
          </w:p>
        </w:tc>
        <w:tc>
          <w:tcPr>
            <w:tcW w:w="1873"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599"/>
        <w:gridCol w:w="1874"/>
        <w:gridCol w:w="1873"/>
      </w:tblGrid>
      <w:tr>
        <w:trPr>
          <w:trHeight w:val="355" w:hRule="exact"/>
        </w:trPr>
        <w:tc>
          <w:tcPr>
            <w:tcW w:w="559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909" w:right="0"/>
              <w:jc w:val="left"/>
              <w:rPr>
                <w:rFonts w:ascii="Times New Roman" w:hAnsi="Times New Roman" w:cs="Times New Roman" w:eastAsia="Times New Roman" w:hint="default"/>
                <w:sz w:val="21"/>
                <w:szCs w:val="21"/>
              </w:rPr>
            </w:pPr>
            <w:r>
              <w:rPr>
                <w:rFonts w:ascii="Times New Roman"/>
                <w:sz w:val="21"/>
              </w:rPr>
              <w:t>117,211.20</w:t>
            </w:r>
          </w:p>
        </w:tc>
        <w:tc>
          <w:tcPr>
            <w:tcW w:w="187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十二、承诺及或有事项" w:id="356"/>
      <w:bookmarkEnd w:id="356"/>
      <w:r>
        <w:rPr>
          <w:b w:val="0"/>
          <w:bCs w:val="0"/>
        </w:rPr>
      </w:r>
      <w:r>
        <w:rPr/>
        <w:t>十二、承诺及或有事项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或有事项" w:id="357"/>
      <w:bookmarkEnd w:id="357"/>
      <w:r>
        <w:rPr>
          <w:b w:val="0"/>
          <w:bCs w:val="0"/>
        </w:rPr>
      </w:r>
      <w:r>
        <w:rPr>
          <w:rFonts w:ascii="Times New Roman" w:hAnsi="Times New Roman" w:cs="Times New Roman" w:eastAsia="Times New Roman" w:hint="default"/>
        </w:rPr>
        <w:t>1</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469" w:right="4399" w:hanging="316"/>
        <w:jc w:val="left"/>
        <w:rPr>
          <w:rFonts w:ascii="宋体" w:hAnsi="宋体" w:cs="宋体" w:eastAsia="宋体" w:hint="default"/>
          <w:sz w:val="21"/>
          <w:szCs w:val="21"/>
        </w:rPr>
      </w:pPr>
      <w:bookmarkStart w:name="（1）资产负债表日存在的重要或有事项" w:id="358"/>
      <w:bookmarkEnd w:id="3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日，本公司开具的保函金额为</w:t>
      </w:r>
      <w:r>
        <w:rPr>
          <w:rFonts w:ascii="Times New Roman" w:hAnsi="Times New Roman" w:cs="Times New Roman" w:eastAsia="Times New Roman" w:hint="default"/>
          <w:sz w:val="21"/>
          <w:szCs w:val="21"/>
        </w:rPr>
        <w:t>85,515,401.37</w:t>
      </w:r>
      <w:r>
        <w:rPr>
          <w:rFonts w:ascii="宋体" w:hAnsi="宋体" w:cs="宋体" w:eastAsia="宋体" w:hint="default"/>
          <w:sz w:val="21"/>
          <w:szCs w:val="21"/>
        </w:rPr>
        <w:t>元。</w:t>
      </w:r>
    </w:p>
    <w:p>
      <w:pPr>
        <w:spacing w:line="240" w:lineRule="auto" w:before="11"/>
        <w:rPr>
          <w:rFonts w:ascii="宋体" w:hAnsi="宋体" w:cs="宋体" w:eastAsia="宋体" w:hint="default"/>
          <w:sz w:val="30"/>
          <w:szCs w:val="30"/>
        </w:rPr>
      </w:pPr>
    </w:p>
    <w:p>
      <w:pPr>
        <w:pStyle w:val="Heading2"/>
        <w:spacing w:line="240" w:lineRule="auto"/>
        <w:ind w:right="0"/>
        <w:jc w:val="left"/>
        <w:rPr>
          <w:b w:val="0"/>
          <w:bCs w:val="0"/>
        </w:rPr>
      </w:pPr>
      <w:bookmarkStart w:name="十三、资产负债表日后事项" w:id="359"/>
      <w:bookmarkEnd w:id="359"/>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其他资产负债表日后事项说明" w:id="360"/>
      <w:bookmarkEnd w:id="360"/>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03"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日，本公司召开第六届二十一次董事会审议并通过非公开发行股份事项。</w:t>
      </w:r>
    </w:p>
    <w:p>
      <w:pPr>
        <w:pStyle w:val="BodyText"/>
        <w:spacing w:line="240" w:lineRule="auto" w:before="102"/>
        <w:ind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日，本公司召开第六届董事会第二十二次会议，会议审议并通过《</w:t>
      </w:r>
      <w:r>
        <w:rPr>
          <w:rFonts w:ascii="Times New Roman" w:hAnsi="Times New Roman" w:cs="Times New Roman" w:eastAsia="Times New Roman" w:hint="default"/>
        </w:rPr>
        <w:t>2015</w:t>
      </w:r>
      <w:r>
        <w:rPr/>
        <w:t>年度利润分配预案》，按照期末总股数</w:t>
      </w:r>
    </w:p>
    <w:p>
      <w:pPr>
        <w:pStyle w:val="BodyText"/>
        <w:spacing w:line="300" w:lineRule="auto" w:before="63"/>
        <w:ind w:right="1193"/>
        <w:jc w:val="left"/>
      </w:pPr>
      <w:r>
        <w:rPr>
          <w:rFonts w:ascii="Times New Roman" w:hAnsi="Times New Roman" w:cs="Times New Roman" w:eastAsia="Times New Roman" w:hint="default"/>
        </w:rPr>
        <w:t>246,606,046.00</w:t>
      </w:r>
      <w:r>
        <w:rPr/>
        <w:t>为基数，每</w:t>
      </w:r>
      <w:r>
        <w:rPr>
          <w:rFonts w:ascii="Times New Roman" w:hAnsi="Times New Roman" w:cs="Times New Roman" w:eastAsia="Times New Roman" w:hint="default"/>
        </w:rPr>
        <w:t>10</w:t>
      </w:r>
      <w:r>
        <w:rPr/>
        <w:t>股分配现金股利</w:t>
      </w:r>
      <w:r>
        <w:rPr>
          <w:rFonts w:ascii="Times New Roman" w:hAnsi="Times New Roman" w:cs="Times New Roman" w:eastAsia="Times New Roman" w:hint="default"/>
        </w:rPr>
        <w:t>0.4</w:t>
      </w:r>
      <w:r>
        <w:rPr/>
        <w:t>元（含税），拟分配现金股利合计</w:t>
      </w:r>
      <w:r>
        <w:rPr>
          <w:rFonts w:ascii="Times New Roman" w:hAnsi="Times New Roman" w:cs="Times New Roman" w:eastAsia="Times New Roman" w:hint="default"/>
        </w:rPr>
        <w:t>9,864,241.84</w:t>
      </w:r>
      <w:r>
        <w:rPr>
          <w:rFonts w:ascii="Times New Roman" w:hAnsi="Times New Roman" w:cs="Times New Roman" w:eastAsia="Times New Roman" w:hint="default"/>
          <w:spacing w:val="20"/>
        </w:rPr>
        <w:t> </w:t>
      </w:r>
      <w:r>
        <w:rPr/>
        <w:t>元（含税），利润分配预案 将提交</w:t>
      </w:r>
      <w:r>
        <w:rPr>
          <w:rFonts w:ascii="Times New Roman" w:hAnsi="Times New Roman" w:cs="Times New Roman" w:eastAsia="Times New Roman" w:hint="default"/>
        </w:rPr>
        <w:t>2015</w:t>
      </w:r>
      <w:r>
        <w:rPr/>
        <w:t>年股东大会审议批准后实施。</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pStyle w:val="Heading2"/>
        <w:spacing w:line="240" w:lineRule="auto"/>
        <w:ind w:right="0"/>
        <w:jc w:val="left"/>
        <w:rPr>
          <w:b w:val="0"/>
          <w:bCs w:val="0"/>
        </w:rPr>
      </w:pPr>
      <w:bookmarkStart w:name="十四、其他重要事项" w:id="361"/>
      <w:bookmarkEnd w:id="361"/>
      <w:r>
        <w:rPr>
          <w:b w:val="0"/>
          <w:bCs w:val="0"/>
        </w:rPr>
      </w: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其他" w:id="362"/>
      <w:bookmarkEnd w:id="362"/>
      <w:r>
        <w:rPr>
          <w:b w:val="0"/>
          <w:bCs w:val="0"/>
        </w:rPr>
      </w: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469"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日，本公司无需要披露的其他重要事项。</w:t>
      </w:r>
    </w:p>
    <w:p>
      <w:pPr>
        <w:pStyle w:val="Heading3"/>
        <w:spacing w:line="240" w:lineRule="auto" w:before="46"/>
        <w:ind w:left="394" w:right="0"/>
        <w:jc w:val="left"/>
      </w:pPr>
      <w:r>
        <w:rPr/>
        <w:t>经营租赁出租的资产情况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4333"/>
        <w:gridCol w:w="2762"/>
        <w:gridCol w:w="2761"/>
      </w:tblGrid>
      <w:tr>
        <w:trPr>
          <w:trHeight w:val="435" w:hRule="exact"/>
        </w:trPr>
        <w:tc>
          <w:tcPr>
            <w:tcW w:w="43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257" w:right="0"/>
              <w:jc w:val="left"/>
              <w:rPr>
                <w:rFonts w:ascii="宋体" w:hAnsi="宋体" w:cs="宋体" w:eastAsia="宋体" w:hint="default"/>
                <w:sz w:val="18"/>
                <w:szCs w:val="18"/>
              </w:rPr>
            </w:pPr>
            <w:r>
              <w:rPr>
                <w:rFonts w:ascii="宋体" w:hAnsi="宋体" w:cs="宋体" w:eastAsia="宋体" w:hint="default"/>
                <w:sz w:val="18"/>
                <w:szCs w:val="18"/>
              </w:rPr>
              <w:t>经营租赁租出资产类别</w:t>
            </w:r>
          </w:p>
        </w:tc>
        <w:tc>
          <w:tcPr>
            <w:tcW w:w="2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83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7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83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r>
      <w:tr>
        <w:trPr>
          <w:trHeight w:val="432" w:hRule="exact"/>
        </w:trPr>
        <w:tc>
          <w:tcPr>
            <w:tcW w:w="43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2,936,824.45</w:t>
            </w:r>
          </w:p>
        </w:tc>
        <w:tc>
          <w:tcPr>
            <w:tcW w:w="27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652,355.13</w:t>
            </w:r>
          </w:p>
        </w:tc>
      </w:tr>
      <w:tr>
        <w:trPr>
          <w:trHeight w:val="432" w:hRule="exact"/>
        </w:trPr>
        <w:tc>
          <w:tcPr>
            <w:tcW w:w="43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2,936,824.45</w:t>
            </w:r>
          </w:p>
        </w:tc>
        <w:tc>
          <w:tcPr>
            <w:tcW w:w="27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652,355.13</w:t>
            </w:r>
          </w:p>
        </w:tc>
      </w:tr>
    </w:tbl>
    <w:p>
      <w:pPr>
        <w:pStyle w:val="Heading4"/>
        <w:spacing w:line="276" w:lineRule="exact"/>
        <w:ind w:left="154" w:right="0"/>
        <w:jc w:val="left"/>
        <w:rPr>
          <w:b w:val="0"/>
          <w:bCs w:val="0"/>
        </w:rPr>
      </w:pPr>
      <w:r>
        <w:rPr>
          <w:rFonts w:ascii="Times New Roman" w:hAnsi="Times New Roman" w:cs="Times New Roman" w:eastAsia="Times New Roman" w:hint="default"/>
        </w:rPr>
        <w:t>2</w:t>
      </w:r>
      <w:r>
        <w:rPr/>
        <w:t>、分部信息</w:t>
      </w:r>
      <w:r>
        <w:rPr>
          <w:b w:val="0"/>
          <w:bCs w:val="0"/>
        </w:rPr>
      </w:r>
    </w:p>
    <w:p>
      <w:pPr>
        <w:pStyle w:val="Heading5"/>
        <w:spacing w:line="273" w:lineRule="auto" w:before="70"/>
        <w:ind w:left="276" w:right="0" w:firstLine="280"/>
        <w:jc w:val="left"/>
      </w:pPr>
      <w:r>
        <w:rPr/>
        <w:t>本公司目前无明确的财务报告分部，公司的主营业务收入、主营业务成本分行业及分地区情况详见本 附注</w:t>
      </w:r>
      <w:r>
        <w:rPr>
          <w:rFonts w:ascii="Times New Roman" w:hAnsi="Times New Roman" w:cs="Times New Roman" w:eastAsia="Times New Roman" w:hint="default"/>
        </w:rPr>
        <w:t>“</w:t>
      </w:r>
      <w:r>
        <w:rPr/>
        <w:t>营业收入和营业成本</w:t>
      </w:r>
      <w:r>
        <w:rPr>
          <w:rFonts w:ascii="Times New Roman" w:hAnsi="Times New Roman" w:cs="Times New Roman" w:eastAsia="Times New Roman" w:hint="default"/>
        </w:rPr>
        <w:t>”</w:t>
      </w:r>
      <w:r>
        <w:rPr/>
        <w:t>。</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五、母公司财务报表主要项目注释" w:id="363"/>
      <w:bookmarkEnd w:id="363"/>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账款" w:id="364"/>
      <w:bookmarkEnd w:id="364"/>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365"/>
      <w:bookmarkEnd w:id="36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428,737,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144.53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28,810,3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55.98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399,926,7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88.55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450,522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,100.94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17,750,06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432,772,03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4.58</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428,737,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144.53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28,810,3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55.98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399,926,7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88.55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450,522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,100.94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17,750,06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6.36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3.94%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432,772,03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4.58</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97,533,852.77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53,520,408.18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535,204.08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43,337,624.21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866,752.48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6,823,794.55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204,713.84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8,613,418.08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430,670.90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209,829,097.79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2,037,341.30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28,379,245.29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2,507,754.32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12,849,073.50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2,569,814.70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27,456,234.25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13,237,745.59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48.21%</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16,638,122.26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4,991,436.68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4,286,338.46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1,714,535.38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6,531,773.53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6,531,773.53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278,513,650.83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20,352,655.91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6433"/>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5"/>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287"/>
        <w:gridCol w:w="1435"/>
        <w:gridCol w:w="1355"/>
        <w:gridCol w:w="1241"/>
        <w:gridCol w:w="1435"/>
        <w:gridCol w:w="1355"/>
        <w:gridCol w:w="1237"/>
      </w:tblGrid>
      <w:tr>
        <w:trPr>
          <w:trHeight w:val="355" w:hRule="exact"/>
        </w:trPr>
        <w:tc>
          <w:tcPr>
            <w:tcW w:w="1287" w:type="dxa"/>
            <w:vMerge w:val="restart"/>
            <w:tcBorders>
              <w:top w:val="single" w:sz="6" w:space="0" w:color="000000"/>
              <w:left w:val="single" w:sz="6" w:space="0" w:color="000000"/>
              <w:right w:val="single" w:sz="6"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4031" w:type="dxa"/>
            <w:gridSpan w:val="3"/>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28" w:type="dxa"/>
            <w:gridSpan w:val="3"/>
            <w:tcBorders>
              <w:top w:val="single" w:sz="6" w:space="0" w:color="000000"/>
              <w:left w:val="single" w:sz="6" w:space="0" w:color="000000"/>
              <w:bottom w:val="single" w:sz="12" w:space="0" w:color="000000"/>
              <w:right w:val="nil" w:sz="6" w:space="0" w:color="auto"/>
            </w:tcBorders>
          </w:tcPr>
          <w:p>
            <w:pPr>
              <w:pStyle w:val="TableParagraph"/>
              <w:spacing w:line="271" w:lineRule="exact"/>
              <w:ind w:right="9"/>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3" w:hRule="exact"/>
        </w:trPr>
        <w:tc>
          <w:tcPr>
            <w:tcW w:w="1287" w:type="dxa"/>
            <w:vMerge/>
            <w:tcBorders>
              <w:left w:val="single" w:sz="6" w:space="0" w:color="000000"/>
              <w:bottom w:val="single" w:sz="12" w:space="0" w:color="000000"/>
              <w:right w:val="single" w:sz="6" w:space="0" w:color="000000"/>
            </w:tcBorders>
          </w:tcPr>
          <w:p>
            <w:pPr/>
          </w:p>
        </w:tc>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5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9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5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237"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2" w:hRule="exact"/>
        </w:trPr>
        <w:tc>
          <w:tcPr>
            <w:tcW w:w="128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关联方组合</w:t>
            </w:r>
          </w:p>
        </w:tc>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00" w:right="0"/>
              <w:jc w:val="center"/>
              <w:rPr>
                <w:rFonts w:ascii="Times New Roman" w:hAnsi="Times New Roman" w:cs="Times New Roman" w:eastAsia="Times New Roman" w:hint="default"/>
                <w:sz w:val="21"/>
                <w:szCs w:val="21"/>
              </w:rPr>
            </w:pPr>
            <w:r>
              <w:rPr>
                <w:rFonts w:ascii="Times New Roman"/>
                <w:sz w:val="21"/>
              </w:rPr>
              <w:t>150,223,493.70</w:t>
            </w:r>
          </w:p>
        </w:tc>
        <w:tc>
          <w:tcPr>
            <w:tcW w:w="13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0.06</w:t>
            </w: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8,457,700.07</w:t>
            </w:r>
          </w:p>
        </w:tc>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00" w:right="0"/>
              <w:jc w:val="center"/>
              <w:rPr>
                <w:rFonts w:ascii="Times New Roman" w:hAnsi="Times New Roman" w:cs="Times New Roman" w:eastAsia="Times New Roman" w:hint="default"/>
                <w:sz w:val="21"/>
                <w:szCs w:val="21"/>
              </w:rPr>
            </w:pPr>
            <w:r>
              <w:rPr>
                <w:rFonts w:ascii="Times New Roman"/>
                <w:sz w:val="21"/>
              </w:rPr>
              <w:t>203,500,770.95</w:t>
            </w:r>
          </w:p>
        </w:tc>
        <w:tc>
          <w:tcPr>
            <w:tcW w:w="13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0.04</w:t>
            </w:r>
          </w:p>
        </w:tc>
        <w:tc>
          <w:tcPr>
            <w:tcW w:w="12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02" w:right="0"/>
              <w:jc w:val="center"/>
              <w:rPr>
                <w:rFonts w:ascii="Times New Roman" w:hAnsi="Times New Roman" w:cs="Times New Roman" w:eastAsia="Times New Roman" w:hint="default"/>
                <w:sz w:val="21"/>
                <w:szCs w:val="21"/>
              </w:rPr>
            </w:pPr>
            <w:r>
              <w:rPr>
                <w:rFonts w:ascii="Times New Roman"/>
                <w:sz w:val="21"/>
              </w:rPr>
              <w:t>9,076,697.50</w:t>
            </w:r>
          </w:p>
        </w:tc>
      </w:tr>
      <w:tr>
        <w:trPr>
          <w:trHeight w:val="352" w:hRule="exact"/>
        </w:trPr>
        <w:tc>
          <w:tcPr>
            <w:tcW w:w="128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00" w:right="0"/>
              <w:jc w:val="center"/>
              <w:rPr>
                <w:rFonts w:ascii="Times New Roman" w:hAnsi="Times New Roman" w:cs="Times New Roman" w:eastAsia="Times New Roman" w:hint="default"/>
                <w:sz w:val="21"/>
                <w:szCs w:val="21"/>
              </w:rPr>
            </w:pPr>
            <w:r>
              <w:rPr>
                <w:rFonts w:ascii="Times New Roman"/>
                <w:sz w:val="21"/>
              </w:rPr>
              <w:t>150,223,493.70</w:t>
            </w:r>
          </w:p>
        </w:tc>
        <w:tc>
          <w:tcPr>
            <w:tcW w:w="1355" w:type="dxa"/>
            <w:tcBorders>
              <w:top w:val="single" w:sz="12" w:space="0" w:color="000000"/>
              <w:left w:val="single" w:sz="6" w:space="0" w:color="000000"/>
              <w:bottom w:val="single" w:sz="12" w:space="0" w:color="000000"/>
              <w:right w:val="single" w:sz="6" w:space="0" w:color="000000"/>
            </w:tcBorders>
          </w:tcPr>
          <w:p>
            <w:pPr/>
          </w:p>
        </w:tc>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8,457,700.07</w:t>
            </w:r>
          </w:p>
        </w:tc>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00" w:right="0"/>
              <w:jc w:val="center"/>
              <w:rPr>
                <w:rFonts w:ascii="Times New Roman" w:hAnsi="Times New Roman" w:cs="Times New Roman" w:eastAsia="Times New Roman" w:hint="default"/>
                <w:sz w:val="21"/>
                <w:szCs w:val="21"/>
              </w:rPr>
            </w:pPr>
            <w:r>
              <w:rPr>
                <w:rFonts w:ascii="Times New Roman"/>
                <w:sz w:val="21"/>
              </w:rPr>
              <w:t>203,500,770.95</w:t>
            </w:r>
          </w:p>
        </w:tc>
        <w:tc>
          <w:tcPr>
            <w:tcW w:w="1355" w:type="dxa"/>
            <w:tcBorders>
              <w:top w:val="single" w:sz="12" w:space="0" w:color="000000"/>
              <w:left w:val="single" w:sz="6" w:space="0" w:color="000000"/>
              <w:bottom w:val="single" w:sz="12" w:space="0" w:color="000000"/>
              <w:right w:val="single" w:sz="6" w:space="0" w:color="000000"/>
            </w:tcBorders>
          </w:tcPr>
          <w:p>
            <w:pPr/>
          </w:p>
        </w:tc>
        <w:tc>
          <w:tcPr>
            <w:tcW w:w="12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02" w:right="0"/>
              <w:jc w:val="center"/>
              <w:rPr>
                <w:rFonts w:ascii="Times New Roman" w:hAnsi="Times New Roman" w:cs="Times New Roman" w:eastAsia="Times New Roman" w:hint="default"/>
                <w:sz w:val="21"/>
                <w:szCs w:val="21"/>
              </w:rPr>
            </w:pPr>
            <w:r>
              <w:rPr>
                <w:rFonts w:ascii="Times New Roman"/>
                <w:sz w:val="21"/>
              </w:rPr>
              <w:t>9,076,697.50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54" w:right="0"/>
        <w:jc w:val="left"/>
        <w:rPr>
          <w:b w:val="0"/>
          <w:bCs w:val="0"/>
        </w:rPr>
      </w:pPr>
      <w:bookmarkStart w:name="（2）本期实际核销的应收账款情况" w:id="366"/>
      <w:bookmarkEnd w:id="366"/>
      <w:r>
        <w:rPr>
          <w:b w:val="0"/>
          <w:bCs w:val="0"/>
        </w:rPr>
      </w:r>
      <w:r>
        <w:rPr/>
        <w:t>（</w:t>
      </w:r>
      <w:r>
        <w:rPr>
          <w:rFonts w:ascii="Times New Roman" w:hAnsi="Times New Roman" w:cs="Times New Roman" w:eastAsia="Times New Roman" w:hint="default"/>
        </w:rPr>
        <w:t>2</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376,100.96</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CIM</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股份有限公司内</w:t>
            </w:r>
            <w:r>
              <w:rPr>
                <w:rFonts w:ascii="宋体" w:hAnsi="宋体" w:cs="宋体" w:eastAsia="宋体" w:hint="default"/>
                <w:w w:val="99"/>
                <w:sz w:val="18"/>
                <w:szCs w:val="18"/>
              </w:rPr>
              <w:t> </w:t>
            </w:r>
            <w:r>
              <w:rPr>
                <w:rFonts w:ascii="宋体" w:hAnsi="宋体" w:cs="宋体" w:eastAsia="宋体" w:hint="default"/>
                <w:sz w:val="18"/>
                <w:szCs w:val="18"/>
              </w:rPr>
              <w:t>蒙古自治区分行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42,957.00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南天信息董事会审 议核销</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HL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保险股份有限公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333,143.96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南天信息董事会审 议核销</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376,100.96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应收账款核销说明：</w:t>
      </w:r>
    </w:p>
    <w:p>
      <w:pPr>
        <w:pStyle w:val="Heading5"/>
        <w:spacing w:line="240" w:lineRule="auto" w:before="89"/>
        <w:ind w:left="15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日，云南南天信息产业股份有限公司第六届第十八次董事会会议核销应收账款</w:t>
      </w:r>
      <w:r>
        <w:rPr>
          <w:rFonts w:ascii="Times New Roman" w:hAnsi="Times New Roman" w:cs="Times New Roman" w:eastAsia="Times New Roman" w:hint="default"/>
        </w:rPr>
        <w:t>376,100.96</w:t>
      </w:r>
      <w:r>
        <w:rPr/>
        <w:t>元。</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3）按欠款方归集的期末余额前五名的应收账款情况" w:id="367"/>
      <w:bookmarkEnd w:id="367"/>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050"/>
        <w:gridCol w:w="1579"/>
        <w:gridCol w:w="1512"/>
        <w:gridCol w:w="1075"/>
        <w:gridCol w:w="1129"/>
      </w:tblGrid>
      <w:tr>
        <w:trPr>
          <w:trHeight w:val="1059" w:hRule="exact"/>
        </w:trPr>
        <w:tc>
          <w:tcPr>
            <w:tcW w:w="405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8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88"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129"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62"/>
              <w:ind w:left="196" w:right="203"/>
              <w:jc w:val="both"/>
              <w:rPr>
                <w:rFonts w:ascii="Times New Roman" w:hAnsi="Times New Roman" w:cs="Times New Roman" w:eastAsia="Times New Roman" w:hint="default"/>
                <w:sz w:val="18"/>
                <w:szCs w:val="18"/>
              </w:rPr>
            </w:pPr>
            <w:r>
              <w:rPr>
                <w:rFonts w:ascii="宋体" w:hAnsi="宋体" w:cs="宋体" w:eastAsia="宋体" w:hint="default"/>
                <w:sz w:val="18"/>
                <w:szCs w:val="18"/>
              </w:rPr>
              <w:t>占应收账 款总额的 比例</w:t>
            </w:r>
            <w:r>
              <w:rPr>
                <w:rFonts w:ascii="Times New Roman" w:hAnsi="Times New Roman" w:cs="Times New Roman" w:eastAsia="Times New Roman" w:hint="default"/>
                <w:sz w:val="18"/>
                <w:szCs w:val="18"/>
              </w:rPr>
              <w:t>(%)</w:t>
            </w:r>
          </w:p>
        </w:tc>
      </w:tr>
      <w:tr>
        <w:trPr>
          <w:trHeight w:val="432" w:hRule="exact"/>
        </w:trPr>
        <w:tc>
          <w:tcPr>
            <w:tcW w:w="405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CCB</w:t>
            </w:r>
            <w:r>
              <w:rPr>
                <w:rFonts w:ascii="宋体" w:hAnsi="宋体" w:cs="宋体" w:eastAsia="宋体" w:hint="default"/>
                <w:sz w:val="21"/>
                <w:szCs w:val="21"/>
              </w:rPr>
              <w:t>股份有限公司</w:t>
            </w:r>
          </w:p>
        </w:tc>
        <w:tc>
          <w:tcPr>
            <w:tcW w:w="157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71,733,082.28</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16.73</w:t>
            </w:r>
          </w:p>
        </w:tc>
      </w:tr>
      <w:tr>
        <w:trPr>
          <w:trHeight w:val="432" w:hRule="exact"/>
        </w:trPr>
        <w:tc>
          <w:tcPr>
            <w:tcW w:w="405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GDJT</w:t>
            </w:r>
            <w:r>
              <w:rPr>
                <w:rFonts w:ascii="宋体" w:hAnsi="宋体" w:cs="宋体" w:eastAsia="宋体" w:hint="default"/>
                <w:sz w:val="21"/>
                <w:szCs w:val="21"/>
              </w:rPr>
              <w:t>集团有限公司</w:t>
            </w:r>
          </w:p>
        </w:tc>
        <w:tc>
          <w:tcPr>
            <w:tcW w:w="157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21,585,950.49</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5.03</w:t>
            </w:r>
          </w:p>
        </w:tc>
      </w:tr>
      <w:tr>
        <w:trPr>
          <w:trHeight w:val="432" w:hRule="exact"/>
        </w:trPr>
        <w:tc>
          <w:tcPr>
            <w:tcW w:w="405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SC</w:t>
            </w:r>
            <w:r>
              <w:rPr>
                <w:rFonts w:ascii="宋体" w:hAnsi="宋体" w:cs="宋体" w:eastAsia="宋体" w:hint="default"/>
                <w:sz w:val="21"/>
                <w:szCs w:val="21"/>
              </w:rPr>
              <w:t>省农村信用社</w:t>
            </w:r>
          </w:p>
        </w:tc>
        <w:tc>
          <w:tcPr>
            <w:tcW w:w="157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20,228,960.00</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4.72</w:t>
            </w:r>
          </w:p>
        </w:tc>
      </w:tr>
      <w:tr>
        <w:trPr>
          <w:trHeight w:val="432" w:hRule="exact"/>
        </w:trPr>
        <w:tc>
          <w:tcPr>
            <w:tcW w:w="405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CNY</w:t>
            </w:r>
            <w:r>
              <w:rPr>
                <w:rFonts w:ascii="宋体" w:hAnsi="宋体" w:cs="宋体" w:eastAsia="宋体" w:hint="default"/>
                <w:sz w:val="21"/>
                <w:szCs w:val="21"/>
              </w:rPr>
              <w:t>股份有限公司广东省分行</w:t>
            </w:r>
          </w:p>
        </w:tc>
        <w:tc>
          <w:tcPr>
            <w:tcW w:w="157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12,866,272.34</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3.00</w:t>
            </w:r>
          </w:p>
        </w:tc>
      </w:tr>
      <w:tr>
        <w:trPr>
          <w:trHeight w:val="432" w:hRule="exact"/>
        </w:trPr>
        <w:tc>
          <w:tcPr>
            <w:tcW w:w="405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CCB</w:t>
            </w:r>
            <w:r>
              <w:rPr>
                <w:rFonts w:ascii="宋体" w:hAnsi="宋体" w:cs="宋体" w:eastAsia="宋体" w:hint="default"/>
                <w:sz w:val="21"/>
                <w:szCs w:val="21"/>
              </w:rPr>
              <w:t>份有限公司河南省分行</w:t>
            </w:r>
          </w:p>
        </w:tc>
        <w:tc>
          <w:tcPr>
            <w:tcW w:w="157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7,759,731.63</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1.81</w:t>
            </w:r>
          </w:p>
        </w:tc>
      </w:tr>
      <w:tr>
        <w:trPr>
          <w:trHeight w:val="352" w:hRule="exact"/>
        </w:trPr>
        <w:tc>
          <w:tcPr>
            <w:tcW w:w="405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9" w:type="dxa"/>
            <w:tcBorders>
              <w:top w:val="single" w:sz="12" w:space="0" w:color="000000"/>
              <w:left w:val="single" w:sz="6" w:space="0" w:color="000000"/>
              <w:bottom w:val="single" w:sz="12" w:space="0" w:color="000000"/>
              <w:right w:val="single" w:sz="6" w:space="0" w:color="000000"/>
            </w:tcBorders>
          </w:tcPr>
          <w:p>
            <w:pPr/>
          </w:p>
        </w:tc>
        <w:tc>
          <w:tcPr>
            <w:tcW w:w="1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134,173,996.74</w:t>
            </w:r>
          </w:p>
        </w:tc>
        <w:tc>
          <w:tcPr>
            <w:tcW w:w="1075" w:type="dxa"/>
            <w:tcBorders>
              <w:top w:val="single" w:sz="12" w:space="0" w:color="000000"/>
              <w:left w:val="single" w:sz="6" w:space="0" w:color="000000"/>
              <w:bottom w:val="single" w:sz="12" w:space="0" w:color="000000"/>
              <w:right w:val="single" w:sz="6" w:space="0" w:color="000000"/>
            </w:tcBorders>
          </w:tcPr>
          <w:p>
            <w:pPr/>
          </w:p>
        </w:tc>
        <w:tc>
          <w:tcPr>
            <w:tcW w:w="1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31.29</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86"/>
        <w:ind w:right="0"/>
        <w:jc w:val="left"/>
        <w:rPr>
          <w:b w:val="0"/>
          <w:bCs w:val="0"/>
        </w:rPr>
      </w:pPr>
      <w:bookmarkStart w:name="（4）因金融资产转移而终止确认的应收账款" w:id="368"/>
      <w:bookmarkEnd w:id="368"/>
      <w:r>
        <w:rPr>
          <w:b w:val="0"/>
          <w:bCs w:val="0"/>
        </w:rPr>
      </w:r>
      <w:r>
        <w:rPr/>
        <w:t>（</w:t>
      </w:r>
      <w:r>
        <w:rPr>
          <w:rFonts w:ascii="Times New Roman" w:hAnsi="Times New Roman" w:cs="Times New Roman" w:eastAsia="Times New Roman" w:hint="default"/>
        </w:rPr>
        <w:t>4</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left="154" w:right="0"/>
        <w:jc w:val="left"/>
        <w:rPr>
          <w:b w:val="0"/>
          <w:bCs w:val="0"/>
        </w:rPr>
      </w:pPr>
      <w:bookmarkStart w:name="（5）转移应收账款且继续涉入形成的资产、负债金额" w:id="369"/>
      <w:bookmarkEnd w:id="369"/>
      <w:r>
        <w:rPr>
          <w:b w:val="0"/>
          <w:bCs w:val="0"/>
        </w:rPr>
      </w:r>
      <w:r>
        <w:rPr/>
        <w:t>（</w:t>
      </w:r>
      <w:r>
        <w:rPr>
          <w:rFonts w:ascii="Times New Roman" w:hAnsi="Times New Roman" w:cs="Times New Roman" w:eastAsia="Times New Roman" w:hint="default"/>
        </w:rPr>
        <w:t>5</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852"/>
        <w:jc w:val="left"/>
      </w:pPr>
      <w:r>
        <w:rPr/>
        <w:t>无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2、其他应收款" w:id="370"/>
      <w:bookmarkEnd w:id="37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371"/>
      <w:bookmarkEnd w:id="37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88,057,2</w:t>
            </w:r>
          </w:p>
          <w:p>
            <w:pPr>
              <w:pStyle w:val="TableParagraph"/>
              <w:spacing w:line="240" w:lineRule="auto" w:before="106"/>
              <w:ind w:left="319" w:right="0"/>
              <w:jc w:val="left"/>
              <w:rPr>
                <w:rFonts w:ascii="Times New Roman" w:hAnsi="Times New Roman" w:cs="Times New Roman" w:eastAsia="Times New Roman" w:hint="default"/>
                <w:sz w:val="18"/>
                <w:szCs w:val="18"/>
              </w:rPr>
            </w:pPr>
            <w:r>
              <w:rPr>
                <w:rFonts w:ascii="Times New Roman"/>
                <w:sz w:val="18"/>
              </w:rPr>
              <w:t>11.13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30,030.3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88,027,18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42,230,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898.34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70,720.29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42,160,178.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88,057,2</w:t>
            </w:r>
          </w:p>
          <w:p>
            <w:pPr>
              <w:pStyle w:val="TableParagraph"/>
              <w:spacing w:line="240" w:lineRule="auto" w:before="106"/>
              <w:ind w:left="324" w:right="0"/>
              <w:jc w:val="left"/>
              <w:rPr>
                <w:rFonts w:ascii="Times New Roman" w:hAnsi="Times New Roman" w:cs="Times New Roman" w:eastAsia="Times New Roman" w:hint="default"/>
                <w:sz w:val="18"/>
                <w:szCs w:val="18"/>
              </w:rPr>
            </w:pPr>
            <w:r>
              <w:rPr>
                <w:rFonts w:ascii="Times New Roman"/>
                <w:sz w:val="18"/>
              </w:rPr>
              <w:t>11.13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30,030.3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88,027,18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0.78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42,230,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898.34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70,720.29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42,160,178.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558,427.55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305,845.44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3,058.45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226,118.19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4,522.36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186,253.59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5,587.61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1,276,644.77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13,168.42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106,297.33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8,503.79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27,860.46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8,358.14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1,410,802.56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30,030.35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364"/>
        <w:gridCol w:w="1418"/>
        <w:gridCol w:w="1437"/>
        <w:gridCol w:w="1138"/>
        <w:gridCol w:w="1417"/>
        <w:gridCol w:w="1436"/>
        <w:gridCol w:w="1136"/>
      </w:tblGrid>
      <w:tr>
        <w:trPr>
          <w:trHeight w:val="355" w:hRule="exact"/>
        </w:trPr>
        <w:tc>
          <w:tcPr>
            <w:tcW w:w="1364" w:type="dxa"/>
            <w:vMerge w:val="restart"/>
            <w:tcBorders>
              <w:top w:val="single" w:sz="6" w:space="0" w:color="000000"/>
              <w:left w:val="single" w:sz="6" w:space="0" w:color="000000"/>
              <w:right w:val="single" w:sz="6" w:space="0" w:color="000000"/>
            </w:tcBorders>
          </w:tcPr>
          <w:p>
            <w:pPr>
              <w:pStyle w:val="TableParagraph"/>
              <w:spacing w:line="271" w:lineRule="exact"/>
              <w:ind w:left="25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3993" w:type="dxa"/>
            <w:gridSpan w:val="3"/>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89" w:type="dxa"/>
            <w:gridSpan w:val="3"/>
            <w:tcBorders>
              <w:top w:val="single" w:sz="6" w:space="0" w:color="000000"/>
              <w:left w:val="single" w:sz="6" w:space="0" w:color="000000"/>
              <w:bottom w:val="single" w:sz="12" w:space="0" w:color="000000"/>
              <w:right w:val="nil" w:sz="6" w:space="0" w:color="auto"/>
            </w:tcBorders>
          </w:tcPr>
          <w:p>
            <w:pPr>
              <w:pStyle w:val="TableParagraph"/>
              <w:spacing w:line="271" w:lineRule="exact"/>
              <w:ind w:right="9"/>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3" w:hRule="exact"/>
        </w:trPr>
        <w:tc>
          <w:tcPr>
            <w:tcW w:w="1364" w:type="dxa"/>
            <w:vMerge/>
            <w:tcBorders>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8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3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13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1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36"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13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13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14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2" w:hRule="exact"/>
        </w:trPr>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关联方组合</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86,646,408.57</w:t>
            </w:r>
          </w:p>
        </w:tc>
        <w:tc>
          <w:tcPr>
            <w:tcW w:w="1437" w:type="dxa"/>
            <w:tcBorders>
              <w:top w:val="single" w:sz="12" w:space="0" w:color="000000"/>
              <w:left w:val="single" w:sz="6" w:space="0" w:color="000000"/>
              <w:bottom w:val="single" w:sz="12" w:space="0" w:color="000000"/>
              <w:right w:val="single" w:sz="6" w:space="0" w:color="000000"/>
            </w:tcBorders>
          </w:tcPr>
          <w:p>
            <w:pPr/>
          </w:p>
        </w:tc>
        <w:tc>
          <w:tcPr>
            <w:tcW w:w="1138"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37,171,655.10</w:t>
            </w:r>
          </w:p>
        </w:tc>
        <w:tc>
          <w:tcPr>
            <w:tcW w:w="1436"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86,646,408.57</w:t>
            </w:r>
          </w:p>
        </w:tc>
        <w:tc>
          <w:tcPr>
            <w:tcW w:w="1437" w:type="dxa"/>
            <w:tcBorders>
              <w:top w:val="single" w:sz="12" w:space="0" w:color="000000"/>
              <w:left w:val="single" w:sz="6" w:space="0" w:color="000000"/>
              <w:bottom w:val="single" w:sz="12" w:space="0" w:color="000000"/>
              <w:right w:val="single" w:sz="6" w:space="0" w:color="000000"/>
            </w:tcBorders>
          </w:tcPr>
          <w:p>
            <w:pPr/>
          </w:p>
        </w:tc>
        <w:tc>
          <w:tcPr>
            <w:tcW w:w="1138"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37,171,655.10</w:t>
            </w:r>
          </w:p>
        </w:tc>
        <w:tc>
          <w:tcPr>
            <w:tcW w:w="1436"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54" w:right="0"/>
        <w:jc w:val="left"/>
        <w:rPr>
          <w:b w:val="0"/>
          <w:bCs w:val="0"/>
        </w:rPr>
      </w:pPr>
      <w:bookmarkStart w:name="（2）按欠款方归集的期末余额前五名的其他应收款情况" w:id="372"/>
      <w:bookmarkEnd w:id="372"/>
      <w:r>
        <w:rPr>
          <w:b w:val="0"/>
          <w:bCs w:val="0"/>
        </w:rPr>
      </w:r>
      <w:r>
        <w:rPr/>
        <w:t>（</w:t>
      </w:r>
      <w:r>
        <w:rPr>
          <w:rFonts w:ascii="Times New Roman" w:hAnsi="Times New Roman" w:cs="Times New Roman" w:eastAsia="Times New Roman" w:hint="default"/>
        </w:rPr>
        <w:t>2</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代收代付水电费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781,939.57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云南省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DSJ</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249,344.72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JDSW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科技有限公司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105,921.60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云南大学</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15,860.46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济南民生银行</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1,165,066.35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因金融资产转移而终止确认的其他应收款" w:id="373"/>
      <w:bookmarkEnd w:id="373"/>
      <w:r>
        <w:rPr>
          <w:b w:val="0"/>
          <w:bCs w:val="0"/>
        </w:rPr>
      </w:r>
      <w:r>
        <w:rPr/>
        <w:t>（</w:t>
      </w:r>
      <w:r>
        <w:rPr>
          <w:rFonts w:ascii="Times New Roman" w:hAnsi="Times New Roman" w:cs="Times New Roman" w:eastAsia="Times New Roman" w:hint="default"/>
        </w:rPr>
        <w:t>3</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left="154" w:right="0"/>
        <w:jc w:val="left"/>
        <w:rPr>
          <w:b w:val="0"/>
          <w:bCs w:val="0"/>
        </w:rPr>
      </w:pPr>
      <w:bookmarkStart w:name="（4）转移其他应收款且继续涉入形成的资产、负债金额" w:id="374"/>
      <w:bookmarkEnd w:id="374"/>
      <w:r>
        <w:rPr>
          <w:b w:val="0"/>
          <w:bCs w:val="0"/>
        </w:rPr>
      </w:r>
      <w:r>
        <w:rPr/>
        <w:t>（</w:t>
      </w:r>
      <w:r>
        <w:rPr>
          <w:rFonts w:ascii="Times New Roman" w:hAnsi="Times New Roman" w:cs="Times New Roman" w:eastAsia="Times New Roman" w:hint="default"/>
        </w:rPr>
        <w:t>4</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852"/>
        <w:jc w:val="left"/>
      </w:pPr>
      <w:r>
        <w:rPr/>
        <w:t>无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3、长期股权投资" w:id="375"/>
      <w:bookmarkEnd w:id="37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335,350,018.46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32,279,046.00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303,070,972.46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335,350,018.46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32,279,046.00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303,070,972.46</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307,906,308.84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595,467.99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307,310,840.85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300,871,320.37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595,467.99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300,275,852.38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643,256,327.30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32,874,513.99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610,381,813.31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636,221,338.83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32,874,513.99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603,346,824.84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1）对子公司投资" w:id="376"/>
      <w:bookmarkEnd w:id="37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广州南天电脑系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94,831,200.29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94,831,200.29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上海南天电脑系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100,575,462.87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100,575,462.87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昆明南天电脑系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2,816,855.00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2,816,855.00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西安南天电脑系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2,279,046.00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2,279,046.00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2,279,046.00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武汉南天电脑系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1,666,475.80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1,666,475.80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深圳南天东华科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10,606,147.01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10,606,147.01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北京南天软件有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云南南天信息设 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北京南天信息工 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25,674,831.49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25,674,831.49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重庆南天数据咨 讯服务有限公司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335,350,018.46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335,350,018.46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32,279,046.00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对联营、合营企业投资" w:id="377"/>
      <w:bookmarkEnd w:id="37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3"/>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云南医药 工业股份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263,050,1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07.96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5,454,901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-1,855,78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2,965,780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269,615,0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07.33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云南东盟 公共物流 信息有限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24,307,79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404,489.2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24,712,28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云南南天 信息软件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595,467.9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595,467.9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595,467.9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云南佳程 防伪科技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12,917,95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65,599.86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12,983,55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1.27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300,871,3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20.37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5,924,990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-1,855,78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2,965,780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307,906,3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08.84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595,467.9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300,871,3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20.37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5,924,990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-1,855,78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2,965,780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307,906,3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08.84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595,467.9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营业收入和营业成本" w:id="378"/>
      <w:bookmarkEnd w:id="37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1,292,914,409.34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1,204,879,043.32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1,114,817,251.23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1,030,241,581.71</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18,499,647.80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8,324,120.82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22,274,836.22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10,716,018.35</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1,311,414,057.14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1,213,203,164.14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1,137,092,087.45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1,040,957,600.06</w:t>
            </w:r>
          </w:p>
        </w:tc>
      </w:tr>
    </w:tbl>
    <w:p>
      <w:pPr>
        <w:pStyle w:val="BodyText"/>
        <w:spacing w:line="240" w:lineRule="auto" w:before="51"/>
        <w:ind w:left="154" w:right="0"/>
        <w:jc w:val="left"/>
      </w:pPr>
      <w:r>
        <w:rPr/>
        <w:t>其他说明：</w:t>
      </w:r>
    </w:p>
    <w:p>
      <w:pPr>
        <w:pStyle w:val="Heading3"/>
        <w:spacing w:line="240" w:lineRule="auto" w:before="65"/>
        <w:ind w:right="0"/>
        <w:jc w:val="left"/>
      </w:pPr>
      <w:r>
        <w:rPr/>
        <w:t>（</w:t>
      </w:r>
      <w:r>
        <w:rPr>
          <w:rFonts w:ascii="Times New Roman" w:hAnsi="Times New Roman" w:cs="Times New Roman" w:eastAsia="Times New Roman" w:hint="default"/>
        </w:rPr>
        <w:t>1</w:t>
      </w:r>
      <w:r>
        <w:rPr/>
        <w:t>）主营业务（分行业）</w:t>
      </w:r>
    </w:p>
    <w:p>
      <w:pPr>
        <w:spacing w:line="240" w:lineRule="auto" w:before="4"/>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366"/>
        <w:gridCol w:w="1748"/>
        <w:gridCol w:w="1748"/>
        <w:gridCol w:w="1734"/>
        <w:gridCol w:w="1750"/>
      </w:tblGrid>
      <w:tr>
        <w:trPr>
          <w:trHeight w:val="355" w:hRule="exact"/>
        </w:trPr>
        <w:tc>
          <w:tcPr>
            <w:tcW w:w="2366" w:type="dxa"/>
            <w:vMerge w:val="restart"/>
            <w:tcBorders>
              <w:top w:val="single" w:sz="6" w:space="0" w:color="000000"/>
              <w:left w:val="single" w:sz="6" w:space="0" w:color="000000"/>
              <w:right w:val="single" w:sz="6" w:space="0" w:color="000000"/>
            </w:tcBorders>
          </w:tcPr>
          <w:p>
            <w:pPr>
              <w:pStyle w:val="TableParagraph"/>
              <w:spacing w:line="271" w:lineRule="exact"/>
              <w:ind w:left="755"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49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84" w:type="dxa"/>
            <w:gridSpan w:val="2"/>
            <w:tcBorders>
              <w:top w:val="single" w:sz="6" w:space="0" w:color="000000"/>
              <w:left w:val="single" w:sz="6" w:space="0" w:color="000000"/>
              <w:bottom w:val="single" w:sz="12" w:space="0" w:color="000000"/>
              <w:right w:val="nil" w:sz="6" w:space="0" w:color="auto"/>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3" w:hRule="exact"/>
        </w:trPr>
        <w:tc>
          <w:tcPr>
            <w:tcW w:w="2366" w:type="dxa"/>
            <w:vMerge/>
            <w:tcBorders>
              <w:left w:val="single" w:sz="6" w:space="0" w:color="000000"/>
              <w:bottom w:val="single" w:sz="12" w:space="0" w:color="000000"/>
              <w:right w:val="single" w:sz="6" w:space="0" w:color="000000"/>
            </w:tcBorders>
          </w:tcPr>
          <w:p>
            <w:pPr/>
          </w:p>
        </w:tc>
        <w:tc>
          <w:tcPr>
            <w:tcW w:w="174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4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4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3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4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44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52" w:hRule="exact"/>
        </w:trPr>
        <w:tc>
          <w:tcPr>
            <w:tcW w:w="23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软件和信息技术服务</w:t>
            </w:r>
          </w:p>
        </w:tc>
        <w:tc>
          <w:tcPr>
            <w:tcW w:w="1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1,292,914,409.34</w:t>
            </w:r>
          </w:p>
        </w:tc>
        <w:tc>
          <w:tcPr>
            <w:tcW w:w="1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1,204,879,043.32</w:t>
            </w:r>
          </w:p>
        </w:tc>
        <w:tc>
          <w:tcPr>
            <w:tcW w:w="1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1,114,817,251.23</w:t>
            </w:r>
          </w:p>
        </w:tc>
        <w:tc>
          <w:tcPr>
            <w:tcW w:w="17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1"/>
              <w:jc w:val="right"/>
              <w:rPr>
                <w:rFonts w:ascii="Times New Roman" w:hAnsi="Times New Roman" w:cs="Times New Roman" w:eastAsia="Times New Roman" w:hint="default"/>
                <w:sz w:val="21"/>
                <w:szCs w:val="21"/>
              </w:rPr>
            </w:pPr>
            <w:r>
              <w:rPr>
                <w:rFonts w:ascii="Times New Roman"/>
                <w:spacing w:val="-1"/>
                <w:sz w:val="21"/>
              </w:rPr>
              <w:t>1,030,241,581.71</w:t>
            </w:r>
          </w:p>
        </w:tc>
      </w:tr>
      <w:tr>
        <w:trPr>
          <w:trHeight w:val="352" w:hRule="exact"/>
        </w:trPr>
        <w:tc>
          <w:tcPr>
            <w:tcW w:w="23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8" w:type="dxa"/>
            <w:tcBorders>
              <w:top w:val="single" w:sz="12" w:space="0" w:color="000000"/>
              <w:left w:val="single" w:sz="6" w:space="0" w:color="000000"/>
              <w:bottom w:val="single" w:sz="12" w:space="0" w:color="000000"/>
              <w:right w:val="single" w:sz="6" w:space="0" w:color="000000"/>
            </w:tcBorders>
          </w:tcPr>
          <w:p>
            <w:pPr/>
          </w:p>
        </w:tc>
        <w:tc>
          <w:tcPr>
            <w:tcW w:w="1748" w:type="dxa"/>
            <w:tcBorders>
              <w:top w:val="single" w:sz="12" w:space="0" w:color="000000"/>
              <w:left w:val="single" w:sz="6" w:space="0" w:color="000000"/>
              <w:bottom w:val="single" w:sz="12" w:space="0" w:color="000000"/>
              <w:right w:val="single" w:sz="6" w:space="0" w:color="000000"/>
            </w:tcBorders>
          </w:tcPr>
          <w:p>
            <w:pPr/>
          </w:p>
        </w:tc>
        <w:tc>
          <w:tcPr>
            <w:tcW w:w="1734" w:type="dxa"/>
            <w:tcBorders>
              <w:top w:val="single" w:sz="12" w:space="0" w:color="000000"/>
              <w:left w:val="single" w:sz="6" w:space="0" w:color="000000"/>
              <w:bottom w:val="single" w:sz="12" w:space="0" w:color="000000"/>
              <w:right w:val="single" w:sz="6" w:space="0" w:color="000000"/>
            </w:tcBorders>
          </w:tcPr>
          <w:p>
            <w:pPr/>
          </w:p>
        </w:tc>
        <w:tc>
          <w:tcPr>
            <w:tcW w:w="175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3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1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1,292,914,409.34</w:t>
            </w:r>
          </w:p>
        </w:tc>
        <w:tc>
          <w:tcPr>
            <w:tcW w:w="1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1,204,879,043.32</w:t>
            </w:r>
          </w:p>
        </w:tc>
        <w:tc>
          <w:tcPr>
            <w:tcW w:w="1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1,114,817,251.23</w:t>
            </w:r>
          </w:p>
        </w:tc>
        <w:tc>
          <w:tcPr>
            <w:tcW w:w="17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1"/>
              <w:jc w:val="right"/>
              <w:rPr>
                <w:rFonts w:ascii="Times New Roman" w:hAnsi="Times New Roman" w:cs="Times New Roman" w:eastAsia="Times New Roman" w:hint="default"/>
                <w:sz w:val="21"/>
                <w:szCs w:val="21"/>
              </w:rPr>
            </w:pPr>
            <w:r>
              <w:rPr>
                <w:rFonts w:ascii="Times New Roman"/>
                <w:spacing w:val="-1"/>
                <w:sz w:val="21"/>
              </w:rPr>
              <w:t>1,030,241,581.71</w:t>
            </w:r>
          </w:p>
        </w:tc>
      </w:tr>
    </w:tbl>
    <w:p>
      <w:pPr>
        <w:pStyle w:val="Heading3"/>
        <w:spacing w:line="293" w:lineRule="exact"/>
        <w:ind w:left="154" w:right="0"/>
        <w:jc w:val="left"/>
      </w:pPr>
      <w:r>
        <w:rPr/>
        <w:t>（</w:t>
      </w:r>
      <w:r>
        <w:rPr>
          <w:rFonts w:ascii="Times New Roman" w:hAnsi="Times New Roman" w:cs="Times New Roman" w:eastAsia="Times New Roman" w:hint="default"/>
        </w:rPr>
        <w:t>2</w:t>
      </w:r>
      <w:r>
        <w:rPr/>
        <w:t>）主营业务（分产品）</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702"/>
        <w:gridCol w:w="1665"/>
        <w:gridCol w:w="1666"/>
        <w:gridCol w:w="1653"/>
        <w:gridCol w:w="1661"/>
      </w:tblGrid>
      <w:tr>
        <w:trPr>
          <w:trHeight w:val="355" w:hRule="exact"/>
        </w:trPr>
        <w:tc>
          <w:tcPr>
            <w:tcW w:w="2702" w:type="dxa"/>
            <w:vMerge w:val="restart"/>
            <w:tcBorders>
              <w:top w:val="single" w:sz="6" w:space="0" w:color="000000"/>
              <w:left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产品名称</w:t>
            </w:r>
          </w:p>
        </w:tc>
        <w:tc>
          <w:tcPr>
            <w:tcW w:w="333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14" w:type="dxa"/>
            <w:gridSpan w:val="2"/>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3" w:hRule="exact"/>
        </w:trPr>
        <w:tc>
          <w:tcPr>
            <w:tcW w:w="2702" w:type="dxa"/>
            <w:vMerge/>
            <w:tcBorders>
              <w:left w:val="single" w:sz="6" w:space="0" w:color="000000"/>
              <w:bottom w:val="single" w:sz="12" w:space="0" w:color="000000"/>
              <w:right w:val="single" w:sz="6" w:space="0" w:color="000000"/>
            </w:tcBorders>
          </w:tcPr>
          <w:p>
            <w:pPr/>
          </w:p>
        </w:tc>
        <w:tc>
          <w:tcPr>
            <w:tcW w:w="166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0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0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9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403" w:right="0"/>
              <w:jc w:val="left"/>
              <w:rPr>
                <w:rFonts w:ascii="宋体" w:hAnsi="宋体" w:cs="宋体" w:eastAsia="宋体" w:hint="default"/>
                <w:sz w:val="21"/>
                <w:szCs w:val="21"/>
              </w:rPr>
            </w:pPr>
            <w:r>
              <w:rPr>
                <w:rFonts w:ascii="宋体" w:hAnsi="宋体" w:cs="宋体" w:eastAsia="宋体" w:hint="default"/>
                <w:sz w:val="21"/>
                <w:szCs w:val="21"/>
              </w:rPr>
              <w:t>营业成本</w:t>
            </w:r>
          </w:p>
        </w:tc>
      </w:tr>
    </w:tbl>
    <w:p>
      <w:pPr>
        <w:spacing w:after="0" w:line="260"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466" w:type="dxa"/>
        <w:tblLayout w:type="fixed"/>
        <w:tblCellMar>
          <w:top w:w="0" w:type="dxa"/>
          <w:left w:w="0" w:type="dxa"/>
          <w:bottom w:w="0" w:type="dxa"/>
          <w:right w:w="0" w:type="dxa"/>
        </w:tblCellMar>
        <w:tblLook w:val="01E0"/>
      </w:tblPr>
      <w:tblGrid>
        <w:gridCol w:w="2702"/>
        <w:gridCol w:w="1665"/>
        <w:gridCol w:w="1666"/>
        <w:gridCol w:w="1653"/>
        <w:gridCol w:w="1661"/>
      </w:tblGrid>
      <w:tr>
        <w:trPr>
          <w:trHeight w:val="355" w:hRule="exact"/>
        </w:trPr>
        <w:tc>
          <w:tcPr>
            <w:tcW w:w="270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信息产品业务</w:t>
            </w:r>
          </w:p>
        </w:tc>
        <w:tc>
          <w:tcPr>
            <w:tcW w:w="1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428,757,499.18</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377,717,593.16</w:t>
            </w:r>
          </w:p>
        </w:tc>
        <w:tc>
          <w:tcPr>
            <w:tcW w:w="16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419,896,522.38</w:t>
            </w:r>
          </w:p>
        </w:tc>
        <w:tc>
          <w:tcPr>
            <w:tcW w:w="16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370,365,128.89</w:t>
            </w:r>
          </w:p>
        </w:tc>
      </w:tr>
      <w:tr>
        <w:trPr>
          <w:trHeight w:val="353" w:hRule="exact"/>
        </w:trPr>
        <w:tc>
          <w:tcPr>
            <w:tcW w:w="2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集成、软件开发及服务</w:t>
            </w:r>
          </w:p>
        </w:tc>
        <w:tc>
          <w:tcPr>
            <w:tcW w:w="1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756,321,624.26</w:t>
            </w:r>
          </w:p>
        </w:tc>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729,286,311.00</w:t>
            </w:r>
          </w:p>
        </w:tc>
        <w:tc>
          <w:tcPr>
            <w:tcW w:w="16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694,920,728.85</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659,876,452.82</w:t>
            </w:r>
          </w:p>
        </w:tc>
      </w:tr>
      <w:tr>
        <w:trPr>
          <w:trHeight w:val="352" w:hRule="exact"/>
        </w:trPr>
        <w:tc>
          <w:tcPr>
            <w:tcW w:w="27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1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1,292,914,409.34</w:t>
            </w:r>
          </w:p>
        </w:tc>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1,204,879,043.32</w:t>
            </w:r>
          </w:p>
        </w:tc>
        <w:tc>
          <w:tcPr>
            <w:tcW w:w="16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1,114,817,251.23</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1,030,241,581.71</w:t>
            </w:r>
          </w:p>
        </w:tc>
      </w:tr>
    </w:tbl>
    <w:p>
      <w:pPr>
        <w:pStyle w:val="Heading3"/>
        <w:spacing w:line="293" w:lineRule="exact"/>
        <w:ind w:left="474" w:right="0"/>
        <w:jc w:val="left"/>
      </w:pPr>
      <w:r>
        <w:rPr/>
        <w:t>（</w:t>
      </w:r>
      <w:r>
        <w:rPr>
          <w:rFonts w:ascii="Times New Roman" w:hAnsi="Times New Roman" w:cs="Times New Roman" w:eastAsia="Times New Roman" w:hint="default"/>
        </w:rPr>
        <w:t>3</w:t>
      </w:r>
      <w:r>
        <w:rPr/>
        <w:t>）主营业务（分地区）</w:t>
      </w:r>
    </w:p>
    <w:p>
      <w:pPr>
        <w:spacing w:line="240" w:lineRule="auto" w:before="4"/>
        <w:rPr>
          <w:rFonts w:ascii="宋体" w:hAnsi="宋体" w:cs="宋体" w:eastAsia="宋体" w:hint="default"/>
          <w:sz w:val="5"/>
          <w:szCs w:val="5"/>
        </w:rPr>
      </w:pPr>
    </w:p>
    <w:tbl>
      <w:tblPr>
        <w:tblW w:w="0" w:type="auto"/>
        <w:jc w:val="left"/>
        <w:tblInd w:w="466" w:type="dxa"/>
        <w:tblLayout w:type="fixed"/>
        <w:tblCellMar>
          <w:top w:w="0" w:type="dxa"/>
          <w:left w:w="0" w:type="dxa"/>
          <w:bottom w:w="0" w:type="dxa"/>
          <w:right w:w="0" w:type="dxa"/>
        </w:tblCellMar>
        <w:tblLook w:val="01E0"/>
      </w:tblPr>
      <w:tblGrid>
        <w:gridCol w:w="1358"/>
        <w:gridCol w:w="2000"/>
        <w:gridCol w:w="2002"/>
        <w:gridCol w:w="1985"/>
        <w:gridCol w:w="2000"/>
      </w:tblGrid>
      <w:tr>
        <w:trPr>
          <w:trHeight w:val="355" w:hRule="exact"/>
        </w:trPr>
        <w:tc>
          <w:tcPr>
            <w:tcW w:w="1358" w:type="dxa"/>
            <w:vMerge w:val="restart"/>
            <w:tcBorders>
              <w:top w:val="single" w:sz="6" w:space="0" w:color="000000"/>
              <w:left w:val="single" w:sz="6" w:space="0" w:color="000000"/>
              <w:right w:val="single" w:sz="6" w:space="0" w:color="000000"/>
            </w:tcBorders>
          </w:tcPr>
          <w:p>
            <w:pPr>
              <w:pStyle w:val="TableParagraph"/>
              <w:spacing w:line="270" w:lineRule="exact"/>
              <w:ind w:left="25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400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986" w:type="dxa"/>
            <w:gridSpan w:val="2"/>
            <w:tcBorders>
              <w:top w:val="single" w:sz="6" w:space="0" w:color="000000"/>
              <w:left w:val="single" w:sz="6" w:space="0" w:color="000000"/>
              <w:bottom w:val="single" w:sz="12" w:space="0" w:color="000000"/>
              <w:right w:val="nil" w:sz="6" w:space="0" w:color="auto"/>
            </w:tcBorders>
          </w:tcPr>
          <w:p>
            <w:pPr>
              <w:pStyle w:val="TableParagraph"/>
              <w:spacing w:line="270" w:lineRule="exact"/>
              <w:ind w:right="9"/>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2" w:hRule="exact"/>
        </w:trPr>
        <w:tc>
          <w:tcPr>
            <w:tcW w:w="1358" w:type="dxa"/>
            <w:vMerge/>
            <w:tcBorders>
              <w:left w:val="single" w:sz="6" w:space="0" w:color="000000"/>
              <w:bottom w:val="single" w:sz="12" w:space="0" w:color="000000"/>
              <w:right w:val="single" w:sz="6" w:space="0" w:color="000000"/>
            </w:tcBorders>
          </w:tcPr>
          <w:p>
            <w:pPr/>
          </w:p>
        </w:tc>
        <w:tc>
          <w:tcPr>
            <w:tcW w:w="200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7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7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6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57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52" w:hRule="exact"/>
        </w:trPr>
        <w:tc>
          <w:tcPr>
            <w:tcW w:w="135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20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560,446,674.77</w:t>
            </w:r>
          </w:p>
        </w:tc>
        <w:tc>
          <w:tcPr>
            <w:tcW w:w="20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546,312,263.97</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491,337,464.69</w:t>
            </w:r>
          </w:p>
        </w:tc>
        <w:tc>
          <w:tcPr>
            <w:tcW w:w="20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457,957,253.19</w:t>
            </w:r>
          </w:p>
        </w:tc>
      </w:tr>
      <w:tr>
        <w:trPr>
          <w:trHeight w:val="353" w:hRule="exact"/>
        </w:trPr>
        <w:tc>
          <w:tcPr>
            <w:tcW w:w="135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20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107,372,459.54</w:t>
            </w:r>
          </w:p>
        </w:tc>
        <w:tc>
          <w:tcPr>
            <w:tcW w:w="20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94,121,494.53</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52,768,812.49</w:t>
            </w:r>
          </w:p>
        </w:tc>
        <w:tc>
          <w:tcPr>
            <w:tcW w:w="20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49,183,834.25</w:t>
            </w:r>
          </w:p>
        </w:tc>
      </w:tr>
      <w:tr>
        <w:trPr>
          <w:trHeight w:val="352" w:hRule="exact"/>
        </w:trPr>
        <w:tc>
          <w:tcPr>
            <w:tcW w:w="135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20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234,167,020.71</w:t>
            </w:r>
          </w:p>
        </w:tc>
        <w:tc>
          <w:tcPr>
            <w:tcW w:w="20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216,814,925.35</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144,869,511.64</w:t>
            </w:r>
          </w:p>
        </w:tc>
        <w:tc>
          <w:tcPr>
            <w:tcW w:w="20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135,027,447.30</w:t>
            </w:r>
          </w:p>
        </w:tc>
      </w:tr>
      <w:tr>
        <w:trPr>
          <w:trHeight w:val="352" w:hRule="exact"/>
        </w:trPr>
        <w:tc>
          <w:tcPr>
            <w:tcW w:w="135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20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368,033,409.35</w:t>
            </w:r>
          </w:p>
        </w:tc>
        <w:tc>
          <w:tcPr>
            <w:tcW w:w="20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329,114,657.73</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404,010,920.49</w:t>
            </w:r>
          </w:p>
        </w:tc>
        <w:tc>
          <w:tcPr>
            <w:tcW w:w="20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367,725,616.27</w:t>
            </w:r>
          </w:p>
        </w:tc>
      </w:tr>
      <w:tr>
        <w:trPr>
          <w:trHeight w:val="353" w:hRule="exact"/>
        </w:trPr>
        <w:tc>
          <w:tcPr>
            <w:tcW w:w="135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20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7,303,183.04</w:t>
            </w:r>
          </w:p>
        </w:tc>
        <w:tc>
          <w:tcPr>
            <w:tcW w:w="20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6,401,732.60</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12,551,937.82</w:t>
            </w:r>
          </w:p>
        </w:tc>
        <w:tc>
          <w:tcPr>
            <w:tcW w:w="20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11,699,191.25</w:t>
            </w:r>
          </w:p>
        </w:tc>
      </w:tr>
      <w:tr>
        <w:trPr>
          <w:trHeight w:val="352" w:hRule="exact"/>
        </w:trPr>
        <w:tc>
          <w:tcPr>
            <w:tcW w:w="135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20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15,591,661.93</w:t>
            </w:r>
          </w:p>
        </w:tc>
        <w:tc>
          <w:tcPr>
            <w:tcW w:w="20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12,113,969.14</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9,278,604.10</w:t>
            </w:r>
          </w:p>
        </w:tc>
        <w:tc>
          <w:tcPr>
            <w:tcW w:w="20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0"/>
              <w:jc w:val="right"/>
              <w:rPr>
                <w:rFonts w:ascii="Times New Roman" w:hAnsi="Times New Roman" w:cs="Times New Roman" w:eastAsia="Times New Roman" w:hint="default"/>
                <w:sz w:val="21"/>
                <w:szCs w:val="21"/>
              </w:rPr>
            </w:pPr>
            <w:r>
              <w:rPr>
                <w:rFonts w:ascii="Times New Roman"/>
                <w:spacing w:val="-1"/>
                <w:sz w:val="21"/>
              </w:rPr>
              <w:t>8,648,239.45</w:t>
            </w:r>
          </w:p>
        </w:tc>
      </w:tr>
      <w:tr>
        <w:trPr>
          <w:trHeight w:val="352" w:hRule="exact"/>
        </w:trPr>
        <w:tc>
          <w:tcPr>
            <w:tcW w:w="135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1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0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1,292,914,409.34</w:t>
            </w:r>
          </w:p>
        </w:tc>
        <w:tc>
          <w:tcPr>
            <w:tcW w:w="20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1,204,879,043.32</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1,114,817,251.23</w:t>
            </w:r>
          </w:p>
        </w:tc>
        <w:tc>
          <w:tcPr>
            <w:tcW w:w="20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1"/>
              <w:jc w:val="right"/>
              <w:rPr>
                <w:rFonts w:ascii="Times New Roman" w:hAnsi="Times New Roman" w:cs="Times New Roman" w:eastAsia="Times New Roman" w:hint="default"/>
                <w:sz w:val="21"/>
                <w:szCs w:val="21"/>
              </w:rPr>
            </w:pPr>
            <w:r>
              <w:rPr>
                <w:rFonts w:ascii="Times New Roman"/>
                <w:spacing w:val="-1"/>
                <w:sz w:val="21"/>
              </w:rPr>
              <w:t>1,030,241,581.71</w:t>
            </w:r>
          </w:p>
        </w:tc>
      </w:tr>
    </w:tbl>
    <w:p>
      <w:pPr>
        <w:pStyle w:val="Heading3"/>
        <w:spacing w:line="293" w:lineRule="exact"/>
        <w:ind w:left="474" w:right="0"/>
        <w:jc w:val="left"/>
      </w:pPr>
      <w:r>
        <w:rPr/>
        <w:t>（</w:t>
      </w:r>
      <w:r>
        <w:rPr>
          <w:rFonts w:ascii="Times New Roman" w:hAnsi="Times New Roman" w:cs="Times New Roman" w:eastAsia="Times New Roman" w:hint="default"/>
        </w:rPr>
        <w:t>4</w:t>
      </w:r>
      <w:r>
        <w:rPr/>
        <w:t>）前五名客户的营业收入情况</w:t>
      </w:r>
    </w:p>
    <w:tbl>
      <w:tblPr>
        <w:tblW w:w="0" w:type="auto"/>
        <w:jc w:val="left"/>
        <w:tblInd w:w="466" w:type="dxa"/>
        <w:tblLayout w:type="fixed"/>
        <w:tblCellMar>
          <w:top w:w="0" w:type="dxa"/>
          <w:left w:w="0" w:type="dxa"/>
          <w:bottom w:w="0" w:type="dxa"/>
          <w:right w:w="0" w:type="dxa"/>
        </w:tblCellMar>
        <w:tblLook w:val="01E0"/>
      </w:tblPr>
      <w:tblGrid>
        <w:gridCol w:w="4102"/>
        <w:gridCol w:w="2102"/>
        <w:gridCol w:w="3141"/>
      </w:tblGrid>
      <w:tr>
        <w:trPr>
          <w:trHeight w:val="356" w:hRule="exact"/>
        </w:trPr>
        <w:tc>
          <w:tcPr>
            <w:tcW w:w="410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10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6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141" w:type="dxa"/>
            <w:tcBorders>
              <w:top w:val="single" w:sz="6" w:space="0" w:color="000000"/>
              <w:left w:val="single" w:sz="6" w:space="0" w:color="000000"/>
              <w:bottom w:val="single" w:sz="12" w:space="0" w:color="000000"/>
              <w:right w:val="nil" w:sz="6" w:space="0" w:color="auto"/>
            </w:tcBorders>
          </w:tcPr>
          <w:p>
            <w:pPr>
              <w:pStyle w:val="TableParagraph"/>
              <w:spacing w:line="287" w:lineRule="exact"/>
              <w:ind w:left="214" w:right="0"/>
              <w:jc w:val="left"/>
              <w:rPr>
                <w:rFonts w:ascii="宋体" w:hAnsi="宋体" w:cs="宋体" w:eastAsia="宋体" w:hint="default"/>
                <w:sz w:val="21"/>
                <w:szCs w:val="21"/>
              </w:rPr>
            </w:pPr>
            <w:r>
              <w:rPr>
                <w:rFonts w:ascii="宋体" w:hAnsi="宋体" w:cs="宋体" w:eastAsia="宋体" w:hint="default"/>
                <w:sz w:val="21"/>
                <w:szCs w:val="21"/>
              </w:rPr>
              <w:t>占同期营业收入的比例（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410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国内</w:t>
            </w:r>
            <w:r>
              <w:rPr>
                <w:rFonts w:ascii="Times New Roman" w:hAnsi="Times New Roman" w:cs="Times New Roman" w:eastAsia="Times New Roman" w:hint="default"/>
                <w:sz w:val="21"/>
                <w:szCs w:val="21"/>
              </w:rPr>
              <w:t>A</w:t>
            </w:r>
            <w:r>
              <w:rPr>
                <w:rFonts w:ascii="宋体" w:hAnsi="宋体" w:cs="宋体" w:eastAsia="宋体" w:hint="default"/>
                <w:sz w:val="21"/>
                <w:szCs w:val="21"/>
              </w:rPr>
              <w:t>银行</w:t>
            </w:r>
          </w:p>
        </w:tc>
        <w:tc>
          <w:tcPr>
            <w:tcW w:w="2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142,631,047.12</w:t>
            </w:r>
          </w:p>
        </w:tc>
        <w:tc>
          <w:tcPr>
            <w:tcW w:w="31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10.88</w:t>
            </w:r>
          </w:p>
        </w:tc>
      </w:tr>
      <w:tr>
        <w:trPr>
          <w:trHeight w:val="352" w:hRule="exact"/>
        </w:trPr>
        <w:tc>
          <w:tcPr>
            <w:tcW w:w="410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国内</w:t>
            </w:r>
            <w:r>
              <w:rPr>
                <w:rFonts w:ascii="Times New Roman" w:hAnsi="Times New Roman" w:cs="Times New Roman" w:eastAsia="Times New Roman" w:hint="default"/>
                <w:sz w:val="21"/>
                <w:szCs w:val="21"/>
              </w:rPr>
              <w:t>B</w:t>
            </w:r>
            <w:r>
              <w:rPr>
                <w:rFonts w:ascii="宋体" w:hAnsi="宋体" w:cs="宋体" w:eastAsia="宋体" w:hint="default"/>
                <w:sz w:val="21"/>
                <w:szCs w:val="21"/>
              </w:rPr>
              <w:t>银行</w:t>
            </w:r>
          </w:p>
        </w:tc>
        <w:tc>
          <w:tcPr>
            <w:tcW w:w="2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112,366,202.91</w:t>
            </w:r>
          </w:p>
        </w:tc>
        <w:tc>
          <w:tcPr>
            <w:tcW w:w="31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8.57</w:t>
            </w:r>
          </w:p>
        </w:tc>
      </w:tr>
      <w:tr>
        <w:trPr>
          <w:trHeight w:val="353" w:hRule="exact"/>
        </w:trPr>
        <w:tc>
          <w:tcPr>
            <w:tcW w:w="41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国家某政府单位物资装备采购中心</w:t>
            </w:r>
          </w:p>
        </w:tc>
        <w:tc>
          <w:tcPr>
            <w:tcW w:w="2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72,044,934.35</w:t>
            </w:r>
          </w:p>
        </w:tc>
        <w:tc>
          <w:tcPr>
            <w:tcW w:w="31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5.49</w:t>
            </w:r>
          </w:p>
        </w:tc>
      </w:tr>
      <w:tr>
        <w:trPr>
          <w:trHeight w:val="352" w:hRule="exact"/>
        </w:trPr>
        <w:tc>
          <w:tcPr>
            <w:tcW w:w="410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宋体" w:hAnsi="宋体" w:cs="宋体" w:eastAsia="宋体" w:hint="default"/>
                <w:sz w:val="21"/>
                <w:szCs w:val="21"/>
              </w:rPr>
              <w:t>国内</w:t>
            </w:r>
            <w:r>
              <w:rPr>
                <w:rFonts w:ascii="Times New Roman" w:hAnsi="Times New Roman" w:cs="Times New Roman" w:eastAsia="Times New Roman" w:hint="default"/>
                <w:sz w:val="21"/>
                <w:szCs w:val="21"/>
              </w:rPr>
              <w:t>C</w:t>
            </w:r>
            <w:r>
              <w:rPr>
                <w:rFonts w:ascii="宋体" w:hAnsi="宋体" w:cs="宋体" w:eastAsia="宋体" w:hint="default"/>
                <w:sz w:val="21"/>
                <w:szCs w:val="21"/>
              </w:rPr>
              <w:t>银行</w:t>
            </w:r>
          </w:p>
        </w:tc>
        <w:tc>
          <w:tcPr>
            <w:tcW w:w="2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51,792,628.32</w:t>
            </w:r>
          </w:p>
        </w:tc>
        <w:tc>
          <w:tcPr>
            <w:tcW w:w="31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3.95</w:t>
            </w:r>
          </w:p>
        </w:tc>
      </w:tr>
      <w:tr>
        <w:trPr>
          <w:trHeight w:val="352" w:hRule="exact"/>
        </w:trPr>
        <w:tc>
          <w:tcPr>
            <w:tcW w:w="41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某某信用社联合社</w:t>
            </w:r>
          </w:p>
        </w:tc>
        <w:tc>
          <w:tcPr>
            <w:tcW w:w="2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41,447,055.08</w:t>
            </w:r>
          </w:p>
        </w:tc>
        <w:tc>
          <w:tcPr>
            <w:tcW w:w="31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3.16</w:t>
            </w:r>
          </w:p>
        </w:tc>
      </w:tr>
      <w:tr>
        <w:trPr>
          <w:trHeight w:val="352" w:hRule="exact"/>
        </w:trPr>
        <w:tc>
          <w:tcPr>
            <w:tcW w:w="410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1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420,281,867.78</w:t>
            </w:r>
          </w:p>
        </w:tc>
        <w:tc>
          <w:tcPr>
            <w:tcW w:w="31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32.05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before="35"/>
        <w:ind w:left="474" w:right="0"/>
        <w:jc w:val="left"/>
        <w:rPr>
          <w:b w:val="0"/>
          <w:bCs w:val="0"/>
        </w:rPr>
      </w:pPr>
      <w:bookmarkStart w:name="5、投资收益" w:id="379"/>
      <w:bookmarkEnd w:id="37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48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16,251,408.79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21,285,947.58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5,924,990.26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15,571,287.67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9,307,400.00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7,026,000.00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31,483,799.05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43,883,235.25</w:t>
            </w:r>
          </w:p>
        </w:tc>
      </w:tr>
    </w:tbl>
    <w:p>
      <w:pPr>
        <w:spacing w:line="240" w:lineRule="auto" w:before="2"/>
        <w:rPr>
          <w:rFonts w:ascii="宋体" w:hAnsi="宋体" w:cs="宋体" w:eastAsia="宋体" w:hint="default"/>
          <w:sz w:val="19"/>
          <w:szCs w:val="19"/>
        </w:rPr>
      </w:pPr>
    </w:p>
    <w:p>
      <w:pPr>
        <w:pStyle w:val="Heading4"/>
        <w:spacing w:line="240" w:lineRule="auto" w:before="35"/>
        <w:ind w:left="474" w:right="0"/>
        <w:jc w:val="left"/>
        <w:rPr>
          <w:b w:val="0"/>
          <w:bCs w:val="0"/>
        </w:rPr>
      </w:pPr>
      <w:bookmarkStart w:name="6、其他" w:id="380"/>
      <w:bookmarkEnd w:id="380"/>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left="474" w:right="0"/>
        <w:jc w:val="left"/>
        <w:rPr>
          <w:b w:val="0"/>
          <w:bCs w:val="0"/>
        </w:rPr>
      </w:pPr>
      <w:r>
        <w:rPr/>
        <w:t>现金流量表补充资料</w:t>
      </w:r>
      <w:r>
        <w:rPr>
          <w:b w:val="0"/>
          <w:bCs w:val="0"/>
        </w:rPr>
      </w:r>
    </w:p>
    <w:p>
      <w:pPr>
        <w:pStyle w:val="Heading3"/>
        <w:spacing w:line="240" w:lineRule="auto" w:before="48"/>
        <w:ind w:left="113" w:right="0"/>
        <w:jc w:val="left"/>
      </w:pPr>
      <w:r>
        <w:rPr>
          <w:rFonts w:ascii="宋体" w:hAnsi="宋体" w:cs="宋体" w:eastAsia="宋体" w:hint="default"/>
        </w:rPr>
        <w:t>1. </w:t>
      </w:r>
      <w:r>
        <w:rPr/>
        <w:t>（</w:t>
      </w:r>
      <w:r>
        <w:rPr>
          <w:rFonts w:ascii="Times New Roman" w:hAnsi="Times New Roman" w:cs="Times New Roman" w:eastAsia="Times New Roman" w:hint="default"/>
        </w:rPr>
        <w:t>1</w:t>
      </w:r>
      <w:r>
        <w:rPr/>
        <w:t>）采用间接法将净利润调节为经营活动现金流量</w:t>
      </w:r>
    </w:p>
    <w:p>
      <w:pPr>
        <w:spacing w:line="240" w:lineRule="auto" w:before="4"/>
        <w:rPr>
          <w:rFonts w:ascii="宋体" w:hAnsi="宋体" w:cs="宋体" w:eastAsia="宋体" w:hint="default"/>
          <w:sz w:val="5"/>
          <w:szCs w:val="5"/>
        </w:rPr>
      </w:pPr>
    </w:p>
    <w:tbl>
      <w:tblPr>
        <w:tblW w:w="0" w:type="auto"/>
        <w:jc w:val="left"/>
        <w:tblInd w:w="466" w:type="dxa"/>
        <w:tblLayout w:type="fixed"/>
        <w:tblCellMar>
          <w:top w:w="0" w:type="dxa"/>
          <w:left w:w="0" w:type="dxa"/>
          <w:bottom w:w="0" w:type="dxa"/>
          <w:right w:w="0" w:type="dxa"/>
        </w:tblCellMar>
        <w:tblLook w:val="01E0"/>
      </w:tblPr>
      <w:tblGrid>
        <w:gridCol w:w="6427"/>
        <w:gridCol w:w="1431"/>
        <w:gridCol w:w="1488"/>
      </w:tblGrid>
      <w:tr>
        <w:trPr>
          <w:trHeight w:val="355" w:hRule="exact"/>
        </w:trPr>
        <w:tc>
          <w:tcPr>
            <w:tcW w:w="6427"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431"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1488"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将净利润调节为经营活动现金流量：</w:t>
            </w:r>
          </w:p>
        </w:tc>
        <w:tc>
          <w:tcPr>
            <w:tcW w:w="1431"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4" w:right="0"/>
              <w:jc w:val="center"/>
              <w:rPr>
                <w:rFonts w:ascii="宋体" w:hAnsi="宋体" w:cs="宋体" w:eastAsia="宋体" w:hint="default"/>
                <w:sz w:val="21"/>
                <w:szCs w:val="21"/>
              </w:rPr>
            </w:pPr>
            <w:r>
              <w:rPr>
                <w:rFonts w:ascii="宋体"/>
                <w:sz w:val="21"/>
              </w:rPr>
              <w:t>24,209,559.12</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95" w:right="0"/>
              <w:jc w:val="center"/>
              <w:rPr>
                <w:rFonts w:ascii="宋体" w:hAnsi="宋体" w:cs="宋体" w:eastAsia="宋体" w:hint="default"/>
                <w:sz w:val="21"/>
                <w:szCs w:val="21"/>
              </w:rPr>
            </w:pPr>
            <w:r>
              <w:rPr>
                <w:rFonts w:ascii="宋体"/>
                <w:sz w:val="21"/>
              </w:rPr>
              <w:t>50,614,625.22</w:t>
            </w:r>
          </w:p>
        </w:tc>
      </w:tr>
    </w:tbl>
    <w:p>
      <w:pPr>
        <w:spacing w:after="0" w:line="260" w:lineRule="exact"/>
        <w:jc w:val="center"/>
        <w:rPr>
          <w:rFonts w:ascii="宋体" w:hAnsi="宋体" w:cs="宋体" w:eastAsia="宋体" w:hint="default"/>
          <w:sz w:val="21"/>
          <w:szCs w:val="21"/>
        </w:rPr>
        <w:sectPr>
          <w:pgSz w:w="11910" w:h="16840"/>
          <w:pgMar w:header="747" w:footer="979" w:top="1060" w:bottom="1160" w:left="66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6427"/>
        <w:gridCol w:w="1431"/>
        <w:gridCol w:w="1488"/>
      </w:tblGrid>
      <w:tr>
        <w:trPr>
          <w:trHeight w:val="435" w:hRule="exact"/>
        </w:trPr>
        <w:tc>
          <w:tcPr>
            <w:tcW w:w="64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43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12,392,964.26</w:t>
            </w:r>
          </w:p>
        </w:tc>
        <w:tc>
          <w:tcPr>
            <w:tcW w:w="148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8"/>
              <w:jc w:val="right"/>
              <w:rPr>
                <w:rFonts w:ascii="宋体" w:hAnsi="宋体" w:cs="宋体" w:eastAsia="宋体" w:hint="default"/>
                <w:sz w:val="21"/>
                <w:szCs w:val="21"/>
              </w:rPr>
            </w:pPr>
            <w:r>
              <w:rPr>
                <w:rFonts w:ascii="宋体"/>
                <w:sz w:val="21"/>
              </w:rPr>
              <w:t>8,399,745.21</w:t>
            </w: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2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12,264,230.02</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12,721,957.95</w:t>
            </w: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2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
              <w:jc w:val="right"/>
              <w:rPr>
                <w:rFonts w:ascii="宋体" w:hAnsi="宋体" w:cs="宋体" w:eastAsia="宋体" w:hint="default"/>
                <w:sz w:val="21"/>
                <w:szCs w:val="21"/>
              </w:rPr>
            </w:pPr>
            <w:r>
              <w:rPr>
                <w:rFonts w:ascii="宋体"/>
                <w:sz w:val="21"/>
              </w:rPr>
              <w:t>9,862,571.06</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12,199,532.30</w:t>
            </w: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2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
              <w:jc w:val="right"/>
              <w:rPr>
                <w:rFonts w:ascii="宋体" w:hAnsi="宋体" w:cs="宋体" w:eastAsia="宋体" w:hint="default"/>
                <w:sz w:val="21"/>
                <w:szCs w:val="21"/>
              </w:rPr>
            </w:pPr>
            <w:r>
              <w:rPr>
                <w:rFonts w:ascii="宋体"/>
                <w:sz w:val="21"/>
              </w:rPr>
              <w:t>73,275.87</w:t>
            </w:r>
          </w:p>
        </w:tc>
        <w:tc>
          <w:tcPr>
            <w:tcW w:w="1488" w:type="dxa"/>
            <w:tcBorders>
              <w:top w:val="single" w:sz="12" w:space="0" w:color="000000"/>
              <w:left w:val="single" w:sz="6" w:space="0" w:color="000000"/>
              <w:bottom w:val="single" w:sz="12" w:space="0" w:color="000000"/>
              <w:right w:val="nil" w:sz="6" w:space="0" w:color="auto"/>
            </w:tcBorders>
          </w:tcPr>
          <w:p>
            <w:pPr/>
          </w:p>
        </w:tc>
      </w:tr>
      <w:tr>
        <w:trPr>
          <w:trHeight w:val="744"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before="26"/>
              <w:ind w:left="2" w:right="1" w:firstLine="421"/>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r>
              <w:rPr>
                <w:rFonts w:ascii="宋体" w:hAnsi="宋体" w:cs="宋体" w:eastAsia="宋体" w:hint="default"/>
                <w:sz w:val="21"/>
                <w:szCs w:val="21"/>
              </w:rPr>
              <w:t>(</w:t>
            </w:r>
            <w:r>
              <w:rPr>
                <w:rFonts w:ascii="宋体" w:hAnsi="宋体" w:cs="宋体" w:eastAsia="宋体" w:hint="default"/>
                <w:sz w:val="21"/>
                <w:szCs w:val="21"/>
              </w:rPr>
              <w:t>收益以“－”号 填列</w:t>
            </w:r>
            <w:r>
              <w:rPr>
                <w:rFonts w:ascii="宋体" w:hAnsi="宋体" w:cs="宋体" w:eastAsia="宋体" w:hint="default"/>
                <w:sz w:val="21"/>
                <w:szCs w:val="21"/>
              </w:rPr>
              <w:t>)</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739.40</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-155,378.91</w:t>
            </w: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23" w:right="0"/>
              <w:jc w:val="left"/>
              <w:rPr>
                <w:rFonts w:ascii="宋体" w:hAnsi="宋体" w:cs="宋体" w:eastAsia="宋体" w:hint="default"/>
                <w:sz w:val="21"/>
                <w:szCs w:val="21"/>
              </w:rPr>
            </w:pPr>
            <w:r>
              <w:rPr>
                <w:rFonts w:ascii="宋体" w:hAnsi="宋体" w:cs="宋体" w:eastAsia="宋体" w:hint="default"/>
                <w:sz w:val="21"/>
                <w:szCs w:val="21"/>
              </w:rPr>
              <w:t>固定资产报废损失</w:t>
            </w:r>
            <w:r>
              <w:rPr>
                <w:rFonts w:ascii="宋体" w:hAnsi="宋体" w:cs="宋体" w:eastAsia="宋体" w:hint="default"/>
                <w:sz w:val="21"/>
                <w:szCs w:val="21"/>
              </w:rPr>
              <w:t>(</w:t>
            </w:r>
            <w:r>
              <w:rPr>
                <w:rFonts w:ascii="宋体" w:hAnsi="宋体" w:cs="宋体" w:eastAsia="宋体" w:hint="default"/>
                <w:sz w:val="21"/>
                <w:szCs w:val="21"/>
              </w:rPr>
              <w:t>收益以“－”号填列</w:t>
            </w:r>
            <w:r>
              <w:rPr>
                <w:rFonts w:ascii="宋体" w:hAnsi="宋体" w:cs="宋体" w:eastAsia="宋体" w:hint="default"/>
                <w:sz w:val="21"/>
                <w:szCs w:val="21"/>
              </w:rPr>
              <w:t>)</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
              <w:jc w:val="right"/>
              <w:rPr>
                <w:rFonts w:ascii="宋体" w:hAnsi="宋体" w:cs="宋体" w:eastAsia="宋体" w:hint="default"/>
                <w:sz w:val="21"/>
                <w:szCs w:val="21"/>
              </w:rPr>
            </w:pPr>
            <w:r>
              <w:rPr>
                <w:rFonts w:ascii="宋体"/>
                <w:sz w:val="21"/>
              </w:rPr>
              <w:t>15,814.00</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-28,016.56</w:t>
            </w: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23" w:right="0"/>
              <w:jc w:val="left"/>
              <w:rPr>
                <w:rFonts w:ascii="宋体" w:hAnsi="宋体" w:cs="宋体" w:eastAsia="宋体" w:hint="default"/>
                <w:sz w:val="21"/>
                <w:szCs w:val="21"/>
              </w:rPr>
            </w:pPr>
            <w:r>
              <w:rPr>
                <w:rFonts w:ascii="宋体" w:hAnsi="宋体" w:cs="宋体" w:eastAsia="宋体" w:hint="default"/>
                <w:sz w:val="21"/>
                <w:szCs w:val="21"/>
              </w:rPr>
              <w:t>公允价值变动损失</w:t>
            </w:r>
            <w:r>
              <w:rPr>
                <w:rFonts w:ascii="宋体" w:hAnsi="宋体" w:cs="宋体" w:eastAsia="宋体" w:hint="default"/>
                <w:sz w:val="21"/>
                <w:szCs w:val="21"/>
              </w:rPr>
              <w:t>(</w:t>
            </w:r>
            <w:r>
              <w:rPr>
                <w:rFonts w:ascii="宋体" w:hAnsi="宋体" w:cs="宋体" w:eastAsia="宋体" w:hint="default"/>
                <w:sz w:val="21"/>
                <w:szCs w:val="21"/>
              </w:rPr>
              <w:t>收益以“－”号填列</w:t>
            </w:r>
            <w:r>
              <w:rPr>
                <w:rFonts w:ascii="宋体" w:hAnsi="宋体" w:cs="宋体" w:eastAsia="宋体" w:hint="default"/>
                <w:sz w:val="21"/>
                <w:szCs w:val="21"/>
              </w:rPr>
              <w:t>)</w:t>
            </w:r>
          </w:p>
        </w:tc>
        <w:tc>
          <w:tcPr>
            <w:tcW w:w="1431"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2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w:t>
            </w:r>
            <w:r>
              <w:rPr>
                <w:rFonts w:ascii="宋体" w:hAnsi="宋体" w:cs="宋体" w:eastAsia="宋体" w:hint="default"/>
                <w:sz w:val="21"/>
                <w:szCs w:val="21"/>
              </w:rPr>
              <w:t>收益以“－”号填列</w:t>
            </w:r>
            <w:r>
              <w:rPr>
                <w:rFonts w:ascii="宋体" w:hAnsi="宋体" w:cs="宋体" w:eastAsia="宋体" w:hint="default"/>
                <w:sz w:val="21"/>
                <w:szCs w:val="21"/>
              </w:rPr>
              <w:t>)</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23,052,362.06</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22,803,997.16</w:t>
            </w:r>
          </w:p>
        </w:tc>
      </w:tr>
      <w:tr>
        <w:trPr>
          <w:trHeight w:val="664"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23" w:right="0"/>
              <w:jc w:val="left"/>
              <w:rPr>
                <w:rFonts w:ascii="宋体" w:hAnsi="宋体" w:cs="宋体" w:eastAsia="宋体" w:hint="default"/>
                <w:sz w:val="21"/>
                <w:szCs w:val="21"/>
              </w:rPr>
            </w:pPr>
            <w:r>
              <w:rPr>
                <w:rFonts w:ascii="宋体" w:hAnsi="宋体" w:cs="宋体" w:eastAsia="宋体" w:hint="default"/>
                <w:sz w:val="21"/>
                <w:szCs w:val="21"/>
              </w:rPr>
              <w:t>投资损失</w:t>
            </w:r>
            <w:r>
              <w:rPr>
                <w:rFonts w:ascii="宋体" w:hAnsi="宋体" w:cs="宋体" w:eastAsia="宋体" w:hint="default"/>
                <w:sz w:val="21"/>
                <w:szCs w:val="21"/>
              </w:rPr>
              <w:t>(</w:t>
            </w:r>
            <w:r>
              <w:rPr>
                <w:rFonts w:ascii="宋体" w:hAnsi="宋体" w:cs="宋体" w:eastAsia="宋体" w:hint="default"/>
                <w:sz w:val="21"/>
                <w:szCs w:val="21"/>
              </w:rPr>
              <w:t>收益以“－”号填列</w:t>
            </w:r>
            <w:r>
              <w:rPr>
                <w:rFonts w:ascii="宋体" w:hAnsi="宋体" w:cs="宋体" w:eastAsia="宋体" w:hint="default"/>
                <w:sz w:val="21"/>
                <w:szCs w:val="21"/>
              </w:rPr>
              <w:t>)</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
              <w:jc w:val="right"/>
              <w:rPr>
                <w:rFonts w:ascii="宋体" w:hAnsi="宋体" w:cs="宋体" w:eastAsia="宋体" w:hint="default"/>
                <w:sz w:val="21"/>
                <w:szCs w:val="21"/>
              </w:rPr>
            </w:pPr>
            <w:r>
              <w:rPr>
                <w:rFonts w:ascii="宋体"/>
                <w:spacing w:val="-1"/>
                <w:sz w:val="21"/>
              </w:rPr>
              <w:t>-31,483,799.0</w:t>
            </w:r>
          </w:p>
          <w:p>
            <w:pPr>
              <w:pStyle w:val="TableParagraph"/>
              <w:spacing w:line="240" w:lineRule="auto" w:before="37"/>
              <w:ind w:right="2"/>
              <w:jc w:val="right"/>
              <w:rPr>
                <w:rFonts w:ascii="宋体" w:hAnsi="宋体" w:cs="宋体" w:eastAsia="宋体" w:hint="default"/>
                <w:sz w:val="21"/>
                <w:szCs w:val="21"/>
              </w:rPr>
            </w:pPr>
            <w:r>
              <w:rPr>
                <w:rFonts w:ascii="宋体"/>
                <w:sz w:val="21"/>
              </w:rPr>
              <w:t>5</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-43,883,235.2</w:t>
            </w:r>
          </w:p>
          <w:p>
            <w:pPr>
              <w:pStyle w:val="TableParagraph"/>
              <w:spacing w:line="240" w:lineRule="auto" w:before="37"/>
              <w:ind w:right="9"/>
              <w:jc w:val="right"/>
              <w:rPr>
                <w:rFonts w:ascii="宋体" w:hAnsi="宋体" w:cs="宋体" w:eastAsia="宋体" w:hint="default"/>
                <w:sz w:val="21"/>
                <w:szCs w:val="21"/>
              </w:rPr>
            </w:pPr>
            <w:r>
              <w:rPr>
                <w:rFonts w:ascii="宋体"/>
                <w:sz w:val="21"/>
              </w:rPr>
              <w:t>5</w:t>
            </w: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23" w:right="0"/>
              <w:jc w:val="left"/>
              <w:rPr>
                <w:rFonts w:ascii="宋体" w:hAnsi="宋体" w:cs="宋体" w:eastAsia="宋体" w:hint="default"/>
                <w:sz w:val="21"/>
                <w:szCs w:val="21"/>
              </w:rPr>
            </w:pPr>
            <w:r>
              <w:rPr>
                <w:rFonts w:ascii="宋体" w:hAnsi="宋体" w:cs="宋体" w:eastAsia="宋体" w:hint="default"/>
                <w:sz w:val="21"/>
                <w:szCs w:val="21"/>
              </w:rPr>
              <w:t>递延所得税资产减少</w:t>
            </w:r>
            <w:r>
              <w:rPr>
                <w:rFonts w:ascii="宋体" w:hAnsi="宋体" w:cs="宋体" w:eastAsia="宋体" w:hint="default"/>
                <w:sz w:val="21"/>
                <w:szCs w:val="21"/>
              </w:rPr>
              <w:t>(</w:t>
            </w:r>
            <w:r>
              <w:rPr>
                <w:rFonts w:ascii="宋体" w:hAnsi="宋体" w:cs="宋体" w:eastAsia="宋体" w:hint="default"/>
                <w:sz w:val="21"/>
                <w:szCs w:val="21"/>
              </w:rPr>
              <w:t>增加以“－”号填列</w:t>
            </w:r>
            <w:r>
              <w:rPr>
                <w:rFonts w:ascii="宋体" w:hAnsi="宋体" w:cs="宋体" w:eastAsia="宋体" w:hint="default"/>
                <w:sz w:val="21"/>
                <w:szCs w:val="21"/>
              </w:rPr>
              <w:t>)</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
              <w:jc w:val="right"/>
              <w:rPr>
                <w:rFonts w:ascii="宋体" w:hAnsi="宋体" w:cs="宋体" w:eastAsia="宋体" w:hint="default"/>
                <w:sz w:val="21"/>
                <w:szCs w:val="21"/>
              </w:rPr>
            </w:pPr>
            <w:r>
              <w:rPr>
                <w:rFonts w:ascii="宋体"/>
                <w:spacing w:val="-1"/>
                <w:sz w:val="21"/>
              </w:rPr>
              <w:t>-7,115,932.60</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820,943.74</w:t>
            </w: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23" w:right="0"/>
              <w:jc w:val="left"/>
              <w:rPr>
                <w:rFonts w:ascii="宋体" w:hAnsi="宋体" w:cs="宋体" w:eastAsia="宋体" w:hint="default"/>
                <w:sz w:val="21"/>
                <w:szCs w:val="21"/>
              </w:rPr>
            </w:pPr>
            <w:r>
              <w:rPr>
                <w:rFonts w:ascii="宋体" w:hAnsi="宋体" w:cs="宋体" w:eastAsia="宋体" w:hint="default"/>
                <w:sz w:val="21"/>
                <w:szCs w:val="21"/>
              </w:rPr>
              <w:t>递延所得税负债增加</w:t>
            </w:r>
            <w:r>
              <w:rPr>
                <w:rFonts w:ascii="宋体" w:hAnsi="宋体" w:cs="宋体" w:eastAsia="宋体" w:hint="default"/>
                <w:sz w:val="21"/>
                <w:szCs w:val="21"/>
              </w:rPr>
              <w:t>(</w:t>
            </w:r>
            <w:r>
              <w:rPr>
                <w:rFonts w:ascii="宋体" w:hAnsi="宋体" w:cs="宋体" w:eastAsia="宋体" w:hint="default"/>
                <w:sz w:val="21"/>
                <w:szCs w:val="21"/>
              </w:rPr>
              <w:t>减少以“－”号填列</w:t>
            </w:r>
            <w:r>
              <w:rPr>
                <w:rFonts w:ascii="宋体" w:hAnsi="宋体" w:cs="宋体" w:eastAsia="宋体" w:hint="default"/>
                <w:sz w:val="21"/>
                <w:szCs w:val="21"/>
              </w:rPr>
              <w:t>)</w:t>
            </w:r>
          </w:p>
        </w:tc>
        <w:tc>
          <w:tcPr>
            <w:tcW w:w="1431"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2"/>
              <w:ind w:left="423" w:right="0"/>
              <w:jc w:val="left"/>
              <w:rPr>
                <w:rFonts w:ascii="宋体" w:hAnsi="宋体" w:cs="宋体" w:eastAsia="宋体" w:hint="default"/>
                <w:sz w:val="21"/>
                <w:szCs w:val="21"/>
              </w:rPr>
            </w:pPr>
            <w:r>
              <w:rPr>
                <w:rFonts w:ascii="宋体" w:hAnsi="宋体" w:cs="宋体" w:eastAsia="宋体" w:hint="default"/>
                <w:sz w:val="21"/>
                <w:szCs w:val="21"/>
              </w:rPr>
              <w:t>存货的减少</w:t>
            </w:r>
            <w:r>
              <w:rPr>
                <w:rFonts w:ascii="宋体" w:hAnsi="宋体" w:cs="宋体" w:eastAsia="宋体" w:hint="default"/>
                <w:sz w:val="21"/>
                <w:szCs w:val="21"/>
              </w:rPr>
              <w:t>(</w:t>
            </w:r>
            <w:r>
              <w:rPr>
                <w:rFonts w:ascii="宋体" w:hAnsi="宋体" w:cs="宋体" w:eastAsia="宋体" w:hint="default"/>
                <w:sz w:val="21"/>
                <w:szCs w:val="21"/>
              </w:rPr>
              <w:t>增加以“－”号填列</w:t>
            </w:r>
            <w:r>
              <w:rPr>
                <w:rFonts w:ascii="宋体" w:hAnsi="宋体" w:cs="宋体" w:eastAsia="宋体" w:hint="default"/>
                <w:sz w:val="21"/>
                <w:szCs w:val="21"/>
              </w:rPr>
              <w:t>)</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right"/>
              <w:rPr>
                <w:rFonts w:ascii="宋体" w:hAnsi="宋体" w:cs="宋体" w:eastAsia="宋体" w:hint="default"/>
                <w:sz w:val="21"/>
                <w:szCs w:val="21"/>
              </w:rPr>
            </w:pPr>
            <w:r>
              <w:rPr>
                <w:rFonts w:ascii="宋体"/>
                <w:spacing w:val="-1"/>
                <w:sz w:val="21"/>
              </w:rPr>
              <w:t>37,701,975.06</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-48,787,648.1</w:t>
            </w:r>
          </w:p>
          <w:p>
            <w:pPr>
              <w:pStyle w:val="TableParagraph"/>
              <w:spacing w:line="240" w:lineRule="auto" w:before="37"/>
              <w:ind w:right="9"/>
              <w:jc w:val="right"/>
              <w:rPr>
                <w:rFonts w:ascii="宋体" w:hAnsi="宋体" w:cs="宋体" w:eastAsia="宋体" w:hint="default"/>
                <w:sz w:val="21"/>
                <w:szCs w:val="21"/>
              </w:rPr>
            </w:pPr>
            <w:r>
              <w:rPr>
                <w:rFonts w:ascii="宋体"/>
                <w:sz w:val="21"/>
              </w:rPr>
              <w:t>6</w:t>
            </w:r>
          </w:p>
        </w:tc>
      </w:tr>
      <w:tr>
        <w:trPr>
          <w:trHeight w:val="665"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2"/>
              <w:ind w:left="423" w:right="0"/>
              <w:jc w:val="left"/>
              <w:rPr>
                <w:rFonts w:ascii="宋体" w:hAnsi="宋体" w:cs="宋体" w:eastAsia="宋体" w:hint="default"/>
                <w:sz w:val="21"/>
                <w:szCs w:val="21"/>
              </w:rPr>
            </w:pPr>
            <w:r>
              <w:rPr>
                <w:rFonts w:ascii="宋体" w:hAnsi="宋体" w:cs="宋体" w:eastAsia="宋体" w:hint="default"/>
                <w:sz w:val="21"/>
                <w:szCs w:val="21"/>
              </w:rPr>
              <w:t>经营性应收项目的减少</w:t>
            </w:r>
            <w:r>
              <w:rPr>
                <w:rFonts w:ascii="宋体" w:hAnsi="宋体" w:cs="宋体" w:eastAsia="宋体" w:hint="default"/>
                <w:sz w:val="21"/>
                <w:szCs w:val="21"/>
              </w:rPr>
              <w:t>(</w:t>
            </w:r>
            <w:r>
              <w:rPr>
                <w:rFonts w:ascii="宋体" w:hAnsi="宋体" w:cs="宋体" w:eastAsia="宋体" w:hint="default"/>
                <w:sz w:val="21"/>
                <w:szCs w:val="21"/>
              </w:rPr>
              <w:t>增加以“－”号填列</w:t>
            </w:r>
            <w:r>
              <w:rPr>
                <w:rFonts w:ascii="宋体" w:hAnsi="宋体" w:cs="宋体" w:eastAsia="宋体" w:hint="default"/>
                <w:sz w:val="21"/>
                <w:szCs w:val="21"/>
              </w:rPr>
              <w:t>)</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
              <w:jc w:val="right"/>
              <w:rPr>
                <w:rFonts w:ascii="宋体" w:hAnsi="宋体" w:cs="宋体" w:eastAsia="宋体" w:hint="default"/>
                <w:sz w:val="21"/>
                <w:szCs w:val="21"/>
              </w:rPr>
            </w:pPr>
            <w:r>
              <w:rPr>
                <w:rFonts w:ascii="宋体"/>
                <w:spacing w:val="-1"/>
                <w:sz w:val="21"/>
              </w:rPr>
              <w:t>-17,411,711.7</w:t>
            </w:r>
          </w:p>
          <w:p>
            <w:pPr>
              <w:pStyle w:val="TableParagraph"/>
              <w:spacing w:line="240" w:lineRule="auto" w:before="37"/>
              <w:ind w:right="2"/>
              <w:jc w:val="right"/>
              <w:rPr>
                <w:rFonts w:ascii="宋体" w:hAnsi="宋体" w:cs="宋体" w:eastAsia="宋体" w:hint="default"/>
                <w:sz w:val="21"/>
                <w:szCs w:val="21"/>
              </w:rPr>
            </w:pPr>
            <w:r>
              <w:rPr>
                <w:rFonts w:ascii="宋体"/>
                <w:sz w:val="21"/>
              </w:rPr>
              <w:t>9</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31,614,187.09</w:t>
            </w:r>
          </w:p>
        </w:tc>
      </w:tr>
      <w:tr>
        <w:trPr>
          <w:trHeight w:val="664"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423" w:right="0"/>
              <w:jc w:val="left"/>
              <w:rPr>
                <w:rFonts w:ascii="宋体" w:hAnsi="宋体" w:cs="宋体" w:eastAsia="宋体" w:hint="default"/>
                <w:sz w:val="21"/>
                <w:szCs w:val="21"/>
              </w:rPr>
            </w:pPr>
            <w:r>
              <w:rPr>
                <w:rFonts w:ascii="宋体" w:hAnsi="宋体" w:cs="宋体" w:eastAsia="宋体" w:hint="default"/>
                <w:sz w:val="21"/>
                <w:szCs w:val="21"/>
              </w:rPr>
              <w:t>经营性应付项目的增加</w:t>
            </w:r>
            <w:r>
              <w:rPr>
                <w:rFonts w:ascii="宋体" w:hAnsi="宋体" w:cs="宋体" w:eastAsia="宋体" w:hint="default"/>
                <w:sz w:val="21"/>
                <w:szCs w:val="21"/>
              </w:rPr>
              <w:t>(</w:t>
            </w:r>
            <w:r>
              <w:rPr>
                <w:rFonts w:ascii="宋体" w:hAnsi="宋体" w:cs="宋体" w:eastAsia="宋体" w:hint="default"/>
                <w:sz w:val="21"/>
                <w:szCs w:val="21"/>
              </w:rPr>
              <w:t>减少以“－”号填列</w:t>
            </w:r>
            <w:r>
              <w:rPr>
                <w:rFonts w:ascii="宋体" w:hAnsi="宋体" w:cs="宋体" w:eastAsia="宋体" w:hint="default"/>
                <w:sz w:val="21"/>
                <w:szCs w:val="21"/>
              </w:rPr>
              <w:t>)</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10,030,056.49</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-127,958,808.</w:t>
            </w:r>
          </w:p>
          <w:p>
            <w:pPr>
              <w:pStyle w:val="TableParagraph"/>
              <w:spacing w:line="240" w:lineRule="auto" w:before="37"/>
              <w:ind w:right="8"/>
              <w:jc w:val="right"/>
              <w:rPr>
                <w:rFonts w:ascii="宋体" w:hAnsi="宋体" w:cs="宋体" w:eastAsia="宋体" w:hint="default"/>
                <w:sz w:val="21"/>
                <w:szCs w:val="21"/>
              </w:rPr>
            </w:pPr>
            <w:r>
              <w:rPr>
                <w:rFonts w:ascii="宋体"/>
                <w:sz w:val="21"/>
              </w:rPr>
              <w:t>33</w:t>
            </w: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31"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-1,017.69</w:t>
            </w:r>
          </w:p>
        </w:tc>
      </w:tr>
      <w:tr>
        <w:trPr>
          <w:trHeight w:val="664"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2"/>
              <w:ind w:left="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73,592,103.90</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-81,639,116.2</w:t>
            </w:r>
          </w:p>
          <w:p>
            <w:pPr>
              <w:pStyle w:val="TableParagraph"/>
              <w:spacing w:line="240" w:lineRule="auto" w:before="37"/>
              <w:ind w:right="9"/>
              <w:jc w:val="right"/>
              <w:rPr>
                <w:rFonts w:ascii="宋体" w:hAnsi="宋体" w:cs="宋体" w:eastAsia="宋体" w:hint="default"/>
                <w:sz w:val="21"/>
                <w:szCs w:val="21"/>
              </w:rPr>
            </w:pPr>
            <w:r>
              <w:rPr>
                <w:rFonts w:ascii="宋体"/>
                <w:sz w:val="21"/>
              </w:rPr>
              <w:t>3</w:t>
            </w: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不涉及现金收支的重大投资和筹资活动：</w:t>
            </w:r>
          </w:p>
        </w:tc>
        <w:tc>
          <w:tcPr>
            <w:tcW w:w="1431"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1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431"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1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431"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1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431"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现金及现金等价物净变动情况：</w:t>
            </w:r>
          </w:p>
        </w:tc>
        <w:tc>
          <w:tcPr>
            <w:tcW w:w="1431"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2"/>
              <w:ind w:left="21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500,719,736.6</w:t>
            </w:r>
          </w:p>
          <w:p>
            <w:pPr>
              <w:pStyle w:val="TableParagraph"/>
              <w:spacing w:line="240" w:lineRule="auto" w:before="37"/>
              <w:ind w:right="2"/>
              <w:jc w:val="right"/>
              <w:rPr>
                <w:rFonts w:ascii="宋体" w:hAnsi="宋体" w:cs="宋体" w:eastAsia="宋体" w:hint="default"/>
                <w:sz w:val="21"/>
                <w:szCs w:val="21"/>
              </w:rPr>
            </w:pPr>
            <w:r>
              <w:rPr>
                <w:rFonts w:ascii="宋体"/>
                <w:sz w:val="21"/>
              </w:rPr>
              <w:t>2</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490,782,254.7</w:t>
            </w:r>
          </w:p>
          <w:p>
            <w:pPr>
              <w:pStyle w:val="TableParagraph"/>
              <w:spacing w:line="240" w:lineRule="auto" w:before="37"/>
              <w:ind w:right="9"/>
              <w:jc w:val="right"/>
              <w:rPr>
                <w:rFonts w:ascii="宋体" w:hAnsi="宋体" w:cs="宋体" w:eastAsia="宋体" w:hint="default"/>
                <w:sz w:val="21"/>
                <w:szCs w:val="21"/>
              </w:rPr>
            </w:pPr>
            <w:r>
              <w:rPr>
                <w:rFonts w:ascii="宋体"/>
                <w:sz w:val="21"/>
              </w:rPr>
              <w:t>9</w:t>
            </w:r>
          </w:p>
        </w:tc>
      </w:tr>
      <w:tr>
        <w:trPr>
          <w:trHeight w:val="664"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1"/>
              <w:ind w:left="21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490,782,254.7</w:t>
            </w:r>
          </w:p>
          <w:p>
            <w:pPr>
              <w:pStyle w:val="TableParagraph"/>
              <w:spacing w:line="240" w:lineRule="auto" w:before="37"/>
              <w:ind w:right="2"/>
              <w:jc w:val="right"/>
              <w:rPr>
                <w:rFonts w:ascii="宋体" w:hAnsi="宋体" w:cs="宋体" w:eastAsia="宋体" w:hint="default"/>
                <w:sz w:val="21"/>
                <w:szCs w:val="21"/>
              </w:rPr>
            </w:pPr>
            <w:r>
              <w:rPr>
                <w:rFonts w:ascii="宋体"/>
                <w:sz w:val="21"/>
              </w:rPr>
              <w:t>9</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469,804,197.8</w:t>
            </w:r>
          </w:p>
          <w:p>
            <w:pPr>
              <w:pStyle w:val="TableParagraph"/>
              <w:spacing w:line="240" w:lineRule="auto" w:before="37"/>
              <w:ind w:right="9"/>
              <w:jc w:val="right"/>
              <w:rPr>
                <w:rFonts w:ascii="宋体" w:hAnsi="宋体" w:cs="宋体" w:eastAsia="宋体" w:hint="default"/>
                <w:sz w:val="21"/>
                <w:szCs w:val="21"/>
              </w:rPr>
            </w:pPr>
            <w:r>
              <w:rPr>
                <w:rFonts w:ascii="宋体"/>
                <w:sz w:val="21"/>
              </w:rPr>
              <w:t>6</w:t>
            </w: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1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431"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1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431"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4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1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4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
              <w:jc w:val="right"/>
              <w:rPr>
                <w:rFonts w:ascii="宋体" w:hAnsi="宋体" w:cs="宋体" w:eastAsia="宋体" w:hint="default"/>
                <w:sz w:val="21"/>
                <w:szCs w:val="21"/>
              </w:rPr>
            </w:pPr>
            <w:r>
              <w:rPr>
                <w:rFonts w:ascii="宋体"/>
                <w:sz w:val="21"/>
              </w:rPr>
              <w:t>9,937,481.83</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20,978,056.93</w:t>
            </w:r>
          </w:p>
        </w:tc>
      </w:tr>
    </w:tbl>
    <w:p>
      <w:pPr>
        <w:spacing w:line="240" w:lineRule="auto" w:before="9"/>
        <w:rPr>
          <w:rFonts w:ascii="宋体" w:hAnsi="宋体" w:cs="宋体" w:eastAsia="宋体" w:hint="default"/>
          <w:sz w:val="22"/>
          <w:szCs w:val="22"/>
        </w:rPr>
      </w:pPr>
    </w:p>
    <w:p>
      <w:pPr>
        <w:pStyle w:val="Heading3"/>
        <w:spacing w:line="240" w:lineRule="auto" w:before="26"/>
        <w:ind w:left="154" w:right="0"/>
        <w:jc w:val="left"/>
      </w:pPr>
      <w:r>
        <w:rPr/>
        <w:t>（</w:t>
      </w:r>
      <w:r>
        <w:rPr>
          <w:rFonts w:ascii="Times New Roman" w:hAnsi="Times New Roman" w:cs="Times New Roman" w:eastAsia="Times New Roman" w:hint="default"/>
        </w:rPr>
        <w:t>2</w:t>
      </w:r>
      <w:r>
        <w:rPr/>
        <w:t>）现金和现金等价物的有关信息</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589"/>
        <w:gridCol w:w="1878"/>
        <w:gridCol w:w="1878"/>
      </w:tblGrid>
      <w:tr>
        <w:trPr>
          <w:trHeight w:val="355" w:hRule="exact"/>
        </w:trPr>
        <w:tc>
          <w:tcPr>
            <w:tcW w:w="558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7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本期余额</w:t>
            </w:r>
          </w:p>
        </w:tc>
        <w:tc>
          <w:tcPr>
            <w:tcW w:w="187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511" w:right="0"/>
              <w:jc w:val="left"/>
              <w:rPr>
                <w:rFonts w:ascii="宋体" w:hAnsi="宋体" w:cs="宋体" w:eastAsia="宋体" w:hint="default"/>
                <w:sz w:val="21"/>
                <w:szCs w:val="21"/>
              </w:rPr>
            </w:pPr>
            <w:r>
              <w:rPr>
                <w:rFonts w:ascii="宋体" w:hAnsi="宋体" w:cs="宋体" w:eastAsia="宋体" w:hint="default"/>
                <w:sz w:val="21"/>
                <w:szCs w:val="21"/>
              </w:rPr>
              <w:t>上期余额</w:t>
            </w:r>
          </w:p>
        </w:tc>
      </w:tr>
      <w:tr>
        <w:trPr>
          <w:trHeight w:val="432" w:hRule="exact"/>
        </w:trPr>
        <w:tc>
          <w:tcPr>
            <w:tcW w:w="5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8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500,719,736.62</w:t>
            </w:r>
          </w:p>
        </w:tc>
        <w:tc>
          <w:tcPr>
            <w:tcW w:w="18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490,782,254.79</w:t>
            </w:r>
          </w:p>
        </w:tc>
      </w:tr>
      <w:tr>
        <w:trPr>
          <w:trHeight w:val="432" w:hRule="exact"/>
        </w:trPr>
        <w:tc>
          <w:tcPr>
            <w:tcW w:w="5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2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8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z w:val="21"/>
              </w:rPr>
              <w:t>28,320.19</w:t>
            </w:r>
          </w:p>
        </w:tc>
        <w:tc>
          <w:tcPr>
            <w:tcW w:w="18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9,598.48</w:t>
            </w:r>
          </w:p>
        </w:tc>
      </w:tr>
      <w:tr>
        <w:trPr>
          <w:trHeight w:val="432" w:hRule="exact"/>
        </w:trPr>
        <w:tc>
          <w:tcPr>
            <w:tcW w:w="5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105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8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497,579,063.39</w:t>
            </w:r>
          </w:p>
        </w:tc>
        <w:tc>
          <w:tcPr>
            <w:tcW w:w="18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477,143,251.65</w:t>
            </w:r>
          </w:p>
        </w:tc>
      </w:tr>
      <w:tr>
        <w:trPr>
          <w:trHeight w:val="432" w:hRule="exact"/>
        </w:trPr>
        <w:tc>
          <w:tcPr>
            <w:tcW w:w="5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1581"/>
              <w:jc w:val="righ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8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3,112,353.04</w:t>
            </w:r>
          </w:p>
        </w:tc>
        <w:tc>
          <w:tcPr>
            <w:tcW w:w="18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13,629,404.66</w:t>
            </w:r>
          </w:p>
        </w:tc>
      </w:tr>
      <w:tr>
        <w:trPr>
          <w:trHeight w:val="432" w:hRule="exact"/>
        </w:trPr>
        <w:tc>
          <w:tcPr>
            <w:tcW w:w="5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1581"/>
              <w:jc w:val="righ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1878" w:type="dxa"/>
            <w:tcBorders>
              <w:top w:val="single" w:sz="12" w:space="0" w:color="000000"/>
              <w:left w:val="single" w:sz="6" w:space="0" w:color="000000"/>
              <w:bottom w:val="single" w:sz="12" w:space="0" w:color="000000"/>
              <w:right w:val="single" w:sz="6" w:space="0" w:color="000000"/>
            </w:tcBorders>
          </w:tcPr>
          <w:p>
            <w:pPr/>
          </w:p>
        </w:tc>
        <w:tc>
          <w:tcPr>
            <w:tcW w:w="1878"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5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105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878" w:type="dxa"/>
            <w:tcBorders>
              <w:top w:val="single" w:sz="12" w:space="0" w:color="000000"/>
              <w:left w:val="single" w:sz="6" w:space="0" w:color="000000"/>
              <w:bottom w:val="single" w:sz="12" w:space="0" w:color="000000"/>
              <w:right w:val="single" w:sz="6" w:space="0" w:color="000000"/>
            </w:tcBorders>
          </w:tcPr>
          <w:p>
            <w:pPr/>
          </w:p>
        </w:tc>
        <w:tc>
          <w:tcPr>
            <w:tcW w:w="1878"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5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105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878" w:type="dxa"/>
            <w:tcBorders>
              <w:top w:val="single" w:sz="12" w:space="0" w:color="000000"/>
              <w:left w:val="single" w:sz="6" w:space="0" w:color="000000"/>
              <w:bottom w:val="single" w:sz="12" w:space="0" w:color="000000"/>
              <w:right w:val="single" w:sz="6" w:space="0" w:color="000000"/>
            </w:tcBorders>
          </w:tcPr>
          <w:p>
            <w:pPr/>
          </w:p>
        </w:tc>
        <w:tc>
          <w:tcPr>
            <w:tcW w:w="1878"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5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878" w:type="dxa"/>
            <w:tcBorders>
              <w:top w:val="single" w:sz="12" w:space="0" w:color="000000"/>
              <w:left w:val="single" w:sz="6" w:space="0" w:color="000000"/>
              <w:bottom w:val="single" w:sz="12" w:space="0" w:color="000000"/>
              <w:right w:val="single" w:sz="6" w:space="0" w:color="000000"/>
            </w:tcBorders>
          </w:tcPr>
          <w:p>
            <w:pPr/>
          </w:p>
        </w:tc>
        <w:tc>
          <w:tcPr>
            <w:tcW w:w="1878"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5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2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878" w:type="dxa"/>
            <w:tcBorders>
              <w:top w:val="single" w:sz="12" w:space="0" w:color="000000"/>
              <w:left w:val="single" w:sz="6" w:space="0" w:color="000000"/>
              <w:bottom w:val="single" w:sz="12" w:space="0" w:color="000000"/>
              <w:right w:val="single" w:sz="6" w:space="0" w:color="000000"/>
            </w:tcBorders>
          </w:tcPr>
          <w:p>
            <w:pPr/>
          </w:p>
        </w:tc>
        <w:tc>
          <w:tcPr>
            <w:tcW w:w="187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558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8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500,719,736.62</w:t>
            </w:r>
          </w:p>
        </w:tc>
        <w:tc>
          <w:tcPr>
            <w:tcW w:w="18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490,782,254.79</w:t>
            </w:r>
          </w:p>
        </w:tc>
      </w:tr>
    </w:tbl>
    <w:p>
      <w:pPr>
        <w:spacing w:line="240" w:lineRule="auto" w:before="9"/>
        <w:rPr>
          <w:rFonts w:ascii="宋体" w:hAnsi="宋体" w:cs="宋体" w:eastAsia="宋体" w:hint="default"/>
          <w:sz w:val="22"/>
          <w:szCs w:val="22"/>
        </w:rPr>
      </w:pPr>
    </w:p>
    <w:p>
      <w:pPr>
        <w:pStyle w:val="Heading3"/>
        <w:spacing w:line="240" w:lineRule="auto" w:before="26"/>
        <w:ind w:left="154" w:right="0"/>
        <w:jc w:val="left"/>
      </w:pPr>
      <w:r>
        <w:rPr/>
        <w:t>（</w:t>
      </w:r>
      <w:r>
        <w:rPr>
          <w:rFonts w:ascii="Times New Roman" w:hAnsi="Times New Roman" w:cs="Times New Roman" w:eastAsia="Times New Roman" w:hint="default"/>
        </w:rPr>
        <w:t>3</w:t>
      </w:r>
      <w:r>
        <w:rPr/>
        <w:t>）受限制的货币资金情况</w:t>
      </w:r>
    </w:p>
    <w:p>
      <w:pPr>
        <w:spacing w:line="240" w:lineRule="auto" w:before="4"/>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874"/>
        <w:gridCol w:w="1798"/>
        <w:gridCol w:w="1799"/>
        <w:gridCol w:w="2874"/>
      </w:tblGrid>
      <w:tr>
        <w:trPr>
          <w:trHeight w:val="355" w:hRule="exact"/>
        </w:trPr>
        <w:tc>
          <w:tcPr>
            <w:tcW w:w="287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9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874"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受限制的原因</w:t>
            </w:r>
          </w:p>
        </w:tc>
      </w:tr>
      <w:tr>
        <w:trPr>
          <w:trHeight w:val="352" w:hRule="exact"/>
        </w:trPr>
        <w:tc>
          <w:tcPr>
            <w:tcW w:w="287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1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15,250,771.00</w:t>
            </w:r>
          </w:p>
        </w:tc>
        <w:tc>
          <w:tcPr>
            <w:tcW w:w="17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6,285,943.80</w:t>
            </w:r>
          </w:p>
        </w:tc>
        <w:tc>
          <w:tcPr>
            <w:tcW w:w="2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9"/>
              <w:jc w:val="center"/>
              <w:rPr>
                <w:rFonts w:ascii="宋体" w:hAnsi="宋体" w:cs="宋体" w:eastAsia="宋体" w:hint="default"/>
                <w:sz w:val="21"/>
                <w:szCs w:val="21"/>
              </w:rPr>
            </w:pPr>
            <w:r>
              <w:rPr>
                <w:rFonts w:ascii="宋体" w:hAnsi="宋体" w:cs="宋体" w:eastAsia="宋体" w:hint="default"/>
                <w:sz w:val="21"/>
                <w:szCs w:val="21"/>
              </w:rPr>
              <w:t>银行承兑汇票保证金</w:t>
            </w:r>
          </w:p>
        </w:tc>
      </w:tr>
      <w:tr>
        <w:trPr>
          <w:trHeight w:val="353" w:hRule="exact"/>
        </w:trPr>
        <w:tc>
          <w:tcPr>
            <w:tcW w:w="287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1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18,252,733.08</w:t>
            </w:r>
          </w:p>
        </w:tc>
        <w:tc>
          <w:tcPr>
            <w:tcW w:w="17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3,726,705.77</w:t>
            </w:r>
          </w:p>
        </w:tc>
        <w:tc>
          <w:tcPr>
            <w:tcW w:w="2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352" w:hRule="exact"/>
        </w:trPr>
        <w:tc>
          <w:tcPr>
            <w:tcW w:w="287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欧元投标保证金</w:t>
            </w:r>
          </w:p>
        </w:tc>
        <w:tc>
          <w:tcPr>
            <w:tcW w:w="1798" w:type="dxa"/>
            <w:tcBorders>
              <w:top w:val="single" w:sz="12" w:space="0" w:color="000000"/>
              <w:left w:val="single" w:sz="6" w:space="0" w:color="000000"/>
              <w:bottom w:val="single" w:sz="12" w:space="0" w:color="000000"/>
              <w:right w:val="single" w:sz="6" w:space="0" w:color="000000"/>
            </w:tcBorders>
          </w:tcPr>
          <w:p>
            <w:pPr/>
          </w:p>
        </w:tc>
        <w:tc>
          <w:tcPr>
            <w:tcW w:w="17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396,804.43</w:t>
            </w:r>
          </w:p>
        </w:tc>
        <w:tc>
          <w:tcPr>
            <w:tcW w:w="2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欧元投标保证金</w:t>
            </w:r>
          </w:p>
        </w:tc>
      </w:tr>
      <w:tr>
        <w:trPr>
          <w:trHeight w:val="352" w:hRule="exact"/>
        </w:trPr>
        <w:tc>
          <w:tcPr>
            <w:tcW w:w="287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33,503,504.08</w:t>
            </w:r>
          </w:p>
        </w:tc>
        <w:tc>
          <w:tcPr>
            <w:tcW w:w="17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10,409,454.00</w:t>
            </w:r>
          </w:p>
        </w:tc>
        <w:tc>
          <w:tcPr>
            <w:tcW w:w="287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十六、补充资料" w:id="381"/>
      <w:bookmarkEnd w:id="381"/>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82"/>
      <w:bookmarkEnd w:id="38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47,109,861.27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12,039,425.58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9,339.63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-1,949,531.23</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806,064.40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15,205.70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56,387,825.15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383"/>
      <w:bookmarkEnd w:id="38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3、境内外会计准则下会计数据差异" w:id="384"/>
      <w:bookmarkEnd w:id="38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同时按照国际会计准则与按中国会计准则披露的财务报告中净利润和净资产差异情况" w:id="385"/>
      <w:bookmarkEnd w:id="38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386"/>
      <w:bookmarkEnd w:id="38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其他" w:id="387"/>
      <w:bookmarkEnd w:id="387"/>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388"/>
      <w:bookmarkStart w:name="第十一节 备查文件目录" w:id="389"/>
      <w:r>
        <w:rPr>
          <w:b w:val="0"/>
          <w:bCs w:val="0"/>
        </w:rPr>
      </w:r>
      <w:r>
        <w:rPr/>
        <w:t>第十一节</w:t>
      </w:r>
      <w:r>
        <w:rPr>
          <w:spacing w:val="-7"/>
        </w:rPr>
        <w:t> </w:t>
      </w:r>
      <w:r>
        <w:rPr/>
        <w:t>备查文件目录</w:t>
      </w:r>
      <w:bookmarkEnd w:id="388"/>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t>包括下列文件：</w:t>
      </w:r>
    </w:p>
    <w:p>
      <w:pPr>
        <w:pStyle w:val="BodyText"/>
        <w:spacing w:line="240" w:lineRule="auto" w:before="77"/>
        <w:ind w:right="0"/>
        <w:jc w:val="left"/>
      </w:pPr>
      <w:r>
        <w:rPr/>
        <w:t>（一）载有法定代表人、主管会计工作负责人、会计机构负责人签名并盖章的会计报表；</w:t>
      </w:r>
    </w:p>
    <w:p>
      <w:pPr>
        <w:pStyle w:val="BodyText"/>
        <w:spacing w:line="240" w:lineRule="auto" w:before="76"/>
        <w:ind w:right="0"/>
        <w:jc w:val="left"/>
      </w:pPr>
      <w:r>
        <w:rPr/>
        <w:t>（二）载有会计师事务所盖章、注册会计师签名并盖章的审计报告原件；</w:t>
      </w:r>
    </w:p>
    <w:p>
      <w:pPr>
        <w:pStyle w:val="BodyText"/>
        <w:spacing w:line="300" w:lineRule="auto" w:before="76"/>
        <w:ind w:right="1118"/>
        <w:jc w:val="left"/>
      </w:pPr>
      <w:r>
        <w:rPr/>
        <w:t>（三）报告期内在《中国证券报》、《证券时报》及巨潮资讯网</w:t>
      </w:r>
      <w:hyperlink r:id="rId17">
        <w:r>
          <w:rPr>
            <w:rFonts w:ascii="Times New Roman" w:hAnsi="Times New Roman" w:cs="Times New Roman" w:eastAsia="Times New Roman" w:hint="default"/>
          </w:rPr>
          <w:t>http://www.cninfo.com.cn</w:t>
        </w:r>
        <w:r>
          <w:rPr/>
          <w:t>上公开披露过的所有公司文件的正</w:t>
        </w:r>
      </w:hyperlink>
      <w:r>
        <w:rPr>
          <w:w w:val="99"/>
        </w:rPr>
        <w:t> </w:t>
      </w:r>
      <w:r>
        <w:rPr/>
        <w:t>本及公告的原稿；</w:t>
      </w:r>
    </w:p>
    <w:p>
      <w:pPr>
        <w:pStyle w:val="BodyText"/>
        <w:spacing w:line="240" w:lineRule="auto" w:before="31"/>
        <w:ind w:right="0"/>
        <w:jc w:val="left"/>
      </w:pPr>
      <w:r>
        <w:rPr/>
        <w:t>（四）文件存放地：公司董事会办公室。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0976" type="#_x0000_t75" stroked="false">
          <v:imagedata r:id="rId1" o:title=""/>
        </v:shape>
      </w:pict>
    </w:r>
    <w:r>
      <w:rPr/>
      <w:pict>
        <v:shape style="position:absolute;margin-left:533.179993pt;margin-top:795.517944pt;width:6.5pt;height:11pt;mso-position-horizontal-relative:page;mso-position-vertical-relative:page;z-index:-10509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0928" type="#_x0000_t75" stroked="false">
          <v:imagedata r:id="rId1" o:title=""/>
        </v:shape>
      </w:pict>
    </w:r>
    <w:r>
      <w:rPr/>
      <w:pict>
        <v:shape style="position:absolute;margin-left:527.679993pt;margin-top:781.957947pt;width:13pt;height:11pt;mso-position-horizontal-relative:page;mso-position-vertical-relative:page;z-index:-1050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0880" type="#_x0000_t75" stroked="false">
          <v:imagedata r:id="rId1" o:title=""/>
        </v:shape>
      </w:pict>
    </w:r>
    <w:r>
      <w:rPr/>
      <w:pict>
        <v:shape style="position:absolute;margin-left:524.179993pt;margin-top:781.957947pt;width:15.5pt;height:11pt;mso-position-horizontal-relative:page;mso-position-vertical-relative:page;z-index:-10508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50832" type="#_x0000_t75" stroked="false">
          <v:imagedata r:id="rId1" o:title=""/>
        </v:shape>
      </w:pict>
    </w:r>
    <w:r>
      <w:rPr/>
      <w:pict>
        <v:shape style="position:absolute;margin-left:523.179993pt;margin-top:781.957947pt;width:17.5pt;height:11pt;mso-position-horizontal-relative:page;mso-position-vertical-relative:page;z-index:-1050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1051000" type="#_x0000_t202" filled="false" stroked="false">
          <v:textbox inset="0,0,0,0">
            <w:txbxContent>
              <w:p>
                <w:pPr>
                  <w:pStyle w:val="BodyText"/>
                  <w:spacing w:line="214" w:lineRule="exact"/>
                  <w:ind w:left="20" w:right="0"/>
                  <w:jc w:val="left"/>
                </w:pPr>
                <w:r>
                  <w:rPr/>
                  <w:t>云南南天电子信息产业股份有限公司</w:t>
                </w:r>
                <w:r>
                  <w:rPr>
                    <w:spacing w:val="-46"/>
                  </w:rPr>
                  <w:t> </w:t>
                </w:r>
                <w:r>
                  <w:rPr>
                    <w:rFonts w:ascii="Times New Roman" w:hAnsi="Times New Roman" w:cs="Times New Roman" w:eastAsia="Times New Roman" w:hint="default"/>
                  </w:rPr>
                  <w:t>2015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1116"/>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Heading5" w:type="paragraph">
    <w:name w:val="Heading 5"/>
    <w:basedOn w:val="Normal"/>
    <w:uiPriority w:val="1"/>
    <w:qFormat/>
    <w:pPr>
      <w:ind w:left="153"/>
      <w:outlineLvl w:val="5"/>
    </w:pPr>
    <w:rPr>
      <w:rFonts w:ascii="宋体" w:hAnsi="宋体" w:eastAsia="宋体"/>
      <w:sz w:val="21"/>
      <w:szCs w:val="21"/>
    </w:rPr>
  </w:style>
  <w:style w:styleId="Heading6" w:type="paragraph">
    <w:name w:val="Heading 6"/>
    <w:basedOn w:val="Normal"/>
    <w:uiPriority w:val="1"/>
    <w:qFormat/>
    <w:pPr>
      <w:spacing w:before="102"/>
      <w:ind w:left="515"/>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cninfo.com.cn/" TargetMode="External"/><Relationship Id="rId9" Type="http://schemas.openxmlformats.org/officeDocument/2006/relationships/hyperlink" Target="http://www.nantian.com.cn/" TargetMode="External"/><Relationship Id="rId10" Type="http://schemas.openxmlformats.org/officeDocument/2006/relationships/hyperlink" Target="mailto:000948@nantian.com.cn" TargetMode="External"/><Relationship Id="rId11" Type="http://schemas.openxmlformats.org/officeDocument/2006/relationships/hyperlink" Target="mailto:shily@nantian.com.cn" TargetMode="External"/><Relationship Id="rId12" Type="http://schemas.openxmlformats.org/officeDocument/2006/relationships/hyperlink" Target="mailto:shensh@nantian.com.cn" TargetMode="External"/><Relationship Id="rId13" Type="http://schemas.openxmlformats.org/officeDocument/2006/relationships/hyperlink" Target="http://www.cninfo.com.cn&#19978;&#30340;/" TargetMode="External"/><Relationship Id="rId14" Type="http://schemas.openxmlformats.org/officeDocument/2006/relationships/image" Target="media/image2.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yperlink" Target="http://www.cninfo.com.cn&#19978;&#20844;&#24320;&#25259;&#38706;&#36807;&#30340;&#25152;&#26377;&#20844;&#21496;&#25991;&#20214;&#30340;&#2749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云南南天电子信息产业股份有限公司</dc:creator>
  <dc:title>云南南天电子信息产业股份有限公司2015年年度报告全文</dc:title>
  <dcterms:created xsi:type="dcterms:W3CDTF">2020-05-04T11:40:09Z</dcterms:created>
  <dcterms:modified xsi:type="dcterms:W3CDTF">2020-05-04T11:40:09Z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2016-05-20T00:00:00Z</vt:filetime>
  </property>
  <property fmtid="{D5CDD505-2E9C-101B-9397-08002B2CF9AE}" pid="3" name="Creator">
    <vt:lpwstr>Microsoft® Office Word 2007</vt:lpwstr>
  </property>
  <property fmtid="{D5CDD505-2E9C-101B-9397-08002B2CF9AE}" pid="4" name="LastSaved">
    <vt:filetime>2020-05-04T00:00:00Z</vt:filetime>
  </property>
</Properties>
</file>