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708"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127760" cy="44957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27760" cy="449579"/>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060" w:right="2063" w:firstLine="0"/>
        <w:jc w:val="center"/>
        <w:rPr>
          <w:rFonts w:ascii="宋体" w:hAnsi="宋体" w:cs="宋体" w:eastAsia="宋体" w:hint="default"/>
          <w:sz w:val="36"/>
          <w:szCs w:val="36"/>
        </w:rPr>
      </w:pPr>
      <w:r>
        <w:rPr>
          <w:rFonts w:ascii="宋体" w:hAnsi="宋体" w:cs="宋体" w:eastAsia="宋体" w:hint="default"/>
          <w:b/>
          <w:bCs/>
          <w:sz w:val="36"/>
          <w:szCs w:val="36"/>
        </w:rPr>
        <w:t>云南南天电子信息产业股份有限公司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6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25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25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25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公司负责人徐宏灿、主管会计工作负责人徐宏灿及会计机构负责人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刘涓声明：保证年度报告中财务报告的真实、准确、完整。</w:t>
      </w:r>
      <w:r>
        <w:rPr>
          <w:rFonts w:ascii="宋体" w:hAnsi="宋体" w:cs="宋体" w:eastAsia="宋体" w:hint="default"/>
          <w:sz w:val="28"/>
          <w:szCs w:val="28"/>
        </w:rPr>
      </w:r>
    </w:p>
    <w:p>
      <w:pPr>
        <w:spacing w:line="472" w:lineRule="auto"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公司本年度报告中涉及的未来计划、业绩预测等方面的内容，均不构成公</w:t>
      </w:r>
      <w:r>
        <w:rPr>
          <w:rFonts w:ascii="宋体" w:hAnsi="宋体" w:cs="宋体" w:eastAsia="宋体" w:hint="default"/>
          <w:spacing w:val="2"/>
          <w:sz w:val="28"/>
          <w:szCs w:val="28"/>
        </w:rPr>
      </w:r>
    </w:p>
    <w:p>
      <w:pPr>
        <w:spacing w:line="408" w:lineRule="auto" w:before="0"/>
        <w:ind w:left="153" w:right="105" w:firstLine="0"/>
        <w:jc w:val="left"/>
        <w:rPr>
          <w:rFonts w:ascii="宋体" w:hAnsi="宋体" w:cs="宋体" w:eastAsia="宋体" w:hint="default"/>
          <w:sz w:val="28"/>
          <w:szCs w:val="28"/>
        </w:rPr>
      </w:pPr>
      <w:r>
        <w:rPr>
          <w:rFonts w:ascii="宋体" w:hAnsi="宋体" w:cs="宋体" w:eastAsia="宋体" w:hint="default"/>
          <w:b/>
          <w:bCs/>
          <w:spacing w:val="-2"/>
          <w:sz w:val="28"/>
          <w:szCs w:val="28"/>
        </w:rPr>
        <w:t>司对投资者及相关人士的实质承诺，敬请投资者注意投资风险，并请理解计划、</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预测与承诺之间的差异。</w:t>
      </w:r>
      <w:r>
        <w:rPr>
          <w:rFonts w:ascii="宋体" w:hAnsi="宋体" w:cs="宋体" w:eastAsia="宋体" w:hint="default"/>
          <w:sz w:val="28"/>
          <w:szCs w:val="28"/>
        </w:rPr>
      </w:r>
    </w:p>
    <w:p>
      <w:pPr>
        <w:spacing w:before="162"/>
        <w:ind w:left="714" w:right="105"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《证券</w:t>
      </w:r>
      <w:r>
        <w:rPr>
          <w:rFonts w:ascii="宋体" w:hAnsi="宋体" w:cs="宋体" w:eastAsia="宋体" w:hint="default"/>
          <w:b/>
          <w:bCs/>
          <w:spacing w:val="4"/>
          <w:w w:val="99"/>
          <w:sz w:val="28"/>
          <w:szCs w:val="28"/>
        </w:rPr>
        <w:t>时</w:t>
      </w:r>
      <w:r>
        <w:rPr>
          <w:rFonts w:ascii="宋体" w:hAnsi="宋体" w:cs="宋体" w:eastAsia="宋体" w:hint="default"/>
          <w:b/>
          <w:bCs/>
          <w:spacing w:val="2"/>
          <w:w w:val="99"/>
          <w:sz w:val="28"/>
          <w:szCs w:val="28"/>
        </w:rPr>
        <w:t>报</w:t>
      </w:r>
      <w:r>
        <w:rPr>
          <w:rFonts w:ascii="宋体" w:hAnsi="宋体" w:cs="宋体" w:eastAsia="宋体" w:hint="default"/>
          <w:b/>
          <w:bCs/>
          <w:spacing w:val="-137"/>
          <w:w w:val="99"/>
          <w:sz w:val="28"/>
          <w:szCs w:val="28"/>
        </w:rPr>
        <w:t>》</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《中国证券</w:t>
      </w:r>
      <w:r>
        <w:rPr>
          <w:rFonts w:ascii="宋体" w:hAnsi="宋体" w:cs="宋体" w:eastAsia="宋体" w:hint="default"/>
          <w:b/>
          <w:bCs/>
          <w:spacing w:val="4"/>
          <w:w w:val="99"/>
          <w:sz w:val="28"/>
          <w:szCs w:val="28"/>
        </w:rPr>
        <w:t>报</w:t>
      </w:r>
      <w:r>
        <w:rPr>
          <w:rFonts w:ascii="宋体" w:hAnsi="宋体" w:cs="宋体" w:eastAsia="宋体" w:hint="default"/>
          <w:b/>
          <w:bCs/>
          <w:spacing w:val="-137"/>
          <w:w w:val="99"/>
          <w:sz w:val="28"/>
          <w:szCs w:val="28"/>
        </w:rPr>
        <w:t>》</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《上海证券</w:t>
      </w:r>
      <w:r>
        <w:rPr>
          <w:rFonts w:ascii="宋体" w:hAnsi="宋体" w:cs="宋体" w:eastAsia="宋体" w:hint="default"/>
          <w:b/>
          <w:bCs/>
          <w:spacing w:val="4"/>
          <w:w w:val="99"/>
          <w:sz w:val="28"/>
          <w:szCs w:val="28"/>
        </w:rPr>
        <w:t>报</w:t>
      </w:r>
      <w:r>
        <w:rPr>
          <w:rFonts w:ascii="宋体" w:hAnsi="宋体" w:cs="宋体" w:eastAsia="宋体" w:hint="default"/>
          <w:b/>
          <w:bCs/>
          <w:spacing w:val="-140"/>
          <w:w w:val="99"/>
          <w:sz w:val="28"/>
          <w:szCs w:val="28"/>
        </w:rPr>
        <w:t>》</w:t>
      </w:r>
      <w:r>
        <w:rPr>
          <w:rFonts w:ascii="宋体" w:hAnsi="宋体" w:cs="宋体" w:eastAsia="宋体" w:hint="default"/>
          <w:b/>
          <w:bCs/>
          <w:spacing w:val="-137"/>
          <w:w w:val="99"/>
          <w:sz w:val="28"/>
          <w:szCs w:val="28"/>
        </w:rPr>
        <w:t>、</w:t>
      </w:r>
      <w:r>
        <w:rPr>
          <w:rFonts w:ascii="宋体" w:hAnsi="宋体" w:cs="宋体" w:eastAsia="宋体" w:hint="default"/>
          <w:b/>
          <w:bCs/>
          <w:spacing w:val="2"/>
          <w:w w:val="99"/>
          <w:sz w:val="28"/>
          <w:szCs w:val="28"/>
        </w:rPr>
        <w:t>《证券日报》和</w:t>
      </w:r>
      <w:r>
        <w:rPr>
          <w:rFonts w:ascii="宋体" w:hAnsi="宋体" w:cs="宋体" w:eastAsia="宋体" w:hint="default"/>
          <w:b/>
          <w:bCs/>
          <w:spacing w:val="4"/>
          <w:w w:val="99"/>
          <w:sz w:val="28"/>
          <w:szCs w:val="28"/>
        </w:rPr>
        <w:t>巨</w:t>
      </w:r>
      <w:r>
        <w:rPr>
          <w:rFonts w:ascii="宋体" w:hAnsi="宋体" w:cs="宋体" w:eastAsia="宋体" w:hint="default"/>
          <w:b/>
          <w:bCs/>
          <w:spacing w:val="2"/>
          <w:w w:val="99"/>
          <w:sz w:val="28"/>
          <w:szCs w:val="28"/>
        </w:rPr>
        <w:t>潮资讯</w:t>
      </w:r>
      <w:r>
        <w:rPr>
          <w:rFonts w:ascii="宋体" w:hAnsi="宋体" w:cs="宋体" w:eastAsia="宋体" w:hint="default"/>
          <w:b/>
          <w:bCs/>
          <w:w w:val="99"/>
          <w:sz w:val="28"/>
          <w:szCs w:val="28"/>
        </w:rPr>
        <w:t>网</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86" w:lineRule="auto" w:before="0"/>
        <w:ind w:left="153" w:right="253" w:firstLine="0"/>
        <w:jc w:val="left"/>
        <w:rPr>
          <w:rFonts w:ascii="宋体" w:hAnsi="宋体" w:cs="宋体" w:eastAsia="宋体" w:hint="default"/>
          <w:sz w:val="28"/>
          <w:szCs w:val="28"/>
        </w:rPr>
      </w:pPr>
      <w:r>
        <w:rPr>
          <w:rFonts w:ascii="宋体" w:hAnsi="宋体" w:cs="宋体" w:eastAsia="宋体" w:hint="default"/>
          <w:b/>
          <w:bCs/>
          <w:sz w:val="28"/>
          <w:szCs w:val="28"/>
        </w:rPr>
        <w:t>（</w:t>
      </w:r>
      <w:hyperlink r:id="rId9">
        <w:r>
          <w:rPr>
            <w:rFonts w:ascii="Times New Roman" w:hAnsi="Times New Roman" w:cs="Times New Roman" w:eastAsia="Times New Roman" w:hint="default"/>
            <w:b/>
            <w:bCs/>
            <w:sz w:val="28"/>
            <w:szCs w:val="28"/>
          </w:rPr>
          <w:t>http://www.cninfo.com.cn</w:t>
        </w:r>
      </w:hyperlink>
      <w:r>
        <w:rPr>
          <w:rFonts w:ascii="宋体" w:hAnsi="宋体" w:cs="宋体" w:eastAsia="宋体" w:hint="default"/>
          <w:b/>
          <w:bCs/>
          <w:sz w:val="28"/>
          <w:szCs w:val="28"/>
        </w:rPr>
        <w:t>）为本公司选定的信息披露媒体，本公司所有信息</w:t>
      </w:r>
      <w:r>
        <w:rPr>
          <w:rFonts w:ascii="宋体" w:hAnsi="宋体" w:cs="宋体" w:eastAsia="宋体" w:hint="default"/>
          <w:b/>
          <w:bCs/>
          <w:spacing w:val="-75"/>
          <w:sz w:val="28"/>
          <w:szCs w:val="28"/>
        </w:rPr>
        <w:t> </w:t>
      </w:r>
      <w:r>
        <w:rPr>
          <w:rFonts w:ascii="宋体" w:hAnsi="宋体" w:cs="宋体" w:eastAsia="宋体" w:hint="default"/>
          <w:b/>
          <w:bCs/>
          <w:sz w:val="28"/>
          <w:szCs w:val="28"/>
        </w:rPr>
        <w:t>均以在上述选定媒体刊登的信息为准，敬请投资者注意投资风险。</w:t>
      </w:r>
      <w:r>
        <w:rPr>
          <w:rFonts w:ascii="宋体" w:hAnsi="宋体" w:cs="宋体" w:eastAsia="宋体" w:hint="default"/>
          <w:sz w:val="28"/>
          <w:szCs w:val="28"/>
        </w:rPr>
      </w:r>
    </w:p>
    <w:p>
      <w:pPr>
        <w:spacing w:before="187"/>
        <w:ind w:left="714" w:right="10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246,606,046.00 </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股为基</w:t>
      </w:r>
      <w:r>
        <w:rPr>
          <w:rFonts w:ascii="宋体" w:hAnsi="宋体" w:cs="宋体" w:eastAsia="宋体" w:hint="default"/>
          <w:sz w:val="28"/>
          <w:szCs w:val="28"/>
        </w:rPr>
      </w:r>
    </w:p>
    <w:p>
      <w:pPr>
        <w:spacing w:line="386" w:lineRule="auto" w:before="236"/>
        <w:ind w:left="153" w:right="248" w:firstLine="0"/>
        <w:jc w:val="left"/>
        <w:rPr>
          <w:rFonts w:ascii="宋体" w:hAnsi="宋体" w:cs="宋体" w:eastAsia="宋体" w:hint="default"/>
          <w:sz w:val="28"/>
          <w:szCs w:val="28"/>
        </w:rPr>
      </w:pPr>
      <w:r>
        <w:rPr>
          <w:rFonts w:ascii="宋体" w:hAnsi="宋体" w:cs="宋体" w:eastAsia="宋体" w:hint="default"/>
          <w:b/>
          <w:bCs/>
          <w:spacing w:val="-3"/>
          <w:w w:val="99"/>
          <w:sz w:val="28"/>
          <w:szCs w:val="28"/>
        </w:rPr>
        <w:t>数，向全体股东每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0.20</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28"/>
          <w:w w:val="99"/>
          <w:sz w:val="28"/>
          <w:szCs w:val="28"/>
        </w:rPr>
        <w:t>股（含税），不</w:t>
      </w:r>
      <w:r>
        <w:rPr>
          <w:rFonts w:ascii="宋体" w:hAnsi="宋体" w:cs="宋体" w:eastAsia="宋体" w:hint="default"/>
          <w:b/>
          <w:bCs/>
          <w:w w:val="99"/>
          <w:sz w:val="28"/>
          <w:szCs w:val="28"/>
        </w:rPr>
        <w:t> </w:t>
      </w:r>
      <w:r>
        <w:rPr>
          <w:rFonts w:ascii="宋体" w:hAnsi="宋体" w:cs="宋体" w:eastAsia="宋体" w:hint="default"/>
          <w:b/>
          <w:bCs/>
          <w:sz w:val="28"/>
          <w:szCs w:val="28"/>
        </w:rPr>
        <w:t>以公积金转增股本。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2060"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38"/>
        <w:gridCol w:w="596"/>
        <w:gridCol w:w="5436"/>
      </w:tblGrid>
      <w:tr>
        <w:trPr>
          <w:trHeight w:val="403" w:hRule="exact"/>
        </w:trPr>
        <w:tc>
          <w:tcPr>
            <w:tcW w:w="3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公司、本公司、南天信息、企业集团、南天</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南天集团</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r>
      <w:tr>
        <w:trPr>
          <w:trHeight w:val="404"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工投集团</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云南南天电子信息产业股份有限公司章程</w:t>
            </w:r>
          </w:p>
        </w:tc>
      </w:tr>
      <w:tr>
        <w:trPr>
          <w:trHeight w:val="403"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薪酬委</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董事会薪酬与考核委员会</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人大金仓</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北京人大金仓信息技术股份有限公司</w:t>
            </w:r>
          </w:p>
        </w:tc>
      </w:tr>
      <w:tr>
        <w:trPr>
          <w:trHeight w:val="403"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珠源科技公司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曲靖珠江源科技股份有限公司</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南天信息合肥分公司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云南南天电子信息产业股份有限公司合肥分公司</w:t>
            </w:r>
          </w:p>
        </w:tc>
      </w:tr>
      <w:tr>
        <w:trPr>
          <w:trHeight w:val="403"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新疆银行</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新疆银行股份有限公司</w:t>
            </w:r>
          </w:p>
        </w:tc>
      </w:tr>
      <w:tr>
        <w:trPr>
          <w:trHeight w:val="401" w:hRule="exact"/>
        </w:trPr>
        <w:tc>
          <w:tcPr>
            <w:tcW w:w="35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北信工</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4.050003pt;margin-top:272.809998pt;width:361.55pt;height:19.6pt;mso-position-horizontal-relative:page;mso-position-vertical-relative:page;z-index:-1056592" coordorigin="3481,5456" coordsize="7231,392">
            <v:shape style="position:absolute;left:3481;top:5456;width:7231;height:392" coordorigin="3481,5456" coordsize="7231,392" path="m3481,5847l10711,5847,10711,5456,3481,5456,3481,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2273"/>
        <w:gridCol w:w="2975"/>
        <w:gridCol w:w="2134"/>
        <w:gridCol w:w="2187"/>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南天信息</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000948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南天信息</w:t>
            </w:r>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YUNNAN NANTIAN ELECTRONICS </w:t>
            </w:r>
            <w:r>
              <w:rPr>
                <w:rFonts w:ascii="Times New Roman"/>
                <w:spacing w:val="-3"/>
                <w:sz w:val="18"/>
              </w:rPr>
              <w:t>INFORMATION</w:t>
            </w:r>
            <w:r>
              <w:rPr>
                <w:rFonts w:ascii="Times New Roman"/>
                <w:spacing w:val="6"/>
                <w:sz w:val="18"/>
              </w:rPr>
              <w:t> </w:t>
            </w:r>
            <w:r>
              <w:rPr>
                <w:rFonts w:ascii="Times New Roman"/>
                <w:spacing w:val="-3"/>
                <w:sz w:val="18"/>
              </w:rPr>
              <w:t>CO.,LTD</w:t>
            </w:r>
          </w:p>
        </w:tc>
      </w:tr>
      <w:tr>
        <w:trPr>
          <w:trHeight w:val="401" w:hRule="exact"/>
        </w:trPr>
        <w:tc>
          <w:tcPr>
            <w:tcW w:w="227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52"/>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22"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NANTIAN</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昆明高新技术产业开发区产业研发基地</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650000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 </w:t>
            </w:r>
            <w:r>
              <w:rPr>
                <w:rFonts w:ascii="宋体" w:hAnsi="宋体" w:cs="宋体" w:eastAsia="宋体" w:hint="default"/>
                <w:sz w:val="18"/>
                <w:szCs w:val="18"/>
              </w:rPr>
              <w:t>号</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650041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http://www.nantian.com.cn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000948@nantian.com.cn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167"/>
        <w:gridCol w:w="3201"/>
        <w:gridCol w:w="3191"/>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沈硕</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455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455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000948@nantian.com.cn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shensh@nantian.com.cn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4" w:type="dxa"/>
        <w:tblLayout w:type="fixed"/>
        <w:tblCellMar>
          <w:top w:w="0" w:type="dxa"/>
          <w:left w:w="0" w:type="dxa"/>
          <w:bottom w:w="0" w:type="dxa"/>
          <w:right w:w="0" w:type="dxa"/>
        </w:tblCellMar>
        <w:tblLook w:val="01E0"/>
      </w:tblPr>
      <w:tblGrid>
        <w:gridCol w:w="3981"/>
        <w:gridCol w:w="5587"/>
      </w:tblGrid>
      <w:tr>
        <w:trPr>
          <w:trHeight w:val="403"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3"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84" w:type="dxa"/>
        <w:tblLayout w:type="fixed"/>
        <w:tblCellMar>
          <w:top w:w="0" w:type="dxa"/>
          <w:left w:w="0" w:type="dxa"/>
          <w:bottom w:w="0" w:type="dxa"/>
          <w:right w:w="0" w:type="dxa"/>
        </w:tblCellMar>
        <w:tblLook w:val="01E0"/>
      </w:tblPr>
      <w:tblGrid>
        <w:gridCol w:w="3179"/>
        <w:gridCol w:w="6389"/>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91530000713401509F</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2651"/>
        <w:gridCol w:w="6917"/>
      </w:tblGrid>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中审众环会计师事务所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武汉市武昌区东湖路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号中审众环大厦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层</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杨漫辉、雷小兵</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2599"/>
        <w:gridCol w:w="1749"/>
        <w:gridCol w:w="1738"/>
        <w:gridCol w:w="1738"/>
        <w:gridCol w:w="1736"/>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2,315,809,791.16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2,157,812,325.80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2,138,014,376.25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21,984,499.53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20,689,391.09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18,561,982.18</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6,241,738.62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8,440,079.12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-37,825,842.97</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-56,143,819.07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69,283,233.40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73,117,215.19</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0.0753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0.0753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2,775,101,769.97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2,624,335,660.24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2,607,623,976.77</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1,456,485,453.90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1,446,492,694.14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1,428,055,157.56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274,556,804.78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519,223,938.20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559,607,477.26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962,421,570.92</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-45,678,472.65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-11,890,185.11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7,216,010.90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72,337,146.39</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-46,775,946.33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-21,209,751.35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3,832,244.17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70,395,192.13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-425,567,396.47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-247,993,522.91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-83,592,290.77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701,009,391.08</w:t>
            </w:r>
          </w:p>
        </w:tc>
      </w:tr>
    </w:tbl>
    <w:p>
      <w:pPr>
        <w:pStyle w:val="BodyText"/>
        <w:spacing w:line="316" w:lineRule="auto" w:before="49"/>
        <w:ind w:right="148"/>
        <w:jc w:val="both"/>
      </w:pPr>
      <w:r>
        <w:rPr>
          <w:spacing w:val="-2"/>
        </w:rPr>
        <w:t>注：上表中公司一至四季度的财务指标较前一季度皆存在一定程度的改善，主要原因为公司的主要客户是银行群体，而大中</w:t>
      </w:r>
      <w:r>
        <w:rPr>
          <w:spacing w:val="-62"/>
        </w:rPr>
        <w:t> </w:t>
      </w:r>
      <w:r>
        <w:rPr>
          <w:spacing w:val="-62"/>
        </w:rPr>
      </w:r>
      <w:r>
        <w:rPr>
          <w:spacing w:val="-2"/>
        </w:rPr>
        <w:t>型银行主要是在一季度提交采购申请审批等程序，二、三季度开始招标，谈判，签合同，四季度开始集中采购付款，故公司</w:t>
      </w:r>
      <w:r>
        <w:rPr>
          <w:spacing w:val="-66"/>
        </w:rPr>
        <w:t> </w:t>
      </w:r>
      <w:r>
        <w:rPr>
          <w:spacing w:val="-66"/>
        </w:rPr>
      </w:r>
      <w:r>
        <w:rPr/>
        <w:t>第四季度末的各项财务指标有较大改善。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上述财务指标或其加总数是否与公司已披露季度报告、半年度报告相关财务指标存在重大差异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-30,190.85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-86,300.43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47,109,861.27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15,606,124.71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12,502,995.62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12,039,425.58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2,756,414.49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1530"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9,339.63</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3285"/>
        <w:gridCol w:w="1530"/>
        <w:gridCol w:w="1522"/>
        <w:gridCol w:w="1522"/>
        <w:gridCol w:w="1709"/>
      </w:tblGrid>
      <w:tr>
        <w:trPr>
          <w:trHeight w:val="98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8"/>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1530"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-9,323.92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1,101,455.51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-1,949,531.23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2,276,490.46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1,262,781.91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806,064.40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303,773.06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6,056.82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15,205.70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15,742,760.91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12,249,311.97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56,387,825.15</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3" w:right="414"/>
        <w:jc w:val="center"/>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3"/>
        <w:jc w:val="left"/>
      </w:pPr>
      <w:r>
        <w:rPr/>
        <w:t>公司是否需要遵守特殊行业的披露要求 否</w:t>
      </w:r>
    </w:p>
    <w:p>
      <w:pPr>
        <w:pStyle w:val="Heading4"/>
        <w:spacing w:line="240" w:lineRule="auto" w:before="106"/>
        <w:ind w:left="453" w:right="6753"/>
        <w:jc w:val="left"/>
        <w:rPr>
          <w:b w:val="0"/>
          <w:bCs w:val="0"/>
        </w:rPr>
      </w:pPr>
      <w:r>
        <w:rPr/>
        <w:t>（一）主要业务情况</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193" w:firstLine="420"/>
        <w:jc w:val="both"/>
      </w:pPr>
      <w:r>
        <w:rPr/>
        <w:t>南天信息是具有三十多年建设金融行业和国家部分重点行业信息化工程丰富经验的现代化高科技企业。公司目前的客 </w:t>
      </w:r>
      <w:r>
        <w:rPr>
          <w:spacing w:val="-2"/>
        </w:rPr>
        <w:t>户重点为金融行业（以银行业为主），并逐步开拓了政府（水利、税务、海关）、电力、能源、交通、民航等行业客户。南</w:t>
      </w:r>
      <w:r>
        <w:rPr>
          <w:spacing w:val="-73"/>
        </w:rPr>
        <w:t> </w:t>
      </w:r>
      <w:r>
        <w:rPr>
          <w:spacing w:val="-73"/>
        </w:rPr>
      </w:r>
      <w:r>
        <w:rPr>
          <w:spacing w:val="-2"/>
        </w:rPr>
        <w:t>天信息凭借三十多年在</w:t>
      </w:r>
      <w:r>
        <w:rPr>
          <w:rFonts w:ascii="Times New Roman" w:hAnsi="Times New Roman" w:cs="Times New Roman" w:eastAsia="Times New Roman" w:hint="default"/>
          <w:spacing w:val="-2"/>
        </w:rPr>
        <w:t>IT</w:t>
      </w:r>
      <w:r>
        <w:rPr>
          <w:spacing w:val="-2"/>
        </w:rPr>
        <w:t>领域的技术积累及客户最佳实践，拥有具备自主知识产权的软硬件产品和开发能力、解决方案提供</w:t>
      </w:r>
      <w:r>
        <w:rPr>
          <w:spacing w:val="-53"/>
        </w:rPr>
        <w:t> </w:t>
      </w:r>
      <w:r>
        <w:rPr>
          <w:spacing w:val="-53"/>
        </w:rPr>
      </w:r>
      <w:r>
        <w:rPr/>
        <w:t>能力、</w:t>
      </w:r>
      <w:r>
        <w:rPr>
          <w:rFonts w:ascii="Times New Roman" w:hAnsi="Times New Roman" w:cs="Times New Roman" w:eastAsia="Times New Roman" w:hint="default"/>
        </w:rPr>
        <w:t>IT</w:t>
      </w:r>
      <w:r>
        <w:rPr/>
        <w:t>服务能力、系统集成及应用能力，为客户提供贯穿其</w:t>
      </w:r>
      <w:r>
        <w:rPr>
          <w:rFonts w:ascii="Times New Roman" w:hAnsi="Times New Roman" w:cs="Times New Roman" w:eastAsia="Times New Roman" w:hint="default"/>
        </w:rPr>
        <w:t>IT</w:t>
      </w:r>
      <w:r>
        <w:rPr/>
        <w:t>建设全生命周期的“一站式”数字化服务。</w:t>
      </w:r>
    </w:p>
    <w:p>
      <w:pPr>
        <w:pStyle w:val="BodyText"/>
        <w:spacing w:line="316" w:lineRule="auto" w:before="123"/>
        <w:ind w:right="198" w:firstLine="420"/>
        <w:jc w:val="both"/>
      </w:pPr>
      <w:r>
        <w:rPr/>
        <w:t>公司构建软件业务、集成业务、产品业务、智慧城市业务和创新业务五大业务板块。目前，公司已将智慧城市业务纳 入到未来中长期发展规划中，还将大力发展云计算、大数据、互联网金融等创新业务。</w:t>
      </w:r>
    </w:p>
    <w:p>
      <w:pPr>
        <w:pStyle w:val="BodyText"/>
        <w:spacing w:line="432" w:lineRule="exact" w:before="3"/>
        <w:ind w:left="513" w:right="93"/>
        <w:jc w:val="left"/>
      </w:pPr>
      <w:r>
        <w:rPr>
          <w:rFonts w:ascii="Times New Roman" w:hAnsi="Times New Roman" w:cs="Times New Roman" w:eastAsia="Times New Roman" w:hint="default"/>
          <w:b/>
          <w:bCs/>
        </w:rPr>
        <w:t>1</w:t>
      </w:r>
      <w:r>
        <w:rPr>
          <w:rFonts w:ascii="宋体" w:hAnsi="宋体" w:cs="宋体" w:eastAsia="宋体" w:hint="default"/>
          <w:b/>
          <w:bCs/>
        </w:rPr>
        <w:t>、软件业务</w:t>
      </w:r>
      <w:r>
        <w:rPr>
          <w:rFonts w:ascii="宋体" w:hAnsi="宋体" w:cs="宋体" w:eastAsia="宋体" w:hint="default"/>
          <w:b/>
          <w:bCs/>
          <w:w w:val="99"/>
        </w:rPr>
        <w:t> </w:t>
      </w:r>
      <w:r>
        <w:rPr/>
        <w:t>公司的软件业务包括：为客户量身定制成熟的应用系统与解决方案、自有软件产品销售、软件开发与软件运维服务等。</w:t>
      </w:r>
    </w:p>
    <w:p>
      <w:pPr>
        <w:pStyle w:val="BodyText"/>
        <w:spacing w:line="316" w:lineRule="auto" w:before="15"/>
        <w:ind w:right="192"/>
        <w:jc w:val="both"/>
      </w:pPr>
      <w:r>
        <w:rPr>
          <w:spacing w:val="-2"/>
        </w:rPr>
        <w:t>目前的软件客户以金融行业的银行业为主，公司的自有软件产品和解决方案已可全面覆盖银行业务系统中的前、中、后台业</w:t>
      </w:r>
      <w:r>
        <w:rPr>
          <w:spacing w:val="-66"/>
        </w:rPr>
        <w:t> </w:t>
      </w:r>
      <w:r>
        <w:rPr>
          <w:spacing w:val="-66"/>
        </w:rPr>
      </w:r>
      <w:r>
        <w:rPr/>
        <w:t>务体系，广泛应用于国内大、中、小银行。</w:t>
      </w:r>
    </w:p>
    <w:p>
      <w:pPr>
        <w:pStyle w:val="BodyText"/>
        <w:spacing w:line="309" w:lineRule="auto" w:before="139"/>
        <w:ind w:right="190" w:firstLine="360"/>
        <w:jc w:val="both"/>
      </w:pPr>
      <w:r>
        <w:rPr>
          <w:spacing w:val="-2"/>
        </w:rPr>
        <w:t>报告期内，公司继续加强创新研发，持续多年的研发积淀得到业界认可，在邮储、光大等战略客户层面深耕细作，积极</w:t>
      </w:r>
      <w:r>
        <w:rPr/>
        <w:t> 拓展新业务领域，在新疆银行获得合同规模</w:t>
      </w:r>
      <w:r>
        <w:rPr>
          <w:rFonts w:ascii="Times New Roman" w:hAnsi="Times New Roman" w:cs="Times New Roman" w:eastAsia="Times New Roman" w:hint="default"/>
        </w:rPr>
        <w:t>1.8</w:t>
      </w:r>
      <w:r>
        <w:rPr/>
        <w:t>亿元的项目；“保险业务”进入中国人寿、中国人保、泰康人寿、建信财险</w:t>
      </w:r>
      <w:r>
        <w:rPr>
          <w:spacing w:val="-42"/>
        </w:rPr>
        <w:t> </w:t>
      </w:r>
      <w:r>
        <w:rPr>
          <w:spacing w:val="-42"/>
        </w:rPr>
      </w:r>
      <w:r>
        <w:rPr/>
        <w:t>等领域。</w:t>
      </w:r>
    </w:p>
    <w:p>
      <w:pPr>
        <w:pStyle w:val="BodyText"/>
        <w:spacing w:line="432" w:lineRule="exact" w:before="9"/>
        <w:ind w:left="513" w:right="93"/>
        <w:jc w:val="left"/>
      </w:pPr>
      <w:r>
        <w:rPr>
          <w:rFonts w:ascii="Times New Roman" w:hAnsi="Times New Roman" w:cs="Times New Roman" w:eastAsia="Times New Roman" w:hint="default"/>
          <w:b/>
          <w:bCs/>
        </w:rPr>
        <w:t>2</w:t>
      </w:r>
      <w:r>
        <w:rPr>
          <w:rFonts w:ascii="宋体" w:hAnsi="宋体" w:cs="宋体" w:eastAsia="宋体" w:hint="default"/>
          <w:b/>
          <w:bCs/>
        </w:rPr>
        <w:t>、集成业务</w:t>
      </w:r>
      <w:r>
        <w:rPr>
          <w:rFonts w:ascii="宋体" w:hAnsi="宋体" w:cs="宋体" w:eastAsia="宋体" w:hint="default"/>
          <w:b/>
          <w:bCs/>
          <w:w w:val="99"/>
        </w:rPr>
        <w:t> </w:t>
      </w:r>
      <w:r>
        <w:rPr>
          <w:spacing w:val="-2"/>
        </w:rPr>
        <w:t>公司集成业务提供完备的主流厂商解决方案，包括网络平台、系统平台、存储平台、呼叫中心系统、代理软硬件产品等</w:t>
      </w:r>
    </w:p>
    <w:p>
      <w:pPr>
        <w:pStyle w:val="BodyText"/>
        <w:spacing w:line="309" w:lineRule="auto" w:before="15"/>
        <w:ind w:right="193"/>
        <w:jc w:val="both"/>
      </w:pPr>
      <w:r>
        <w:rPr/>
        <w:t>的集成解决方案，广泛应用于各大商业银行等行业客户的数据中心建设和服务领域。公司可集成产品覆盖服务器、存储、</w:t>
      </w:r>
      <w:r>
        <w:rPr>
          <w:spacing w:val="-6"/>
        </w:rPr>
        <w:t> </w:t>
      </w:r>
      <w:r>
        <w:rPr>
          <w:spacing w:val="-6"/>
        </w:rPr>
      </w:r>
      <w:r>
        <w:rPr>
          <w:rFonts w:ascii="Times New Roman" w:hAnsi="Times New Roman" w:cs="Times New Roman" w:eastAsia="Times New Roman" w:hint="default"/>
        </w:rPr>
        <w:t>PC</w:t>
      </w:r>
      <w:r>
        <w:rPr/>
        <w:t>及网络产品等，可集成品牌覆盖国内外各大知名品牌，公司与国际国内知名</w:t>
      </w:r>
      <w:r>
        <w:rPr>
          <w:rFonts w:ascii="Times New Roman" w:hAnsi="Times New Roman" w:cs="Times New Roman" w:eastAsia="Times New Roman" w:hint="default"/>
        </w:rPr>
        <w:t>IT</w:t>
      </w:r>
      <w:r>
        <w:rPr/>
        <w:t>厂商都建立了长期而良好的战略合作伙伴</w:t>
      </w:r>
      <w:r>
        <w:rPr>
          <w:spacing w:val="-31"/>
        </w:rPr>
        <w:t> </w:t>
      </w:r>
      <w:r>
        <w:rPr>
          <w:spacing w:val="-31"/>
        </w:rPr>
      </w:r>
      <w:r>
        <w:rPr/>
        <w:t>关系。</w:t>
      </w:r>
    </w:p>
    <w:p>
      <w:pPr>
        <w:pStyle w:val="BodyText"/>
        <w:spacing w:line="300" w:lineRule="auto" w:before="144"/>
        <w:ind w:right="189" w:firstLine="360"/>
        <w:jc w:val="both"/>
      </w:pPr>
      <w:r>
        <w:rPr/>
        <w:t>报告期内，公司集成业务加强新技术应用，在数据中心自动化、云管理等方面持续深入，获得广西农信、农行全行</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t>电话系统、建行</w:t>
      </w:r>
      <w:r>
        <w:rPr>
          <w:rFonts w:ascii="Times New Roman" w:hAnsi="Times New Roman" w:cs="Times New Roman" w:eastAsia="Times New Roman" w:hint="default"/>
        </w:rPr>
        <w:t>SDN</w:t>
      </w:r>
      <w:r>
        <w:rPr/>
        <w:t>统一管理平台软件开发等项目，新客户拓展超过</w:t>
      </w:r>
      <w:r>
        <w:rPr>
          <w:rFonts w:ascii="Times New Roman" w:hAnsi="Times New Roman" w:cs="Times New Roman" w:eastAsia="Times New Roman" w:hint="default"/>
        </w:rPr>
        <w:t>20</w:t>
      </w:r>
      <w:r>
        <w:rPr/>
        <w:t>个，带动集成业务向高级技术服务升级。</w:t>
      </w:r>
    </w:p>
    <w:p>
      <w:pPr>
        <w:pStyle w:val="BodyText"/>
        <w:spacing w:line="417" w:lineRule="auto" w:before="133"/>
        <w:ind w:left="513" w:right="93"/>
        <w:jc w:val="left"/>
      </w:pPr>
      <w:r>
        <w:rPr>
          <w:rFonts w:ascii="Times New Roman" w:hAnsi="Times New Roman" w:cs="Times New Roman" w:eastAsia="Times New Roman" w:hint="default"/>
          <w:b/>
          <w:bCs/>
        </w:rPr>
        <w:t>3</w:t>
      </w:r>
      <w:r>
        <w:rPr>
          <w:rFonts w:ascii="宋体" w:hAnsi="宋体" w:cs="宋体" w:eastAsia="宋体" w:hint="default"/>
          <w:b/>
          <w:bCs/>
        </w:rPr>
        <w:t>、产品业务</w:t>
      </w:r>
      <w:r>
        <w:rPr>
          <w:rFonts w:ascii="宋体" w:hAnsi="宋体" w:cs="宋体" w:eastAsia="宋体" w:hint="default"/>
          <w:b/>
          <w:bCs/>
          <w:w w:val="99"/>
        </w:rPr>
        <w:t> </w:t>
      </w:r>
      <w:r>
        <w:rPr>
          <w:spacing w:val="-2"/>
        </w:rPr>
        <w:t>南天是国内专业生产金融电子化专用设备的主导厂商，产品全面覆盖国内各大中小银行，以及其他行业客户。公司主要</w:t>
      </w:r>
    </w:p>
    <w:p>
      <w:pPr>
        <w:pStyle w:val="BodyText"/>
        <w:spacing w:line="192" w:lineRule="exact"/>
        <w:ind w:right="0"/>
        <w:jc w:val="both"/>
      </w:pPr>
      <w:r>
        <w:rPr/>
        <w:t>产品包括：</w:t>
      </w:r>
      <w:r>
        <w:rPr>
          <w:rFonts w:ascii="Times New Roman" w:hAnsi="Times New Roman" w:cs="Times New Roman" w:eastAsia="Times New Roman" w:hint="default"/>
        </w:rPr>
        <w:t>PR</w:t>
      </w:r>
      <w:r>
        <w:rPr/>
        <w:t>系列存折打印机、</w:t>
      </w:r>
      <w:r>
        <w:rPr>
          <w:rFonts w:ascii="Times New Roman" w:hAnsi="Times New Roman" w:cs="Times New Roman" w:eastAsia="Times New Roman" w:hint="default"/>
        </w:rPr>
        <w:t>BST</w:t>
      </w:r>
      <w:r>
        <w:rPr/>
        <w:t>自助服务终端、</w:t>
      </w:r>
      <w:r>
        <w:rPr>
          <w:rFonts w:ascii="Times New Roman" w:hAnsi="Times New Roman" w:cs="Times New Roman" w:eastAsia="Times New Roman" w:hint="default"/>
        </w:rPr>
        <w:t>BP</w:t>
      </w:r>
      <w:r>
        <w:rPr/>
        <w:t>系列柜面外设产品、无纸化签名设备、智能交互终端、轨道交通设</w:t>
      </w:r>
    </w:p>
    <w:p>
      <w:pPr>
        <w:pStyle w:val="BodyText"/>
        <w:spacing w:line="240" w:lineRule="auto" w:before="63"/>
        <w:ind w:right="0"/>
        <w:jc w:val="both"/>
      </w:pPr>
      <w:r>
        <w:rPr/>
        <w:t>备等信息设备产品及相关解决方案，产品广泛应用于金融、政务、电信、交通等领域。</w:t>
      </w:r>
    </w:p>
    <w:p>
      <w:pPr>
        <w:spacing w:line="240" w:lineRule="auto" w:before="0"/>
        <w:rPr>
          <w:rFonts w:ascii="宋体" w:hAnsi="宋体" w:cs="宋体" w:eastAsia="宋体" w:hint="default"/>
          <w:sz w:val="15"/>
          <w:szCs w:val="15"/>
        </w:rPr>
      </w:pPr>
    </w:p>
    <w:p>
      <w:pPr>
        <w:pStyle w:val="BodyText"/>
        <w:spacing w:line="309" w:lineRule="auto"/>
        <w:ind w:right="93" w:firstLine="360"/>
        <w:jc w:val="left"/>
      </w:pPr>
      <w:r>
        <w:rPr>
          <w:spacing w:val="-4"/>
        </w:rPr>
        <w:t>报告期内，公司产品业务根据市场发展趋势，研发和推出了智能柜台、移动便携类等新型产品，以及智慧网点解决方案、</w:t>
      </w:r>
      <w:r>
        <w:rPr/>
        <w:t> 无纸化产品解决方案。其中超轻</w:t>
      </w:r>
      <w:r>
        <w:rPr>
          <w:rFonts w:ascii="Times New Roman" w:hAnsi="Times New Roman" w:cs="Times New Roman" w:eastAsia="Times New Roman" w:hint="default"/>
        </w:rPr>
        <w:t>VTM</w:t>
      </w:r>
      <w:r>
        <w:rPr/>
        <w:t>作为互联网金融和科技发展时代产物，为银行网点的升级转型先试先行，重构了银行</w:t>
      </w:r>
      <w:r>
        <w:rPr>
          <w:spacing w:val="-45"/>
        </w:rPr>
        <w:t> </w:t>
      </w:r>
      <w:r>
        <w:rPr>
          <w:spacing w:val="-45"/>
        </w:rPr>
      </w:r>
      <w:r>
        <w:rPr/>
        <w:t>生产力，创新了智慧金融服务。</w:t>
      </w:r>
    </w:p>
    <w:p>
      <w:pPr>
        <w:pStyle w:val="BodyText"/>
        <w:spacing w:line="415" w:lineRule="auto" w:before="144"/>
        <w:ind w:left="513" w:right="93"/>
        <w:jc w:val="left"/>
      </w:pPr>
      <w:r>
        <w:rPr>
          <w:rFonts w:ascii="Times New Roman" w:hAnsi="Times New Roman" w:cs="Times New Roman" w:eastAsia="Times New Roman" w:hint="default"/>
          <w:b/>
          <w:bCs/>
        </w:rPr>
        <w:t>4</w:t>
      </w:r>
      <w:r>
        <w:rPr>
          <w:rFonts w:ascii="宋体" w:hAnsi="宋体" w:cs="宋体" w:eastAsia="宋体" w:hint="default"/>
          <w:b/>
          <w:bCs/>
        </w:rPr>
        <w:t>、智慧城市业务</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2016</w:t>
      </w:r>
      <w:r>
        <w:rPr>
          <w:spacing w:val="-2"/>
        </w:rPr>
        <w:t>年开始涉足智慧城市业务，主要涵盖智慧交通、智慧政务、智慧教育、智慧旅游、智慧社区等方向，先后与</w:t>
      </w:r>
    </w:p>
    <w:p>
      <w:pPr>
        <w:spacing w:after="0" w:line="415"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88"/>
        <w:jc w:val="both"/>
      </w:pPr>
      <w:r>
        <w:rPr>
          <w:spacing w:val="-2"/>
        </w:rPr>
        <w:t>中国移动、华为等多家业内优秀企业签署战略合作协议，整合优质资源，打造智慧城市业务生态圈，初步确立南天在云南智</w:t>
      </w:r>
      <w:r>
        <w:rPr>
          <w:spacing w:val="-65"/>
        </w:rPr>
        <w:t> </w:t>
      </w:r>
      <w:r>
        <w:rPr>
          <w:spacing w:val="-65"/>
        </w:rPr>
      </w:r>
      <w:r>
        <w:rPr>
          <w:spacing w:val="-2"/>
        </w:rPr>
        <w:t>慧城市领域的行业领先地位，共同推进云南省新型智慧城市建设。凭借在智慧城市领域的优异表现，南天荣膺“</w:t>
      </w:r>
      <w:r>
        <w:rPr>
          <w:rFonts w:ascii="Times New Roman" w:hAnsi="Times New Roman" w:cs="Times New Roman" w:eastAsia="Times New Roman" w:hint="default"/>
          <w:spacing w:val="-2"/>
        </w:rPr>
        <w:t>2017</w:t>
      </w:r>
      <w:r>
        <w:rPr>
          <w:spacing w:val="-2"/>
        </w:rPr>
        <w:t>智慧城</w:t>
      </w:r>
      <w:r>
        <w:rPr>
          <w:spacing w:val="-60"/>
        </w:rPr>
        <w:t> </w:t>
      </w:r>
      <w:r>
        <w:rPr>
          <w:spacing w:val="-60"/>
        </w:rPr>
      </w:r>
      <w:r>
        <w:rPr/>
        <w:t>市五十强”、“信息化影响中国</w:t>
      </w:r>
      <w:r>
        <w:rPr>
          <w:spacing w:val="-21"/>
        </w:rPr>
        <w:t> </w:t>
      </w:r>
      <w:r>
        <w:rPr>
          <w:rFonts w:ascii="Times New Roman" w:hAnsi="Times New Roman" w:cs="Times New Roman" w:eastAsia="Times New Roman" w:hint="default"/>
        </w:rPr>
        <w:t>2017</w:t>
      </w:r>
      <w:r>
        <w:rPr/>
        <w:t>年智慧城市最具成长力企业奖”。</w:t>
      </w:r>
    </w:p>
    <w:p>
      <w:pPr>
        <w:pStyle w:val="Heading4"/>
        <w:spacing w:line="240" w:lineRule="auto" w:before="125"/>
        <w:ind w:right="6753"/>
        <w:jc w:val="left"/>
        <w:rPr>
          <w:b w:val="0"/>
          <w:bCs w:val="0"/>
        </w:rPr>
      </w:pPr>
      <w:r>
        <w:rPr>
          <w:rFonts w:ascii="Times New Roman" w:hAnsi="Times New Roman" w:cs="Times New Roman" w:eastAsia="Times New Roman" w:hint="default"/>
        </w:rPr>
        <w:t>5</w:t>
      </w:r>
      <w:r>
        <w:rPr/>
        <w:t>、创新业务</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93" w:firstLine="360"/>
        <w:jc w:val="left"/>
      </w:pPr>
      <w:r>
        <w:rPr>
          <w:spacing w:val="-2"/>
        </w:rPr>
        <w:t>软件技术日新月异，业务模式转型加快，创新是企业的生命动力。南天信息加强在创新业务方面的投入，以期获得未来</w:t>
      </w:r>
      <w:r>
        <w:rPr/>
        <w:t> 的业务增长点。公司依托多年的行业经验和技术积累，积极拥抱新技术生态圈，推动新兴技术在金融行业的应用场景落地， 多个创新项目完成了计算机软件著作权登记。</w:t>
      </w:r>
    </w:p>
    <w:p>
      <w:pPr>
        <w:pStyle w:val="Heading4"/>
        <w:spacing w:line="240" w:lineRule="auto" w:before="139"/>
        <w:ind w:right="6753"/>
        <w:jc w:val="left"/>
        <w:rPr>
          <w:b w:val="0"/>
          <w:bCs w:val="0"/>
        </w:rPr>
      </w:pPr>
      <w:r>
        <w:rPr/>
        <w:t>（二）经营模式</w:t>
      </w:r>
      <w:r>
        <w:rPr>
          <w:b w:val="0"/>
          <w:bCs w:val="0"/>
        </w:rPr>
      </w:r>
    </w:p>
    <w:p>
      <w:pPr>
        <w:pStyle w:val="BodyText"/>
        <w:spacing w:line="420" w:lineRule="atLeast" w:before="25"/>
        <w:ind w:left="573" w:right="93" w:firstLine="108"/>
        <w:jc w:val="left"/>
      </w:pPr>
      <w:r>
        <w:rPr>
          <w:rFonts w:ascii="Times New Roman" w:hAnsi="Times New Roman" w:cs="Times New Roman" w:eastAsia="Times New Roman" w:hint="default"/>
          <w:b/>
          <w:bCs/>
        </w:rPr>
        <w:t>1</w:t>
      </w:r>
      <w:r>
        <w:rPr>
          <w:rFonts w:ascii="宋体" w:hAnsi="宋体" w:cs="宋体" w:eastAsia="宋体" w:hint="default"/>
          <w:b/>
          <w:bCs/>
        </w:rPr>
        <w:t>、采购模式</w:t>
      </w:r>
      <w:r>
        <w:rPr>
          <w:rFonts w:ascii="宋体" w:hAnsi="宋体" w:cs="宋体" w:eastAsia="宋体" w:hint="default"/>
          <w:b/>
          <w:bCs/>
          <w:w w:val="99"/>
        </w:rPr>
        <w:t> </w:t>
      </w:r>
      <w:r>
        <w:rPr/>
        <w:t>目前公司的采购由公司采购中心统筹协调，具体由下辖各子公司的渠道商务部负责实施。公司的采购分为信息产品业</w:t>
      </w:r>
    </w:p>
    <w:p>
      <w:pPr>
        <w:pStyle w:val="BodyText"/>
        <w:spacing w:line="316" w:lineRule="auto" w:before="77"/>
        <w:ind w:right="191"/>
        <w:jc w:val="both"/>
      </w:pPr>
      <w:r>
        <w:rPr>
          <w:spacing w:val="-2"/>
        </w:rPr>
        <w:t>务相关的生产材料采购，以及软件、集成业务的相关产品采购。为保证采购物料的质量，公司明确规定采购要求，包含材料</w:t>
      </w:r>
      <w:r>
        <w:rPr>
          <w:spacing w:val="-67"/>
        </w:rPr>
        <w:t> </w:t>
      </w:r>
      <w:r>
        <w:rPr>
          <w:spacing w:val="-67"/>
        </w:rPr>
      </w:r>
      <w:r>
        <w:rPr>
          <w:spacing w:val="-2"/>
        </w:rPr>
        <w:t>清单、技术要求、对供方的要求、是否需要送样确认等，特殊要求如：安全和电磁兼容关键件，需要在材料清单或技术要求</w:t>
      </w:r>
      <w:r>
        <w:rPr>
          <w:spacing w:val="-67"/>
        </w:rPr>
        <w:t> </w:t>
      </w:r>
      <w:r>
        <w:rPr>
          <w:spacing w:val="-67"/>
        </w:rPr>
      </w:r>
      <w:r>
        <w:rPr>
          <w:spacing w:val="-2"/>
        </w:rPr>
        <w:t>中加以说明。对于采购物料，必要时，在采购要求中明确验收标准、关键过程控制要点、设备和人员资格要求、质量和环境</w:t>
      </w:r>
      <w:r>
        <w:rPr>
          <w:spacing w:val="-67"/>
        </w:rPr>
        <w:t> </w:t>
      </w:r>
      <w:r>
        <w:rPr>
          <w:spacing w:val="-67"/>
        </w:rPr>
      </w:r>
      <w:r>
        <w:rPr/>
        <w:t>管理体系要求等。</w:t>
      </w:r>
    </w:p>
    <w:p>
      <w:pPr>
        <w:pStyle w:val="BodyText"/>
        <w:spacing w:line="432" w:lineRule="exact" w:before="3"/>
        <w:ind w:left="573" w:right="93" w:firstLine="108"/>
        <w:jc w:val="left"/>
      </w:pPr>
      <w:r>
        <w:rPr>
          <w:rFonts w:ascii="Times New Roman" w:hAnsi="Times New Roman" w:cs="Times New Roman" w:eastAsia="Times New Roman" w:hint="default"/>
          <w:b/>
          <w:bCs/>
        </w:rPr>
        <w:t>2</w:t>
      </w:r>
      <w:r>
        <w:rPr>
          <w:rFonts w:ascii="宋体" w:hAnsi="宋体" w:cs="宋体" w:eastAsia="宋体" w:hint="default"/>
          <w:b/>
          <w:bCs/>
        </w:rPr>
        <w:t>、生产模式</w:t>
      </w:r>
      <w:r>
        <w:rPr>
          <w:rFonts w:ascii="宋体" w:hAnsi="宋体" w:cs="宋体" w:eastAsia="宋体" w:hint="default"/>
          <w:b/>
          <w:bCs/>
          <w:w w:val="99"/>
        </w:rPr>
        <w:t> </w:t>
      </w:r>
      <w:r>
        <w:rPr/>
        <w:t>公司的软件业务、集成业务、产品业务及相关服务过程受质量管理体系的控制，整个过程以最大限度满足客户需求为</w:t>
      </w:r>
    </w:p>
    <w:p>
      <w:pPr>
        <w:pStyle w:val="BodyText"/>
        <w:spacing w:line="240" w:lineRule="auto" w:before="15"/>
        <w:ind w:right="0"/>
        <w:jc w:val="both"/>
      </w:pPr>
      <w:r>
        <w:rPr/>
        <w:t>目标，并在对客户服务中进一步获取关于系统的性能、功能信息，为公司技术研发、业务策划提供依据。</w:t>
      </w:r>
    </w:p>
    <w:p>
      <w:pPr>
        <w:spacing w:line="240" w:lineRule="auto" w:before="0"/>
        <w:rPr>
          <w:rFonts w:ascii="宋体" w:hAnsi="宋体" w:cs="宋体" w:eastAsia="宋体" w:hint="default"/>
          <w:sz w:val="15"/>
          <w:szCs w:val="15"/>
        </w:rPr>
      </w:pPr>
    </w:p>
    <w:p>
      <w:pPr>
        <w:pStyle w:val="Heading4"/>
        <w:spacing w:line="240" w:lineRule="auto"/>
        <w:ind w:right="6753"/>
        <w:jc w:val="left"/>
        <w:rPr>
          <w:b w:val="0"/>
          <w:bCs w:val="0"/>
        </w:rPr>
      </w:pPr>
      <w:r>
        <w:rPr>
          <w:rFonts w:ascii="Times New Roman" w:hAnsi="Times New Roman" w:cs="Times New Roman" w:eastAsia="Times New Roman" w:hint="default"/>
        </w:rPr>
        <w:t>3</w:t>
      </w:r>
      <w:r>
        <w:rPr/>
        <w:t>、销售模式</w:t>
      </w:r>
      <w:r>
        <w:rPr>
          <w:b w:val="0"/>
          <w:bCs w:val="0"/>
        </w:rPr>
      </w:r>
    </w:p>
    <w:p>
      <w:pPr>
        <w:spacing w:line="240" w:lineRule="auto" w:before="13"/>
        <w:rPr>
          <w:rFonts w:ascii="宋体" w:hAnsi="宋体" w:cs="宋体" w:eastAsia="宋体" w:hint="default"/>
          <w:b/>
          <w:bCs/>
          <w:sz w:val="13"/>
          <w:szCs w:val="13"/>
        </w:rPr>
      </w:pPr>
    </w:p>
    <w:p>
      <w:pPr>
        <w:pStyle w:val="BodyText"/>
        <w:spacing w:line="312" w:lineRule="auto"/>
        <w:ind w:right="190" w:firstLine="360"/>
        <w:jc w:val="both"/>
      </w:pPr>
      <w:r>
        <w:rPr/>
        <w:t>公司目前的主营业务中，信息产品业务主要销售区域为国内，少量出口到国外，采取</w:t>
      </w:r>
      <w:r>
        <w:rPr>
          <w:spacing w:val="18"/>
        </w:rPr>
        <w:t> </w:t>
      </w:r>
      <w:r>
        <w:rPr>
          <w:rFonts w:ascii="Times New Roman" w:hAnsi="Times New Roman" w:cs="Times New Roman" w:eastAsia="Times New Roman" w:hint="default"/>
        </w:rPr>
        <w:t>“</w:t>
      </w:r>
      <w:r>
        <w:rPr/>
        <w:t>直销为主、经销为辅</w:t>
      </w:r>
      <w:r>
        <w:rPr>
          <w:rFonts w:ascii="Times New Roman" w:hAnsi="Times New Roman" w:cs="Times New Roman" w:eastAsia="Times New Roman" w:hint="default"/>
        </w:rPr>
        <w:t>”</w:t>
      </w:r>
      <w:r>
        <w:rPr/>
        <w:t>的销售模 </w:t>
      </w:r>
      <w:r>
        <w:rPr>
          <w:spacing w:val="-2"/>
        </w:rPr>
        <w:t>式。对于银行总行级客户及其他大型企业集团客户、国内银行的海外分支机构，公司均采取直销模式进行销售。经销模式销</w:t>
      </w:r>
      <w:r>
        <w:rPr>
          <w:spacing w:val="-65"/>
        </w:rPr>
        <w:t> </w:t>
      </w:r>
      <w:r>
        <w:rPr>
          <w:spacing w:val="-65"/>
        </w:rPr>
      </w:r>
      <w:r>
        <w:rPr>
          <w:spacing w:val="-2"/>
        </w:rPr>
        <w:t>售主要是针对少数客户分散且单一客户业务量较小，难以进行统一管理的地区，从节约销售和服务成本的角度，公司发展了</w:t>
      </w:r>
      <w:r>
        <w:rPr>
          <w:spacing w:val="-63"/>
        </w:rPr>
        <w:t> </w:t>
      </w:r>
      <w:r>
        <w:rPr>
          <w:spacing w:val="-63"/>
        </w:rPr>
      </w:r>
      <w:r>
        <w:rPr/>
        <w:t>具有相应区域的渠道和服务优势的几家经销商进行销售。</w:t>
      </w:r>
    </w:p>
    <w:p>
      <w:pPr>
        <w:pStyle w:val="BodyText"/>
        <w:spacing w:line="240" w:lineRule="auto" w:before="142"/>
        <w:ind w:left="513" w:right="93"/>
        <w:jc w:val="left"/>
      </w:pPr>
      <w:r>
        <w:rPr/>
        <w:t>软件业务和系统集成及服务业务均为国内直接销售模式。</w:t>
      </w:r>
    </w:p>
    <w:p>
      <w:pPr>
        <w:spacing w:line="240" w:lineRule="auto" w:before="0"/>
        <w:rPr>
          <w:rFonts w:ascii="宋体" w:hAnsi="宋体" w:cs="宋体" w:eastAsia="宋体" w:hint="default"/>
          <w:sz w:val="15"/>
          <w:szCs w:val="15"/>
        </w:rPr>
      </w:pPr>
    </w:p>
    <w:p>
      <w:pPr>
        <w:pStyle w:val="Heading4"/>
        <w:spacing w:line="415" w:lineRule="auto"/>
        <w:ind w:right="753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公司所属行业分析</w:t>
      </w:r>
      <w:r>
        <w:rPr>
          <w:w w:val="99"/>
        </w:rPr>
        <w:t> </w:t>
      </w:r>
      <w:r>
        <w:rPr>
          <w:rFonts w:ascii="Times New Roman" w:hAnsi="Times New Roman" w:cs="Times New Roman" w:eastAsia="Times New Roman" w:hint="default"/>
        </w:rPr>
        <w:t>1</w:t>
      </w:r>
      <w:r>
        <w:rPr/>
        <w:t>、行业现状</w:t>
      </w:r>
      <w:r>
        <w:rPr>
          <w:b w:val="0"/>
          <w:bCs w:val="0"/>
        </w:rPr>
      </w:r>
    </w:p>
    <w:p>
      <w:pPr>
        <w:pStyle w:val="BodyText"/>
        <w:spacing w:line="302" w:lineRule="auto" w:before="37"/>
        <w:ind w:right="93" w:firstLine="360"/>
        <w:jc w:val="left"/>
      </w:pPr>
      <w:r>
        <w:rPr>
          <w:spacing w:val="-2"/>
        </w:rPr>
        <w:t>国家工信部《软件和信息技术服务业发展规划（</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年）》提出：将</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期间软件和信息技术服务产业年均</w:t>
      </w:r>
      <w:r>
        <w:rPr/>
        <w:t> 增速定为</w:t>
      </w:r>
      <w:r>
        <w:rPr>
          <w:rFonts w:ascii="Times New Roman" w:hAnsi="Times New Roman" w:cs="Times New Roman" w:eastAsia="Times New Roman" w:hint="default"/>
        </w:rPr>
        <w:t>13%</w:t>
      </w:r>
      <w:r>
        <w:rPr/>
        <w:t>以上。而在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实际建设期，“中国制造</w:t>
      </w:r>
      <w:r>
        <w:rPr>
          <w:rFonts w:ascii="Times New Roman" w:hAnsi="Times New Roman" w:cs="Times New Roman" w:eastAsia="Times New Roman" w:hint="default"/>
        </w:rPr>
        <w:t>2025</w:t>
      </w:r>
      <w:r>
        <w:rPr/>
        <w:t>”、</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行动计划、大数据、军民融合 发展等国家战略的推进实施以及国家网络安全保障的战略需求，赋予了软件和信息技术服务业新的使命和任务；随着《</w:t>
      </w:r>
      <w:r>
        <w:rPr>
          <w:rFonts w:ascii="Times New Roman" w:hAnsi="Times New Roman" w:cs="Times New Roman" w:eastAsia="Times New Roman" w:hint="default"/>
        </w:rPr>
        <w:t>“</w:t>
      </w:r>
      <w:r>
        <w:rPr/>
        <w:t>十 </w:t>
      </w:r>
      <w:r>
        <w:rPr>
          <w:spacing w:val="-2"/>
        </w:rPr>
        <w:t>三五</w:t>
      </w:r>
      <w:r>
        <w:rPr>
          <w:rFonts w:ascii="Times New Roman" w:hAnsi="Times New Roman" w:cs="Times New Roman" w:eastAsia="Times New Roman" w:hint="default"/>
          <w:spacing w:val="-2"/>
        </w:rPr>
        <w:t>”</w:t>
      </w:r>
      <w:r>
        <w:rPr>
          <w:spacing w:val="-2"/>
        </w:rPr>
        <w:t>国家信息化规划》的发布，新一代信息技术正加速与实体经济融合，从供给侧和需求侧两方面推动国内经济转型升级，</w:t>
      </w:r>
      <w:r>
        <w:rPr>
          <w:spacing w:val="-53"/>
        </w:rPr>
        <w:t> </w:t>
      </w:r>
      <w:r>
        <w:rPr>
          <w:spacing w:val="-53"/>
        </w:rPr>
      </w:r>
      <w:r>
        <w:rPr>
          <w:spacing w:val="-3"/>
        </w:rPr>
        <w:t>优化服务品质，提高运作效率。云计算、大数据、物联网、人工智能等新技术全面渗透，驱动经济发展的变革与创新；在</w:t>
      </w:r>
      <w:r>
        <w:rPr>
          <w:rFonts w:ascii="Times New Roman" w:hAnsi="Times New Roman" w:cs="Times New Roman" w:eastAsia="Times New Roman" w:hint="default"/>
          <w:spacing w:val="-3"/>
        </w:rPr>
        <w:t>“</w:t>
      </w:r>
      <w:r>
        <w:rPr>
          <w:spacing w:val="-3"/>
        </w:rPr>
        <w:t>互</w:t>
      </w:r>
      <w:r>
        <w:rPr>
          <w:spacing w:val="-87"/>
        </w:rPr>
        <w:t> </w:t>
      </w:r>
      <w:r>
        <w:rPr>
          <w:spacing w:val="-2"/>
        </w:rPr>
        <w:t>联网</w:t>
      </w:r>
      <w:r>
        <w:rPr>
          <w:rFonts w:ascii="Times New Roman" w:hAnsi="Times New Roman" w:cs="Times New Roman" w:eastAsia="Times New Roman" w:hint="default"/>
          <w:spacing w:val="-2"/>
        </w:rPr>
        <w:t>+”</w:t>
      </w:r>
      <w:r>
        <w:rPr>
          <w:spacing w:val="-2"/>
        </w:rPr>
        <w:t>的推动下，信息技术开始渗透到实体经济的方方面面，不仅驱动产业升级，同时构建起新的产业生态体系，使各个产</w:t>
      </w:r>
      <w:r>
        <w:rPr>
          <w:spacing w:val="-66"/>
        </w:rPr>
        <w:t> </w:t>
      </w:r>
      <w:r>
        <w:rPr>
          <w:spacing w:val="-66"/>
        </w:rPr>
      </w:r>
      <w:r>
        <w:rPr>
          <w:spacing w:val="-2"/>
        </w:rPr>
        <w:t>业价值链之间的联系加深。我国信息技术产业的竞争和发展模式也由此出现新的变化，多行业协同、跨产业链的一体化生产</w:t>
      </w:r>
      <w:r>
        <w:rPr>
          <w:spacing w:val="-63"/>
        </w:rPr>
        <w:t> </w:t>
      </w:r>
      <w:r>
        <w:rPr>
          <w:spacing w:val="-63"/>
        </w:rPr>
      </w:r>
      <w:r>
        <w:rPr/>
        <w:t>和技术融合成为未来</w:t>
      </w:r>
      <w:r>
        <w:rPr>
          <w:rFonts w:ascii="Times New Roman" w:hAnsi="Times New Roman" w:cs="Times New Roman" w:eastAsia="Times New Roman" w:hint="default"/>
        </w:rPr>
        <w:t>IT</w:t>
      </w:r>
      <w:r>
        <w:rPr/>
        <w:t>产业发展的新趋势。</w:t>
      </w:r>
    </w:p>
    <w:p>
      <w:pPr>
        <w:pStyle w:val="Heading4"/>
        <w:spacing w:line="240" w:lineRule="auto" w:before="131"/>
        <w:ind w:right="6753"/>
        <w:jc w:val="left"/>
        <w:rPr>
          <w:b w:val="0"/>
          <w:bCs w:val="0"/>
        </w:rPr>
      </w:pPr>
      <w:r>
        <w:rPr>
          <w:rFonts w:ascii="Times New Roman" w:hAnsi="Times New Roman" w:cs="Times New Roman" w:eastAsia="Times New Roman" w:hint="default"/>
        </w:rPr>
        <w:t>2</w:t>
      </w:r>
      <w:r>
        <w:rPr/>
        <w:t>、行业发展趋势</w:t>
      </w:r>
      <w:r>
        <w:rPr>
          <w:b w:val="0"/>
          <w:bCs w:val="0"/>
        </w:rPr>
      </w:r>
    </w:p>
    <w:p>
      <w:pPr>
        <w:pStyle w:val="BodyText"/>
        <w:spacing w:line="430" w:lineRule="atLeast" w:before="2"/>
        <w:ind w:left="513" w:right="93"/>
        <w:jc w:val="left"/>
      </w:pPr>
      <w:r>
        <w:rPr/>
        <w:t>（</w:t>
      </w:r>
      <w:r>
        <w:rPr>
          <w:rFonts w:ascii="Times New Roman" w:hAnsi="Times New Roman" w:cs="Times New Roman" w:eastAsia="Times New Roman" w:hint="default"/>
        </w:rPr>
        <w:t>1</w:t>
      </w:r>
      <w:r>
        <w:rPr/>
        <w:t>）电子信息产业 </w:t>
      </w:r>
      <w:r>
        <w:rPr>
          <w:spacing w:val="-2"/>
        </w:rPr>
        <w:t>伴随着电子信息产业不断发展，以及我国“中国制造</w:t>
      </w:r>
      <w:r>
        <w:rPr>
          <w:rFonts w:ascii="Times New Roman" w:hAnsi="Times New Roman" w:cs="Times New Roman" w:eastAsia="Times New Roman" w:hint="default"/>
          <w:spacing w:val="-2"/>
        </w:rPr>
        <w:t>2025</w:t>
      </w:r>
      <w:r>
        <w:rPr>
          <w:spacing w:val="-2"/>
        </w:rPr>
        <w:t>”纲要的深入推进和</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国际合作影响力越来越大，电</w:t>
      </w:r>
    </w:p>
    <w:p>
      <w:pPr>
        <w:pStyle w:val="BodyText"/>
        <w:spacing w:line="316" w:lineRule="auto" w:before="63"/>
        <w:ind w:right="190"/>
        <w:jc w:val="both"/>
      </w:pPr>
      <w:r>
        <w:rPr>
          <w:spacing w:val="-2"/>
        </w:rPr>
        <w:t>子信息产业迎来高速发展时期。云计算、大数据、物联网、移动互联网、人工智能等新一代信息技术的快速演进，硬件、软</w:t>
      </w:r>
      <w:r>
        <w:rPr>
          <w:spacing w:val="-70"/>
        </w:rPr>
        <w:t> </w:t>
      </w:r>
      <w:r>
        <w:rPr>
          <w:spacing w:val="-70"/>
        </w:rPr>
      </w:r>
      <w:r>
        <w:rPr>
          <w:spacing w:val="-2"/>
        </w:rPr>
        <w:t>件、服务等核心技术体系的加速重构，正在引发电子信息产业新一轮变革。单点技术和单一产品的创新正加速向多技术融合</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互动的系统化、集成化创新转变，创新周期大幅缩短。信息技术与制造、材料、能源、生物等技术的交叉渗透日益深化，智</w:t>
      </w:r>
      <w:r>
        <w:rPr>
          <w:spacing w:val="-73"/>
        </w:rPr>
        <w:t> </w:t>
      </w:r>
      <w:r>
        <w:rPr>
          <w:spacing w:val="-73"/>
        </w:rPr>
      </w:r>
      <w:r>
        <w:rPr/>
        <w:t>能控制、智能材料、生物芯片等交叉融合创新方兴未艾，工业互联网、能源互联网等新业态加速突破，大规模个性化定制、 </w:t>
      </w:r>
      <w:r>
        <w:rPr>
          <w:spacing w:val="-2"/>
        </w:rPr>
        <w:t>网络化协同制造、共享经济等信息经济新模式快速涌现。互联网不断激发技术与商业模式创新的活力，开启以迭代创新、大</w:t>
      </w:r>
      <w:r>
        <w:rPr>
          <w:spacing w:val="-64"/>
        </w:rPr>
        <w:t> </w:t>
      </w:r>
      <w:r>
        <w:rPr>
          <w:spacing w:val="-64"/>
        </w:rPr>
      </w:r>
      <w:r>
        <w:rPr/>
        <w:t>众创新、微创新为突出特征的创新时代。</w:t>
      </w:r>
    </w:p>
    <w:p>
      <w:pPr>
        <w:pStyle w:val="BodyText"/>
        <w:spacing w:line="432" w:lineRule="exact" w:before="1"/>
        <w:ind w:left="513" w:right="93"/>
        <w:jc w:val="left"/>
      </w:pPr>
      <w:r>
        <w:rPr/>
        <w:t>（</w:t>
      </w:r>
      <w:r>
        <w:rPr>
          <w:rFonts w:ascii="Times New Roman" w:hAnsi="Times New Roman" w:cs="Times New Roman" w:eastAsia="Times New Roman" w:hint="default"/>
        </w:rPr>
        <w:t>2</w:t>
      </w:r>
      <w:r>
        <w:rPr/>
        <w:t>）金融业</w:t>
      </w:r>
      <w:r>
        <w:rPr>
          <w:rFonts w:ascii="Times New Roman" w:hAnsi="Times New Roman" w:cs="Times New Roman" w:eastAsia="Times New Roman" w:hint="default"/>
        </w:rPr>
        <w:t>IT</w:t>
      </w:r>
      <w:r>
        <w:rPr/>
        <w:t>市场 </w:t>
      </w:r>
      <w:r>
        <w:rPr>
          <w:spacing w:val="-2"/>
        </w:rPr>
        <w:t>以移动互联网、大数据、云计算、人工智能、区块链等为代表的新一代信息技术的运用，正同时引发金融业和实体经济</w:t>
      </w:r>
    </w:p>
    <w:p>
      <w:pPr>
        <w:pStyle w:val="BodyText"/>
        <w:spacing w:line="316" w:lineRule="auto" w:before="15"/>
        <w:ind w:right="93"/>
        <w:jc w:val="left"/>
      </w:pPr>
      <w:r>
        <w:rPr>
          <w:spacing w:val="-2"/>
        </w:rPr>
        <w:t>的骤变。一方面，传统金融与互联网、区块链等新兴技术和平台深度融合，通过优化资源配置与技术创新，产生出新的金融</w:t>
      </w:r>
      <w:r>
        <w:rPr>
          <w:spacing w:val="-67"/>
        </w:rPr>
        <w:t> </w:t>
      </w:r>
      <w:r>
        <w:rPr>
          <w:spacing w:val="-67"/>
        </w:rPr>
      </w:r>
      <w:r>
        <w:rPr>
          <w:spacing w:val="-2"/>
        </w:rPr>
        <w:t>生态、金融服务模式与金融产品；另一方面，电子商务、共享经济、物联网、智能制造等新经济模式和平台的兴起，正深刻</w:t>
      </w:r>
      <w:r>
        <w:rPr>
          <w:spacing w:val="-73"/>
        </w:rPr>
        <w:t> </w:t>
      </w:r>
      <w:r>
        <w:rPr>
          <w:spacing w:val="-73"/>
        </w:rPr>
      </w:r>
      <w:r>
        <w:rPr/>
        <w:t>改变着中国传统的制造业、农业和服务业。为适应市场需求层次多样性、经营品种多样化以及银行业未来经营格局的要求， </w:t>
      </w:r>
      <w:r>
        <w:rPr>
          <w:spacing w:val="-2"/>
        </w:rPr>
        <w:t>近年来，国内各大银行在积极推进数据大集中建设的同时，加快了综合业务应用系统的建设速度，随之而来的是我国银行业</w:t>
      </w:r>
      <w:r>
        <w:rPr>
          <w:spacing w:val="-63"/>
        </w:rPr>
        <w:t> </w:t>
      </w:r>
      <w:r>
        <w:rPr>
          <w:spacing w:val="-63"/>
        </w:rPr>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t>投资的高速增长。</w:t>
      </w:r>
    </w:p>
    <w:p>
      <w:pPr>
        <w:pStyle w:val="BodyText"/>
        <w:spacing w:line="240" w:lineRule="auto" w:before="119"/>
        <w:ind w:left="513" w:right="6753"/>
        <w:jc w:val="left"/>
      </w:pPr>
      <w:r>
        <w:rPr/>
        <w:t>（</w:t>
      </w:r>
      <w:r>
        <w:rPr>
          <w:rFonts w:ascii="Times New Roman" w:hAnsi="Times New Roman" w:cs="Times New Roman" w:eastAsia="Times New Roman" w:hint="default"/>
        </w:rPr>
        <w:t>3</w:t>
      </w:r>
      <w:r>
        <w:rPr/>
        <w:t>）智慧城市市场</w:t>
      </w:r>
    </w:p>
    <w:p>
      <w:pPr>
        <w:spacing w:line="240" w:lineRule="auto" w:before="13"/>
        <w:rPr>
          <w:rFonts w:ascii="宋体" w:hAnsi="宋体" w:cs="宋体" w:eastAsia="宋体" w:hint="default"/>
          <w:sz w:val="13"/>
          <w:szCs w:val="13"/>
        </w:rPr>
      </w:pPr>
    </w:p>
    <w:p>
      <w:pPr>
        <w:pStyle w:val="BodyText"/>
        <w:spacing w:line="316" w:lineRule="auto"/>
        <w:ind w:right="93" w:firstLine="288"/>
        <w:jc w:val="left"/>
      </w:pPr>
      <w:r>
        <w:rPr/>
        <w:t>随着网络基础设施、无线技术的飞跃发展，云计算、物联网及大数据等信息技术迭代加快，作为城市管理的重要手段， </w:t>
      </w:r>
      <w:r>
        <w:rPr>
          <w:spacing w:val="-2"/>
        </w:rPr>
        <w:t>在智慧交通、智慧政务领域与城市发展深度融合，在城市信息基础设施、信息平台以及面向政府、企业和市民的应用系统领</w:t>
      </w:r>
      <w:r>
        <w:rPr>
          <w:spacing w:val="-63"/>
        </w:rPr>
        <w:t> </w:t>
      </w:r>
      <w:r>
        <w:rPr>
          <w:spacing w:val="-63"/>
        </w:rPr>
      </w:r>
      <w:r>
        <w:rPr/>
        <w:t>域，以及在公共事务管理、施政信息发布及信息收集、社群管理、物业、交通、停车、垃圾污水处理、能源、水利、医疗、 </w:t>
      </w:r>
      <w:r>
        <w:rPr>
          <w:spacing w:val="-2"/>
        </w:rPr>
        <w:t>养老、教育、文化、高速公路等众多领域发展迅速。智慧城市建设与发展包含两方面的业务方向，在增量方面，政府的投入</w:t>
      </w:r>
      <w:r>
        <w:rPr>
          <w:spacing w:val="-67"/>
        </w:rPr>
        <w:t> </w:t>
      </w:r>
      <w:r>
        <w:rPr>
          <w:spacing w:val="-67"/>
        </w:rPr>
      </w:r>
      <w:r>
        <w:rPr>
          <w:spacing w:val="-2"/>
        </w:rPr>
        <w:t>力度不断加大，市场容量逐渐释放；在存量方面，原有设施不断老化、更新换代的需求逐步呈现，智慧城市的市场发展步伐</w:t>
      </w:r>
      <w:r>
        <w:rPr>
          <w:spacing w:val="-67"/>
        </w:rPr>
        <w:t> </w:t>
      </w:r>
      <w:r>
        <w:rPr>
          <w:spacing w:val="-67"/>
        </w:rPr>
      </w:r>
      <w:r>
        <w:rPr/>
        <w:t>将逐步加快。</w:t>
      </w:r>
    </w:p>
    <w:p>
      <w:pPr>
        <w:spacing w:line="240" w:lineRule="auto" w:before="11"/>
        <w:rPr>
          <w:rFonts w:ascii="宋体" w:hAnsi="宋体" w:cs="宋体" w:eastAsia="宋体" w:hint="default"/>
          <w:sz w:val="20"/>
          <w:szCs w:val="20"/>
        </w:rPr>
      </w:pPr>
    </w:p>
    <w:p>
      <w:pPr>
        <w:pStyle w:val="Heading2"/>
        <w:spacing w:line="240" w:lineRule="auto"/>
        <w:ind w:right="675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3028"/>
        <w:gridCol w:w="6528"/>
      </w:tblGrid>
      <w:tr>
        <w:trPr>
          <w:trHeight w:val="187" w:hRule="exact"/>
        </w:trPr>
        <w:tc>
          <w:tcPr>
            <w:tcW w:w="3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3"/>
        <w:spacing w:line="240" w:lineRule="auto" w:before="36"/>
        <w:ind w:right="675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675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3"/>
        <w:jc w:val="left"/>
      </w:pPr>
      <w:r>
        <w:rPr/>
        <w:t>公司是否需要遵守特殊行业的披露要求 否</w:t>
      </w:r>
    </w:p>
    <w:p>
      <w:pPr>
        <w:pStyle w:val="BodyText"/>
        <w:spacing w:line="309" w:lineRule="auto" w:before="29"/>
        <w:ind w:right="192" w:firstLine="360"/>
        <w:jc w:val="both"/>
      </w:pPr>
      <w:r>
        <w:rPr>
          <w:spacing w:val="-1"/>
        </w:rPr>
        <w:t>公司品牌</w:t>
      </w:r>
      <w:r>
        <w:rPr>
          <w:rFonts w:ascii="Times New Roman" w:hAnsi="Times New Roman" w:cs="Times New Roman" w:eastAsia="Times New Roman" w:hint="default"/>
          <w:spacing w:val="-1"/>
        </w:rPr>
        <w:t>“</w:t>
      </w:r>
      <w:r>
        <w:rPr>
          <w:spacing w:val="-1"/>
        </w:rPr>
        <w:t>南天</w:t>
      </w:r>
      <w:r>
        <w:rPr>
          <w:rFonts w:ascii="Times New Roman" w:hAnsi="Times New Roman" w:cs="Times New Roman" w:eastAsia="Times New Roman" w:hint="default"/>
          <w:spacing w:val="-1"/>
        </w:rPr>
        <w:t>”</w:t>
      </w:r>
      <w:r>
        <w:rPr>
          <w:spacing w:val="-1"/>
        </w:rPr>
        <w:t>在银行</w:t>
      </w:r>
      <w:r>
        <w:rPr>
          <w:rFonts w:ascii="Times New Roman" w:hAnsi="Times New Roman" w:cs="Times New Roman" w:eastAsia="Times New Roman" w:hint="default"/>
          <w:spacing w:val="-1"/>
        </w:rPr>
        <w:t>IT</w:t>
      </w:r>
      <w:r>
        <w:rPr>
          <w:spacing w:val="-1"/>
        </w:rPr>
        <w:t>领域具有很高的知名度和认可度。南天信息凭借</w:t>
      </w:r>
      <w:r>
        <w:rPr>
          <w:rFonts w:ascii="Times New Roman" w:hAnsi="Times New Roman" w:cs="Times New Roman" w:eastAsia="Times New Roman" w:hint="default"/>
          <w:spacing w:val="-1"/>
        </w:rPr>
        <w:t>30</w:t>
      </w:r>
      <w:r>
        <w:rPr>
          <w:spacing w:val="-1"/>
        </w:rPr>
        <w:t>多年在</w:t>
      </w:r>
      <w:r>
        <w:rPr>
          <w:rFonts w:ascii="Times New Roman" w:hAnsi="Times New Roman" w:cs="Times New Roman" w:eastAsia="Times New Roman" w:hint="default"/>
          <w:spacing w:val="-1"/>
        </w:rPr>
        <w:t>IT</w:t>
      </w:r>
      <w:r>
        <w:rPr>
          <w:spacing w:val="-1"/>
        </w:rPr>
        <w:t>领域的技术积累及客户实践，依托</w:t>
      </w:r>
      <w:r>
        <w:rPr/>
        <w:t> </w:t>
      </w:r>
      <w:r>
        <w:rPr>
          <w:spacing w:val="-2"/>
        </w:rPr>
        <w:t>软件业务、集成服务业务、产品服务业务、智慧城市业务、创新业务等五大业务板块，拥有具备自主知识产权的软件产品和</w:t>
      </w:r>
      <w:r>
        <w:rPr>
          <w:spacing w:val="-67"/>
        </w:rPr>
        <w:t> </w:t>
      </w:r>
      <w:r>
        <w:rPr>
          <w:spacing w:val="-67"/>
        </w:rPr>
      </w:r>
      <w:r>
        <w:rPr>
          <w:spacing w:val="-2"/>
        </w:rPr>
        <w:t>开发能力、解决方案提供能力、</w:t>
      </w:r>
      <w:r>
        <w:rPr>
          <w:rFonts w:ascii="Times New Roman" w:hAnsi="Times New Roman" w:cs="Times New Roman" w:eastAsia="Times New Roman" w:hint="default"/>
          <w:spacing w:val="-2"/>
        </w:rPr>
        <w:t>IT</w:t>
      </w:r>
      <w:r>
        <w:rPr>
          <w:spacing w:val="-2"/>
        </w:rPr>
        <w:t>服务能力、系统集成和应用能力，更能打造一个全方位的数字化服务体系，做全球专业数</w:t>
      </w:r>
    </w:p>
    <w:p>
      <w:pPr>
        <w:spacing w:after="0" w:line="309"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13" w:right="93" w:hanging="360"/>
        <w:jc w:val="left"/>
      </w:pPr>
      <w:r>
        <w:rPr/>
        <w:t>字化服务提供商（</w:t>
      </w:r>
      <w:r>
        <w:rPr>
          <w:rFonts w:ascii="Times New Roman" w:hAnsi="Times New Roman" w:cs="Times New Roman" w:eastAsia="Times New Roman" w:hint="default"/>
        </w:rPr>
        <w:t>DSV</w:t>
      </w:r>
      <w:r>
        <w:rPr/>
        <w:t>）。 </w:t>
      </w:r>
      <w:r>
        <w:rPr>
          <w:spacing w:val="-2"/>
        </w:rPr>
        <w:t>在软件业务方面，南天是国内银行业十大解决方案商之一，拥有多个世界领先的应用软件产品及解决方案，实施的金融</w:t>
      </w:r>
    </w:p>
    <w:p>
      <w:pPr>
        <w:pStyle w:val="BodyText"/>
        <w:spacing w:line="300" w:lineRule="auto" w:before="1"/>
        <w:ind w:right="93"/>
        <w:jc w:val="left"/>
      </w:pPr>
      <w:r>
        <w:rPr/>
        <w:t>应用软件产品解决方案和应用系统超过</w:t>
      </w:r>
      <w:r>
        <w:rPr>
          <w:rFonts w:ascii="Times New Roman" w:hAnsi="Times New Roman" w:cs="Times New Roman" w:eastAsia="Times New Roman" w:hint="default"/>
        </w:rPr>
        <w:t>1000</w:t>
      </w:r>
      <w:r>
        <w:rPr/>
        <w:t>个，应用的网点达</w:t>
      </w:r>
      <w:r>
        <w:rPr>
          <w:rFonts w:ascii="Times New Roman" w:hAnsi="Times New Roman" w:cs="Times New Roman" w:eastAsia="Times New Roman" w:hint="default"/>
        </w:rPr>
        <w:t>5</w:t>
      </w:r>
      <w:r>
        <w:rPr/>
        <w:t>万个，产品深受国内银行认同。南天为中国邮政储蓄银行实</w:t>
      </w:r>
      <w:r>
        <w:rPr>
          <w:spacing w:val="-85"/>
        </w:rPr>
        <w:t> </w:t>
      </w:r>
      <w:r>
        <w:rPr>
          <w:spacing w:val="-85"/>
        </w:rPr>
      </w:r>
      <w:r>
        <w:rPr/>
        <w:t>施的储蓄系统逻辑集中工程，是国内银行界在开放式平台上以小机集群方案部署大规模高容量核心系统的尝试的首次成功。</w:t>
      </w:r>
    </w:p>
    <w:p>
      <w:pPr>
        <w:pStyle w:val="BodyText"/>
        <w:spacing w:line="300" w:lineRule="auto" w:before="70"/>
        <w:ind w:right="103" w:firstLine="360"/>
        <w:jc w:val="left"/>
      </w:pPr>
      <w:r>
        <w:rPr/>
        <w:t>在集成服务业务方面，南天成功打造了数据中心（</w:t>
      </w:r>
      <w:r>
        <w:rPr>
          <w:rFonts w:ascii="Times New Roman" w:hAnsi="Times New Roman" w:cs="Times New Roman" w:eastAsia="Times New Roman" w:hint="default"/>
        </w:rPr>
        <w:t>DC</w:t>
      </w:r>
      <w:r>
        <w:rPr/>
        <w:t>）、智能数据中心管理（</w:t>
      </w:r>
      <w:r>
        <w:rPr>
          <w:rFonts w:ascii="Times New Roman" w:hAnsi="Times New Roman" w:cs="Times New Roman" w:eastAsia="Times New Roman" w:hint="default"/>
        </w:rPr>
        <w:t>IC</w:t>
      </w:r>
      <w:r>
        <w:rPr/>
        <w:t>）和主媒体呼叫中心（</w:t>
      </w:r>
      <w:r>
        <w:rPr>
          <w:rFonts w:ascii="Times New Roman" w:hAnsi="Times New Roman" w:cs="Times New Roman" w:eastAsia="Times New Roman" w:hint="default"/>
        </w:rPr>
        <w:t>CC</w:t>
      </w:r>
      <w:r>
        <w:rPr/>
        <w:t>）三大业务 方向，与</w:t>
      </w:r>
      <w:r>
        <w:rPr>
          <w:rFonts w:ascii="Times New Roman" w:hAnsi="Times New Roman" w:cs="Times New Roman" w:eastAsia="Times New Roman" w:hint="default"/>
        </w:rPr>
        <w:t>IBM</w:t>
      </w:r>
      <w:r>
        <w:rPr/>
        <w:t>、思科、华为、浪潮、</w:t>
      </w:r>
      <w:r>
        <w:rPr>
          <w:rFonts w:ascii="Times New Roman" w:hAnsi="Times New Roman" w:cs="Times New Roman" w:eastAsia="Times New Roman" w:hint="default"/>
        </w:rPr>
        <w:t>HP</w:t>
      </w:r>
      <w:r>
        <w:rPr/>
        <w:t>、</w:t>
      </w:r>
      <w:r>
        <w:rPr>
          <w:rFonts w:ascii="Times New Roman" w:hAnsi="Times New Roman" w:cs="Times New Roman" w:eastAsia="Times New Roman" w:hint="default"/>
        </w:rPr>
        <w:t>AVAYA</w:t>
      </w:r>
      <w:r>
        <w:rPr/>
        <w:t>、</w:t>
      </w:r>
      <w:r>
        <w:rPr>
          <w:rFonts w:ascii="Times New Roman" w:hAnsi="Times New Roman" w:cs="Times New Roman" w:eastAsia="Times New Roman" w:hint="default"/>
        </w:rPr>
        <w:t>BMC</w:t>
      </w:r>
      <w:r>
        <w:rPr/>
        <w:t>、微软等国际知名</w:t>
      </w:r>
      <w:r>
        <w:rPr>
          <w:rFonts w:ascii="Times New Roman" w:hAnsi="Times New Roman" w:cs="Times New Roman" w:eastAsia="Times New Roman" w:hint="default"/>
        </w:rPr>
        <w:t>IT</w:t>
      </w:r>
      <w:r>
        <w:rPr/>
        <w:t>厂商建立有长期而良好的战略合作伙伴关系。 在金融、税务、海关、公安、消防等行业拥有丰富的实施经验。</w:t>
      </w:r>
    </w:p>
    <w:p>
      <w:pPr>
        <w:pStyle w:val="BodyText"/>
        <w:spacing w:line="316" w:lineRule="auto" w:before="72"/>
        <w:ind w:right="93" w:firstLine="360"/>
        <w:jc w:val="left"/>
      </w:pPr>
      <w:r>
        <w:rPr/>
        <w:t>在产品服务业务方面，南天是国内专业生产金融电子化专用设备的主导厂商，目前产品已全面覆盖国内各大商业银行、 专业银行及新生银行，并出口到二十多个国家和地区。</w:t>
      </w:r>
    </w:p>
    <w:p>
      <w:pPr>
        <w:pStyle w:val="BodyText"/>
        <w:spacing w:line="357" w:lineRule="auto" w:before="59"/>
        <w:ind w:left="513" w:right="93"/>
        <w:jc w:val="left"/>
      </w:pPr>
      <w:r>
        <w:rPr/>
        <w:t>在智慧城市业务方面，南天凭借在信息化领域多年积累的系统经验，已将智慧城市业务纳入到未来中长期发展规划中。 </w:t>
      </w:r>
      <w:r>
        <w:rPr>
          <w:spacing w:val="-2"/>
        </w:rPr>
        <w:t>在“十三五”期间，南天还将大力发展智能制造、云计算、大数据、互联网金融等创新业务，积极响应国家关于大力推</w:t>
      </w:r>
    </w:p>
    <w:p>
      <w:pPr>
        <w:pStyle w:val="BodyText"/>
        <w:spacing w:line="340" w:lineRule="auto"/>
        <w:ind w:left="513" w:right="93" w:hanging="360"/>
        <w:jc w:val="left"/>
      </w:pPr>
      <w:r>
        <w:rPr/>
        <w:t>进工业</w:t>
      </w:r>
      <w:r>
        <w:rPr>
          <w:rFonts w:ascii="Times New Roman" w:hAnsi="Times New Roman" w:cs="Times New Roman" w:eastAsia="Times New Roman" w:hint="default"/>
        </w:rPr>
        <w:t>4.0</w:t>
      </w:r>
      <w:r>
        <w:rPr/>
        <w:t>进程的产业政策。 </w:t>
      </w:r>
      <w:r>
        <w:rPr>
          <w:spacing w:val="-2"/>
        </w:rPr>
        <w:t>多年来，南天信息以创新、协调、绿色、开放、共享的发展理念，坚持以提高企业发展质量和效益为核心，积极探索新</w:t>
      </w:r>
    </w:p>
    <w:p>
      <w:pPr>
        <w:pStyle w:val="BodyText"/>
        <w:spacing w:line="316" w:lineRule="auto" w:before="1"/>
        <w:ind w:right="93"/>
        <w:jc w:val="left"/>
      </w:pPr>
      <w:r>
        <w:rPr>
          <w:spacing w:val="-4"/>
        </w:rPr>
        <w:t>技术，开启了赋能数字化变革，用创新赋能客户业务，为其战略转型和变革保驾护航。公司通过不断完善南天服务的规范性、</w:t>
      </w:r>
      <w:r>
        <w:rPr>
          <w:spacing w:val="-46"/>
        </w:rPr>
        <w:t> </w:t>
      </w:r>
      <w:r>
        <w:rPr>
          <w:spacing w:val="-46"/>
        </w:rPr>
      </w:r>
      <w:r>
        <w:rPr/>
        <w:t>流程性、系统性，有效提高服务水平和服务质量，进而提高客户满意度，提升南天服务品牌。</w:t>
      </w:r>
    </w:p>
    <w:p>
      <w:pPr>
        <w:pStyle w:val="BodyText"/>
        <w:spacing w:line="300" w:lineRule="auto" w:before="59"/>
        <w:ind w:right="140" w:firstLine="288"/>
        <w:jc w:val="both"/>
      </w:pPr>
      <w:r>
        <w:rPr>
          <w:spacing w:val="2"/>
        </w:rPr>
        <w:t>在发展的浪潮中，为全方位提升企业资质、建立规范的质量管理体系，南天生产制造体系于</w:t>
      </w:r>
      <w:r>
        <w:rPr>
          <w:rFonts w:ascii="Times New Roman" w:hAnsi="Times New Roman" w:cs="Times New Roman" w:eastAsia="Times New Roman" w:hint="default"/>
          <w:spacing w:val="2"/>
        </w:rPr>
        <w:t>1997</w:t>
      </w:r>
      <w:r>
        <w:rPr>
          <w:spacing w:val="2"/>
        </w:rPr>
        <w:t>年在同行业率先通过</w:t>
      </w:r>
      <w:r>
        <w:rPr/>
        <w:t> </w:t>
      </w:r>
      <w:r>
        <w:rPr>
          <w:rFonts w:ascii="Times New Roman" w:hAnsi="Times New Roman" w:cs="Times New Roman" w:eastAsia="Times New Roman" w:hint="default"/>
        </w:rPr>
        <w:t>ISO9001</w:t>
      </w:r>
      <w:r>
        <w:rPr/>
        <w:t>质量管理体系认证，随后，南天软件与系统集成体系顺利通过</w:t>
      </w:r>
      <w:r>
        <w:rPr>
          <w:rFonts w:ascii="Times New Roman" w:hAnsi="Times New Roman" w:cs="Times New Roman" w:eastAsia="Times New Roman" w:hint="default"/>
        </w:rPr>
        <w:t>ISO9001</w:t>
      </w:r>
      <w:r>
        <w:rPr/>
        <w:t>质量管理体系认证。公司于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月首批加 入了</w:t>
      </w:r>
      <w:r>
        <w:rPr>
          <w:rFonts w:ascii="Times New Roman" w:hAnsi="Times New Roman" w:cs="Times New Roman" w:eastAsia="Times New Roman" w:hint="default"/>
        </w:rPr>
        <w:t>ITSS</w:t>
      </w:r>
      <w:r>
        <w:rPr/>
        <w:t>标准制修订工作（</w:t>
      </w:r>
      <w:r>
        <w:rPr>
          <w:rFonts w:ascii="Times New Roman" w:hAnsi="Times New Roman" w:cs="Times New Roman" w:eastAsia="Times New Roman" w:hint="default"/>
        </w:rPr>
        <w:t>ITSS</w:t>
      </w:r>
      <w:r>
        <w:rPr/>
        <w:t>是在工业和信息化部软件服务业司的指导下，由信息技术服务标准工作组组织研究制定的</w:t>
      </w:r>
      <w:r>
        <w:rPr>
          <w:spacing w:val="-28"/>
        </w:rPr>
        <w:t> </w:t>
      </w:r>
      <w:r>
        <w:rPr>
          <w:spacing w:val="-28"/>
        </w:rPr>
      </w:r>
      <w:r>
        <w:rPr>
          <w:spacing w:val="-2"/>
        </w:rPr>
        <w:t>体系化信息技术服务标准库）。此后，南天积极参与和协助国家相关部门做好信息服务标准的制定和推广工作，是</w:t>
      </w:r>
      <w:r>
        <w:rPr>
          <w:rFonts w:ascii="Times New Roman" w:hAnsi="Times New Roman" w:cs="Times New Roman" w:eastAsia="Times New Roman" w:hint="default"/>
          <w:spacing w:val="-2"/>
        </w:rPr>
        <w:t>ITSS</w:t>
      </w:r>
      <w:r>
        <w:rPr>
          <w:spacing w:val="-2"/>
        </w:rPr>
        <w:t>《数</w:t>
      </w:r>
      <w:r>
        <w:rPr>
          <w:spacing w:val="-73"/>
        </w:rPr>
        <w:t> </w:t>
      </w:r>
      <w:r>
        <w:rPr/>
        <w:t>据中心》标准的第一编制单位，同时还参与了《信息技术服务分类与代码》、《信息技术服务质量评价指标体系》等</w:t>
      </w:r>
      <w:r>
        <w:rPr>
          <w:rFonts w:ascii="Times New Roman" w:hAnsi="Times New Roman" w:cs="Times New Roman" w:eastAsia="Times New Roman" w:hint="default"/>
        </w:rPr>
        <w:t>6</w:t>
      </w:r>
      <w:r>
        <w:rPr/>
        <w:t>项标</w:t>
      </w:r>
      <w:r>
        <w:rPr>
          <w:spacing w:val="-82"/>
        </w:rPr>
        <w:t> </w:t>
      </w:r>
      <w:r>
        <w:rPr/>
        <w:t>准的编制工作，是《</w:t>
      </w:r>
      <w:r>
        <w:rPr>
          <w:rFonts w:ascii="Times New Roman" w:hAnsi="Times New Roman" w:cs="Times New Roman" w:eastAsia="Times New Roman" w:hint="default"/>
        </w:rPr>
        <w:t>ITSS</w:t>
      </w:r>
      <w:r>
        <w:rPr/>
        <w:t>白皮书》核心编制单位，同时也是全国首批</w:t>
      </w:r>
      <w:r>
        <w:rPr>
          <w:rFonts w:ascii="Times New Roman" w:hAnsi="Times New Roman" w:cs="Times New Roman" w:eastAsia="Times New Roman" w:hint="default"/>
        </w:rPr>
        <w:t>18</w:t>
      </w:r>
      <w:r>
        <w:rPr/>
        <w:t>家通过《运维通用要求》符合性评估的单位之一。</w:t>
      </w:r>
      <w:r>
        <w:rPr>
          <w:spacing w:val="-15"/>
        </w:rPr>
        <w:t> </w:t>
      </w:r>
      <w:r>
        <w:rPr>
          <w:spacing w:val="-15"/>
        </w:rPr>
      </w:r>
      <w:r>
        <w:rPr/>
        <w:t>南天还通过了</w:t>
      </w:r>
      <w:r>
        <w:rPr>
          <w:rFonts w:ascii="Times New Roman" w:hAnsi="Times New Roman" w:cs="Times New Roman" w:eastAsia="Times New Roman" w:hint="default"/>
        </w:rPr>
        <w:t>CMMI-DEV ML4</w:t>
      </w:r>
      <w:r>
        <w:rPr/>
        <w:t>国际软件成熟度评估、</w:t>
      </w:r>
      <w:r>
        <w:rPr>
          <w:rFonts w:ascii="Times New Roman" w:hAnsi="Times New Roman" w:cs="Times New Roman" w:eastAsia="Times New Roman" w:hint="default"/>
        </w:rPr>
        <w:t>ISO20000IT</w:t>
      </w:r>
      <w:r>
        <w:rPr/>
        <w:t>服务管理体系认证、</w:t>
      </w:r>
      <w:r>
        <w:rPr>
          <w:rFonts w:ascii="Times New Roman" w:hAnsi="Times New Roman" w:cs="Times New Roman" w:eastAsia="Times New Roman" w:hint="default"/>
        </w:rPr>
        <w:t>ISO27001</w:t>
      </w:r>
      <w:r>
        <w:rPr/>
        <w:t>信息安全管理体系认证、</w:t>
      </w:r>
      <w:r>
        <w:rPr>
          <w:spacing w:val="-33"/>
        </w:rPr>
        <w:t> </w:t>
      </w:r>
      <w:r>
        <w:rPr>
          <w:spacing w:val="-33"/>
        </w:rPr>
      </w:r>
      <w:r>
        <w:rPr>
          <w:rFonts w:ascii="Times New Roman" w:hAnsi="Times New Roman" w:cs="Times New Roman" w:eastAsia="Times New Roman" w:hint="default"/>
        </w:rPr>
        <w:t>OHSAS18001</w:t>
      </w:r>
      <w:r>
        <w:rPr/>
        <w:t>中国职业健康安全管理体系认证以及</w:t>
      </w:r>
      <w:r>
        <w:rPr>
          <w:rFonts w:ascii="Times New Roman" w:hAnsi="Times New Roman" w:cs="Times New Roman" w:eastAsia="Times New Roman" w:hint="default"/>
        </w:rPr>
        <w:t>ITSS</w:t>
      </w:r>
      <w:r>
        <w:rPr/>
        <w:t>信息技术服务运行维护评估标准。同时，南天信息是全国</w:t>
      </w:r>
      <w:r>
        <w:rPr>
          <w:rFonts w:ascii="Times New Roman" w:hAnsi="Times New Roman" w:cs="Times New Roman" w:eastAsia="Times New Roman" w:hint="default"/>
        </w:rPr>
        <w:t>39</w:t>
      </w:r>
      <w:r>
        <w:rPr/>
        <w:t>家之一、 西南地区唯一的“信息系统集成及服务大型一级企业”。</w:t>
      </w:r>
    </w:p>
    <w:p>
      <w:pPr>
        <w:spacing w:after="0" w:line="300"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1" w:firstLine="360"/>
        <w:jc w:val="left"/>
      </w:pPr>
      <w:r>
        <w:rPr>
          <w:rFonts w:ascii="Times New Roman" w:hAnsi="Times New Roman" w:cs="Times New Roman" w:eastAsia="Times New Roman" w:hint="default"/>
          <w:spacing w:val="-2"/>
        </w:rPr>
        <w:t>2017</w:t>
      </w:r>
      <w:r>
        <w:rPr>
          <w:spacing w:val="-2"/>
        </w:rPr>
        <w:t>年，是供给侧结构性改革的深化之年。公司所处行业为软件和信息技术服务业，主要客户来自金融业，面临的市场</w:t>
      </w:r>
      <w:r>
        <w:rPr/>
        <w:t> </w:t>
      </w:r>
      <w:r>
        <w:rPr>
          <w:spacing w:val="-2"/>
        </w:rPr>
        <w:t>竞争日趋激烈，导致产品价格下跌，给公司的经营发展带来巨大压力。</w:t>
      </w:r>
      <w:r>
        <w:rPr>
          <w:rFonts w:ascii="Times New Roman" w:hAnsi="Times New Roman" w:cs="Times New Roman" w:eastAsia="Times New Roman" w:hint="default"/>
          <w:spacing w:val="-2"/>
        </w:rPr>
        <w:t>2017</w:t>
      </w:r>
      <w:r>
        <w:rPr>
          <w:spacing w:val="-2"/>
        </w:rPr>
        <w:t>年，公司以</w:t>
      </w:r>
      <w:r>
        <w:rPr>
          <w:rFonts w:ascii="Times New Roman" w:hAnsi="Times New Roman" w:cs="Times New Roman" w:eastAsia="Times New Roman" w:hint="default"/>
          <w:spacing w:val="-2"/>
        </w:rPr>
        <w:t>“</w:t>
      </w:r>
      <w:r>
        <w:rPr>
          <w:spacing w:val="-2"/>
        </w:rPr>
        <w:t>创新、卓越、共赢</w:t>
      </w:r>
      <w:r>
        <w:rPr>
          <w:rFonts w:ascii="Times New Roman" w:hAnsi="Times New Roman" w:cs="Times New Roman" w:eastAsia="Times New Roman" w:hint="default"/>
          <w:spacing w:val="-2"/>
        </w:rPr>
        <w:t>”</w:t>
      </w:r>
      <w:r>
        <w:rPr>
          <w:spacing w:val="-2"/>
        </w:rPr>
        <w:t>为指导思想，在</w:t>
      </w:r>
      <w:r>
        <w:rPr>
          <w:spacing w:val="-45"/>
        </w:rPr>
        <w:t> </w:t>
      </w:r>
      <w:r>
        <w:rPr>
          <w:spacing w:val="-45"/>
        </w:rPr>
      </w:r>
      <w:r>
        <w:rPr>
          <w:spacing w:val="-3"/>
        </w:rPr>
        <w:t>董事会的领导下，在公司全体员工的努力下，克服经济形势复杂多变、金融</w:t>
      </w:r>
      <w:r>
        <w:rPr>
          <w:rFonts w:ascii="Times New Roman" w:hAnsi="Times New Roman" w:cs="Times New Roman" w:eastAsia="Times New Roman" w:hint="default"/>
          <w:spacing w:val="-3"/>
        </w:rPr>
        <w:t>IT</w:t>
      </w:r>
      <w:r>
        <w:rPr>
          <w:spacing w:val="-3"/>
        </w:rPr>
        <w:t>投资放缓、实体企业经营困难等诸多不利因素，</w:t>
      </w:r>
      <w:r>
        <w:rPr>
          <w:spacing w:val="-85"/>
        </w:rPr>
        <w:t> </w:t>
      </w:r>
      <w:r>
        <w:rPr>
          <w:spacing w:val="-85"/>
        </w:rPr>
      </w:r>
      <w:r>
        <w:rPr/>
        <w:t>较好的完成了各项经营任务。</w:t>
      </w:r>
    </w:p>
    <w:p>
      <w:pPr>
        <w:pStyle w:val="BodyText"/>
        <w:spacing w:line="300" w:lineRule="auto" w:before="70"/>
        <w:ind w:right="93" w:firstLine="360"/>
        <w:jc w:val="left"/>
        <w:rPr>
          <w:rFonts w:ascii="宋体" w:hAnsi="宋体" w:cs="宋体" w:eastAsia="宋体" w:hint="default"/>
        </w:rPr>
      </w:pPr>
      <w:r>
        <w:rPr/>
        <w:t>报告期内，公司实现营业收入</w:t>
      </w:r>
      <w:r>
        <w:rPr>
          <w:rFonts w:ascii="Times New Roman" w:hAnsi="Times New Roman" w:cs="Times New Roman" w:eastAsia="Times New Roman" w:hint="default"/>
        </w:rPr>
        <w:t>23.16</w:t>
      </w:r>
      <w:r>
        <w:rPr/>
        <w:t>亿元，比上年同期增长</w:t>
      </w:r>
      <w:r>
        <w:rPr>
          <w:rFonts w:ascii="Times New Roman" w:hAnsi="Times New Roman" w:cs="Times New Roman" w:eastAsia="Times New Roman" w:hint="default"/>
        </w:rPr>
        <w:t>7.32%</w:t>
      </w:r>
      <w:r>
        <w:rPr/>
        <w:t>；归属于上市公司股东的净利润</w:t>
      </w:r>
      <w:r>
        <w:rPr>
          <w:rFonts w:ascii="Times New Roman" w:hAnsi="Times New Roman" w:cs="Times New Roman" w:eastAsia="Times New Roman" w:hint="default"/>
        </w:rPr>
        <w:t>2,198</w:t>
      </w:r>
      <w:r>
        <w:rPr/>
        <w:t>万元，比上年同 期增长</w:t>
      </w:r>
      <w:r>
        <w:rPr>
          <w:rFonts w:ascii="Times New Roman" w:hAnsi="Times New Roman" w:cs="Times New Roman" w:eastAsia="Times New Roman" w:hint="default"/>
        </w:rPr>
        <w:t>6.26%</w:t>
      </w:r>
      <w:r>
        <w:rPr/>
        <w:t>。报告期内，公司各项重点工作开展情况如下：</w:t>
      </w:r>
      <w:r>
        <w:rPr>
          <w:rFonts w:ascii="宋体" w:hAnsi="宋体" w:cs="宋体" w:eastAsia="宋体" w:hint="default"/>
        </w:rPr>
        <w:t> </w:t>
      </w:r>
    </w:p>
    <w:p>
      <w:pPr>
        <w:pStyle w:val="BodyText"/>
        <w:spacing w:line="360" w:lineRule="auto" w:before="53"/>
        <w:ind w:left="513" w:right="93"/>
        <w:jc w:val="left"/>
      </w:pPr>
      <w:r>
        <w:rPr/>
        <w:t>（一）进一步完善集团管控体系，不断强化平台支撑能力</w:t>
      </w:r>
      <w:r>
        <w:rPr>
          <w:rFonts w:ascii="宋体" w:hAnsi="宋体" w:cs="宋体" w:eastAsia="宋体" w:hint="default"/>
        </w:rPr>
        <w:t> </w:t>
      </w:r>
      <w:r>
        <w:rPr>
          <w:spacing w:val="-4"/>
        </w:rPr>
        <w:t>报告期内，公司进一步强化集团管控和过程管控，完善职能平台建设；公司全面推行基于阿米巴的自主经营体管理模式，</w:t>
      </w:r>
    </w:p>
    <w:p>
      <w:pPr>
        <w:pStyle w:val="BodyText"/>
        <w:spacing w:line="222" w:lineRule="exact"/>
        <w:ind w:right="0"/>
        <w:jc w:val="both"/>
      </w:pPr>
      <w:r>
        <w:rPr/>
        <w:t>完善了人力资源系统、合同管理系统、授权管理系统，完成集团财务系统优化，通过信息系统的建设控制经营风险，支撑经</w:t>
      </w:r>
    </w:p>
    <w:p>
      <w:pPr>
        <w:pStyle w:val="BodyText"/>
        <w:spacing w:line="240" w:lineRule="auto" w:before="76"/>
        <w:ind w:right="0"/>
        <w:jc w:val="both"/>
        <w:rPr>
          <w:rFonts w:ascii="宋体" w:hAnsi="宋体" w:cs="宋体" w:eastAsia="宋体" w:hint="default"/>
        </w:rPr>
      </w:pPr>
      <w:r>
        <w:rPr/>
        <w:t>营决策。</w:t>
      </w:r>
      <w:r>
        <w:rPr>
          <w:rFonts w:ascii="宋体" w:hAnsi="宋体" w:cs="宋体" w:eastAsia="宋体" w:hint="default"/>
        </w:rPr>
        <w:t> </w:t>
      </w:r>
    </w:p>
    <w:p>
      <w:pPr>
        <w:pStyle w:val="BodyText"/>
        <w:spacing w:line="360" w:lineRule="auto" w:before="115"/>
        <w:ind w:left="513" w:right="93"/>
        <w:jc w:val="left"/>
      </w:pPr>
      <w:r>
        <w:rPr/>
        <w:t>（二）软件业务规模效率双提升</w:t>
      </w:r>
      <w:r>
        <w:rPr>
          <w:rFonts w:ascii="宋体" w:hAnsi="宋体" w:cs="宋体" w:eastAsia="宋体" w:hint="default"/>
        </w:rPr>
        <w:t> </w:t>
      </w:r>
      <w:r>
        <w:rPr>
          <w:spacing w:val="-2"/>
        </w:rPr>
        <w:t>报告期内，公司软件业务深入贯彻公司战略，不断细化管理、提升经营效率，聚焦客户、聚焦产品。在邮储、光大、建</w:t>
      </w:r>
    </w:p>
    <w:p>
      <w:pPr>
        <w:pStyle w:val="BodyText"/>
        <w:spacing w:line="222" w:lineRule="exact"/>
        <w:ind w:right="0"/>
        <w:jc w:val="both"/>
      </w:pPr>
      <w:r>
        <w:rPr>
          <w:spacing w:val="-2"/>
        </w:rPr>
        <w:t>行、中行等战略客户积极拓展新业务领域；在新疆银行获得合同规模</w:t>
      </w:r>
      <w:r>
        <w:rPr>
          <w:rFonts w:ascii="宋体" w:hAnsi="宋体" w:cs="宋体" w:eastAsia="宋体" w:hint="default"/>
          <w:spacing w:val="-2"/>
        </w:rPr>
        <w:t>1.8</w:t>
      </w:r>
      <w:r>
        <w:rPr>
          <w:spacing w:val="-2"/>
        </w:rPr>
        <w:t>亿元的项目；进入中国人寿、中国人保、泰康人寿、</w:t>
      </w:r>
    </w:p>
    <w:p>
      <w:pPr>
        <w:pStyle w:val="BodyText"/>
        <w:spacing w:line="240" w:lineRule="auto" w:before="76"/>
        <w:ind w:right="0"/>
        <w:jc w:val="both"/>
        <w:rPr>
          <w:rFonts w:ascii="宋体" w:hAnsi="宋体" w:cs="宋体" w:eastAsia="宋体" w:hint="default"/>
        </w:rPr>
      </w:pPr>
      <w:r>
        <w:rPr/>
        <w:t>建信财险等非银行金融领域。</w:t>
      </w:r>
      <w:r>
        <w:rPr>
          <w:rFonts w:ascii="宋体" w:hAnsi="宋体" w:cs="宋体" w:eastAsia="宋体" w:hint="default"/>
        </w:rPr>
        <w:t> </w:t>
      </w:r>
    </w:p>
    <w:p>
      <w:pPr>
        <w:pStyle w:val="BodyText"/>
        <w:spacing w:line="357" w:lineRule="auto" w:before="117"/>
        <w:ind w:left="513" w:right="93"/>
        <w:jc w:val="left"/>
      </w:pPr>
      <w:r>
        <w:rPr/>
        <w:t>（三）集成服务业务规模创新高</w:t>
      </w:r>
      <w:r>
        <w:rPr>
          <w:rFonts w:ascii="宋体" w:hAnsi="宋体" w:cs="宋体" w:eastAsia="宋体" w:hint="default"/>
        </w:rPr>
        <w:t> </w:t>
      </w:r>
      <w:r>
        <w:rPr>
          <w:spacing w:val="-4"/>
        </w:rPr>
        <w:t>报告期内，公司集成业务坚持创新研发，服务智能化，加强新技术应用，提升项目执行效率及质量。全年获得广西农信、</w:t>
      </w:r>
    </w:p>
    <w:p>
      <w:pPr>
        <w:pStyle w:val="BodyText"/>
        <w:spacing w:line="224" w:lineRule="exact"/>
        <w:ind w:right="0"/>
        <w:jc w:val="both"/>
      </w:pPr>
      <w:r>
        <w:rPr/>
        <w:t>农行全行</w:t>
      </w:r>
      <w:r>
        <w:rPr>
          <w:rFonts w:ascii="宋体" w:hAnsi="宋体" w:cs="宋体" w:eastAsia="宋体" w:hint="default"/>
        </w:rPr>
        <w:t>IP</w:t>
      </w:r>
      <w:r>
        <w:rPr/>
        <w:t>电话系统等项目；不断拓展新客户，数据中心高级服务业务全面开花；在数据中心自动化、云管理等方面持续深</w:t>
      </w:r>
    </w:p>
    <w:p>
      <w:pPr>
        <w:pStyle w:val="BodyText"/>
        <w:spacing w:line="240" w:lineRule="auto" w:before="76"/>
        <w:ind w:right="0"/>
        <w:jc w:val="both"/>
        <w:rPr>
          <w:rFonts w:ascii="宋体" w:hAnsi="宋体" w:cs="宋体" w:eastAsia="宋体" w:hint="default"/>
        </w:rPr>
      </w:pPr>
      <w:r>
        <w:rPr/>
        <w:t>入，为业务转型不断积累经验。</w:t>
      </w:r>
      <w:r>
        <w:rPr>
          <w:rFonts w:ascii="宋体" w:hAnsi="宋体" w:cs="宋体" w:eastAsia="宋体" w:hint="default"/>
        </w:rPr>
        <w:t> </w:t>
      </w:r>
    </w:p>
    <w:p>
      <w:pPr>
        <w:pStyle w:val="BodyText"/>
        <w:spacing w:line="360" w:lineRule="auto" w:before="117"/>
        <w:ind w:left="513" w:right="93"/>
        <w:jc w:val="left"/>
      </w:pPr>
      <w:r>
        <w:rPr/>
        <w:t>（四）产品服务业务需求驱动转型</w:t>
      </w:r>
      <w:r>
        <w:rPr>
          <w:rFonts w:ascii="宋体" w:hAnsi="宋体" w:cs="宋体" w:eastAsia="宋体" w:hint="default"/>
        </w:rPr>
        <w:t> </w:t>
      </w:r>
      <w:r>
        <w:rPr>
          <w:spacing w:val="-2"/>
        </w:rPr>
        <w:t>报告期内，公司产品业务积极应对客户变化，通过业务转型调整，围绕银行业务转型主线来打造产品、方案、市场和服</w:t>
      </w:r>
    </w:p>
    <w:p>
      <w:pPr>
        <w:pStyle w:val="BodyText"/>
        <w:spacing w:line="222" w:lineRule="exact"/>
        <w:ind w:right="0"/>
        <w:jc w:val="both"/>
      </w:pPr>
      <w:r>
        <w:rPr/>
        <w:t>务能力，准确定位核心行业客户；智能柜台设备、移动展业设备均成功入围；在网点智能化建设、柜面业务流程再造、网点</w:t>
      </w:r>
    </w:p>
    <w:p>
      <w:pPr>
        <w:pStyle w:val="BodyText"/>
        <w:spacing w:line="240" w:lineRule="auto" w:before="76"/>
        <w:ind w:right="0"/>
        <w:jc w:val="both"/>
        <w:rPr>
          <w:rFonts w:ascii="宋体" w:hAnsi="宋体" w:cs="宋体" w:eastAsia="宋体" w:hint="default"/>
        </w:rPr>
      </w:pPr>
      <w:r>
        <w:rPr/>
        <w:t>业务流程再造方面均取得一定成效。</w:t>
      </w:r>
      <w:r>
        <w:rPr>
          <w:rFonts w:ascii="宋体" w:hAnsi="宋体" w:cs="宋体" w:eastAsia="宋体" w:hint="default"/>
        </w:rPr>
        <w:t> </w:t>
      </w:r>
    </w:p>
    <w:p>
      <w:pPr>
        <w:pStyle w:val="BodyText"/>
        <w:spacing w:line="360" w:lineRule="auto" w:before="115"/>
        <w:ind w:left="513" w:right="93"/>
        <w:jc w:val="left"/>
      </w:pPr>
      <w:r>
        <w:rPr/>
        <w:t>（五）智慧城市业务实质性突破</w:t>
      </w:r>
      <w:r>
        <w:rPr>
          <w:rFonts w:ascii="宋体" w:hAnsi="宋体" w:cs="宋体" w:eastAsia="宋体" w:hint="default"/>
        </w:rPr>
        <w:t> </w:t>
      </w:r>
      <w:r>
        <w:rPr/>
        <w:t>报告期内，公司智慧城市业务取得重要突破，一批智慧城市重要项目成功落地，业务拓展到昆明、武汉、曲靖、德宏、</w:t>
      </w:r>
    </w:p>
    <w:p>
      <w:pPr>
        <w:pStyle w:val="BodyText"/>
        <w:spacing w:line="222" w:lineRule="exact"/>
        <w:ind w:right="0"/>
        <w:jc w:val="both"/>
        <w:rPr>
          <w:rFonts w:ascii="宋体" w:hAnsi="宋体" w:cs="宋体" w:eastAsia="宋体" w:hint="default"/>
        </w:rPr>
      </w:pPr>
      <w:r>
        <w:rPr/>
        <w:t>弥勒等多个城市，持续整合优质资源，打造智慧城市业务生态圈。</w:t>
      </w:r>
      <w:r>
        <w:rPr>
          <w:rFonts w:ascii="宋体" w:hAnsi="宋体" w:cs="宋体" w:eastAsia="宋体" w:hint="default"/>
        </w:rPr>
        <w:t> </w:t>
      </w:r>
    </w:p>
    <w:p>
      <w:pPr>
        <w:pStyle w:val="BodyText"/>
        <w:spacing w:line="357" w:lineRule="auto" w:before="117"/>
        <w:ind w:left="513" w:right="93"/>
        <w:jc w:val="left"/>
      </w:pPr>
      <w:r>
        <w:rPr/>
        <w:t>（六）研发创新驱动业务能力提升</w:t>
      </w:r>
      <w:r>
        <w:rPr>
          <w:rFonts w:ascii="宋体" w:hAnsi="宋体" w:cs="宋体" w:eastAsia="宋体" w:hint="default"/>
        </w:rPr>
        <w:t> </w:t>
      </w:r>
      <w:r>
        <w:rPr>
          <w:spacing w:val="-2"/>
        </w:rPr>
        <w:t>报告期内，公司成立创新业务发展部，创新业务依托多年的行业经验和技术积累，推动新兴技术在金融行业的应用场景</w:t>
      </w:r>
    </w:p>
    <w:p>
      <w:pPr>
        <w:pStyle w:val="BodyText"/>
        <w:spacing w:line="224" w:lineRule="exact"/>
        <w:ind w:right="0"/>
        <w:jc w:val="both"/>
      </w:pPr>
      <w:r>
        <w:rPr/>
        <w:t>落地，多个创新项目完成了计算机软件著作权登记。公司继续研发一体化云管理平台、分布式交易处理云平台、移动金融创</w:t>
      </w:r>
    </w:p>
    <w:p>
      <w:pPr>
        <w:pStyle w:val="BodyText"/>
        <w:spacing w:line="316" w:lineRule="auto" w:before="76"/>
        <w:ind w:right="93"/>
        <w:jc w:val="left"/>
        <w:rPr>
          <w:rFonts w:ascii="宋体" w:hAnsi="宋体" w:cs="宋体" w:eastAsia="宋体" w:hint="default"/>
        </w:rPr>
      </w:pPr>
      <w:r>
        <w:rPr/>
        <w:t>新、银行全渠道融合业务平台、大数据应用创新、</w:t>
      </w:r>
      <w:r>
        <w:rPr>
          <w:rFonts w:ascii="宋体" w:hAnsi="宋体" w:cs="宋体" w:eastAsia="宋体" w:hint="default"/>
        </w:rPr>
        <w:t>SDN</w:t>
      </w:r>
      <w:r>
        <w:rPr/>
        <w:t>网络工具开发、运维安全数据智能分析工具、云管平台</w:t>
      </w:r>
      <w:r>
        <w:rPr>
          <w:rFonts w:ascii="宋体" w:hAnsi="宋体" w:cs="宋体" w:eastAsia="宋体" w:hint="default"/>
        </w:rPr>
        <w:t>SDN</w:t>
      </w:r>
      <w:r>
        <w:rPr/>
        <w:t>网络纳管、 移动柜台整体解决方案等，提升公司核心竞争能力，积极推进研发产品落地。</w:t>
      </w:r>
      <w:r>
        <w:rPr>
          <w:rFonts w:ascii="宋体" w:hAnsi="宋体" w:cs="宋体" w:eastAsia="宋体" w:hint="default"/>
        </w:rPr>
        <w:t> </w:t>
      </w:r>
    </w:p>
    <w:p>
      <w:pPr>
        <w:pStyle w:val="BodyText"/>
        <w:spacing w:line="360" w:lineRule="auto" w:before="59"/>
        <w:ind w:left="513" w:right="93"/>
        <w:jc w:val="left"/>
      </w:pPr>
      <w:r>
        <w:rPr/>
        <w:t>（七）品牌规划引领提升企业价值</w:t>
      </w:r>
      <w:r>
        <w:rPr>
          <w:rFonts w:ascii="宋体" w:hAnsi="宋体" w:cs="宋体" w:eastAsia="宋体" w:hint="default"/>
        </w:rPr>
        <w:t> </w:t>
      </w:r>
      <w:r>
        <w:rPr>
          <w:spacing w:val="-2"/>
        </w:rPr>
        <w:t>报告期内，公司设立品牌管理部，启动品牌管理规划和咨询项目，强化战略型品牌管理，在品牌打造上强化南天在金融</w:t>
      </w:r>
    </w:p>
    <w:p>
      <w:pPr>
        <w:pStyle w:val="BodyText"/>
        <w:spacing w:line="222" w:lineRule="exact"/>
        <w:ind w:right="0"/>
        <w:jc w:val="both"/>
      </w:pPr>
      <w:r>
        <w:rPr>
          <w:rFonts w:ascii="宋体" w:hAnsi="宋体" w:cs="宋体" w:eastAsia="宋体" w:hint="default"/>
        </w:rPr>
        <w:t>IT</w:t>
      </w:r>
      <w:r>
        <w:rPr/>
        <w:t>行业领军方案商地位，积极扩大公司业务的市场影响力。</w:t>
      </w:r>
      <w:r>
        <w:rPr>
          <w:rFonts w:ascii="宋体" w:hAnsi="宋体" w:cs="宋体" w:eastAsia="宋体" w:hint="default"/>
        </w:rPr>
        <w:t>2017</w:t>
      </w:r>
      <w:r>
        <w:rPr/>
        <w:t>年，公司再次成为全国</w:t>
      </w:r>
      <w:r>
        <w:rPr>
          <w:rFonts w:ascii="宋体" w:hAnsi="宋体" w:cs="宋体" w:eastAsia="宋体" w:hint="default"/>
        </w:rPr>
        <w:t>39</w:t>
      </w:r>
      <w:r>
        <w:rPr/>
        <w:t>家之一、西南地区唯一的“信息系</w:t>
      </w:r>
    </w:p>
    <w:p>
      <w:pPr>
        <w:pStyle w:val="BodyText"/>
        <w:spacing w:line="316" w:lineRule="auto" w:before="76"/>
        <w:ind w:right="191"/>
        <w:jc w:val="both"/>
        <w:rPr>
          <w:rFonts w:ascii="宋体" w:hAnsi="宋体" w:cs="宋体" w:eastAsia="宋体" w:hint="default"/>
        </w:rPr>
      </w:pPr>
      <w:r>
        <w:rPr>
          <w:spacing w:val="-2"/>
        </w:rPr>
        <w:t>统集成及服务大型一级企业”，入围“</w:t>
      </w:r>
      <w:r>
        <w:rPr>
          <w:rFonts w:ascii="宋体" w:hAnsi="宋体" w:cs="宋体" w:eastAsia="宋体" w:hint="default"/>
          <w:spacing w:val="-2"/>
        </w:rPr>
        <w:t>2017</w:t>
      </w:r>
      <w:r>
        <w:rPr>
          <w:spacing w:val="-2"/>
        </w:rPr>
        <w:t>年中国软件收入前百家企业”，“</w:t>
      </w:r>
      <w:r>
        <w:rPr>
          <w:rFonts w:ascii="宋体" w:hAnsi="宋体" w:cs="宋体" w:eastAsia="宋体" w:hint="default"/>
          <w:spacing w:val="-2"/>
        </w:rPr>
        <w:t>2017</w:t>
      </w:r>
      <w:r>
        <w:rPr>
          <w:spacing w:val="-2"/>
        </w:rPr>
        <w:t>年中国软件和信息技术服务综合竞争力百</w:t>
      </w:r>
      <w:r>
        <w:rPr>
          <w:spacing w:val="-60"/>
        </w:rPr>
        <w:t> </w:t>
      </w:r>
      <w:r>
        <w:rPr>
          <w:spacing w:val="-60"/>
        </w:rPr>
      </w:r>
      <w:r>
        <w:rPr>
          <w:spacing w:val="-2"/>
        </w:rPr>
        <w:t>强企业”，荣膺“</w:t>
      </w:r>
      <w:r>
        <w:rPr>
          <w:rFonts w:ascii="宋体" w:hAnsi="宋体" w:cs="宋体" w:eastAsia="宋体" w:hint="default"/>
          <w:spacing w:val="-2"/>
        </w:rPr>
        <w:t>2017</w:t>
      </w:r>
      <w:r>
        <w:rPr>
          <w:spacing w:val="-2"/>
        </w:rPr>
        <w:t>中国软件和信息服务业最具影响力的行业（金融行业）品牌”；荣获工业和信息化部国际经济技术合</w:t>
      </w:r>
      <w:r>
        <w:rPr>
          <w:spacing w:val="-69"/>
        </w:rPr>
        <w:t> </w:t>
      </w:r>
      <w:r>
        <w:rPr>
          <w:spacing w:val="-69"/>
        </w:rPr>
      </w:r>
      <w:r>
        <w:rPr/>
        <w:t>作中心颁发“</w:t>
      </w:r>
      <w:r>
        <w:rPr>
          <w:rFonts w:ascii="宋体" w:hAnsi="宋体" w:cs="宋体" w:eastAsia="宋体" w:hint="default"/>
        </w:rPr>
        <w:t>Cloud China2017</w:t>
      </w:r>
      <w:r>
        <w:rPr>
          <w:rFonts w:ascii="宋体" w:hAnsi="宋体" w:cs="宋体" w:eastAsia="宋体" w:hint="default"/>
          <w:spacing w:val="-6"/>
        </w:rPr>
        <w:t> </w:t>
      </w:r>
      <w:r>
        <w:rPr/>
        <w:t>云帆奖</w:t>
      </w:r>
      <w:r>
        <w:rPr>
          <w:rFonts w:ascii="宋体" w:hAnsi="宋体" w:cs="宋体" w:eastAsia="宋体" w:hint="default"/>
        </w:rPr>
        <w:t>-</w:t>
      </w:r>
      <w:r>
        <w:rPr/>
        <w:t>云计算最具成长力企业”奖等荣誉。</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54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2,315,809,791.16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2,157,812,325.80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软件和信息技术服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2,290,508,466.85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2,132,567,208.83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25,301,324.31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25,245,116.97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411,793,365.00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439,434,837.49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490,747,491.68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475,999,423.70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集成业务及服务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1,387,967,610.17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 w:right="0"/>
              <w:jc w:val="left"/>
              <w:rPr>
                <w:rFonts w:ascii="Times New Roman" w:hAnsi="Times New Roman" w:cs="Times New Roman" w:eastAsia="Times New Roman" w:hint="default"/>
                <w:sz w:val="18"/>
                <w:szCs w:val="18"/>
              </w:rPr>
            </w:pPr>
            <w:r>
              <w:rPr>
                <w:rFonts w:ascii="Times New Roman"/>
                <w:sz w:val="18"/>
              </w:rPr>
              <w:t>1,217,132,947.64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25,301,324.31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25,245,116.97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952,007,872.64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961,030,389.72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336,138,884.37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284,628,232.77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625,017,039.73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494,526,289.68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324,911,799.29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317,001,488.73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25,681,527.56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23,677,875.07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26,751,343.26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51,702,932.86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25,301,324.31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25,245,116.97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4" w:space="5707"/>
            <w:col w:w="1029"/>
          </w:cols>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6"/>
        <w:gridCol w:w="1369"/>
        <w:gridCol w:w="1366"/>
        <w:gridCol w:w="1366"/>
        <w:gridCol w:w="1369"/>
        <w:gridCol w:w="1366"/>
        <w:gridCol w:w="1373"/>
      </w:tblGrid>
      <w:tr>
        <w:trPr>
          <w:trHeight w:val="71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2,290,508,466.85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1,743,003,424.35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25,301,324.31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12,353,691.14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9.84%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信息产品及服务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411,793,365.00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305,447,907.40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490,747,491.68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202,262,435.46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集成业务及服务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Arial Narrow" w:hAnsi="Arial Narrow" w:cs="Arial Narrow" w:eastAsia="Arial Narrow" w:hint="default"/>
                <w:sz w:val="18"/>
                <w:szCs w:val="18"/>
              </w:rPr>
            </w:pPr>
            <w:r>
              <w:rPr>
                <w:rFonts w:ascii="Arial Narrow"/>
                <w:spacing w:val="-1"/>
                <w:sz w:val="18"/>
              </w:rPr>
              <w:t>1,387,967,610.17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1,235,293,081.49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952,007,872.64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747,994,620.98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336,138,884.37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237,799,938.82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625,017,039.73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470,354,282.15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324,911,799.29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250,460,809.73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-0.28%</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25,681,527.56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18,002,480.39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26,751,343.26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18,391,292.28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608"/>
        <w:gridCol w:w="1571"/>
        <w:gridCol w:w="1605"/>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-17.97%</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否</w:t>
      </w:r>
    </w:p>
    <w:p>
      <w:pPr>
        <w:pStyle w:val="BodyText"/>
        <w:spacing w:line="316" w:lineRule="auto" w:before="43"/>
        <w:ind w:left="513" w:right="0"/>
        <w:jc w:val="left"/>
      </w:pPr>
      <w:r>
        <w:rPr/>
        <w:t>中标新疆银行股份有限公司信息应用系统开发总集成项目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月中标新疆银行信息应用系统开发总集成项目，项目金额为</w:t>
      </w:r>
      <w:r>
        <w:rPr>
          <w:rFonts w:ascii="Times New Roman" w:hAnsi="Times New Roman" w:cs="Times New Roman" w:eastAsia="Times New Roman" w:hint="default"/>
          <w:spacing w:val="-1"/>
        </w:rPr>
        <w:t>1.862</w:t>
      </w:r>
      <w:r>
        <w:rPr>
          <w:spacing w:val="-1"/>
        </w:rPr>
        <w:t>亿元人民币。报告期内，公司与新疆银</w:t>
      </w:r>
    </w:p>
    <w:p>
      <w:pPr>
        <w:pStyle w:val="BodyText"/>
        <w:spacing w:line="340" w:lineRule="auto"/>
        <w:ind w:left="513" w:right="0" w:hanging="360"/>
        <w:jc w:val="left"/>
      </w:pPr>
      <w:r>
        <w:rPr/>
        <w:t>行正式签订了《新疆银行信息应用系统开发总集成项目合同》，合同总金额为</w:t>
      </w:r>
      <w:r>
        <w:rPr>
          <w:rFonts w:ascii="Times New Roman" w:hAnsi="Times New Roman" w:cs="Times New Roman" w:eastAsia="Times New Roman" w:hint="default"/>
        </w:rPr>
        <w:t>1.862</w:t>
      </w:r>
      <w:r>
        <w:rPr/>
        <w:t>亿元人民币。 </w:t>
      </w:r>
      <w:r>
        <w:rPr>
          <w:spacing w:val="-2"/>
        </w:rPr>
        <w:t>上述具体内容详见公司于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日在《证券时报》、《中国证券报》、《上海证券报》、《证券</w:t>
      </w:r>
    </w:p>
    <w:p>
      <w:pPr>
        <w:pStyle w:val="BodyText"/>
        <w:spacing w:line="228" w:lineRule="exact"/>
        <w:ind w:right="0"/>
        <w:jc w:val="left"/>
      </w:pPr>
      <w:r>
        <w:rPr/>
        <w:t>日报》及巨潮资讯网（</w:t>
      </w:r>
      <w:hyperlink r:id="rId9">
        <w:r>
          <w:rPr>
            <w:rFonts w:ascii="Times New Roman" w:hAnsi="Times New Roman" w:cs="Times New Roman" w:eastAsia="Times New Roman" w:hint="default"/>
          </w:rPr>
          <w:t>http://www.cninfo.com.cn</w:t>
        </w:r>
      </w:hyperlink>
      <w:r>
        <w:rPr/>
        <w:t>）上刊载的《项目中标提示性公告》（公告编号：</w:t>
      </w:r>
      <w:r>
        <w:rPr>
          <w:rFonts w:ascii="Times New Roman" w:hAnsi="Times New Roman" w:cs="Times New Roman" w:eastAsia="Times New Roman" w:hint="default"/>
        </w:rPr>
        <w:t>2017-030</w:t>
      </w:r>
      <w:r>
        <w:rPr/>
        <w:t>）、《关于中标</w:t>
      </w:r>
    </w:p>
    <w:p>
      <w:pPr>
        <w:spacing w:after="0" w:line="228" w:lineRule="exact"/>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left="513" w:right="0" w:hanging="360"/>
        <w:jc w:val="left"/>
      </w:pPr>
      <w:r>
        <w:rPr/>
        <w:t>项目签订合同的进展公告》（</w:t>
      </w:r>
      <w:r>
        <w:rPr>
          <w:rFonts w:ascii="Times New Roman" w:hAnsi="Times New Roman" w:cs="Times New Roman" w:eastAsia="Times New Roman" w:hint="default"/>
        </w:rPr>
        <w:t>2017-037</w:t>
      </w:r>
      <w:r>
        <w:rPr/>
        <w:t>）。</w:t>
      </w:r>
      <w:r>
        <w:rPr>
          <w:rFonts w:ascii="宋体" w:hAnsi="宋体" w:cs="宋体" w:eastAsia="宋体" w:hint="default"/>
        </w:rPr>
        <w:t> </w:t>
      </w:r>
      <w:r>
        <w:rPr>
          <w:spacing w:val="-2"/>
        </w:rPr>
        <w:t>截止</w:t>
      </w:r>
      <w:r>
        <w:rPr>
          <w:rFonts w:ascii="宋体" w:hAnsi="宋体" w:cs="宋体" w:eastAsia="宋体" w:hint="default"/>
          <w:spacing w:val="-2"/>
        </w:rPr>
        <w:t>2017</w:t>
      </w:r>
      <w:r>
        <w:rPr>
          <w:spacing w:val="-2"/>
        </w:rPr>
        <w:t>年底，新疆银行信息应用系统开发总集成项目各项实施工作按项目计划正常推进，需求讨论及确认工作基本结</w:t>
      </w:r>
    </w:p>
    <w:p>
      <w:pPr>
        <w:pStyle w:val="BodyText"/>
        <w:spacing w:line="316" w:lineRule="auto" w:before="1"/>
        <w:ind w:right="0"/>
        <w:jc w:val="left"/>
        <w:rPr>
          <w:rFonts w:ascii="宋体" w:hAnsi="宋体" w:cs="宋体" w:eastAsia="宋体" w:hint="default"/>
        </w:rPr>
      </w:pPr>
      <w:r>
        <w:rPr>
          <w:spacing w:val="-2"/>
        </w:rPr>
        <w:t>束，系统设计工作在进行中。因</w:t>
      </w:r>
      <w:r>
        <w:rPr>
          <w:rFonts w:ascii="宋体" w:hAnsi="宋体" w:cs="宋体" w:eastAsia="宋体" w:hint="default"/>
          <w:spacing w:val="-2"/>
        </w:rPr>
        <w:t>2017</w:t>
      </w:r>
      <w:r>
        <w:rPr>
          <w:spacing w:val="-2"/>
        </w:rPr>
        <w:t>年主要处于项目准备及启动阶段，相关合同收入未确认在</w:t>
      </w:r>
      <w:r>
        <w:rPr>
          <w:rFonts w:ascii="宋体" w:hAnsi="宋体" w:cs="宋体" w:eastAsia="宋体" w:hint="default"/>
          <w:spacing w:val="-2"/>
        </w:rPr>
        <w:t>2017</w:t>
      </w:r>
      <w:r>
        <w:rPr>
          <w:spacing w:val="-2"/>
        </w:rPr>
        <w:t>年，该合同的相关收入预</w:t>
      </w:r>
      <w:r>
        <w:rPr>
          <w:spacing w:val="-58"/>
        </w:rPr>
        <w:t> </w:t>
      </w:r>
      <w:r>
        <w:rPr>
          <w:spacing w:val="-58"/>
        </w:rPr>
      </w:r>
      <w:r>
        <w:rPr/>
        <w:t>计在未来三年逐步确认。</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1,532,805,159.18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1,436,316,692.39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193,179,480.39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154,013,141.51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25.43%</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21,208,530.79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28,147,854.23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8,163,945.13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14,811,980.26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-44.88%</w:t>
            </w:r>
          </w:p>
        </w:tc>
      </w:tr>
    </w:tbl>
    <w:p>
      <w:pPr>
        <w:pStyle w:val="BodyText"/>
        <w:spacing w:line="240" w:lineRule="auto" w:before="49"/>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信息产品及服务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275,562,161.34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310,351,958.29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23,203,205.69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20,589,787.52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6,682,540.38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11,410,394.06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-41.43%</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92,985,562.52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126,799,581.75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-26.67%</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99,672,085.96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73,384,152.05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35.82%</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9,604,786.97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11,093,672.11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-13.42%</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系统集成及服务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1,160,067,689.32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999,165,152.35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16.10%</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70,304,188.73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60,039,201.94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4,921,203.44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5,643,788.06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4245"/>
        <w:gridCol w:w="5323"/>
      </w:tblGrid>
      <w:tr>
        <w:trPr>
          <w:trHeight w:val="402"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538,134,158.30</w:t>
            </w:r>
          </w:p>
        </w:tc>
      </w:tr>
      <w:tr>
        <w:trPr>
          <w:trHeight w:val="402"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23.50%</w:t>
            </w:r>
          </w:p>
        </w:tc>
      </w:tr>
      <w:tr>
        <w:trPr>
          <w:trHeight w:val="715"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774"/>
        <w:gridCol w:w="3316"/>
        <w:gridCol w:w="2324"/>
        <w:gridCol w:w="3143"/>
      </w:tblGrid>
      <w:tr>
        <w:trPr>
          <w:trHeight w:val="401"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ZGGD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141,909,838.03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6.20%</w:t>
            </w:r>
          </w:p>
        </w:tc>
      </w:tr>
      <w:tr>
        <w:trPr>
          <w:trHeight w:val="401"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ZGYH</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118,414,700.84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ZGYZCX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114,398,083.14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4.99%</w:t>
            </w:r>
          </w:p>
        </w:tc>
      </w:tr>
      <w:tr>
        <w:trPr>
          <w:trHeight w:val="401"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GXZZZZQ</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农村信用社联合社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92,439,582.14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w:t>
            </w:r>
          </w:p>
        </w:tc>
      </w:tr>
      <w:tr>
        <w:trPr>
          <w:trHeight w:val="40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SCS </w:t>
            </w:r>
            <w:r>
              <w:rPr>
                <w:rFonts w:ascii="宋体" w:hAnsi="宋体" w:cs="宋体" w:eastAsia="宋体" w:hint="default"/>
                <w:sz w:val="18"/>
                <w:szCs w:val="18"/>
              </w:rPr>
              <w:t>农村信用社联合社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70,971,954.15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3.10%</w:t>
            </w:r>
          </w:p>
        </w:tc>
      </w:tr>
      <w:tr>
        <w:trPr>
          <w:trHeight w:val="40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538,134,158.30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23.50%</w:t>
            </w:r>
          </w:p>
        </w:tc>
      </w:tr>
    </w:tbl>
    <w:p>
      <w:pPr>
        <w:pStyle w:val="BodyText"/>
        <w:spacing w:line="240" w:lineRule="auto" w:before="49"/>
        <w:ind w:right="0"/>
        <w:jc w:val="left"/>
      </w:pPr>
      <w:r>
        <w:rPr/>
        <w:t>主要客户其他情况说明</w:t>
      </w:r>
    </w:p>
    <w:p>
      <w:pPr>
        <w:pStyle w:val="BodyText"/>
        <w:spacing w:line="340" w:lineRule="auto" w:before="115"/>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4245"/>
        <w:gridCol w:w="5323"/>
      </w:tblGrid>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511,406,185.16</w:t>
            </w:r>
          </w:p>
        </w:tc>
      </w:tr>
      <w:tr>
        <w:trPr>
          <w:trHeight w:val="401"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29.34%</w:t>
            </w:r>
          </w:p>
        </w:tc>
      </w:tr>
      <w:tr>
        <w:trPr>
          <w:trHeight w:val="716"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911"/>
        <w:gridCol w:w="3179"/>
        <w:gridCol w:w="2324"/>
        <w:gridCol w:w="3143"/>
      </w:tblGrid>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249,532,317.49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14.32%</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FTSDKJ</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83,496,448.76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4.79%</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LCDZXX </w:t>
            </w:r>
            <w:r>
              <w:rPr>
                <w:rFonts w:ascii="宋体" w:hAnsi="宋体" w:cs="宋体" w:eastAsia="宋体" w:hint="default"/>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65,358,922.00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WNSDKJ</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64,891,086.50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HMGTGYL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48,127,410.41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511,406,185.16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29.34%</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891"/>
        <w:gridCol w:w="1649"/>
        <w:gridCol w:w="1637"/>
        <w:gridCol w:w="1460"/>
        <w:gridCol w:w="2919"/>
      </w:tblGrid>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167,016,677.13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154,620,262.49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334,635,402.79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314,296,633.20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1915"/>
        <w:gridCol w:w="1637"/>
        <w:gridCol w:w="1637"/>
        <w:gridCol w:w="1460"/>
        <w:gridCol w:w="2919"/>
      </w:tblGrid>
      <w:tr>
        <w:trPr>
          <w:trHeight w:val="102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18,420,048.37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13,398,067.86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both"/>
              <w:rPr>
                <w:rFonts w:ascii="宋体" w:hAnsi="宋体" w:cs="宋体" w:eastAsia="宋体" w:hint="default"/>
                <w:sz w:val="18"/>
                <w:szCs w:val="18"/>
              </w:rPr>
            </w:pPr>
            <w:r>
              <w:rPr>
                <w:rFonts w:ascii="宋体" w:hAnsi="宋体" w:cs="宋体" w:eastAsia="宋体" w:hint="default"/>
                <w:spacing w:val="-2"/>
                <w:sz w:val="18"/>
                <w:szCs w:val="18"/>
              </w:rPr>
              <w:t>销售和投资规模较去年增加，公司资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金需求加大，融资规模扩大，利息支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报告期内，为加快公司发展战略的实施进程及持续提升公司主营产品和服务的技术水平，公司以市场需求为导向，继续</w:t>
      </w:r>
    </w:p>
    <w:p>
      <w:pPr>
        <w:pStyle w:val="BodyText"/>
        <w:spacing w:line="316" w:lineRule="auto" w:before="1"/>
        <w:ind w:right="0"/>
        <w:jc w:val="left"/>
      </w:pPr>
      <w:r>
        <w:rPr>
          <w:spacing w:val="-2"/>
        </w:rPr>
        <w:t>加大研发投入，主动开展各类新产品、新平台、新方案的研发，对产品与服务进行了持续的产品研发与技术升级，对银行分</w:t>
      </w:r>
      <w:r>
        <w:rPr>
          <w:spacing w:val="-67"/>
        </w:rPr>
        <w:t> </w:t>
      </w:r>
      <w:r>
        <w:rPr>
          <w:spacing w:val="-67"/>
        </w:rPr>
      </w:r>
      <w:r>
        <w:rPr/>
        <w:t>布式交易处理云平台、银行中间业务平台、智慧城市等开展进一步研究开发，并相应增加了部分研发人员的薪金报酬。</w:t>
      </w:r>
    </w:p>
    <w:p>
      <w:pPr>
        <w:pStyle w:val="BodyText"/>
        <w:spacing w:line="300" w:lineRule="auto" w:before="59"/>
        <w:ind w:right="140" w:firstLine="288"/>
        <w:jc w:val="left"/>
      </w:pPr>
      <w:r>
        <w:rPr/>
        <w:t>报告期内，公司研发支出总额</w:t>
      </w:r>
      <w:r>
        <w:rPr>
          <w:rFonts w:ascii="Times New Roman" w:hAnsi="Times New Roman" w:cs="Times New Roman" w:eastAsia="Times New Roman" w:hint="default"/>
        </w:rPr>
        <w:t>2.40</w:t>
      </w:r>
      <w:r>
        <w:rPr/>
        <w:t>亿元，分别占本期末净资产的</w:t>
      </w:r>
      <w:r>
        <w:rPr>
          <w:rFonts w:ascii="Times New Roman" w:hAnsi="Times New Roman" w:cs="Times New Roman" w:eastAsia="Times New Roman" w:hint="default"/>
        </w:rPr>
        <w:t>16.41%</w:t>
      </w:r>
      <w:r>
        <w:rPr/>
        <w:t>，占当期营业收入的</w:t>
      </w:r>
      <w:r>
        <w:rPr>
          <w:rFonts w:ascii="Times New Roman" w:hAnsi="Times New Roman" w:cs="Times New Roman" w:eastAsia="Times New Roman" w:hint="default"/>
        </w:rPr>
        <w:t>10.34%</w:t>
      </w:r>
      <w:r>
        <w:rPr/>
        <w:t>。公司计划将新研发 成果陆续推向市场，以期给公司带来更好收益。</w:t>
      </w:r>
    </w:p>
    <w:p>
      <w:pPr>
        <w:pStyle w:val="BodyText"/>
        <w:spacing w:line="240" w:lineRule="auto" w:before="70"/>
        <w:ind w:right="0"/>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8"/>
        <w:gridCol w:w="2404"/>
        <w:gridCol w:w="2393"/>
        <w:gridCol w:w="2391"/>
      </w:tblGrid>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18.98%</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239,511,084.86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216,980,960.10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10.38%</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20,920,410.76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2,857,947.66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632.01%</w:t>
            </w:r>
          </w:p>
        </w:tc>
      </w:tr>
      <w:tr>
        <w:trPr>
          <w:trHeight w:val="716"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8"/>
        <w:gridCol w:w="2404"/>
        <w:gridCol w:w="2393"/>
        <w:gridCol w:w="2391"/>
      </w:tblGrid>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2,482,149,087.05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2,520,531,397.91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2,538,292,906.12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2,451,248,164.51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3.55%</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-56,143,819.07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69,283,233.40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12,867,870.21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146,796,583.48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-91.23%</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51,243,047.33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317,243,117.10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-83.85%</w:t>
            </w:r>
          </w:p>
        </w:tc>
      </w:tr>
      <w:tr>
        <w:trPr>
          <w:trHeight w:val="715"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-38,375,177.12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-170,446,533.62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669,095,281.00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390,766,294.00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2380"/>
        <w:gridCol w:w="2404"/>
        <w:gridCol w:w="2393"/>
        <w:gridCol w:w="2391"/>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673,804,162.78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398,441,645.10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69.11%</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-4,708,881.78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-7,675,351.10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-99,693,244.92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-107,526,984.54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3"/>
        <w:ind w:right="150"/>
        <w:jc w:val="left"/>
      </w:pPr>
      <w:r>
        <w:rPr>
          <w:rFonts w:ascii="Times New Roman" w:hAnsi="Times New Roman" w:cs="Times New Roman" w:eastAsia="Times New Roman" w:hint="default"/>
        </w:rPr>
        <w:t>1</w:t>
      </w:r>
      <w:r>
        <w:rPr/>
        <w:t>、报告期内经营活动产生的现金流量净额</w:t>
      </w:r>
      <w:r>
        <w:rPr>
          <w:rFonts w:ascii="Times New Roman" w:hAnsi="Times New Roman" w:cs="Times New Roman" w:eastAsia="Times New Roman" w:hint="default"/>
        </w:rPr>
        <w:t>-56,143,819.07</w:t>
      </w:r>
      <w:r>
        <w:rPr/>
        <w:t>元，较上年同期下降</w:t>
      </w:r>
      <w:r>
        <w:rPr>
          <w:rFonts w:ascii="Times New Roman" w:hAnsi="Times New Roman" w:cs="Times New Roman" w:eastAsia="Times New Roman" w:hint="default"/>
        </w:rPr>
        <w:t>181.04%</w:t>
      </w:r>
      <w:r>
        <w:rPr/>
        <w:t>，主要是由于销售规模增加，</w:t>
      </w:r>
      <w:r>
        <w:rPr>
          <w:spacing w:val="-29"/>
        </w:rPr>
        <w:t> </w:t>
      </w:r>
      <w:r>
        <w:rPr/>
        <w:t>软件和</w:t>
      </w:r>
      <w:r>
        <w:rPr/>
        <w:t> 集成业务相继中标大金额合同，相应在下半年增加采购，导致经营现金净额为负数。 </w:t>
      </w:r>
      <w:r>
        <w:rPr>
          <w:rFonts w:ascii="Times New Roman" w:hAnsi="Times New Roman" w:cs="Times New Roman" w:eastAsia="Times New Roman" w:hint="default"/>
          <w:spacing w:val="-1"/>
        </w:rPr>
        <w:t>2</w:t>
      </w:r>
      <w:r>
        <w:rPr>
          <w:spacing w:val="-1"/>
        </w:rPr>
        <w:t>、报告期内投资活动产生的现金流量净额</w:t>
      </w:r>
      <w:r>
        <w:rPr>
          <w:rFonts w:ascii="Times New Roman" w:hAnsi="Times New Roman" w:cs="Times New Roman" w:eastAsia="Times New Roman" w:hint="default"/>
          <w:spacing w:val="-1"/>
        </w:rPr>
        <w:t>-38,375,177.12</w:t>
      </w:r>
      <w:r>
        <w:rPr>
          <w:spacing w:val="-1"/>
        </w:rPr>
        <w:t>元，较上年同期上升</w:t>
      </w:r>
      <w:r>
        <w:rPr>
          <w:rFonts w:ascii="Times New Roman" w:hAnsi="Times New Roman" w:cs="Times New Roman" w:eastAsia="Times New Roman" w:hint="default"/>
          <w:spacing w:val="-1"/>
        </w:rPr>
        <w:t>77.49%</w:t>
      </w:r>
      <w:r>
        <w:rPr>
          <w:spacing w:val="-1"/>
        </w:rPr>
        <w:t>，主要是由于本年理财活动现金流以净</w:t>
      </w:r>
      <w:r>
        <w:rPr>
          <w:spacing w:val="-56"/>
        </w:rPr>
        <w:t> </w:t>
      </w:r>
      <w:r>
        <w:rPr>
          <w:spacing w:val="-56"/>
        </w:rPr>
      </w:r>
      <w:r>
        <w:rPr/>
        <w:t>额列示所致。</w:t>
      </w:r>
    </w:p>
    <w:p>
      <w:pPr>
        <w:pStyle w:val="BodyText"/>
        <w:spacing w:line="297" w:lineRule="auto" w:before="67"/>
        <w:ind w:right="203"/>
        <w:jc w:val="left"/>
        <w:rPr>
          <w:rFonts w:ascii="宋体" w:hAnsi="宋体" w:cs="宋体" w:eastAsia="宋体" w:hint="default"/>
        </w:rPr>
      </w:pPr>
      <w:r>
        <w:rPr>
          <w:rFonts w:ascii="Times New Roman" w:hAnsi="Times New Roman" w:cs="Times New Roman" w:eastAsia="Times New Roman" w:hint="default"/>
        </w:rPr>
        <w:t>3</w:t>
      </w:r>
      <w:r>
        <w:rPr/>
        <w:t>、报告期内筹资活动产生的现金流量净额</w:t>
      </w:r>
      <w:r>
        <w:rPr>
          <w:rFonts w:ascii="Times New Roman" w:hAnsi="Times New Roman" w:cs="Times New Roman" w:eastAsia="Times New Roman" w:hint="default"/>
        </w:rPr>
        <w:t>-4,708,881.78</w:t>
      </w:r>
      <w:r>
        <w:rPr/>
        <w:t>元，较上年同期上升</w:t>
      </w:r>
      <w:r>
        <w:rPr>
          <w:rFonts w:ascii="Times New Roman" w:hAnsi="Times New Roman" w:cs="Times New Roman" w:eastAsia="Times New Roman" w:hint="default"/>
        </w:rPr>
        <w:t>38.65%</w:t>
      </w:r>
      <w:r>
        <w:rPr/>
        <w:t>，主要是由于软件和集成业务相继中标 大金额合同，备货增加，资金需求增长，融资额度提高所致。</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522"/>
        <w:gridCol w:w="1918"/>
        <w:gridCol w:w="1623"/>
        <w:gridCol w:w="2165"/>
        <w:gridCol w:w="2340"/>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6,192,418.81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21.92%</w:t>
            </w:r>
          </w:p>
        </w:tc>
        <w:tc>
          <w:tcPr>
            <w:tcW w:w="21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49"/>
              <w:jc w:val="both"/>
              <w:rPr>
                <w:rFonts w:ascii="宋体" w:hAnsi="宋体" w:cs="宋体" w:eastAsia="宋体" w:hint="default"/>
                <w:sz w:val="18"/>
                <w:szCs w:val="18"/>
              </w:rPr>
            </w:pPr>
            <w:r>
              <w:rPr>
                <w:rFonts w:ascii="宋体" w:hAnsi="宋体" w:cs="宋体" w:eastAsia="宋体" w:hint="default"/>
                <w:sz w:val="18"/>
                <w:szCs w:val="18"/>
              </w:rPr>
              <w:t>保本浮动收益型的理财产 品收益和权益法核算的长 期股权投资收益及可供出 售金融资产等取得的投资 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5"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629"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5"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18,420,677.79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65.20%</w:t>
            </w:r>
          </w:p>
        </w:tc>
        <w:tc>
          <w:tcPr>
            <w:tcW w:w="2165" w:type="dxa"/>
            <w:vMerge w:val="restart"/>
            <w:tcBorders>
              <w:top w:val="single" w:sz="4" w:space="0" w:color="000000"/>
              <w:left w:val="single" w:sz="4" w:space="0" w:color="000000"/>
              <w:right w:val="single" w:sz="9" w:space="0" w:color="FFFFFF"/>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坏账损失，存货跌价损失， 长期股权投资减值损失</w:t>
            </w:r>
          </w:p>
        </w:tc>
        <w:tc>
          <w:tcPr>
            <w:tcW w:w="2340" w:type="dxa"/>
            <w:vMerge w:val="restart"/>
            <w:tcBorders>
              <w:top w:val="single" w:sz="4" w:space="0" w:color="000000"/>
              <w:left w:val="single" w:sz="9"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5" w:type="dxa"/>
            <w:vMerge/>
            <w:tcBorders>
              <w:left w:val="single" w:sz="4" w:space="0" w:color="000000"/>
              <w:right w:val="single" w:sz="9" w:space="0" w:color="FFFFFF"/>
            </w:tcBorders>
          </w:tcPr>
          <w:p>
            <w:pPr/>
          </w:p>
        </w:tc>
        <w:tc>
          <w:tcPr>
            <w:tcW w:w="2340" w:type="dxa"/>
            <w:vMerge/>
            <w:tcBorders>
              <w:left w:val="single" w:sz="9" w:space="0" w:color="FFFFFF"/>
              <w:right w:val="single" w:sz="4" w:space="0" w:color="000000"/>
            </w:tcBorders>
          </w:tcPr>
          <w:p>
            <w:pPr/>
          </w:p>
        </w:tc>
      </w:tr>
      <w:tr>
        <w:trPr>
          <w:trHeight w:val="161"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5" w:type="dxa"/>
            <w:vMerge/>
            <w:tcBorders>
              <w:left w:val="single" w:sz="4" w:space="0" w:color="000000"/>
              <w:bottom w:val="single" w:sz="4" w:space="0" w:color="000000"/>
              <w:right w:val="single" w:sz="9" w:space="0" w:color="FFFFFF"/>
            </w:tcBorders>
          </w:tcPr>
          <w:p>
            <w:pPr/>
          </w:p>
        </w:tc>
        <w:tc>
          <w:tcPr>
            <w:tcW w:w="2340" w:type="dxa"/>
            <w:vMerge/>
            <w:tcBorders>
              <w:left w:val="single" w:sz="9" w:space="0" w:color="FFFFFF"/>
              <w:bottom w:val="single" w:sz="4" w:space="0" w:color="000000"/>
              <w:right w:val="single" w:sz="4" w:space="0" w:color="000000"/>
            </w:tcBorders>
          </w:tcPr>
          <w:p>
            <w:pP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247,372.90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2165"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256,696.82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2165"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345" w:type="dxa"/>
        <w:tblLayout w:type="fixed"/>
        <w:tblCellMar>
          <w:top w:w="0" w:type="dxa"/>
          <w:left w:w="0" w:type="dxa"/>
          <w:bottom w:w="0" w:type="dxa"/>
          <w:right w:w="0" w:type="dxa"/>
        </w:tblCellMar>
        <w:tblLook w:val="01E0"/>
      </w:tblPr>
      <w:tblGrid>
        <w:gridCol w:w="1356"/>
        <w:gridCol w:w="1534"/>
        <w:gridCol w:w="1124"/>
        <w:gridCol w:w="1427"/>
        <w:gridCol w:w="970"/>
        <w:gridCol w:w="862"/>
        <w:gridCol w:w="1985"/>
      </w:tblGrid>
      <w:tr>
        <w:trPr>
          <w:trHeight w:val="39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5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0" w:right="11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8" w:right="2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4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5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4" w:type="dxa"/>
            <w:vMerge/>
            <w:tcBorders>
              <w:left w:val="single" w:sz="4" w:space="0" w:color="000000"/>
              <w:right w:val="single" w:sz="4" w:space="0" w:color="000000"/>
            </w:tcBorders>
            <w:shd w:val="clear" w:color="auto" w:fill="D2D2D2"/>
          </w:tcPr>
          <w:p>
            <w:pPr/>
          </w:p>
        </w:tc>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vMerge/>
            <w:tcBorders>
              <w:left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534"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right w:val="single" w:sz="4" w:space="0" w:color="000000"/>
            </w:tcBorders>
            <w:shd w:val="clear" w:color="auto" w:fill="D2D2D2"/>
          </w:tcPr>
          <w:p>
            <w:pPr/>
          </w:p>
        </w:tc>
        <w:tc>
          <w:tcPr>
            <w:tcW w:w="1427"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5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718,563,011.24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25.89%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8" w:right="0"/>
              <w:jc w:val="left"/>
              <w:rPr>
                <w:rFonts w:ascii="Times New Roman" w:hAnsi="Times New Roman" w:cs="Times New Roman" w:eastAsia="Times New Roman" w:hint="default"/>
                <w:sz w:val="18"/>
                <w:szCs w:val="18"/>
              </w:rPr>
            </w:pPr>
            <w:r>
              <w:rPr>
                <w:rFonts w:ascii="Times New Roman"/>
                <w:sz w:val="18"/>
              </w:rPr>
              <w:t>831,645,263.21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31.69%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-5.80%</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333" w:type="dxa"/>
        <w:tblLayout w:type="fixed"/>
        <w:tblCellMar>
          <w:top w:w="0" w:type="dxa"/>
          <w:left w:w="0" w:type="dxa"/>
          <w:bottom w:w="0" w:type="dxa"/>
          <w:right w:w="0" w:type="dxa"/>
        </w:tblCellMar>
        <w:tblLook w:val="01E0"/>
      </w:tblPr>
      <w:tblGrid>
        <w:gridCol w:w="1368"/>
        <w:gridCol w:w="1522"/>
        <w:gridCol w:w="1135"/>
        <w:gridCol w:w="1416"/>
        <w:gridCol w:w="994"/>
        <w:gridCol w:w="850"/>
        <w:gridCol w:w="1985"/>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406,446,140.62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400,735,281.60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562,673,982.79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349,575,893.27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6.96%</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81,353,793.72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76,960,038.10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323,181,836.57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310,589,533.33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-0.18%</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236,724,549.90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253,718,813.57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340,766,294.00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1,979,626.65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2,807,462.17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0.11%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352" w:type="dxa"/>
        <w:tblLayout w:type="fixed"/>
        <w:tblCellMar>
          <w:top w:w="0" w:type="dxa"/>
          <w:left w:w="0" w:type="dxa"/>
          <w:bottom w:w="0" w:type="dxa"/>
          <w:right w:w="0" w:type="dxa"/>
        </w:tblCellMar>
        <w:tblLook w:val="01E0"/>
      </w:tblPr>
      <w:tblGrid>
        <w:gridCol w:w="2492"/>
        <w:gridCol w:w="2268"/>
        <w:gridCol w:w="4470"/>
      </w:tblGrid>
      <w:tr>
        <w:trPr>
          <w:trHeight w:val="34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所有权受到限制的资产类别</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6" w:right="0"/>
              <w:jc w:val="left"/>
              <w:rPr>
                <w:rFonts w:ascii="宋体" w:hAnsi="宋体" w:cs="宋体" w:eastAsia="宋体" w:hint="default"/>
                <w:sz w:val="18"/>
                <w:szCs w:val="18"/>
              </w:rPr>
            </w:pPr>
            <w:r>
              <w:rPr>
                <w:rFonts w:ascii="宋体" w:hAnsi="宋体" w:cs="宋体" w:eastAsia="宋体" w:hint="default"/>
                <w:b/>
                <w:bCs/>
                <w:sz w:val="18"/>
                <w:szCs w:val="18"/>
              </w:rPr>
              <w:t>期末余额（元）</w:t>
            </w:r>
            <w:r>
              <w:rPr>
                <w:rFonts w:ascii="宋体" w:hAnsi="宋体" w:cs="宋体" w:eastAsia="宋体" w:hint="default"/>
                <w:sz w:val="18"/>
                <w:szCs w:val="18"/>
              </w:rPr>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1,695,047.10</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34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53,940,712.59</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南天信息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1,765,962.98</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pacing w:val="-2"/>
                <w:sz w:val="18"/>
                <w:szCs w:val="18"/>
              </w:rPr>
              <w:t>零部件车间，配电楼，综合车间用于意大利政府抵押借款</w:t>
            </w:r>
          </w:p>
        </w:tc>
      </w:tr>
      <w:tr>
        <w:trPr>
          <w:trHeight w:val="34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57,401,722.67</w:t>
            </w:r>
          </w:p>
        </w:tc>
        <w:tc>
          <w:tcPr>
            <w:tcW w:w="44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7" w:lineRule="auto" w:before="49"/>
        <w:ind w:right="148" w:firstLine="360"/>
        <w:jc w:val="both"/>
      </w:pPr>
      <w:r>
        <w:rPr/>
        <w:t>注：（</w:t>
      </w:r>
      <w:r>
        <w:rPr>
          <w:rFonts w:ascii="宋体" w:hAnsi="宋体" w:cs="宋体" w:eastAsia="宋体" w:hint="default"/>
        </w:rPr>
        <w:t>1</w:t>
      </w:r>
      <w:r>
        <w:rPr/>
        <w:t>）本公司以零部件车间，配电楼，综合车间为抵押物，向意大利政府通过中国银行云南省分行贷给本公司的委 </w:t>
      </w:r>
      <w:r>
        <w:rPr>
          <w:spacing w:val="-1"/>
        </w:rPr>
        <w:t>托贷款</w:t>
      </w:r>
      <w:r>
        <w:rPr>
          <w:rFonts w:ascii="Times New Roman" w:hAnsi="Times New Roman" w:cs="Times New Roman" w:eastAsia="Times New Roman" w:hint="default"/>
          <w:spacing w:val="-1"/>
        </w:rPr>
        <w:t>2,498,200.00</w:t>
      </w:r>
      <w:r>
        <w:rPr>
          <w:spacing w:val="-1"/>
        </w:rPr>
        <w:t>美元提供抵押担保，借款期限为</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日，借款利率固定为</w:t>
      </w:r>
      <w:r>
        <w:rPr>
          <w:rFonts w:ascii="Times New Roman" w:hAnsi="Times New Roman" w:cs="Times New Roman" w:eastAsia="Times New Roman" w:hint="default"/>
          <w:spacing w:val="-1"/>
        </w:rPr>
        <w:t>1%</w:t>
      </w:r>
      <w:r>
        <w:rPr>
          <w:spacing w:val="-1"/>
        </w:rPr>
        <w:t>，尚未偿还的委托</w:t>
      </w:r>
      <w:r>
        <w:rPr>
          <w:spacing w:val="-39"/>
        </w:rPr>
        <w:t> </w:t>
      </w:r>
      <w:r>
        <w:rPr>
          <w:spacing w:val="-39"/>
        </w:rPr>
      </w:r>
      <w:r>
        <w:rPr>
          <w:spacing w:val="-1"/>
        </w:rPr>
        <w:t>贷款期末余额为</w:t>
      </w:r>
      <w:r>
        <w:rPr>
          <w:rFonts w:ascii="Arial Narrow" w:hAnsi="Arial Narrow" w:cs="Arial Narrow" w:eastAsia="Arial Narrow" w:hint="default"/>
          <w:spacing w:val="-1"/>
        </w:rPr>
        <w:t>392,899.09</w:t>
      </w:r>
      <w:r>
        <w:rPr>
          <w:spacing w:val="-1"/>
        </w:rPr>
        <w:t>美元，用于抵押的固定资产期末账面价值</w:t>
      </w:r>
      <w:r>
        <w:rPr>
          <w:rFonts w:ascii="Times New Roman" w:hAnsi="Times New Roman" w:cs="Times New Roman" w:eastAsia="Times New Roman" w:hint="default"/>
          <w:spacing w:val="-1"/>
        </w:rPr>
        <w:t>1,765,962.98</w:t>
      </w:r>
      <w:r>
        <w:rPr>
          <w:spacing w:val="-1"/>
        </w:rPr>
        <w:t>元。上述借款额在</w:t>
      </w:r>
      <w:r>
        <w:rPr>
          <w:rFonts w:ascii="Times New Roman" w:hAnsi="Times New Roman" w:cs="Times New Roman" w:eastAsia="Times New Roman" w:hint="default"/>
          <w:spacing w:val="-1"/>
        </w:rPr>
        <w:t>“</w:t>
      </w:r>
      <w:r>
        <w:rPr>
          <w:spacing w:val="-1"/>
        </w:rPr>
        <w:t>长期借款</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一年到期的</w:t>
      </w:r>
      <w:r>
        <w:rPr>
          <w:spacing w:val="-53"/>
        </w:rPr>
        <w:t> </w:t>
      </w:r>
      <w:r>
        <w:rPr>
          <w:spacing w:val="-53"/>
        </w:rPr>
      </w:r>
      <w:r>
        <w:rPr/>
        <w:t>非流动负债</w:t>
      </w:r>
      <w:r>
        <w:rPr>
          <w:rFonts w:ascii="Times New Roman" w:hAnsi="Times New Roman" w:cs="Times New Roman" w:eastAsia="Times New Roman" w:hint="default"/>
        </w:rPr>
        <w:t>”</w:t>
      </w:r>
      <w:r>
        <w:rPr/>
        <w:t>列报。</w:t>
      </w:r>
    </w:p>
    <w:p>
      <w:pPr>
        <w:pStyle w:val="BodyText"/>
        <w:spacing w:line="300" w:lineRule="auto" w:before="48"/>
        <w:ind w:right="163" w:firstLine="540"/>
        <w:jc w:val="left"/>
      </w:pPr>
      <w:r>
        <w:rPr/>
        <w:t>（</w:t>
      </w:r>
      <w:r>
        <w:rPr>
          <w:rFonts w:ascii="宋体" w:hAnsi="宋体" w:cs="宋体" w:eastAsia="宋体" w:hint="default"/>
        </w:rPr>
        <w:t>2</w:t>
      </w:r>
      <w:r>
        <w:rPr/>
        <w:t>）本期本公司受限货币资金主要在</w:t>
      </w:r>
      <w:r>
        <w:rPr>
          <w:rFonts w:ascii="Times New Roman" w:hAnsi="Times New Roman" w:cs="Times New Roman" w:eastAsia="Times New Roman" w:hint="default"/>
        </w:rPr>
        <w:t>“</w:t>
      </w:r>
      <w:r>
        <w:rPr/>
        <w:t>其他货币资金</w:t>
      </w:r>
      <w:r>
        <w:rPr>
          <w:rFonts w:ascii="Times New Roman" w:hAnsi="Times New Roman" w:cs="Times New Roman" w:eastAsia="Times New Roman" w:hint="default"/>
        </w:rPr>
        <w:t>”</w:t>
      </w:r>
      <w:r>
        <w:rPr/>
        <w:t>中的期末未到期保函保证金及银行承兑汇票保证金。其中：保 函保证金</w:t>
      </w:r>
      <w:r>
        <w:rPr>
          <w:rFonts w:ascii="Times New Roman" w:hAnsi="Times New Roman" w:cs="Times New Roman" w:eastAsia="Times New Roman" w:hint="default"/>
        </w:rPr>
        <w:t>53,940,712.59</w:t>
      </w:r>
      <w:r>
        <w:rPr/>
        <w:t>元，银行承兑汇票保证金</w:t>
      </w:r>
      <w:r>
        <w:rPr>
          <w:rFonts w:ascii="Times New Roman" w:hAnsi="Times New Roman" w:cs="Times New Roman" w:eastAsia="Times New Roman" w:hint="default"/>
        </w:rPr>
        <w:t>1,695,047.10</w:t>
      </w:r>
      <w:r>
        <w:rPr/>
        <w:t>元。</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五、投资状况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34"/>
        <w:gridCol w:w="636"/>
        <w:gridCol w:w="641"/>
        <w:gridCol w:w="637"/>
        <w:gridCol w:w="638"/>
        <w:gridCol w:w="638"/>
        <w:gridCol w:w="639"/>
        <w:gridCol w:w="641"/>
        <w:gridCol w:w="636"/>
        <w:gridCol w:w="641"/>
        <w:gridCol w:w="639"/>
        <w:gridCol w:w="638"/>
        <w:gridCol w:w="638"/>
        <w:gridCol w:w="639"/>
        <w:gridCol w:w="638"/>
      </w:tblGrid>
      <w:tr>
        <w:trPr>
          <w:trHeight w:val="985"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 w:right="38"/>
              <w:jc w:val="left"/>
              <w:rPr>
                <w:rFonts w:ascii="宋体" w:hAnsi="宋体" w:cs="宋体" w:eastAsia="宋体" w:hint="default"/>
                <w:sz w:val="18"/>
                <w:szCs w:val="18"/>
              </w:rPr>
            </w:pPr>
            <w:r>
              <w:rPr>
                <w:rFonts w:ascii="宋体" w:hAnsi="宋体" w:cs="宋体" w:eastAsia="宋体" w:hint="default"/>
                <w:sz w:val="18"/>
                <w:szCs w:val="18"/>
              </w:rPr>
              <w:t>被投资 公司名</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截至资 产负债 表日的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6" w:right="41" w:hanging="181"/>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 w:right="39"/>
              <w:jc w:val="left"/>
              <w:rPr>
                <w:rFonts w:ascii="宋体" w:hAnsi="宋体" w:cs="宋体" w:eastAsia="宋体" w:hint="default"/>
                <w:sz w:val="18"/>
                <w:szCs w:val="18"/>
              </w:rPr>
            </w:pPr>
            <w:r>
              <w:rPr>
                <w:rFonts w:ascii="宋体" w:hAnsi="宋体" w:cs="宋体" w:eastAsia="宋体" w:hint="default"/>
                <w:sz w:val="18"/>
                <w:szCs w:val="18"/>
              </w:rPr>
              <w:t>披露日 期（如</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披露索 引（如</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634"/>
        <w:gridCol w:w="636"/>
        <w:gridCol w:w="641"/>
        <w:gridCol w:w="637"/>
        <w:gridCol w:w="638"/>
        <w:gridCol w:w="638"/>
        <w:gridCol w:w="639"/>
        <w:gridCol w:w="641"/>
        <w:gridCol w:w="636"/>
        <w:gridCol w:w="641"/>
        <w:gridCol w:w="639"/>
        <w:gridCol w:w="638"/>
        <w:gridCol w:w="638"/>
        <w:gridCol w:w="639"/>
        <w:gridCol w:w="638"/>
      </w:tblGrid>
      <w:tr>
        <w:trPr>
          <w:trHeight w:val="675"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18"/>
              <w:jc w:val="right"/>
              <w:rPr>
                <w:rFonts w:ascii="宋体" w:hAnsi="宋体" w:cs="宋体" w:eastAsia="宋体" w:hint="default"/>
                <w:sz w:val="18"/>
                <w:szCs w:val="18"/>
              </w:rPr>
            </w:pPr>
            <w:r>
              <w:rPr>
                <w:rFonts w:ascii="宋体" w:hAnsi="宋体" w:cs="宋体" w:eastAsia="宋体" w:hint="default"/>
                <w:sz w:val="18"/>
                <w:szCs w:val="18"/>
              </w:rPr>
              <w:t>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7" w:right="41"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有）</w:t>
            </w:r>
          </w:p>
        </w:tc>
      </w:tr>
      <w:tr>
        <w:trPr>
          <w:trHeight w:val="6642"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4" w:right="59"/>
              <w:jc w:val="both"/>
              <w:rPr>
                <w:rFonts w:ascii="宋体" w:hAnsi="宋体" w:cs="宋体" w:eastAsia="宋体" w:hint="default"/>
                <w:sz w:val="18"/>
                <w:szCs w:val="18"/>
              </w:rPr>
            </w:pPr>
            <w:r>
              <w:rPr>
                <w:rFonts w:ascii="宋体" w:hAnsi="宋体" w:cs="宋体" w:eastAsia="宋体" w:hint="default"/>
                <w:sz w:val="18"/>
                <w:szCs w:val="18"/>
              </w:rPr>
              <w:t>云南曲 靖珠江 源科技 股份有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开发、 生产、 销售计 算机软 件、硬 件，外 围设 备、电 子及通 信设 备；信 息网络 系统集 成设 计、安 装、调 试、维 护，技 术服务 及技术 咨询等</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新设</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64"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4" w:right="0"/>
              <w:jc w:val="center"/>
              <w:rPr>
                <w:rFonts w:ascii="Times New Roman" w:hAnsi="Times New Roman" w:cs="Times New Roman" w:eastAsia="Times New Roman" w:hint="default"/>
                <w:sz w:val="18"/>
                <w:szCs w:val="18"/>
              </w:rPr>
            </w:pPr>
            <w:r>
              <w:rPr>
                <w:rFonts w:ascii="Times New Roman"/>
                <w:sz w:val="18"/>
              </w:rPr>
              <w:t>30.00%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63"/>
              <w:jc w:val="both"/>
              <w:rPr>
                <w:rFonts w:ascii="宋体" w:hAnsi="宋体" w:cs="宋体" w:eastAsia="宋体" w:hint="default"/>
                <w:sz w:val="18"/>
                <w:szCs w:val="18"/>
              </w:rPr>
            </w:pPr>
            <w:r>
              <w:rPr>
                <w:rFonts w:ascii="宋体" w:hAnsi="宋体" w:cs="宋体" w:eastAsia="宋体" w:hint="default"/>
                <w:sz w:val="18"/>
                <w:szCs w:val="18"/>
              </w:rPr>
              <w:t>曲靖经 济技术 开发区 建设投 资集团 有限公 司、云 南能投 浪潮科 技有限 公司、 云南建 功星科 技有限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60"/>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62"/>
              <w:jc w:val="left"/>
              <w:rPr>
                <w:rFonts w:ascii="宋体" w:hAnsi="宋体" w:cs="宋体" w:eastAsia="宋体" w:hint="default"/>
                <w:sz w:val="18"/>
                <w:szCs w:val="18"/>
              </w:rPr>
            </w:pPr>
            <w:r>
              <w:rPr>
                <w:rFonts w:ascii="宋体" w:hAnsi="宋体" w:cs="宋体" w:eastAsia="宋体" w:hint="default"/>
                <w:sz w:val="18"/>
                <w:szCs w:val="18"/>
              </w:rPr>
              <w:t>部分已 缴款</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62"/>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3" w:right="50"/>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pacing w:val="-42"/>
                <w:sz w:val="18"/>
              </w:rPr>
              <w:t> </w:t>
            </w:r>
            <w:r>
              <w:rPr>
                <w:rFonts w:ascii="Times New Roman"/>
                <w:spacing w:val="-42"/>
                <w:sz w:val="18"/>
              </w:rPr>
            </w:r>
            <w:r>
              <w:rPr>
                <w:rFonts w:ascii="Times New Roman"/>
                <w:sz w:val="18"/>
              </w:rPr>
              <w:t>ninfo.c</w:t>
            </w:r>
            <w:r>
              <w:rPr>
                <w:rFonts w:ascii="Times New Roman"/>
                <w:sz w:val="18"/>
              </w:rPr>
              <w:t> om.cn)</w:t>
            </w:r>
          </w:p>
        </w:tc>
      </w:tr>
      <w:tr>
        <w:trPr>
          <w:trHeight w:val="6020"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59"/>
              <w:jc w:val="both"/>
              <w:rPr>
                <w:rFonts w:ascii="宋体" w:hAnsi="宋体" w:cs="宋体" w:eastAsia="宋体" w:hint="default"/>
                <w:sz w:val="18"/>
                <w:szCs w:val="18"/>
              </w:rPr>
            </w:pPr>
            <w:r>
              <w:rPr>
                <w:rFonts w:ascii="宋体" w:hAnsi="宋体" w:cs="宋体" w:eastAsia="宋体" w:hint="default"/>
                <w:sz w:val="18"/>
                <w:szCs w:val="18"/>
              </w:rPr>
              <w:t>北京人 大金仓 信息技 术股份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技术开 发；技 术转 让；技 术咨 询；计 算机技 术培 训；技 术服务 等</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11.72%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both"/>
              <w:rPr>
                <w:rFonts w:ascii="宋体" w:hAnsi="宋体" w:cs="宋体" w:eastAsia="宋体" w:hint="default"/>
                <w:sz w:val="18"/>
                <w:szCs w:val="18"/>
              </w:rPr>
            </w:pPr>
            <w:r>
              <w:rPr>
                <w:rFonts w:ascii="宋体" w:hAnsi="宋体" w:cs="宋体" w:eastAsia="宋体" w:hint="default"/>
                <w:sz w:val="18"/>
                <w:szCs w:val="18"/>
              </w:rPr>
              <w:t>普华基 础软件 股份有 限公</w:t>
            </w:r>
          </w:p>
          <w:p>
            <w:pPr>
              <w:pStyle w:val="TableParagraph"/>
              <w:spacing w:line="316" w:lineRule="auto" w:before="19"/>
              <w:ind w:left="24" w:right="63"/>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1"/>
                <w:sz w:val="18"/>
                <w:szCs w:val="18"/>
              </w:rPr>
              <w:t> </w:t>
            </w:r>
            <w:r>
              <w:rPr>
                <w:rFonts w:ascii="宋体" w:hAnsi="宋体" w:cs="宋体" w:eastAsia="宋体" w:hint="default"/>
                <w:spacing w:val="-48"/>
                <w:sz w:val="18"/>
                <w:szCs w:val="18"/>
              </w:rPr>
              <w:t>、太</w:t>
            </w:r>
            <w:r>
              <w:rPr>
                <w:rFonts w:ascii="宋体" w:hAnsi="宋体" w:cs="宋体" w:eastAsia="宋体" w:hint="default"/>
                <w:spacing w:val="-48"/>
                <w:sz w:val="18"/>
                <w:szCs w:val="18"/>
              </w:rPr>
              <w:t> </w:t>
            </w:r>
            <w:r>
              <w:rPr>
                <w:rFonts w:ascii="宋体" w:hAnsi="宋体" w:cs="宋体" w:eastAsia="宋体" w:hint="default"/>
                <w:sz w:val="18"/>
                <w:szCs w:val="18"/>
              </w:rPr>
              <w:t>极计算</w:t>
            </w:r>
            <w:r>
              <w:rPr>
                <w:rFonts w:ascii="宋体" w:hAnsi="宋体" w:cs="宋体" w:eastAsia="宋体" w:hint="default"/>
                <w:sz w:val="18"/>
                <w:szCs w:val="18"/>
              </w:rPr>
              <w:t> 机股份 有限公 司、中 关村科 技园区 海淀园 创业服 务中 心、人 大世纪 科技发 展有限 公司等</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已缴款</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3" w:right="50"/>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pacing w:val="-42"/>
                <w:sz w:val="18"/>
              </w:rPr>
              <w:t> </w:t>
            </w:r>
            <w:r>
              <w:rPr>
                <w:rFonts w:ascii="Times New Roman"/>
                <w:spacing w:val="-42"/>
                <w:sz w:val="18"/>
              </w:rPr>
            </w:r>
            <w:r>
              <w:rPr>
                <w:rFonts w:ascii="Times New Roman"/>
                <w:sz w:val="18"/>
              </w:rPr>
              <w:t>ninfo.c</w:t>
            </w:r>
            <w:r>
              <w:rPr>
                <w:rFonts w:ascii="Times New Roman"/>
                <w:sz w:val="18"/>
              </w:rPr>
              <w:t> om.cn)</w:t>
            </w:r>
          </w:p>
        </w:tc>
      </w:tr>
      <w:tr>
        <w:trPr>
          <w:trHeight w:val="401"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9"/>
              <w:jc w:val="righ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48,000,</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13" w:space="0" w:color="D2D2D2"/>
            </w:tcBorders>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634"/>
        <w:gridCol w:w="636"/>
        <w:gridCol w:w="641"/>
        <w:gridCol w:w="637"/>
        <w:gridCol w:w="638"/>
        <w:gridCol w:w="638"/>
        <w:gridCol w:w="639"/>
        <w:gridCol w:w="641"/>
        <w:gridCol w:w="636"/>
        <w:gridCol w:w="641"/>
        <w:gridCol w:w="639"/>
        <w:gridCol w:w="638"/>
        <w:gridCol w:w="638"/>
        <w:gridCol w:w="639"/>
        <w:gridCol w:w="638"/>
      </w:tblGrid>
      <w:tr>
        <w:trPr>
          <w:trHeight w:val="363"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公司报告期不存在证券投资。</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054"/>
        <w:gridCol w:w="1196"/>
        <w:gridCol w:w="1046"/>
        <w:gridCol w:w="1044"/>
        <w:gridCol w:w="1047"/>
        <w:gridCol w:w="1044"/>
        <w:gridCol w:w="1047"/>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北京南天信 息工程有限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27,561,847.8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74,954,861.7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20,112,045.2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123,887,052.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-8,867,291.4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-8,854,491.4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1054"/>
        <w:gridCol w:w="1196"/>
        <w:gridCol w:w="1046"/>
        <w:gridCol w:w="1044"/>
        <w:gridCol w:w="1047"/>
        <w:gridCol w:w="1044"/>
        <w:gridCol w:w="1047"/>
        <w:gridCol w:w="1044"/>
        <w:gridCol w:w="1047"/>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广州南天电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89,230,000.0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211,869,315.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54,432,447.5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361,559,402.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6,537,412.22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5,644,444.16</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上海南天电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102,094,284.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156,230,552.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118,264,758.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281,957,252.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4,364,899.03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3,756,831.83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武汉南天电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1,939,500.00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6,178,419.29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-304,442.66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6,706,122.66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-3,169,267.1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-2,423,811.7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3,121,482.00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8,937,755.01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-24,629,760.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9,164,483.02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-5,535,844.6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-5,534,914.6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昆明南天电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43,210,133.6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18,102,552.8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73,568,748.4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-721,919.86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-427,295.88</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深圳南天东 华科技有限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59,175,009.3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19,399,623.2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123,390,400.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226,322.19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241,045.08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北京南天软 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206,657,416.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131,583,086.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361,038,323.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15,268,699.6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12,859,983.0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云南南天信 息设备有限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73,744,304.7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19,927,407.0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127,820,593.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-2,192,537.1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-2,068,968.3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重庆南天数 据资讯服务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1,875,817.55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-9,243,932.4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-1,342,171.7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-1,342,171.7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云南医药工 业股份有限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药品制造、 销售，医药 商业流通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131,926,800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3,094,539,63</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7.04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2,187,413,34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4.45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-5,753,112.6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盈富泰克创 业投资有限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投资管理等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报告期内取得和处置子公司的情况</w:t>
      </w:r>
    </w:p>
    <w:p>
      <w:pPr>
        <w:pStyle w:val="BodyText"/>
        <w:spacing w:line="340" w:lineRule="auto" w:before="115"/>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6753"/>
        <w:jc w:val="left"/>
      </w:pPr>
      <w:r>
        <w:rPr/>
        <w:t>（一）行业发展趋势</w:t>
      </w:r>
    </w:p>
    <w:p>
      <w:pPr>
        <w:pStyle w:val="BodyText"/>
        <w:spacing w:line="340" w:lineRule="auto" w:before="76"/>
        <w:ind w:left="513" w:right="93"/>
        <w:jc w:val="left"/>
      </w:pPr>
      <w:r>
        <w:rPr>
          <w:rFonts w:ascii="Times New Roman" w:hAnsi="Times New Roman" w:cs="Times New Roman" w:eastAsia="Times New Roman" w:hint="default"/>
        </w:rPr>
        <w:t>1</w:t>
      </w:r>
      <w:r>
        <w:rPr/>
        <w:t>、电子信息产业 电子信息产业的发展速度和优势突出，自主、可控的信息技术是未来国家信息技术发展的重点。目前国家在硬件方面，</w:t>
      </w:r>
    </w:p>
    <w:p>
      <w:pPr>
        <w:pStyle w:val="BodyText"/>
        <w:spacing w:line="316" w:lineRule="auto"/>
        <w:ind w:right="193"/>
        <w:jc w:val="both"/>
      </w:pPr>
      <w:r>
        <w:rPr>
          <w:spacing w:val="-2"/>
        </w:rPr>
        <w:t>诸如集成电路设计、制造、测试、尖端显示、高精度传感器等方面投入巨大，所产生的成果不断的显现出来，国际竞争力逐</w:t>
      </w:r>
      <w:r>
        <w:rPr>
          <w:spacing w:val="-68"/>
        </w:rPr>
        <w:t> </w:t>
      </w:r>
      <w:r>
        <w:rPr>
          <w:spacing w:val="-68"/>
        </w:rPr>
      </w:r>
      <w:r>
        <w:rPr>
          <w:spacing w:val="-2"/>
        </w:rPr>
        <w:t>步增强，减少了对外依赖。在软件方面，在政府、军队等应用方面给予国产数据库、中间件以及相关应用系统的支持力度巨</w:t>
      </w:r>
      <w:r>
        <w:rPr>
          <w:spacing w:val="-67"/>
        </w:rPr>
        <w:t> </w:t>
      </w:r>
      <w:r>
        <w:rPr>
          <w:spacing w:val="-67"/>
        </w:rPr>
      </w:r>
      <w:r>
        <w:rPr/>
        <w:t>大，未来具有广阔的发展空间。</w:t>
      </w:r>
    </w:p>
    <w:p>
      <w:pPr>
        <w:pStyle w:val="BodyText"/>
        <w:spacing w:line="316" w:lineRule="auto" w:before="59"/>
        <w:ind w:right="93" w:firstLine="360"/>
        <w:jc w:val="left"/>
      </w:pPr>
      <w:r>
        <w:rPr>
          <w:spacing w:val="-4"/>
        </w:rPr>
        <w:t>大数据、人工智能成为支持互联网、物联网的基础信息，居于信息行业的前沿，在大数据、人工智能支持下的智慧城市、</w:t>
      </w:r>
      <w:r>
        <w:rPr/>
        <w:t> </w:t>
      </w:r>
      <w:r>
        <w:rPr>
          <w:spacing w:val="-2"/>
        </w:rPr>
        <w:t>智能制造、智能服务、智能家居等为现代生产、生活提供了巨大便利，人工成本的升高进一步促进了人工智能的发展。自主</w:t>
      </w:r>
      <w:r>
        <w:rPr>
          <w:spacing w:val="-67"/>
        </w:rPr>
        <w:t> </w:t>
      </w:r>
      <w:r>
        <w:rPr>
          <w:spacing w:val="-67"/>
        </w:rPr>
      </w:r>
      <w:r>
        <w:rPr/>
        <w:t>学习、人机混合智能与其他技术的融合，使电子信息产业的发展更具空间。</w:t>
      </w:r>
    </w:p>
    <w:p>
      <w:pPr>
        <w:pStyle w:val="BodyText"/>
        <w:spacing w:line="319" w:lineRule="auto" w:before="59"/>
        <w:ind w:right="93" w:firstLine="360"/>
        <w:jc w:val="left"/>
      </w:pPr>
      <w:r>
        <w:rPr>
          <w:spacing w:val="-2"/>
        </w:rPr>
        <w:t>电子信息产业技术分布范围广、从业人数众多，在基础应用、硬件生产、社交平台、基础通讯等行业容易出现巨头，在</w:t>
      </w:r>
      <w:r>
        <w:rPr/>
        <w:t> 技术优势、资金优势明显的行业或市场主体会受到保护外，其他方面充满较大的竞争压力。</w:t>
      </w:r>
    </w:p>
    <w:p>
      <w:pPr>
        <w:pStyle w:val="BodyText"/>
        <w:spacing w:line="316" w:lineRule="auto" w:before="55"/>
        <w:ind w:right="93" w:firstLine="360"/>
        <w:jc w:val="left"/>
      </w:pPr>
      <w:r>
        <w:rPr>
          <w:spacing w:val="-2"/>
        </w:rPr>
        <w:t>总之信息技术在未来一段时间内仍将是朝阳产业，南天信息将在信息产品、系统集成、云计算、大数据和人工智能方向</w:t>
      </w:r>
      <w:r>
        <w:rPr/>
        <w:t> 开展业务，赋能数字化变革，保持原有的领先地位，谋求新的发展领域，开展创新业务，拓展发展空间。</w:t>
      </w:r>
    </w:p>
    <w:p>
      <w:pPr>
        <w:pStyle w:val="BodyText"/>
        <w:spacing w:line="340" w:lineRule="auto" w:before="59"/>
        <w:ind w:left="513" w:right="93"/>
        <w:jc w:val="left"/>
      </w:pPr>
      <w:r>
        <w:rPr>
          <w:rFonts w:ascii="Times New Roman" w:hAnsi="Times New Roman" w:cs="Times New Roman" w:eastAsia="Times New Roman" w:hint="default"/>
        </w:rPr>
        <w:t>2</w:t>
      </w:r>
      <w:r>
        <w:rPr/>
        <w:t>、数字经济及数字化服务 </w:t>
      </w:r>
      <w:r>
        <w:rPr>
          <w:spacing w:val="-2"/>
        </w:rPr>
        <w:t>在电子信息产业的支撑下，数字经济成为整个经济体的重要组成部分。数字经济是以使用数字化的知识和信息作为关键</w:t>
      </w:r>
    </w:p>
    <w:p>
      <w:pPr>
        <w:pStyle w:val="BodyText"/>
        <w:spacing w:line="316" w:lineRule="auto" w:before="1"/>
        <w:ind w:right="93"/>
        <w:jc w:val="left"/>
      </w:pPr>
      <w:r>
        <w:rPr>
          <w:spacing w:val="-2"/>
        </w:rPr>
        <w:t>生产要素、以现代信息网络作为重要载体、以信息通信技术的有效使用作为效率提升和经济结构优化的重要推动力的一系列</w:t>
      </w:r>
      <w:r>
        <w:rPr>
          <w:spacing w:val="-64"/>
        </w:rPr>
        <w:t> </w:t>
      </w:r>
      <w:r>
        <w:rPr>
          <w:spacing w:val="-64"/>
        </w:rPr>
      </w:r>
      <w:r>
        <w:rPr>
          <w:spacing w:val="-2"/>
        </w:rPr>
        <w:t>活动；是继农业经济、工业经济之后的一种新的经济社会发展形态；是信息经济、信息化发展的高级阶段。数字经济具有快</w:t>
      </w:r>
      <w:r>
        <w:rPr>
          <w:spacing w:val="-67"/>
        </w:rPr>
        <w:t> </w:t>
      </w:r>
      <w:r>
        <w:rPr>
          <w:spacing w:val="-67"/>
        </w:rPr>
      </w:r>
      <w:r>
        <w:rPr>
          <w:spacing w:val="-2"/>
        </w:rPr>
        <w:t>捷性、高渗透性、自我膨胀性、边际效益递增性、外部经济型、可持续性、直接性等特征，数字经济的发展改变着人们的生</w:t>
      </w:r>
      <w:r>
        <w:rPr>
          <w:spacing w:val="-72"/>
        </w:rPr>
        <w:t> </w:t>
      </w:r>
      <w:r>
        <w:rPr>
          <w:spacing w:val="-72"/>
        </w:rPr>
      </w:r>
      <w:r>
        <w:rPr>
          <w:spacing w:val="-2"/>
        </w:rPr>
        <w:t>活观念和思维方式，推动着共享经济在更多领域的融入。我国正在加快数字基础设施建设，加强宽带基础建设，加快实现电</w:t>
      </w:r>
      <w:r>
        <w:rPr>
          <w:spacing w:val="-64"/>
        </w:rPr>
        <w:t> </w:t>
      </w:r>
      <w:r>
        <w:rPr>
          <w:spacing w:val="-64"/>
        </w:rPr>
      </w:r>
      <w:r>
        <w:rPr>
          <w:spacing w:val="-4"/>
        </w:rPr>
        <w:t>子基础设施、铁路基础设施、公路基础设施、水运基础设施等方方面面的数字化。南天信息将定位于专业数字化服务提供商，</w:t>
      </w:r>
      <w:r>
        <w:rPr>
          <w:spacing w:val="-46"/>
        </w:rPr>
        <w:t> </w:t>
      </w:r>
      <w:r>
        <w:rPr>
          <w:spacing w:val="-46"/>
        </w:rPr>
      </w:r>
      <w:r>
        <w:rPr/>
        <w:t>立足于信息技术产业，做专做强，做专业的数字化服务提供商、赋能数字经济。</w:t>
      </w:r>
    </w:p>
    <w:p>
      <w:pPr>
        <w:pStyle w:val="BodyText"/>
        <w:spacing w:line="340" w:lineRule="auto" w:before="57"/>
        <w:ind w:left="513" w:right="93"/>
        <w:jc w:val="left"/>
      </w:pPr>
      <w:r>
        <w:rPr>
          <w:rFonts w:ascii="Times New Roman" w:hAnsi="Times New Roman" w:cs="Times New Roman" w:eastAsia="Times New Roman" w:hint="default"/>
        </w:rPr>
        <w:t>3</w:t>
      </w:r>
      <w:r>
        <w:rPr/>
        <w:t>、金融业</w:t>
      </w:r>
      <w:r>
        <w:rPr>
          <w:rFonts w:ascii="Times New Roman" w:hAnsi="Times New Roman" w:cs="Times New Roman" w:eastAsia="Times New Roman" w:hint="default"/>
        </w:rPr>
        <w:t>IT</w:t>
      </w:r>
      <w:r>
        <w:rPr/>
        <w:t>市场 </w:t>
      </w:r>
      <w:r>
        <w:rPr>
          <w:spacing w:val="-2"/>
        </w:rPr>
        <w:t>金融</w:t>
      </w:r>
      <w:r>
        <w:rPr>
          <w:rFonts w:ascii="Times New Roman" w:hAnsi="Times New Roman" w:cs="Times New Roman" w:eastAsia="Times New Roman" w:hint="default"/>
          <w:spacing w:val="-2"/>
        </w:rPr>
        <w:t>IT</w:t>
      </w:r>
      <w:r>
        <w:rPr>
          <w:spacing w:val="-2"/>
        </w:rPr>
        <w:t>市场是整个信息技术的一个分支，更偏向于应用层面。金融业是信息技术应用最为广泛的行业，移动互联网基础</w:t>
      </w:r>
    </w:p>
    <w:p>
      <w:pPr>
        <w:pStyle w:val="BodyText"/>
        <w:spacing w:line="228" w:lineRule="exact"/>
        <w:ind w:right="0"/>
        <w:jc w:val="both"/>
      </w:pPr>
      <w:r>
        <w:rPr/>
        <w:t>设施的迅速发展，以大数据、云计算、人工智能、区块链等为代表的新一代信息技术的运用，为金融</w:t>
      </w:r>
      <w:r>
        <w:rPr>
          <w:rFonts w:ascii="Times New Roman" w:hAnsi="Times New Roman" w:cs="Times New Roman" w:eastAsia="Times New Roman" w:hint="default"/>
        </w:rPr>
        <w:t>IT</w:t>
      </w:r>
      <w:r>
        <w:rPr/>
        <w:t>市场发展提供了充足</w:t>
      </w:r>
    </w:p>
    <w:p>
      <w:pPr>
        <w:pStyle w:val="BodyText"/>
        <w:spacing w:line="307" w:lineRule="auto" w:before="63"/>
        <w:ind w:right="190"/>
        <w:jc w:val="both"/>
      </w:pPr>
      <w:r>
        <w:rPr>
          <w:spacing w:val="-2"/>
        </w:rPr>
        <w:t>的技术支持。一方面，金融业对信息便捷性、安全性等传统</w:t>
      </w:r>
      <w:r>
        <w:rPr>
          <w:rFonts w:ascii="Times New Roman" w:hAnsi="Times New Roman" w:cs="Times New Roman" w:eastAsia="Times New Roman" w:hint="default"/>
          <w:spacing w:val="-2"/>
        </w:rPr>
        <w:t>IT</w:t>
      </w:r>
      <w:r>
        <w:rPr>
          <w:spacing w:val="-2"/>
        </w:rPr>
        <w:t>技术的要求不断增强，适应移动互联网、互联网、智能物联网</w:t>
      </w:r>
      <w:r>
        <w:rPr>
          <w:spacing w:val="-57"/>
        </w:rPr>
        <w:t> </w:t>
      </w:r>
      <w:r>
        <w:rPr>
          <w:spacing w:val="-57"/>
        </w:rPr>
      </w:r>
      <w:r>
        <w:rPr>
          <w:spacing w:val="-2"/>
        </w:rPr>
        <w:t>的应用不断升级、不断拓展，形成了稳定的存量市场；另一方面，人工智能的发展、智能设备不断升级、区块链等新兴技术</w:t>
      </w:r>
      <w:r>
        <w:rPr>
          <w:spacing w:val="-68"/>
        </w:rPr>
        <w:t> </w:t>
      </w:r>
      <w:r>
        <w:rPr>
          <w:spacing w:val="-68"/>
        </w:rPr>
      </w:r>
      <w:r>
        <w:rPr>
          <w:spacing w:val="-2"/>
        </w:rPr>
        <w:t>的应用，产生出新的金融生态、金融服务模式与金融产品，出现了较大的增量市场；再者，电子商务、共享经济等新经济模</w:t>
      </w:r>
      <w:r>
        <w:rPr>
          <w:spacing w:val="-67"/>
        </w:rPr>
        <w:t> </w:t>
      </w:r>
      <w:r>
        <w:rPr>
          <w:spacing w:val="-67"/>
        </w:rPr>
      </w:r>
      <w:r>
        <w:rPr>
          <w:spacing w:val="-2"/>
        </w:rPr>
        <w:t>式和平台的兴起，在账户管理、支付、信用管理、货币种类及价值体系等方面正深刻改变着金融</w:t>
      </w:r>
      <w:r>
        <w:rPr>
          <w:rFonts w:ascii="Times New Roman" w:hAnsi="Times New Roman" w:cs="Times New Roman" w:eastAsia="Times New Roman" w:hint="default"/>
          <w:spacing w:val="-2"/>
        </w:rPr>
        <w:t>IT</w:t>
      </w:r>
      <w:r>
        <w:rPr>
          <w:spacing w:val="-2"/>
        </w:rPr>
        <w:t>行业，金融行业的转型和</w:t>
      </w:r>
      <w:r>
        <w:rPr>
          <w:spacing w:val="-55"/>
        </w:rPr>
        <w:t> </w:t>
      </w:r>
      <w:r>
        <w:rPr>
          <w:spacing w:val="-55"/>
        </w:rPr>
      </w:r>
      <w:r>
        <w:rPr>
          <w:spacing w:val="-2"/>
        </w:rPr>
        <w:t>金融</w:t>
      </w:r>
      <w:r>
        <w:rPr>
          <w:rFonts w:ascii="Times New Roman" w:hAnsi="Times New Roman" w:cs="Times New Roman" w:eastAsia="Times New Roman" w:hint="default"/>
          <w:spacing w:val="-2"/>
        </w:rPr>
        <w:t>IT</w:t>
      </w:r>
      <w:r>
        <w:rPr>
          <w:spacing w:val="-2"/>
        </w:rPr>
        <w:t>技术的对称性需求也会不断涌现，开辟出新生市场。近年来，国内各大银行在积极推进数据大集中、运算逻辑大集中</w:t>
      </w:r>
      <w:r>
        <w:rPr>
          <w:spacing w:val="-51"/>
        </w:rPr>
        <w:t> </w:t>
      </w:r>
      <w:r>
        <w:rPr>
          <w:spacing w:val="-51"/>
        </w:rPr>
      </w:r>
      <w:r>
        <w:rPr/>
        <w:t>建设的同时，加快了综合业务应用系统的建设速度，金融</w:t>
      </w:r>
      <w:r>
        <w:rPr>
          <w:rFonts w:ascii="Times New Roman" w:hAnsi="Times New Roman" w:cs="Times New Roman" w:eastAsia="Times New Roman" w:hint="default"/>
        </w:rPr>
        <w:t>IT</w:t>
      </w:r>
      <w:r>
        <w:rPr/>
        <w:t>市场仍将会保持稳定增长。</w:t>
      </w:r>
    </w:p>
    <w:p>
      <w:pPr>
        <w:pStyle w:val="BodyText"/>
        <w:spacing w:line="314" w:lineRule="auto" w:before="48"/>
        <w:ind w:right="93" w:firstLine="360"/>
        <w:jc w:val="left"/>
      </w:pPr>
      <w:r>
        <w:rPr/>
        <w:t>金融科技（ </w:t>
      </w:r>
      <w:r>
        <w:rPr>
          <w:rFonts w:ascii="Times New Roman" w:hAnsi="Times New Roman" w:cs="Times New Roman" w:eastAsia="Times New Roman" w:hint="default"/>
        </w:rPr>
        <w:t>FinTech</w:t>
      </w:r>
      <w:r>
        <w:rPr>
          <w:rFonts w:ascii="Times New Roman" w:hAnsi="Times New Roman" w:cs="Times New Roman" w:eastAsia="Times New Roman" w:hint="default"/>
          <w:spacing w:val="3"/>
        </w:rPr>
        <w:t> </w:t>
      </w:r>
      <w:r>
        <w:rPr/>
        <w:t>）通常被界定为金融和科技的融合，即把科技应用到金融领域，通过技术工具的变革推动金融体 </w:t>
      </w:r>
      <w:r>
        <w:rPr>
          <w:spacing w:val="-2"/>
        </w:rPr>
        <w:t>系的创新。金融科技，创造新的业务模式、新的应用、新的流程和新的产品，从而对金融市场、金融机构、金融服务的提供</w:t>
      </w:r>
      <w:r>
        <w:rPr>
          <w:spacing w:val="-71"/>
        </w:rPr>
        <w:t> </w:t>
      </w:r>
      <w:r>
        <w:rPr>
          <w:spacing w:val="-71"/>
        </w:rPr>
      </w:r>
      <w:r>
        <w:rPr/>
        <w:t>方式形成巨大的影响。金融科技将提升金融效率，外延囊括了支付清算、电子货币、网络借贷、大数据、区块链、云计算、</w:t>
      </w:r>
      <w:r>
        <w:rPr/>
        <w:t> </w:t>
      </w:r>
      <w:r>
        <w:rPr>
          <w:spacing w:val="-2"/>
        </w:rPr>
        <w:t>人工智能、智能投顾、智能合同等领域，正在对银行、保险和支付领域的核心功能产生巨大影响。金融科技将成为金融企业</w:t>
      </w:r>
      <w:r>
        <w:rPr>
          <w:spacing w:val="-67"/>
        </w:rPr>
        <w:t> </w:t>
      </w:r>
      <w:r>
        <w:rPr>
          <w:spacing w:val="-67"/>
        </w:rPr>
      </w:r>
      <w:r>
        <w:rPr>
          <w:spacing w:val="-2"/>
        </w:rPr>
        <w:t>最为核心的竞争力。金融科技一系列的技术最终将会解构现有的基于工业社会结构的金融服务体系，并会重建一个基于信息</w:t>
      </w:r>
      <w:r>
        <w:rPr>
          <w:spacing w:val="-64"/>
        </w:rPr>
        <w:t> </w:t>
      </w:r>
      <w:r>
        <w:rPr>
          <w:spacing w:val="-64"/>
        </w:rPr>
      </w:r>
      <w:r>
        <w:rPr>
          <w:spacing w:val="-2"/>
        </w:rPr>
        <w:t>社会架构下的金融服务体系。金字塔式、层级制、流程化的金融服务模式会被消解，网络结构的、分布式、场景化、数字化</w:t>
      </w:r>
      <w:r>
        <w:rPr>
          <w:spacing w:val="-73"/>
        </w:rPr>
        <w:t> </w:t>
      </w:r>
      <w:r>
        <w:rPr>
          <w:spacing w:val="-73"/>
        </w:rPr>
      </w:r>
      <w:r>
        <w:rPr/>
        <w:t>的新金融服务模式会建立起来。</w:t>
      </w:r>
    </w:p>
    <w:p>
      <w:pPr>
        <w:pStyle w:val="BodyText"/>
        <w:spacing w:line="316" w:lineRule="auto" w:before="61"/>
        <w:ind w:right="93" w:firstLine="360"/>
        <w:jc w:val="left"/>
      </w:pPr>
      <w:r>
        <w:rPr>
          <w:spacing w:val="-2"/>
        </w:rPr>
        <w:t>南天信息依托在金融信息设备、系统集成、软件方面的技术优势、案例优势，将在未来的发展过程中，追逐新的技术和</w:t>
      </w:r>
      <w:r>
        <w:rPr/>
        <w:t> 丰富相关应用，更好的服务客户，获得更大的市场份额。</w:t>
      </w:r>
    </w:p>
    <w:p>
      <w:pPr>
        <w:pStyle w:val="BodyText"/>
        <w:spacing w:line="357" w:lineRule="auto" w:before="59"/>
        <w:ind w:left="513" w:right="93"/>
        <w:jc w:val="left"/>
      </w:pPr>
      <w:r>
        <w:rPr/>
        <w:t>（二）公司发展规划 </w:t>
      </w:r>
      <w:r>
        <w:rPr>
          <w:spacing w:val="-2"/>
        </w:rPr>
        <w:t>南天信息在继续巩固金融信息化优势的同时，紧紧抓住国家推进信息安全、大力发展云南省信息技术、建设面向南亚东</w:t>
      </w:r>
    </w:p>
    <w:p>
      <w:pPr>
        <w:spacing w:after="0" w:line="357"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pPr>
      <w:r>
        <w:rPr>
          <w:spacing w:val="-2"/>
        </w:rPr>
        <w:t>南亚辐射中心战略的重大机遇，以“产品服务化，服务产品化”为理念，引领公司实现跨越式发展。公司在做强做大存量业</w:t>
      </w:r>
      <w:r>
        <w:rPr>
          <w:spacing w:val="-67"/>
        </w:rPr>
        <w:t> </w:t>
      </w:r>
      <w:r>
        <w:rPr>
          <w:spacing w:val="-67"/>
        </w:rPr>
      </w:r>
      <w:r>
        <w:rPr>
          <w:spacing w:val="-2"/>
        </w:rPr>
        <w:t>务基础上，对内优化经营管理效率，对外大力拓展新市场，以资源整合、优势互补为导向开展同业并购，不断强化金融信息</w:t>
      </w:r>
      <w:r>
        <w:rPr>
          <w:spacing w:val="-67"/>
        </w:rPr>
        <w:t> </w:t>
      </w:r>
      <w:r>
        <w:rPr>
          <w:spacing w:val="-67"/>
        </w:rPr>
      </w:r>
      <w:r>
        <w:rPr>
          <w:spacing w:val="-2"/>
        </w:rPr>
        <w:t>化产业龙头地位；大力拓展增量业务，强势打造信息服务产业版图，关注云南，辐射全国，适时适当开展投资并购，积极布</w:t>
      </w:r>
      <w:r>
        <w:rPr>
          <w:spacing w:val="-68"/>
        </w:rPr>
        <w:t> </w:t>
      </w:r>
      <w:r>
        <w:rPr>
          <w:spacing w:val="-68"/>
        </w:rPr>
      </w:r>
      <w:r>
        <w:rPr>
          <w:spacing w:val="-2"/>
        </w:rPr>
        <w:t>局云计算业务、大数据业务和智慧城市业务，推动主营业务转型升级，实现信息技术产业一流的总体产业定位，成为专业的</w:t>
      </w:r>
      <w:r>
        <w:rPr>
          <w:spacing w:val="-65"/>
        </w:rPr>
        <w:t> </w:t>
      </w:r>
      <w:r>
        <w:rPr>
          <w:spacing w:val="-65"/>
        </w:rPr>
      </w:r>
      <w:r>
        <w:rPr/>
        <w:t>数字化服务提供商，成为数字化服务的创领者。</w:t>
      </w:r>
    </w:p>
    <w:p>
      <w:pPr>
        <w:pStyle w:val="BodyText"/>
        <w:spacing w:line="240" w:lineRule="auto" w:before="58"/>
        <w:ind w:left="513" w:right="6753"/>
        <w:jc w:val="left"/>
      </w:pPr>
      <w:r>
        <w:rPr/>
        <w:t>（三）</w:t>
      </w:r>
      <w:r>
        <w:rPr>
          <w:rFonts w:ascii="Times New Roman" w:hAnsi="Times New Roman" w:cs="Times New Roman" w:eastAsia="Times New Roman" w:hint="default"/>
        </w:rPr>
        <w:t>2018</w:t>
      </w:r>
      <w:r>
        <w:rPr/>
        <w:t>年公司经营计划</w:t>
      </w:r>
    </w:p>
    <w:p>
      <w:pPr>
        <w:pStyle w:val="BodyText"/>
        <w:spacing w:line="300" w:lineRule="auto" w:before="63"/>
        <w:ind w:right="93" w:firstLine="360"/>
        <w:jc w:val="left"/>
      </w:pPr>
      <w:r>
        <w:rPr>
          <w:rFonts w:ascii="Times New Roman" w:hAnsi="Times New Roman" w:cs="Times New Roman" w:eastAsia="Times New Roman" w:hint="default"/>
          <w:spacing w:val="-2"/>
        </w:rPr>
        <w:t>2018</w:t>
      </w:r>
      <w:r>
        <w:rPr>
          <w:spacing w:val="-2"/>
        </w:rPr>
        <w:t>年，南天信息将依托公司具备的自主知识产权的软硬件产品、整体解决方案提供能力和</w:t>
      </w:r>
      <w:r>
        <w:rPr>
          <w:rFonts w:ascii="Times New Roman" w:hAnsi="Times New Roman" w:cs="Times New Roman" w:eastAsia="Times New Roman" w:hint="default"/>
          <w:spacing w:val="-2"/>
        </w:rPr>
        <w:t>IT</w:t>
      </w:r>
      <w:r>
        <w:rPr>
          <w:spacing w:val="-2"/>
        </w:rPr>
        <w:t>服务能力，通过重点开展</w:t>
      </w:r>
      <w:r>
        <w:rPr/>
        <w:t> 以下方面的工作，实现公司</w:t>
      </w:r>
      <w:r>
        <w:rPr>
          <w:rFonts w:ascii="Times New Roman" w:hAnsi="Times New Roman" w:cs="Times New Roman" w:eastAsia="Times New Roman" w:hint="default"/>
        </w:rPr>
        <w:t>2018</w:t>
      </w:r>
      <w:r>
        <w:rPr/>
        <w:t>年度的经营计划：</w:t>
      </w:r>
    </w:p>
    <w:p>
      <w:pPr>
        <w:pStyle w:val="BodyText"/>
        <w:spacing w:line="240" w:lineRule="auto" w:before="13"/>
        <w:ind w:left="513" w:right="93"/>
        <w:jc w:val="left"/>
      </w:pPr>
      <w:r>
        <w:rPr>
          <w:rFonts w:ascii="Times New Roman" w:hAnsi="Times New Roman" w:cs="Times New Roman" w:eastAsia="Times New Roman" w:hint="default"/>
        </w:rPr>
        <w:t>1</w:t>
      </w:r>
      <w:r>
        <w:rPr/>
        <w:t>、战略聚势，强化引领，推进“十三五”</w:t>
      </w:r>
      <w:r>
        <w:rPr>
          <w:spacing w:val="-17"/>
        </w:rPr>
        <w:t> </w:t>
      </w:r>
      <w:r>
        <w:rPr/>
        <w:t>规划落地；</w:t>
      </w:r>
    </w:p>
    <w:p>
      <w:pPr>
        <w:pStyle w:val="BodyText"/>
        <w:spacing w:line="240" w:lineRule="auto" w:before="63"/>
        <w:ind w:left="513" w:right="93"/>
        <w:jc w:val="left"/>
      </w:pPr>
      <w:r>
        <w:rPr>
          <w:rFonts w:ascii="Times New Roman" w:hAnsi="Times New Roman" w:cs="Times New Roman" w:eastAsia="Times New Roman" w:hint="default"/>
        </w:rPr>
        <w:t>2</w:t>
      </w:r>
      <w:r>
        <w:rPr/>
        <w:t>、创新赋能，做专做强，进一步提升软件业务盈利能力；</w:t>
      </w:r>
    </w:p>
    <w:p>
      <w:pPr>
        <w:pStyle w:val="BodyText"/>
        <w:spacing w:line="240" w:lineRule="auto" w:before="63"/>
        <w:ind w:left="513" w:right="93"/>
        <w:jc w:val="left"/>
      </w:pPr>
      <w:r>
        <w:rPr>
          <w:rFonts w:ascii="Times New Roman" w:hAnsi="Times New Roman" w:cs="Times New Roman" w:eastAsia="Times New Roman" w:hint="default"/>
        </w:rPr>
        <w:t>3</w:t>
      </w:r>
      <w:r>
        <w:rPr/>
        <w:t>、软硬互动，集以智胜，做强做大集成服务业务；</w:t>
      </w:r>
    </w:p>
    <w:p>
      <w:pPr>
        <w:pStyle w:val="BodyText"/>
        <w:spacing w:line="240" w:lineRule="auto" w:before="63"/>
        <w:ind w:left="513" w:right="93"/>
        <w:jc w:val="left"/>
      </w:pPr>
      <w:r>
        <w:rPr>
          <w:rFonts w:ascii="Times New Roman" w:hAnsi="Times New Roman" w:cs="Times New Roman" w:eastAsia="Times New Roman" w:hint="default"/>
        </w:rPr>
        <w:t>4</w:t>
      </w:r>
      <w:r>
        <w:rPr/>
        <w:t>、重塑信心，打造能力，产品服务业务强产品优服务；</w:t>
      </w:r>
    </w:p>
    <w:p>
      <w:pPr>
        <w:pStyle w:val="BodyText"/>
        <w:spacing w:line="240" w:lineRule="auto" w:before="63"/>
        <w:ind w:left="513" w:right="93"/>
        <w:jc w:val="left"/>
      </w:pPr>
      <w:r>
        <w:rPr>
          <w:rFonts w:ascii="Times New Roman" w:hAnsi="Times New Roman" w:cs="Times New Roman" w:eastAsia="Times New Roman" w:hint="default"/>
        </w:rPr>
        <w:t>5</w:t>
      </w:r>
      <w:r>
        <w:rPr/>
        <w:t>、找准定位，重点布局，智慧城市业务蓄势谋远；</w:t>
      </w:r>
    </w:p>
    <w:p>
      <w:pPr>
        <w:pStyle w:val="BodyText"/>
        <w:spacing w:line="240" w:lineRule="auto" w:before="63"/>
        <w:ind w:left="513" w:right="93"/>
        <w:jc w:val="left"/>
      </w:pPr>
      <w:r>
        <w:rPr>
          <w:rFonts w:ascii="Times New Roman" w:hAnsi="Times New Roman" w:cs="Times New Roman" w:eastAsia="Times New Roman" w:hint="default"/>
        </w:rPr>
        <w:t>6</w:t>
      </w:r>
      <w:r>
        <w:rPr/>
        <w:t>、加大投入，强化创新，争做数字化服务创领者；</w:t>
      </w:r>
    </w:p>
    <w:p>
      <w:pPr>
        <w:pStyle w:val="BodyText"/>
        <w:spacing w:line="240" w:lineRule="auto" w:before="63"/>
        <w:ind w:left="513" w:right="93"/>
        <w:jc w:val="left"/>
      </w:pPr>
      <w:r>
        <w:rPr>
          <w:rFonts w:ascii="Times New Roman" w:hAnsi="Times New Roman" w:cs="Times New Roman" w:eastAsia="Times New Roman" w:hint="default"/>
        </w:rPr>
        <w:t>7</w:t>
      </w:r>
      <w:r>
        <w:rPr/>
        <w:t>、赋能组织，激发活力，全面深化自主经营体模式。</w:t>
      </w:r>
    </w:p>
    <w:p>
      <w:pPr>
        <w:pStyle w:val="BodyText"/>
        <w:spacing w:line="240" w:lineRule="auto" w:before="103"/>
        <w:ind w:left="513" w:right="93"/>
        <w:jc w:val="left"/>
      </w:pPr>
      <w:r>
        <w:rPr/>
        <w:t>（四）未来发展中可能存在的风险</w:t>
      </w:r>
    </w:p>
    <w:p>
      <w:pPr>
        <w:pStyle w:val="BodyText"/>
        <w:spacing w:line="340" w:lineRule="auto" w:before="115"/>
        <w:ind w:left="513" w:right="93"/>
        <w:jc w:val="left"/>
      </w:pPr>
      <w:r>
        <w:rPr>
          <w:rFonts w:ascii="Times New Roman" w:hAnsi="Times New Roman" w:cs="Times New Roman" w:eastAsia="Times New Roman" w:hint="default"/>
        </w:rPr>
        <w:t>1</w:t>
      </w:r>
      <w:r>
        <w:rPr/>
        <w:t>、市场竞争风险 </w:t>
      </w:r>
      <w:r>
        <w:rPr>
          <w:spacing w:val="-2"/>
        </w:rPr>
        <w:t>随着近年来行业客户需求的增长以及虚拟化、云计算、移动互联等新技术和模式的出现，我国的软件与信息技术服务市</w:t>
      </w:r>
    </w:p>
    <w:p>
      <w:pPr>
        <w:pStyle w:val="BodyText"/>
        <w:spacing w:line="316" w:lineRule="auto" w:before="1"/>
        <w:ind w:right="193"/>
        <w:jc w:val="both"/>
      </w:pPr>
      <w:r>
        <w:rPr>
          <w:spacing w:val="-2"/>
        </w:rPr>
        <w:t>场规模不断扩大，市场竞争也不断加剧。公司将加强对行业的分析研究，及时掌握行业技术，落实激励政策，确保公司运营</w:t>
      </w:r>
      <w:r>
        <w:rPr>
          <w:spacing w:val="-66"/>
        </w:rPr>
        <w:t> </w:t>
      </w:r>
      <w:r>
        <w:rPr>
          <w:spacing w:val="-66"/>
        </w:rPr>
      </w:r>
      <w:r>
        <w:rPr/>
        <w:t>能够适应市场变化。</w:t>
      </w:r>
    </w:p>
    <w:p>
      <w:pPr>
        <w:pStyle w:val="BodyText"/>
        <w:spacing w:line="338" w:lineRule="auto" w:before="59"/>
        <w:ind w:left="513" w:right="93"/>
        <w:jc w:val="left"/>
      </w:pPr>
      <w:r>
        <w:rPr>
          <w:rFonts w:ascii="Times New Roman" w:hAnsi="Times New Roman" w:cs="Times New Roman" w:eastAsia="Times New Roman" w:hint="default"/>
        </w:rPr>
        <w:t>2</w:t>
      </w:r>
      <w:r>
        <w:rPr/>
        <w:t>、人才流失风险 公司属于知识密集型企业，人才即为公司核心竞争力，技术研发和创新对核心技术人员和关键管理人员的依赖性较大。</w:t>
      </w:r>
    </w:p>
    <w:p>
      <w:pPr>
        <w:pStyle w:val="BodyText"/>
        <w:spacing w:line="316" w:lineRule="auto" w:before="3"/>
        <w:ind w:right="192"/>
        <w:jc w:val="both"/>
      </w:pPr>
      <w:r>
        <w:rPr>
          <w:spacing w:val="-2"/>
        </w:rPr>
        <w:t>但面对日益激烈的信息技术人才竞争，仍存在着因关键人才流失而对公司的业务发展造成一定困难的可能。公司将通过积极</w:t>
      </w:r>
      <w:r>
        <w:rPr>
          <w:spacing w:val="-64"/>
        </w:rPr>
        <w:t> </w:t>
      </w:r>
      <w:r>
        <w:rPr>
          <w:spacing w:val="-64"/>
        </w:rPr>
      </w:r>
      <w:r>
        <w:rPr/>
        <w:t>承揽相关业务、拓展客户渠道等方式，谋取更多的业务。</w:t>
      </w:r>
    </w:p>
    <w:p>
      <w:pPr>
        <w:pStyle w:val="BodyText"/>
        <w:spacing w:line="340" w:lineRule="auto" w:before="19"/>
        <w:ind w:left="513" w:right="93"/>
        <w:jc w:val="left"/>
      </w:pPr>
      <w:r>
        <w:rPr>
          <w:rFonts w:ascii="Times New Roman" w:hAnsi="Times New Roman" w:cs="Times New Roman" w:eastAsia="Times New Roman" w:hint="default"/>
        </w:rPr>
        <w:t>3</w:t>
      </w:r>
      <w:r>
        <w:rPr/>
        <w:t>、技术风险 </w:t>
      </w:r>
      <w:r>
        <w:rPr>
          <w:spacing w:val="-4"/>
        </w:rPr>
        <w:t>技术是</w:t>
      </w:r>
      <w:r>
        <w:rPr>
          <w:rFonts w:ascii="Times New Roman" w:hAnsi="Times New Roman" w:cs="Times New Roman" w:eastAsia="Times New Roman" w:hint="default"/>
          <w:spacing w:val="-4"/>
        </w:rPr>
        <w:t>IT</w:t>
      </w:r>
      <w:r>
        <w:rPr>
          <w:spacing w:val="-4"/>
        </w:rPr>
        <w:t>行业的核心竞争力之一，如未来技术发展，导致公司的技术水平落后，有可能对公司的持续经营造成重大影响。</w:t>
      </w:r>
    </w:p>
    <w:p>
      <w:pPr>
        <w:spacing w:line="240" w:lineRule="auto" w:before="8"/>
        <w:rPr>
          <w:rFonts w:ascii="宋体" w:hAnsi="宋体" w:cs="宋体" w:eastAsia="宋体" w:hint="default"/>
          <w:sz w:val="17"/>
          <w:szCs w:val="17"/>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843"/>
        <w:gridCol w:w="1702"/>
        <w:gridCol w:w="161"/>
        <w:gridCol w:w="1397"/>
        <w:gridCol w:w="4467"/>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公司生产经营、产业发展、行业情况以及未来发展情况</w:t>
            </w:r>
          </w:p>
        </w:tc>
      </w:tr>
      <w:tr>
        <w:trPr>
          <w:trHeight w:val="401" w:hRule="exact"/>
        </w:trPr>
        <w:tc>
          <w:tcPr>
            <w:tcW w:w="37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7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3705"/>
        <w:gridCol w:w="5865"/>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751" w:right="3806"/>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20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3"/>
        <w:jc w:val="left"/>
      </w:pPr>
      <w:r>
        <w:rPr/>
        <w:t>报告期内普通股利润分配政策，特别是现金分红政策的制定、执行或调整情况</w:t>
      </w:r>
    </w:p>
    <w:p>
      <w:pPr>
        <w:pStyle w:val="BodyText"/>
        <w:spacing w:line="338" w:lineRule="auto" w:before="117"/>
        <w:ind w:left="513" w:right="20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公司根据中国证监会《关于进一步落实上市公司现金分红有关事项的通知》的相关要求，并结合公司实际情况，在《公</w:t>
      </w:r>
    </w:p>
    <w:p>
      <w:pPr>
        <w:pStyle w:val="BodyText"/>
        <w:spacing w:line="360" w:lineRule="auto" w:before="2"/>
        <w:ind w:left="513" w:right="203" w:hanging="360"/>
        <w:jc w:val="left"/>
      </w:pPr>
      <w:r>
        <w:rPr/>
        <w:t>司章程》中明确关于利润分配的相关条款。 报告期内，公司实施了</w:t>
      </w:r>
      <w:r>
        <w:rPr>
          <w:rFonts w:ascii="Times New Roman" w:hAnsi="Times New Roman" w:cs="Times New Roman" w:eastAsia="Times New Roman" w:hint="default"/>
        </w:rPr>
        <w:t>2016</w:t>
      </w:r>
      <w:r>
        <w:rPr/>
        <w:t>年度利润分配方案。经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2016</w:t>
      </w:r>
      <w:r>
        <w:rPr/>
        <w:t>年度股东大会审议通过，公司</w:t>
      </w:r>
      <w:r>
        <w:rPr>
          <w:rFonts w:ascii="Times New Roman" w:hAnsi="Times New Roman" w:cs="Times New Roman" w:eastAsia="Times New Roman" w:hint="default"/>
        </w:rPr>
        <w:t>2016</w:t>
      </w:r>
      <w:r>
        <w:rPr/>
        <w:t>年度利</w:t>
      </w:r>
    </w:p>
    <w:p>
      <w:pPr>
        <w:pStyle w:val="BodyText"/>
        <w:spacing w:line="213" w:lineRule="exact"/>
        <w:ind w:right="0"/>
        <w:jc w:val="left"/>
      </w:pPr>
      <w:r>
        <w:rPr>
          <w:spacing w:val="-9"/>
        </w:rPr>
        <w:t>润分配方案为：以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日的总股本 </w:t>
      </w:r>
      <w:r>
        <w:rPr>
          <w:rFonts w:ascii="Times New Roman" w:hAnsi="Times New Roman" w:cs="Times New Roman" w:eastAsia="Times New Roman" w:hint="default"/>
        </w:rPr>
        <w:t>246,606,046 </w:t>
      </w:r>
      <w:r>
        <w:rPr>
          <w:spacing w:val="-7"/>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0.50 </w:t>
      </w:r>
      <w:r>
        <w:rPr>
          <w:rFonts w:ascii="Times New Roman" w:hAnsi="Times New Roman" w:cs="Times New Roman" w:eastAsia="Times New Roman" w:hint="default"/>
          <w:spacing w:val="31"/>
        </w:rPr>
        <w:t> </w:t>
      </w:r>
      <w:r>
        <w:rPr>
          <w:spacing w:val="-23"/>
        </w:rPr>
        <w:t>元（含税），</w:t>
      </w:r>
    </w:p>
    <w:p>
      <w:pPr>
        <w:pStyle w:val="BodyText"/>
        <w:spacing w:line="300" w:lineRule="auto" w:before="63"/>
        <w:ind w:right="291"/>
        <w:jc w:val="left"/>
      </w:pPr>
      <w:r>
        <w:rPr/>
        <w:t>合计派发现金红利 </w:t>
      </w:r>
      <w:r>
        <w:rPr>
          <w:rFonts w:ascii="Times New Roman" w:hAnsi="Times New Roman" w:cs="Times New Roman" w:eastAsia="Times New Roman" w:hint="default"/>
        </w:rPr>
        <w:t>12,330,302.30</w:t>
      </w:r>
      <w:r>
        <w:rPr>
          <w:rFonts w:ascii="Times New Roman" w:hAnsi="Times New Roman" w:cs="Times New Roman" w:eastAsia="Times New Roman" w:hint="default"/>
          <w:spacing w:val="2"/>
        </w:rPr>
        <w:t> </w:t>
      </w:r>
      <w:r>
        <w:rPr/>
        <w:t>元（含税）。该方案已于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日实施完毕（详见公司于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日刊登在《证 券时报》、《中国证券报》、《上海证券报》、《证券日报》及巨潮资讯上的《</w:t>
      </w:r>
      <w:r>
        <w:rPr>
          <w:rFonts w:ascii="Times New Roman" w:hAnsi="Times New Roman" w:cs="Times New Roman" w:eastAsia="Times New Roman" w:hint="default"/>
        </w:rPr>
        <w:t>2016</w:t>
      </w:r>
      <w:r>
        <w:rPr/>
        <w:t>年度分红派息实施公告》）。</w:t>
      </w:r>
    </w:p>
    <w:p>
      <w:pPr>
        <w:spacing w:line="240" w:lineRule="auto" w:before="6"/>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4761"/>
        <w:gridCol w:w="4795"/>
      </w:tblGrid>
      <w:tr>
        <w:trPr>
          <w:trHeight w:val="396"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203"/>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513" w:right="203"/>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年度利润分配预案：公司以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246,606,046</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0.20</w:t>
      </w:r>
    </w:p>
    <w:p>
      <w:pPr>
        <w:pStyle w:val="BodyText"/>
        <w:spacing w:line="240" w:lineRule="auto" w:before="63"/>
        <w:ind w:right="203"/>
        <w:jc w:val="left"/>
      </w:pPr>
      <w:r>
        <w:rPr/>
        <w:t>元（含税），合计派发现金红利</w:t>
      </w:r>
      <w:r>
        <w:rPr>
          <w:rFonts w:ascii="Times New Roman" w:hAnsi="Times New Roman" w:cs="Times New Roman" w:eastAsia="Times New Roman" w:hint="default"/>
        </w:rPr>
        <w:t>4,932,120.92</w:t>
      </w:r>
      <w:r>
        <w:rPr/>
        <w:t>元（含税）。</w:t>
      </w:r>
    </w:p>
    <w:p>
      <w:pPr>
        <w:pStyle w:val="BodyText"/>
        <w:spacing w:line="240" w:lineRule="auto" w:before="101"/>
        <w:ind w:left="513" w:right="203"/>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spacing w:val="-3"/>
        </w:rPr>
        <w:t>年度利润分配预案：公司以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246,606,046</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0.50</w:t>
      </w:r>
    </w:p>
    <w:p>
      <w:pPr>
        <w:pStyle w:val="BodyText"/>
        <w:spacing w:line="240" w:lineRule="auto" w:before="63"/>
        <w:ind w:right="203"/>
        <w:jc w:val="left"/>
      </w:pPr>
      <w:r>
        <w:rPr/>
        <w:t>元（含税），合计派发现金红利</w:t>
      </w:r>
      <w:r>
        <w:rPr>
          <w:rFonts w:ascii="Times New Roman" w:hAnsi="Times New Roman" w:cs="Times New Roman" w:eastAsia="Times New Roman" w:hint="default"/>
        </w:rPr>
        <w:t>12,330,302.30</w:t>
      </w:r>
      <w:r>
        <w:rPr/>
        <w:t>元（含税）。</w:t>
      </w:r>
    </w:p>
    <w:p>
      <w:pPr>
        <w:pStyle w:val="BodyText"/>
        <w:spacing w:line="240" w:lineRule="auto" w:before="103"/>
        <w:ind w:left="513" w:right="203"/>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年度利润分配方案：公司以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246,606,046</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0.40</w:t>
      </w:r>
    </w:p>
    <w:p>
      <w:pPr>
        <w:pStyle w:val="BodyText"/>
        <w:spacing w:line="340" w:lineRule="auto" w:before="63"/>
        <w:ind w:right="5288"/>
        <w:jc w:val="left"/>
      </w:pPr>
      <w:r>
        <w:rPr/>
        <w:t>元（含税），合计派发现金红利</w:t>
      </w:r>
      <w:r>
        <w:rPr>
          <w:rFonts w:ascii="Times New Roman" w:hAnsi="Times New Roman" w:cs="Times New Roman" w:eastAsia="Times New Roman" w:hint="default"/>
        </w:rPr>
        <w:t>9,864,241.84</w:t>
      </w:r>
      <w:r>
        <w:rPr/>
        <w:t>元（含税）。 公司近三年（包括本报告期）普通股现金分红情况表</w:t>
      </w:r>
    </w:p>
    <w:p>
      <w:pPr>
        <w:pStyle w:val="BodyText"/>
        <w:spacing w:line="240" w:lineRule="auto" w:before="40"/>
        <w:ind w:left="0" w:right="21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4,932,120.92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21,984,499.53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12,330,302.30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20,689,391.09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9,864,241.84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18,561,982.18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19"/>
        <w:jc w:val="right"/>
      </w:pPr>
      <w:r>
        <w:rPr/>
        <w:pict>
          <v:shape style="position:absolute;margin-left:58.824001pt;margin-top:-161.558304pt;width:478.55pt;height:237.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72"/>
                    <w:gridCol w:w="5784"/>
                  </w:tblGrid>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246,606,046</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4,932,120.92</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318,050,092.15</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w:t>
                        </w:r>
                        <w:r>
                          <w:rPr>
                            <w:rFonts w:ascii="宋体" w:hAnsi="宋体" w:cs="宋体" w:eastAsia="宋体" w:hint="default"/>
                            <w:spacing w:val="-82"/>
                            <w:sz w:val="18"/>
                            <w:szCs w:val="18"/>
                          </w:rPr>
                          <w:t>，</w:t>
                        </w:r>
                        <w:r>
                          <w:rPr>
                            <w:rFonts w:ascii="宋体" w:hAnsi="宋体" w:cs="宋体" w:eastAsia="宋体" w:hint="default"/>
                            <w:sz w:val="18"/>
                            <w:szCs w:val="18"/>
                          </w:rPr>
                          <w:t>进行利润分配时</w:t>
                        </w:r>
                        <w:r>
                          <w:rPr>
                            <w:rFonts w:ascii="宋体" w:hAnsi="宋体" w:cs="宋体" w:eastAsia="宋体" w:hint="default"/>
                            <w:spacing w:val="-82"/>
                            <w:sz w:val="18"/>
                            <w:szCs w:val="18"/>
                          </w:rPr>
                          <w:t>，</w:t>
                        </w:r>
                        <w:r>
                          <w:rPr>
                            <w:rFonts w:ascii="宋体" w:hAnsi="宋体" w:cs="宋体" w:eastAsia="宋体" w:hint="default"/>
                            <w:sz w:val="18"/>
                            <w:szCs w:val="18"/>
                          </w:rPr>
                          <w:t>现金分红在本次利润分配中所占比例最低应达到</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z w:val="18"/>
                            <w:szCs w:val="18"/>
                          </w:rPr>
                          <w:t>％</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w:t>
                        </w:r>
                        <w:r>
                          <w:rPr>
                            <w:rFonts w:ascii="宋体" w:hAnsi="宋体" w:cs="宋体" w:eastAsia="宋体" w:hint="default"/>
                            <w:spacing w:val="-82"/>
                            <w:sz w:val="18"/>
                            <w:szCs w:val="18"/>
                          </w:rPr>
                          <w:t>：</w:t>
                        </w:r>
                        <w:r>
                          <w:rPr>
                            <w:rFonts w:ascii="宋体" w:hAnsi="宋体" w:cs="宋体" w:eastAsia="宋体" w:hint="default"/>
                            <w:spacing w:val="-3"/>
                            <w:sz w:val="18"/>
                            <w:szCs w:val="18"/>
                          </w:rPr>
                          <w:t>拟</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82"/>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2"/>
                            <w:sz w:val="18"/>
                            <w:szCs w:val="18"/>
                          </w:rPr>
                          <w:t>红</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8"/>
        <w:ind w:right="0"/>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1795"/>
        <w:gridCol w:w="853"/>
        <w:gridCol w:w="991"/>
        <w:gridCol w:w="3260"/>
        <w:gridCol w:w="994"/>
        <w:gridCol w:w="850"/>
        <w:gridCol w:w="814"/>
      </w:tblGrid>
      <w:tr>
        <w:trPr>
          <w:trHeight w:val="401" w:hRule="exact"/>
        </w:trPr>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1"/>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078" w:hRule="exact"/>
        </w:trPr>
        <w:tc>
          <w:tcPr>
            <w:tcW w:w="1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7" w:right="98"/>
              <w:jc w:val="both"/>
              <w:rPr>
                <w:rFonts w:ascii="宋体" w:hAnsi="宋体" w:cs="宋体" w:eastAsia="宋体" w:hint="default"/>
                <w:sz w:val="18"/>
                <w:szCs w:val="18"/>
              </w:rPr>
            </w:pPr>
            <w:r>
              <w:rPr>
                <w:rFonts w:ascii="宋体" w:hAnsi="宋体" w:cs="宋体" w:eastAsia="宋体" w:hint="default"/>
                <w:sz w:val="18"/>
                <w:szCs w:val="18"/>
              </w:rPr>
              <w:t>南天电子 信息产业 集团公司</w:t>
            </w:r>
          </w:p>
        </w:tc>
        <w:tc>
          <w:tcPr>
            <w:tcW w:w="991" w:type="dxa"/>
            <w:vMerge w:val="restart"/>
            <w:tcBorders>
              <w:top w:val="single" w:sz="4" w:space="0" w:color="000000"/>
              <w:left w:val="single" w:sz="4" w:space="0" w:color="000000"/>
              <w:right w:val="single" w:sz="4" w:space="0" w:color="000000"/>
            </w:tcBorders>
          </w:tcPr>
          <w:p>
            <w:pPr/>
          </w:p>
        </w:tc>
        <w:tc>
          <w:tcPr>
            <w:tcW w:w="3260"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、关于避免同业竞争的承诺：承诺公司 及公司控制的全资或控股子企业目前没 有，将来亦不会在中国境内外：</w:t>
            </w:r>
            <w:r>
              <w:rPr>
                <w:rFonts w:ascii="宋体" w:hAnsi="宋体" w:cs="宋体" w:eastAsia="宋体" w:hint="default"/>
                <w:spacing w:val="-25"/>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）以</w:t>
            </w:r>
            <w:r>
              <w:rPr>
                <w:rFonts w:ascii="宋体" w:hAnsi="宋体" w:cs="宋体" w:eastAsia="宋体" w:hint="default"/>
                <w:spacing w:val="-10"/>
                <w:sz w:val="18"/>
                <w:szCs w:val="18"/>
              </w:rPr>
              <w:t> </w:t>
            </w:r>
            <w:r>
              <w:rPr>
                <w:rFonts w:ascii="宋体" w:hAnsi="宋体" w:cs="宋体" w:eastAsia="宋体" w:hint="default"/>
                <w:sz w:val="18"/>
                <w:szCs w:val="18"/>
              </w:rPr>
              <w:t>任何方式直接或间接控制任何导致或可</w:t>
            </w:r>
            <w:r>
              <w:rPr>
                <w:rFonts w:ascii="宋体" w:hAnsi="宋体" w:cs="宋体" w:eastAsia="宋体" w:hint="default"/>
                <w:sz w:val="18"/>
                <w:szCs w:val="18"/>
              </w:rPr>
              <w:t> </w:t>
            </w:r>
            <w:r>
              <w:rPr>
                <w:rFonts w:ascii="宋体" w:hAnsi="宋体" w:cs="宋体" w:eastAsia="宋体" w:hint="default"/>
                <w:spacing w:val="-2"/>
                <w:sz w:val="18"/>
                <w:szCs w:val="18"/>
              </w:rPr>
              <w:t>能导致与南天信息（包括南天信息控股子</w:t>
            </w:r>
            <w:r>
              <w:rPr>
                <w:rFonts w:ascii="宋体" w:hAnsi="宋体" w:cs="宋体" w:eastAsia="宋体" w:hint="default"/>
                <w:sz w:val="18"/>
                <w:szCs w:val="18"/>
              </w:rPr>
              <w:t> </w:t>
            </w:r>
            <w:r>
              <w:rPr>
                <w:rFonts w:ascii="宋体" w:hAnsi="宋体" w:cs="宋体" w:eastAsia="宋体" w:hint="default"/>
                <w:spacing w:val="-3"/>
                <w:sz w:val="18"/>
                <w:szCs w:val="18"/>
              </w:rPr>
              <w:t>公司，下同）主营业务直接或间接产生竞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争的业务或活动的企业，本公司及本公司</w:t>
            </w:r>
            <w:r>
              <w:rPr>
                <w:rFonts w:ascii="宋体" w:hAnsi="宋体" w:cs="宋体" w:eastAsia="宋体" w:hint="default"/>
                <w:sz w:val="18"/>
                <w:szCs w:val="18"/>
              </w:rPr>
              <w:t> 控制的全资或控股子企业亦不生产任何 与南天信息产品相同或相似或可以取代</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按承诺履 行</w:t>
            </w:r>
          </w:p>
        </w:tc>
      </w:tr>
      <w:tr>
        <w:trPr>
          <w:trHeight w:val="703" w:hRule="exact"/>
        </w:trPr>
        <w:tc>
          <w:tcPr>
            <w:tcW w:w="17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51"/>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3"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078" w:hRule="exact"/>
        </w:trPr>
        <w:tc>
          <w:tcPr>
            <w:tcW w:w="1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1807"/>
        <w:gridCol w:w="853"/>
        <w:gridCol w:w="991"/>
        <w:gridCol w:w="3260"/>
        <w:gridCol w:w="994"/>
        <w:gridCol w:w="850"/>
        <w:gridCol w:w="814"/>
      </w:tblGrid>
      <w:tr>
        <w:trPr>
          <w:trHeight w:val="4107" w:hRule="exact"/>
        </w:trPr>
        <w:tc>
          <w:tcPr>
            <w:tcW w:w="1807"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5"/>
              <w:jc w:val="left"/>
              <w:rPr>
                <w:rFonts w:ascii="宋体" w:hAnsi="宋体" w:cs="宋体" w:eastAsia="宋体" w:hint="default"/>
                <w:sz w:val="18"/>
                <w:szCs w:val="18"/>
              </w:rPr>
            </w:pPr>
            <w:r>
              <w:rPr>
                <w:rFonts w:ascii="宋体" w:hAnsi="宋体" w:cs="宋体" w:eastAsia="宋体" w:hint="default"/>
                <w:spacing w:val="-7"/>
                <w:sz w:val="18"/>
                <w:szCs w:val="18"/>
              </w:rPr>
              <w:t>南天信息公司产品的产品；（</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）如南天信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息认为本公司及本公司控制的全资或控 股子企业从事了对南天信息的业务构成 </w:t>
            </w:r>
            <w:r>
              <w:rPr>
                <w:rFonts w:ascii="宋体" w:hAnsi="宋体" w:cs="宋体" w:eastAsia="宋体" w:hint="default"/>
                <w:spacing w:val="-2"/>
                <w:sz w:val="18"/>
                <w:szCs w:val="18"/>
              </w:rPr>
              <w:t>竞争的业务，本公司及本公司控制的全资</w:t>
            </w:r>
            <w:r>
              <w:rPr>
                <w:rFonts w:ascii="宋体" w:hAnsi="宋体" w:cs="宋体" w:eastAsia="宋体" w:hint="default"/>
                <w:sz w:val="18"/>
                <w:szCs w:val="18"/>
              </w:rPr>
              <w:t> 或控股子企业将愿意以公平合理的价格 </w:t>
            </w:r>
            <w:r>
              <w:rPr>
                <w:rFonts w:ascii="宋体" w:hAnsi="宋体" w:cs="宋体" w:eastAsia="宋体" w:hint="default"/>
                <w:spacing w:val="-5"/>
                <w:sz w:val="18"/>
                <w:szCs w:val="18"/>
              </w:rPr>
              <w:t>将该等资产或股权转让给南天信息；（</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如果本公司及本公司控制的全资或控股 子企业将来可能存在任何与南天信息主 营业务产生直接或间接竞争的业务机会， 应立即通知南天信息并尽力促使该业务 机会按南天信息能合理接受的条款和条 </w:t>
            </w:r>
            <w:r>
              <w:rPr>
                <w:rFonts w:ascii="宋体" w:hAnsi="宋体" w:cs="宋体" w:eastAsia="宋体" w:hint="default"/>
                <w:spacing w:val="-2"/>
                <w:sz w:val="18"/>
                <w:szCs w:val="18"/>
              </w:rPr>
              <w:t>件首先提供给南天信息，南天信息对上述</w:t>
            </w:r>
            <w:r>
              <w:rPr>
                <w:rFonts w:ascii="宋体" w:hAnsi="宋体" w:cs="宋体" w:eastAsia="宋体" w:hint="default"/>
                <w:sz w:val="18"/>
                <w:szCs w:val="18"/>
              </w:rPr>
              <w:t> 业务享有优先购买权。</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807"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云南南天 电子信息 产业股份 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pacing w:val="-20"/>
                <w:sz w:val="18"/>
                <w:szCs w:val="18"/>
              </w:rPr>
              <w:t>严格遵守《公司法》、《证券法》、《上市公</w:t>
            </w:r>
            <w:r>
              <w:rPr>
                <w:rFonts w:ascii="宋体" w:hAnsi="宋体" w:cs="宋体" w:eastAsia="宋体" w:hint="default"/>
                <w:sz w:val="18"/>
                <w:szCs w:val="18"/>
              </w:rPr>
              <w:t> </w:t>
            </w:r>
            <w:r>
              <w:rPr>
                <w:rFonts w:ascii="宋体" w:hAnsi="宋体" w:cs="宋体" w:eastAsia="宋体" w:hint="default"/>
                <w:spacing w:val="-2"/>
                <w:sz w:val="18"/>
                <w:szCs w:val="18"/>
              </w:rPr>
              <w:t>司证券发行管理办法》等法律、法规和中</w:t>
            </w:r>
            <w:r>
              <w:rPr>
                <w:rFonts w:ascii="宋体" w:hAnsi="宋体" w:cs="宋体" w:eastAsia="宋体" w:hint="default"/>
                <w:sz w:val="18"/>
                <w:szCs w:val="18"/>
              </w:rPr>
              <w:t> 国证监会的有关规定的承诺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9"/>
              <w:jc w:val="left"/>
              <w:rPr>
                <w:rFonts w:ascii="宋体" w:hAnsi="宋体" w:cs="宋体" w:eastAsia="宋体" w:hint="default"/>
                <w:sz w:val="18"/>
                <w:szCs w:val="18"/>
              </w:rPr>
            </w:pPr>
            <w:r>
              <w:rPr>
                <w:rFonts w:ascii="宋体" w:hAnsi="宋体" w:cs="宋体" w:eastAsia="宋体" w:hint="default"/>
                <w:sz w:val="18"/>
                <w:szCs w:val="18"/>
              </w:rPr>
              <w:t>按承诺履 行</w:t>
            </w:r>
          </w:p>
        </w:tc>
      </w:tr>
      <w:tr>
        <w:trPr>
          <w:trHeight w:val="403" w:hRule="exact"/>
        </w:trPr>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59" w:lineRule="auto" w:before="36"/>
        <w:ind w:right="9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BodyText"/>
        <w:spacing w:line="304" w:lineRule="auto"/>
        <w:ind w:right="9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日，财政部颁发了财会〔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t>号文，发布了《企业会计准则第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 </w:t>
      </w:r>
      <w:r>
        <w:rPr>
          <w:spacing w:val="-2"/>
        </w:rPr>
        <w:t>组和终止经营》，自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日起在所有执行企业会计准则的企业范围内执行。此前发布的有关持有待售的非流动资产、</w:t>
      </w:r>
      <w:r>
        <w:rPr>
          <w:spacing w:val="-60"/>
        </w:rPr>
        <w:t> </w:t>
      </w:r>
      <w:r>
        <w:rPr>
          <w:spacing w:val="-60"/>
        </w:rPr>
      </w:r>
      <w:r>
        <w:rPr>
          <w:spacing w:val="-2"/>
        </w:rPr>
        <w:t>处置组和终止经营的会计处理规定与该准则不一致的，以该准则为准。对于该准则施行日存在的持有待售的非流动资产、处</w:t>
      </w:r>
      <w:r>
        <w:rPr>
          <w:spacing w:val="-63"/>
        </w:rPr>
        <w:t> </w:t>
      </w:r>
      <w:r>
        <w:rPr>
          <w:spacing w:val="-63"/>
        </w:rPr>
      </w:r>
      <w:r>
        <w:rPr/>
        <w:t>置组和终止经营，应当采用未来适用法处理。</w:t>
      </w:r>
    </w:p>
    <w:p>
      <w:pPr>
        <w:spacing w:after="0" w:line="304"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7"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日，财政部颁发了财会〔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w:t>
      </w:r>
      <w:r>
        <w:rPr>
          <w:spacing w:val="-2"/>
        </w:rPr>
        <w:t>号文，对《企业会计准则第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政府补助》进行了修订，自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12</w:t>
      </w:r>
      <w:r>
        <w:rPr>
          <w:spacing w:val="-2"/>
        </w:rPr>
        <w:t>日起施行，同时要求对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w:t>
      </w:r>
      <w:r>
        <w:rPr>
          <w:spacing w:val="-55"/>
        </w:rPr>
        <w:t> </w:t>
      </w:r>
      <w:r>
        <w:rPr/>
        <w:t>政府补助根据该准则进行调整。</w:t>
      </w:r>
    </w:p>
    <w:p>
      <w:pPr>
        <w:pStyle w:val="BodyText"/>
        <w:spacing w:line="300" w:lineRule="auto" w:before="151"/>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日，财政部颁发了财会〔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号文，对一般企业财务报表格式进行了修订，执行企业会计准则的非金</w:t>
      </w:r>
      <w:r>
        <w:rPr/>
        <w:t> 融企业应当按照企业会计准则和本通知要求编制</w:t>
      </w:r>
      <w:r>
        <w:rPr>
          <w:rFonts w:ascii="Times New Roman" w:hAnsi="Times New Roman" w:cs="Times New Roman" w:eastAsia="Times New Roman" w:hint="default"/>
        </w:rPr>
        <w:t>2017</w:t>
      </w:r>
      <w:r>
        <w:rPr/>
        <w:t>年度及以后期间的财务报表；</w:t>
      </w:r>
    </w:p>
    <w:p>
      <w:pPr>
        <w:pStyle w:val="BodyText"/>
        <w:spacing w:line="300" w:lineRule="auto" w:before="133"/>
        <w:ind w:right="191" w:firstLine="360"/>
        <w:jc w:val="both"/>
      </w:pPr>
      <w:r>
        <w:rPr>
          <w:spacing w:val="-2"/>
        </w:rPr>
        <w:t>根据以上会计准则的颁布或修订，公司需要按照这些准则对</w:t>
      </w:r>
      <w:r>
        <w:rPr>
          <w:rFonts w:ascii="Times New Roman" w:hAnsi="Times New Roman" w:cs="Times New Roman" w:eastAsia="Times New Roman" w:hint="default"/>
          <w:spacing w:val="-2"/>
        </w:rPr>
        <w:t>2017</w:t>
      </w:r>
      <w:r>
        <w:rPr>
          <w:spacing w:val="-2"/>
        </w:rPr>
        <w:t>年度的财务报表进行调整，对</w:t>
      </w:r>
      <w:r>
        <w:rPr>
          <w:rFonts w:ascii="Times New Roman" w:hAnsi="Times New Roman" w:cs="Times New Roman" w:eastAsia="Times New Roman" w:hint="default"/>
          <w:spacing w:val="-2"/>
        </w:rPr>
        <w:t>2017</w:t>
      </w:r>
      <w:r>
        <w:rPr>
          <w:spacing w:val="-2"/>
        </w:rPr>
        <w:t>年度财务报表影响如</w:t>
      </w:r>
      <w:r>
        <w:rPr/>
        <w:t> 下：</w:t>
      </w:r>
    </w:p>
    <w:p>
      <w:pPr>
        <w:pStyle w:val="BodyText"/>
        <w:spacing w:line="300" w:lineRule="auto" w:before="151"/>
        <w:ind w:right="186" w:firstLine="362"/>
        <w:jc w:val="both"/>
      </w:pPr>
      <w:r>
        <w:rPr>
          <w:rFonts w:ascii="Times New Roman" w:hAnsi="Times New Roman" w:cs="Times New Roman" w:eastAsia="Times New Roman" w:hint="default"/>
        </w:rPr>
        <w:t>1</w:t>
      </w:r>
      <w:r>
        <w:rPr/>
        <w:t>、根据新颁布的《企业会计准则第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持有待售的非流动资产、处置组和终止经营》准则，对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 并及母公司资产负债表无影响。</w:t>
      </w:r>
    </w:p>
    <w:p>
      <w:pPr>
        <w:pStyle w:val="BodyText"/>
        <w:spacing w:line="300" w:lineRule="auto" w:before="151"/>
        <w:ind w:right="194" w:firstLine="360"/>
        <w:jc w:val="both"/>
      </w:pPr>
      <w:r>
        <w:rPr>
          <w:rFonts w:ascii="Times New Roman" w:hAnsi="Times New Roman" w:cs="Times New Roman" w:eastAsia="Times New Roman" w:hint="default"/>
        </w:rPr>
        <w:t>2</w:t>
      </w:r>
      <w:r>
        <w:rPr/>
        <w:t>、根据修订的《企业会计准则第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政府补助》准则，对</w:t>
      </w:r>
      <w:r>
        <w:rPr>
          <w:rFonts w:ascii="Times New Roman" w:hAnsi="Times New Roman" w:cs="Times New Roman" w:eastAsia="Times New Roman" w:hint="default"/>
        </w:rPr>
        <w:t>2017</w:t>
      </w:r>
      <w:r>
        <w:rPr/>
        <w:t>年度合并及母公司利润表项目列报、营业利润产生的 影响列示如下表：</w:t>
      </w:r>
    </w:p>
    <w:p>
      <w:pPr>
        <w:spacing w:line="240" w:lineRule="auto" w:before="12"/>
        <w:rPr>
          <w:rFonts w:ascii="宋体" w:hAnsi="宋体" w:cs="宋体" w:eastAsia="宋体" w:hint="default"/>
          <w:sz w:val="10"/>
          <w:szCs w:val="10"/>
        </w:rPr>
      </w:pPr>
    </w:p>
    <w:tbl>
      <w:tblPr>
        <w:tblW w:w="0" w:type="auto"/>
        <w:jc w:val="left"/>
        <w:tblInd w:w="376" w:type="dxa"/>
        <w:tblLayout w:type="fixed"/>
        <w:tblCellMar>
          <w:top w:w="0" w:type="dxa"/>
          <w:left w:w="0" w:type="dxa"/>
          <w:bottom w:w="0" w:type="dxa"/>
          <w:right w:w="0" w:type="dxa"/>
        </w:tblCellMar>
        <w:tblLook w:val="01E0"/>
      </w:tblPr>
      <w:tblGrid>
        <w:gridCol w:w="2132"/>
        <w:gridCol w:w="2350"/>
        <w:gridCol w:w="2348"/>
        <w:gridCol w:w="2352"/>
      </w:tblGrid>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73" w:right="0"/>
              <w:jc w:val="left"/>
              <w:rPr>
                <w:rFonts w:ascii="宋体" w:hAnsi="宋体" w:cs="宋体" w:eastAsia="宋体" w:hint="default"/>
                <w:sz w:val="15"/>
                <w:szCs w:val="15"/>
              </w:rPr>
            </w:pPr>
            <w:r>
              <w:rPr>
                <w:rFonts w:ascii="宋体" w:hAnsi="宋体" w:cs="宋体" w:eastAsia="宋体" w:hint="default"/>
                <w:b/>
                <w:bCs/>
                <w:sz w:val="15"/>
                <w:szCs w:val="15"/>
              </w:rPr>
              <w:t>其他收益（增加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6" w:right="0"/>
              <w:jc w:val="left"/>
              <w:rPr>
                <w:rFonts w:ascii="宋体" w:hAnsi="宋体" w:cs="宋体" w:eastAsia="宋体" w:hint="default"/>
                <w:sz w:val="15"/>
                <w:szCs w:val="15"/>
              </w:rPr>
            </w:pPr>
            <w:r>
              <w:rPr>
                <w:rFonts w:ascii="宋体" w:hAnsi="宋体" w:cs="宋体" w:eastAsia="宋体" w:hint="default"/>
                <w:b/>
                <w:bCs/>
                <w:sz w:val="15"/>
                <w:szCs w:val="15"/>
              </w:rPr>
              <w:t>营业外收入（增加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75" w:right="0"/>
              <w:jc w:val="left"/>
              <w:rPr>
                <w:rFonts w:ascii="宋体" w:hAnsi="宋体" w:cs="宋体" w:eastAsia="宋体" w:hint="default"/>
                <w:sz w:val="15"/>
                <w:szCs w:val="15"/>
              </w:rPr>
            </w:pPr>
            <w:r>
              <w:rPr>
                <w:rFonts w:ascii="宋体" w:hAnsi="宋体" w:cs="宋体" w:eastAsia="宋体" w:hint="default"/>
                <w:b/>
                <w:bCs/>
                <w:sz w:val="15"/>
                <w:szCs w:val="15"/>
              </w:rPr>
              <w:t>营业利润（增加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34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2017</w:t>
            </w:r>
            <w:r>
              <w:rPr>
                <w:rFonts w:ascii="宋体" w:hAnsi="宋体" w:cs="宋体" w:eastAsia="宋体" w:hint="default"/>
                <w:sz w:val="15"/>
                <w:szCs w:val="15"/>
              </w:rPr>
              <w:t>年度合并报表的影响</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15,606,124.71</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-15,606,124.71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15,606,124.71</w:t>
            </w:r>
          </w:p>
        </w:tc>
      </w:tr>
      <w:tr>
        <w:trPr>
          <w:trHeight w:val="34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2017</w:t>
            </w:r>
            <w:r>
              <w:rPr>
                <w:rFonts w:ascii="宋体" w:hAnsi="宋体" w:cs="宋体" w:eastAsia="宋体" w:hint="default"/>
                <w:sz w:val="15"/>
                <w:szCs w:val="15"/>
              </w:rPr>
              <w:t>年度母公司报表的影响</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1,591,849.69</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-1,591,849.69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1,591,849.69</w:t>
            </w:r>
          </w:p>
        </w:tc>
      </w:tr>
    </w:tbl>
    <w:p>
      <w:pPr>
        <w:spacing w:line="240" w:lineRule="auto" w:before="5"/>
        <w:rPr>
          <w:rFonts w:ascii="宋体" w:hAnsi="宋体" w:cs="宋体" w:eastAsia="宋体" w:hint="default"/>
          <w:sz w:val="6"/>
          <w:szCs w:val="6"/>
        </w:rPr>
      </w:pPr>
    </w:p>
    <w:p>
      <w:pPr>
        <w:pStyle w:val="BodyText"/>
        <w:spacing w:line="312" w:lineRule="auto" w:before="44"/>
        <w:ind w:right="93" w:firstLine="362"/>
        <w:jc w:val="left"/>
      </w:pPr>
      <w:r>
        <w:rPr>
          <w:rFonts w:ascii="Times New Roman" w:hAnsi="Times New Roman" w:cs="Times New Roman" w:eastAsia="Times New Roman" w:hint="default"/>
          <w:spacing w:val="-1"/>
        </w:rPr>
        <w:t>3</w:t>
      </w:r>
      <w:r>
        <w:rPr>
          <w:spacing w:val="-1"/>
        </w:rPr>
        <w:t>、根据《财政部关于修订印发一般企业财务报表格式的通知》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，利润表新增</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项目，</w:t>
      </w:r>
      <w:r>
        <w:rPr/>
        <w:t> </w:t>
      </w:r>
      <w:r>
        <w:rPr>
          <w:spacing w:val="-2"/>
        </w:rPr>
        <w:t>反映企业因出售划分为持有待售的非流动资产（金融工具、长期股权投资和投资性房地产除外）或处置组，和处置未划分为</w:t>
      </w:r>
      <w:r>
        <w:rPr>
          <w:spacing w:val="-66"/>
        </w:rPr>
        <w:t> </w:t>
      </w:r>
      <w:r>
        <w:rPr>
          <w:spacing w:val="-66"/>
        </w:rPr>
      </w:r>
      <w:r>
        <w:rPr>
          <w:spacing w:val="-2"/>
        </w:rPr>
        <w:t>持有待售的固定资产、在建工程、生产性生物资产及无形资产，以及债务重组中因处置非流动资产等，确认的处置利得和损</w:t>
      </w:r>
      <w:r>
        <w:rPr>
          <w:spacing w:val="-65"/>
        </w:rPr>
        <w:t> </w:t>
      </w:r>
      <w:r>
        <w:rPr>
          <w:spacing w:val="-65"/>
        </w:rPr>
      </w:r>
      <w:r>
        <w:rPr/>
        <w:t>失。对</w:t>
      </w:r>
      <w:r>
        <w:rPr>
          <w:rFonts w:ascii="Times New Roman" w:hAnsi="Times New Roman" w:cs="Times New Roman" w:eastAsia="Times New Roman" w:hint="default"/>
        </w:rPr>
        <w:t>2016</w:t>
      </w:r>
      <w:r>
        <w:rPr/>
        <w:t>年度及</w:t>
      </w:r>
      <w:r>
        <w:rPr>
          <w:rFonts w:ascii="Times New Roman" w:hAnsi="Times New Roman" w:cs="Times New Roman" w:eastAsia="Times New Roman" w:hint="default"/>
        </w:rPr>
        <w:t>2017</w:t>
      </w:r>
      <w:r>
        <w:rPr/>
        <w:t>年度合并及母公司利润表项目列报、营业利润产生的影响列示如下表：</w:t>
      </w:r>
    </w:p>
    <w:p>
      <w:pPr>
        <w:spacing w:line="240" w:lineRule="auto" w:before="10"/>
        <w:rPr>
          <w:rFonts w:ascii="宋体" w:hAnsi="宋体" w:cs="宋体" w:eastAsia="宋体" w:hint="default"/>
          <w:sz w:val="8"/>
          <w:szCs w:val="8"/>
        </w:rPr>
      </w:pPr>
    </w:p>
    <w:tbl>
      <w:tblPr>
        <w:tblW w:w="0" w:type="auto"/>
        <w:jc w:val="left"/>
        <w:tblInd w:w="254" w:type="dxa"/>
        <w:tblLayout w:type="fixed"/>
        <w:tblCellMar>
          <w:top w:w="0" w:type="dxa"/>
          <w:left w:w="0" w:type="dxa"/>
          <w:bottom w:w="0" w:type="dxa"/>
          <w:right w:w="0" w:type="dxa"/>
        </w:tblCellMar>
        <w:tblLook w:val="01E0"/>
      </w:tblPr>
      <w:tblGrid>
        <w:gridCol w:w="2194"/>
        <w:gridCol w:w="1680"/>
        <w:gridCol w:w="1683"/>
        <w:gridCol w:w="2019"/>
        <w:gridCol w:w="1851"/>
      </w:tblGrid>
      <w:tr>
        <w:trPr>
          <w:trHeight w:val="65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center"/>
              <w:rPr>
                <w:rFonts w:ascii="宋体" w:hAnsi="宋体" w:cs="宋体" w:eastAsia="宋体" w:hint="default"/>
                <w:sz w:val="15"/>
                <w:szCs w:val="15"/>
              </w:rPr>
            </w:pPr>
            <w:r>
              <w:rPr>
                <w:rFonts w:ascii="宋体" w:hAnsi="宋体" w:cs="宋体" w:eastAsia="宋体" w:hint="default"/>
                <w:b/>
                <w:bCs/>
                <w:sz w:val="15"/>
                <w:szCs w:val="15"/>
              </w:rPr>
              <w:t>营业外收入</w:t>
            </w:r>
            <w:r>
              <w:rPr>
                <w:rFonts w:ascii="宋体" w:hAnsi="宋体" w:cs="宋体" w:eastAsia="宋体" w:hint="default"/>
                <w:sz w:val="15"/>
                <w:szCs w:val="15"/>
              </w:rPr>
            </w: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b/>
                <w:bCs/>
                <w:sz w:val="15"/>
                <w:szCs w:val="15"/>
              </w:rPr>
              <w:t>（增加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15"/>
                <w:szCs w:val="15"/>
              </w:rPr>
            </w:pPr>
            <w:r>
              <w:rPr>
                <w:rFonts w:ascii="宋体" w:hAnsi="宋体" w:cs="宋体" w:eastAsia="宋体" w:hint="default"/>
                <w:b/>
                <w:bCs/>
                <w:sz w:val="15"/>
                <w:szCs w:val="15"/>
              </w:rPr>
              <w:t>营业外支出</w:t>
            </w:r>
            <w:r>
              <w:rPr>
                <w:rFonts w:ascii="宋体" w:hAnsi="宋体" w:cs="宋体" w:eastAsia="宋体" w:hint="default"/>
                <w:sz w:val="15"/>
                <w:szCs w:val="15"/>
              </w:rPr>
            </w:r>
          </w:p>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b/>
                <w:bCs/>
                <w:sz w:val="15"/>
                <w:szCs w:val="15"/>
              </w:rPr>
              <w:t>（增加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资产处置收益</w:t>
            </w:r>
            <w:r>
              <w:rPr>
                <w:rFonts w:ascii="宋体" w:hAnsi="宋体" w:cs="宋体" w:eastAsia="宋体" w:hint="default"/>
                <w:sz w:val="15"/>
                <w:szCs w:val="15"/>
              </w:rPr>
            </w: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b/>
                <w:bCs/>
                <w:sz w:val="15"/>
                <w:szCs w:val="15"/>
              </w:rPr>
              <w:t>（增加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5"/>
                <w:szCs w:val="15"/>
              </w:rPr>
            </w:pPr>
            <w:r>
              <w:rPr>
                <w:rFonts w:ascii="宋体" w:hAnsi="宋体" w:cs="宋体" w:eastAsia="宋体" w:hint="default"/>
                <w:b/>
                <w:bCs/>
                <w:sz w:val="15"/>
                <w:szCs w:val="15"/>
              </w:rPr>
              <w:t>营业利润</w:t>
            </w:r>
            <w:r>
              <w:rPr>
                <w:rFonts w:ascii="宋体" w:hAnsi="宋体" w:cs="宋体" w:eastAsia="宋体" w:hint="default"/>
                <w:sz w:val="15"/>
                <w:szCs w:val="15"/>
              </w:rPr>
            </w: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b/>
                <w:bCs/>
                <w:sz w:val="15"/>
                <w:szCs w:val="15"/>
              </w:rPr>
              <w:t>（增加</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34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2016</w:t>
            </w:r>
            <w:r>
              <w:rPr>
                <w:rFonts w:ascii="宋体" w:hAnsi="宋体" w:cs="宋体" w:eastAsia="宋体" w:hint="default"/>
                <w:sz w:val="15"/>
                <w:szCs w:val="15"/>
              </w:rPr>
              <w:t>年度合并报表的影响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-17,060.55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-103,360.98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-86,300.43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-86,300.43</w:t>
            </w:r>
          </w:p>
        </w:tc>
      </w:tr>
      <w:tr>
        <w:trPr>
          <w:trHeight w:val="341"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2016</w:t>
            </w:r>
            <w:r>
              <w:rPr>
                <w:rFonts w:ascii="宋体" w:hAnsi="宋体" w:cs="宋体" w:eastAsia="宋体" w:hint="default"/>
                <w:sz w:val="15"/>
                <w:szCs w:val="15"/>
              </w:rPr>
              <w:t>年度母公司报表的影响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-1,049.57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-48,407.59</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-47,358.02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-47,358.02</w:t>
            </w:r>
          </w:p>
        </w:tc>
      </w:tr>
      <w:tr>
        <w:trPr>
          <w:trHeight w:val="34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2017</w:t>
            </w:r>
            <w:r>
              <w:rPr>
                <w:rFonts w:ascii="宋体" w:hAnsi="宋体" w:cs="宋体" w:eastAsia="宋体" w:hint="default"/>
                <w:sz w:val="15"/>
                <w:szCs w:val="15"/>
              </w:rPr>
              <w:t>年度合并报表的影响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-25,831.85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-56,022.70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-30,190.85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-30,190.85</w:t>
            </w:r>
          </w:p>
        </w:tc>
      </w:tr>
      <w:tr>
        <w:trPr>
          <w:trHeight w:val="341"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宋体" w:hAnsi="宋体" w:cs="宋体" w:eastAsia="宋体" w:hint="default"/>
                <w:sz w:val="15"/>
                <w:szCs w:val="15"/>
              </w:rPr>
            </w:pPr>
            <w:r>
              <w:rPr>
                <w:rFonts w:ascii="宋体" w:hAnsi="宋体" w:cs="宋体" w:eastAsia="宋体" w:hint="default"/>
                <w:sz w:val="15"/>
                <w:szCs w:val="15"/>
              </w:rPr>
              <w:t>对</w:t>
            </w:r>
            <w:r>
              <w:rPr>
                <w:rFonts w:ascii="Times New Roman" w:hAnsi="Times New Roman" w:cs="Times New Roman" w:eastAsia="Times New Roman" w:hint="default"/>
                <w:sz w:val="15"/>
                <w:szCs w:val="15"/>
              </w:rPr>
              <w:t>2017</w:t>
            </w:r>
            <w:r>
              <w:rPr>
                <w:rFonts w:ascii="宋体" w:hAnsi="宋体" w:cs="宋体" w:eastAsia="宋体" w:hint="default"/>
                <w:sz w:val="15"/>
                <w:szCs w:val="15"/>
              </w:rPr>
              <w:t>年度母公司报表的影响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-0.01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-854.88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-854.87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-854.87</w:t>
            </w:r>
          </w:p>
        </w:tc>
      </w:tr>
    </w:tbl>
    <w:p>
      <w:pPr>
        <w:spacing w:line="240" w:lineRule="auto" w:before="5"/>
        <w:rPr>
          <w:rFonts w:ascii="宋体" w:hAnsi="宋体" w:cs="宋体" w:eastAsia="宋体" w:hint="default"/>
          <w:sz w:val="6"/>
          <w:szCs w:val="6"/>
        </w:rPr>
      </w:pPr>
    </w:p>
    <w:p>
      <w:pPr>
        <w:pStyle w:val="BodyText"/>
        <w:spacing w:line="316" w:lineRule="auto" w:before="44"/>
        <w:ind w:right="93" w:firstLine="362"/>
        <w:jc w:val="left"/>
        <w:rPr>
          <w:rFonts w:ascii="宋体" w:hAnsi="宋体" w:cs="宋体" w:eastAsia="宋体" w:hint="default"/>
        </w:rPr>
      </w:pPr>
      <w:r>
        <w:rPr>
          <w:spacing w:val="-2"/>
        </w:rPr>
        <w:t>上述会计政策变更是公司根据财政部相关文件要求进行的合理变更，执行变更后的会计政策能够客观、公允地反应公司</w:t>
      </w:r>
      <w:r>
        <w:rPr/>
        <w:t> 的财务状况和经营成果，不存在损害公司及全体股东</w:t>
      </w:r>
      <w:r>
        <w:rPr>
          <w:rFonts w:ascii="宋体" w:hAnsi="宋体" w:cs="宋体" w:eastAsia="宋体" w:hint="default"/>
        </w:rPr>
        <w:t>,</w:t>
      </w:r>
      <w:r>
        <w:rPr/>
        <w:t>特别是中小股东利益的情形。</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9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9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3"/>
        <w:jc w:val="left"/>
      </w:pPr>
      <w:r>
        <w:rPr/>
        <w:t>现聘任的会计师事务所</w:t>
      </w:r>
    </w:p>
    <w:p>
      <w:pPr>
        <w:spacing w:after="0" w:line="240" w:lineRule="auto"/>
        <w:jc w:val="lef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3875"/>
        <w:gridCol w:w="5693"/>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中审众环会计师事务所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杨漫辉、雷小兵</w:t>
            </w:r>
          </w:p>
        </w:tc>
      </w:tr>
    </w:tbl>
    <w:p>
      <w:pPr>
        <w:pStyle w:val="BodyText"/>
        <w:spacing w:line="240" w:lineRule="auto" w:before="49"/>
        <w:ind w:right="0"/>
        <w:jc w:val="left"/>
      </w:pPr>
      <w:r>
        <w:rPr/>
        <w:t>当期是否改聘会计师事务所</w:t>
      </w:r>
    </w:p>
    <w:p>
      <w:pPr>
        <w:pStyle w:val="BodyText"/>
        <w:spacing w:line="340" w:lineRule="auto" w:before="115"/>
        <w:ind w:right="5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pict>
          <v:group style="position:absolute;margin-left:136.699997pt;margin-top:53.371716pt;width:53.1pt;height:93.6pt;mso-position-horizontal-relative:page;mso-position-vertical-relative:paragraph;z-index:-1056544" coordorigin="2734,1067" coordsize="1062,1872">
            <v:shape style="position:absolute;left:2734;top:1067;width:1062;height:1872" coordorigin="2734,1067" coordsize="1062,1872" path="m2734,2939l3795,2939,3795,1067,2734,1067,2734,293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560"/>
        <w:gridCol w:w="1071"/>
        <w:gridCol w:w="1248"/>
        <w:gridCol w:w="939"/>
        <w:gridCol w:w="1375"/>
        <w:gridCol w:w="1249"/>
        <w:gridCol w:w="1063"/>
        <w:gridCol w:w="1064"/>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0" w:right="20"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1"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83"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公司控股子公司北 信工与康联医药集 团有限责任公司签 署了编号为 </w:t>
            </w:r>
            <w:r>
              <w:rPr>
                <w:rFonts w:ascii="Times New Roman" w:hAnsi="Times New Roman" w:cs="Times New Roman" w:eastAsia="Times New Roman" w:hint="default"/>
                <w:sz w:val="18"/>
                <w:szCs w:val="18"/>
              </w:rPr>
              <w:t>A201310248 </w:t>
            </w:r>
            <w:r>
              <w:rPr>
                <w:rFonts w:ascii="宋体" w:hAnsi="宋体" w:cs="宋体" w:eastAsia="宋体" w:hint="default"/>
                <w:spacing w:val="-8"/>
                <w:sz w:val="18"/>
                <w:szCs w:val="18"/>
              </w:rPr>
              <w:t>的《购</w:t>
            </w:r>
          </w:p>
          <w:p>
            <w:pPr>
              <w:pStyle w:val="TableParagraph"/>
              <w:spacing w:line="319" w:lineRule="auto" w:before="1"/>
              <w:ind w:left="24" w:right="22"/>
              <w:jc w:val="left"/>
              <w:rPr>
                <w:rFonts w:ascii="宋体" w:hAnsi="宋体" w:cs="宋体" w:eastAsia="宋体" w:hint="default"/>
                <w:sz w:val="18"/>
                <w:szCs w:val="18"/>
              </w:rPr>
            </w:pPr>
            <w:r>
              <w:rPr>
                <w:rFonts w:ascii="宋体" w:hAnsi="宋体" w:cs="宋体" w:eastAsia="宋体" w:hint="default"/>
                <w:spacing w:val="-14"/>
                <w:sz w:val="18"/>
                <w:szCs w:val="18"/>
              </w:rPr>
              <w:t>销合同》，因买卖合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同纠纷，北信工作 为原告，起诉康联 医药集团有限责任 公司，已经北京市 西城区人民法院立 案开庭审理。</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1,105.24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14"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日，北信</w:t>
            </w:r>
            <w:r>
              <w:rPr>
                <w:rFonts w:ascii="宋体" w:hAnsi="宋体" w:cs="宋体" w:eastAsia="宋体" w:hint="default"/>
                <w:sz w:val="18"/>
                <w:szCs w:val="18"/>
              </w:rPr>
              <w:t> </w:t>
            </w:r>
            <w:r>
              <w:rPr>
                <w:rFonts w:ascii="宋体" w:hAnsi="宋体" w:cs="宋体" w:eastAsia="宋体" w:hint="default"/>
                <w:spacing w:val="-4"/>
                <w:sz w:val="18"/>
                <w:szCs w:val="18"/>
              </w:rPr>
              <w:t>工收到《北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京市西城 区人民法 院民事判 决书</w:t>
            </w:r>
          </w:p>
          <w:p>
            <w:pPr>
              <w:pStyle w:val="TableParagraph"/>
              <w:spacing w:line="300" w:lineRule="auto" w:before="20"/>
              <w:ind w:left="24" w:right="8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 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9"/>
              <w:jc w:val="left"/>
              <w:rPr>
                <w:rFonts w:ascii="宋体" w:hAnsi="宋体" w:cs="宋体" w:eastAsia="宋体" w:hint="default"/>
                <w:sz w:val="18"/>
                <w:szCs w:val="18"/>
              </w:rPr>
            </w:pPr>
            <w:r>
              <w:rPr>
                <w:rFonts w:ascii="宋体" w:hAnsi="宋体" w:cs="宋体" w:eastAsia="宋体" w:hint="default"/>
                <w:sz w:val="18"/>
                <w:szCs w:val="18"/>
              </w:rPr>
              <w:t>鉴于上述诉讼案 件尚未履行完 毕，尚无法准确 判断本次诉讼案 件的进展情况对 公司本期利润或 期后利润的影响 金额。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0"/>
                <w:sz w:val="18"/>
                <w:szCs w:val="18"/>
              </w:rPr>
              <w:t>一审判决，该案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正在强制执行 程序中。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62" w:lineRule="auto"/>
              <w:ind w:left="2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41" w:right="3185"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公司报告期内无实施股权激励计划、员工持股计划或其他员工激励措施的情况。</w:t>
      </w:r>
    </w:p>
    <w:p>
      <w:pPr>
        <w:pStyle w:val="BodyText"/>
        <w:spacing w:line="302" w:lineRule="auto" w:before="39"/>
        <w:ind w:right="143" w:firstLine="288"/>
        <w:jc w:val="both"/>
      </w:pPr>
      <w:r>
        <w:rPr/>
        <w:t>目前，公司正在推进员工持股计划工作。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日，公司发布提示性公告开始筹划员工持股计划；</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w:t>
      </w:r>
      <w:r>
        <w:rPr>
          <w:spacing w:val="-3"/>
        </w:rPr>
        <w:t> </w:t>
      </w:r>
      <w:r>
        <w:rPr/>
        <w:t>公司第七届董事会第八次会议通过了员工持股计划草案；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2018</w:t>
      </w:r>
      <w:r>
        <w:rPr/>
        <w:t>年度第一次临时股东大会批准了公司员</w:t>
      </w:r>
      <w:r>
        <w:rPr>
          <w:spacing w:val="-86"/>
        </w:rPr>
        <w:t> </w:t>
      </w:r>
      <w:r>
        <w:rPr>
          <w:spacing w:val="-86"/>
        </w:rPr>
      </w:r>
      <w:r>
        <w:rPr>
          <w:spacing w:val="-2"/>
        </w:rPr>
        <w:t>工持股计划。本次员工持股计划的股票来源为通过二级市场购买，且公司对员工不提供任何财务资助，实施本次员工持股计</w:t>
      </w:r>
      <w:r>
        <w:rPr>
          <w:spacing w:val="-63"/>
        </w:rPr>
        <w:t> </w:t>
      </w:r>
      <w:r>
        <w:rPr>
          <w:spacing w:val="-63"/>
        </w:rPr>
      </w:r>
      <w:r>
        <w:rPr>
          <w:spacing w:val="-2"/>
        </w:rPr>
        <w:t>划不会导致公司的股本及财务状况的变化，截止本报告发布之日员工持股计划尚未购买股票。具体详见公司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w:t>
      </w:r>
      <w:r>
        <w:rPr>
          <w:spacing w:val="-59"/>
        </w:rPr>
        <w:t> </w:t>
      </w:r>
      <w:r>
        <w:rPr>
          <w:spacing w:val="-1"/>
        </w:rPr>
        <w:t>告的编号为</w:t>
      </w:r>
      <w:r>
        <w:rPr>
          <w:rFonts w:ascii="Times New Roman" w:hAnsi="Times New Roman" w:cs="Times New Roman" w:eastAsia="Times New Roman" w:hint="default"/>
          <w:spacing w:val="-1"/>
        </w:rPr>
        <w:t>2018-001</w:t>
      </w:r>
      <w:r>
        <w:rPr>
          <w:spacing w:val="-1"/>
        </w:rPr>
        <w:t>号的《关于筹划员工持股计划的提示性公告》，</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日公告编号为</w:t>
      </w:r>
      <w:r>
        <w:rPr>
          <w:rFonts w:ascii="Times New Roman" w:hAnsi="Times New Roman" w:cs="Times New Roman" w:eastAsia="Times New Roman" w:hint="default"/>
          <w:spacing w:val="-1"/>
        </w:rPr>
        <w:t>2018-003</w:t>
      </w:r>
      <w:r>
        <w:rPr>
          <w:spacing w:val="-1"/>
        </w:rPr>
        <w:t>号的《第七届董事会</w:t>
      </w:r>
      <w:r>
        <w:rPr>
          <w:spacing w:val="-58"/>
        </w:rPr>
        <w:t> </w:t>
      </w:r>
      <w:r>
        <w:rPr>
          <w:spacing w:val="-58"/>
        </w:rPr>
      </w:r>
      <w:r>
        <w:rPr/>
        <w:t>第八次会议决议公告》及《南天信息第一期员工持股计划（草案）》，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日公告编号为</w:t>
      </w:r>
      <w:r>
        <w:rPr>
          <w:rFonts w:ascii="Times New Roman" w:hAnsi="Times New Roman" w:cs="Times New Roman" w:eastAsia="Times New Roman" w:hint="default"/>
        </w:rPr>
        <w:t>2018-010</w:t>
      </w:r>
      <w:r>
        <w:rPr/>
        <w:t>号的《</w:t>
      </w:r>
      <w:r>
        <w:rPr>
          <w:rFonts w:ascii="Times New Roman" w:hAnsi="Times New Roman" w:cs="Times New Roman" w:eastAsia="Times New Roman" w:hint="default"/>
        </w:rPr>
        <w:t>2018</w:t>
      </w:r>
      <w:r>
        <w:rPr/>
        <w:t>年第</w:t>
      </w:r>
      <w:r>
        <w:rPr>
          <w:spacing w:val="-58"/>
        </w:rPr>
        <w:t> </w:t>
      </w:r>
      <w:r>
        <w:rPr/>
        <w:t>一次临时股东大会决议公告》。</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709"/>
        <w:gridCol w:w="928"/>
        <w:gridCol w:w="923"/>
        <w:gridCol w:w="1296"/>
        <w:gridCol w:w="1063"/>
        <w:gridCol w:w="1035"/>
        <w:gridCol w:w="1050"/>
        <w:gridCol w:w="794"/>
        <w:gridCol w:w="778"/>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9"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北京南天软件有限公 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709.53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709.53</w:t>
            </w:r>
          </w:p>
        </w:tc>
      </w:tr>
      <w:tr>
        <w:trPr>
          <w:trHeight w:val="719"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1722"/>
        <w:gridCol w:w="897"/>
        <w:gridCol w:w="936"/>
        <w:gridCol w:w="1308"/>
        <w:gridCol w:w="1027"/>
        <w:gridCol w:w="1060"/>
        <w:gridCol w:w="1064"/>
        <w:gridCol w:w="774"/>
        <w:gridCol w:w="789"/>
      </w:tblGrid>
      <w:tr>
        <w:trPr>
          <w:trHeight w:val="161" w:hRule="exact"/>
        </w:trPr>
        <w:tc>
          <w:tcPr>
            <w:tcW w:w="1722"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2" w:right="8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3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2"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0"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vMerge/>
            <w:tcBorders>
              <w:left w:val="single" w:sz="4" w:space="0" w:color="000000"/>
              <w:right w:val="single" w:sz="4" w:space="0" w:color="000000"/>
            </w:tcBorders>
            <w:shd w:val="clear" w:color="auto" w:fill="D2D2D2"/>
          </w:tcPr>
          <w:p>
            <w:pPr/>
          </w:p>
        </w:tc>
        <w:tc>
          <w:tcPr>
            <w:tcW w:w="1027"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r>
      <w:tr>
        <w:trPr>
          <w:trHeight w:val="156" w:hRule="exact"/>
        </w:trPr>
        <w:tc>
          <w:tcPr>
            <w:tcW w:w="1722"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22"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3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4"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709.53</w:t>
            </w:r>
          </w:p>
        </w:tc>
      </w:tr>
      <w:tr>
        <w:trPr>
          <w:trHeight w:val="719"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4"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0"/>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4" w:space="6786"/>
            <w:col w:w="1210"/>
          </w:cols>
        </w:sectPr>
      </w:pPr>
    </w:p>
    <w:p>
      <w:pPr>
        <w:spacing w:line="240" w:lineRule="auto" w:before="4"/>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867"/>
        <w:gridCol w:w="1959"/>
        <w:gridCol w:w="1983"/>
        <w:gridCol w:w="1909"/>
        <w:gridCol w:w="1851"/>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123,660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123,660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2276"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0"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3"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08"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6"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96" w:right="9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4"/>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6" w:right="91"/>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7"/>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7"/>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建设 银行 城西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37.54</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37.54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保证收</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7,000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98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5"/>
              <w:jc w:val="both"/>
              <w:rPr>
                <w:rFonts w:ascii="宋体" w:hAnsi="宋体" w:cs="宋体" w:eastAsia="宋体" w:hint="default"/>
                <w:sz w:val="18"/>
                <w:szCs w:val="18"/>
              </w:rPr>
            </w:pPr>
            <w:r>
              <w:rPr>
                <w:rFonts w:ascii="宋体" w:hAnsi="宋体" w:cs="宋体" w:eastAsia="宋体" w:hint="default"/>
                <w:sz w:val="18"/>
                <w:szCs w:val="18"/>
              </w:rPr>
              <w:t>银行 护国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57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3"/>
              <w:jc w:val="both"/>
              <w:rPr>
                <w:rFonts w:ascii="宋体" w:hAnsi="宋体" w:cs="宋体" w:eastAsia="宋体" w:hint="default"/>
                <w:sz w:val="18"/>
                <w:szCs w:val="18"/>
              </w:rPr>
            </w:pPr>
            <w:r>
              <w:rPr>
                <w:rFonts w:ascii="宋体" w:hAnsi="宋体" w:cs="宋体" w:eastAsia="宋体" w:hint="default"/>
                <w:sz w:val="18"/>
                <w:szCs w:val="18"/>
              </w:rPr>
              <w:t>收回 一次 计息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9.23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4.20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16.83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建设 银行 城西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7.03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7.03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2.91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6.27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6.27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3.35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6.19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2.29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75"/>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29"/>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63"/>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67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5"/>
              <w:jc w:val="left"/>
              <w:rPr>
                <w:rFonts w:ascii="宋体" w:hAnsi="宋体" w:cs="宋体" w:eastAsia="宋体" w:hint="default"/>
                <w:sz w:val="18"/>
                <w:szCs w:val="18"/>
              </w:rPr>
            </w:pPr>
            <w:r>
              <w:rPr>
                <w:rFonts w:ascii="宋体" w:hAnsi="宋体" w:cs="宋体" w:eastAsia="宋体" w:hint="default"/>
                <w:sz w:val="18"/>
                <w:szCs w:val="18"/>
              </w:rPr>
              <w:t>护国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3"/>
              <w:jc w:val="left"/>
              <w:rPr>
                <w:rFonts w:ascii="宋体" w:hAnsi="宋体" w:cs="宋体" w:eastAsia="宋体" w:hint="default"/>
                <w:sz w:val="18"/>
                <w:szCs w:val="18"/>
              </w:rPr>
            </w:pPr>
            <w:r>
              <w:rPr>
                <w:rFonts w:ascii="宋体" w:hAnsi="宋体" w:cs="宋体" w:eastAsia="宋体" w:hint="default"/>
                <w:sz w:val="18"/>
                <w:szCs w:val="18"/>
              </w:rPr>
              <w:t>一次 计息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2.29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2.10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恒丰 银行 昆明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6.25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6.25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恒丰 银行 昆明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18.28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18.28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6.95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6.95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17.91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17.91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3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计息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6.20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农业 银行 正义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农业 银行 正义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0.81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0.81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农业 银行 正义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2.47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5.32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4.42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4.42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农业 银行 正义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2.90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0.71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2"/>
                <w:sz w:val="18"/>
              </w:rPr>
              <w:t>11.85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11.85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2"/>
                <w:sz w:val="18"/>
              </w:rPr>
              <w:t>11.85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1,900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3.83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3.29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农业 银行 正义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3.57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3.57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44.3</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18.85</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招商 银行 深圳 车公 庙支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63"/>
              <w:jc w:val="left"/>
              <w:rPr>
                <w:rFonts w:ascii="宋体" w:hAnsi="宋体" w:cs="宋体" w:eastAsia="宋体" w:hint="default"/>
                <w:sz w:val="18"/>
                <w:szCs w:val="18"/>
              </w:rPr>
            </w:pPr>
            <w:r>
              <w:rPr>
                <w:rFonts w:ascii="宋体" w:hAnsi="宋体" w:cs="宋体" w:eastAsia="宋体" w:hint="default"/>
                <w:sz w:val="18"/>
                <w:szCs w:val="18"/>
              </w:rPr>
              <w:t>公司 货款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深圳 车公 庙支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公司 货款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2,400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29.42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29.42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10.51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10.51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建行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98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5"/>
              <w:jc w:val="left"/>
              <w:rPr>
                <w:rFonts w:ascii="宋体" w:hAnsi="宋体" w:cs="宋体" w:eastAsia="宋体" w:hint="default"/>
                <w:sz w:val="18"/>
                <w:szCs w:val="18"/>
              </w:rPr>
            </w:pPr>
            <w:r>
              <w:rPr>
                <w:rFonts w:ascii="宋体" w:hAnsi="宋体" w:cs="宋体" w:eastAsia="宋体" w:hint="default"/>
                <w:sz w:val="18"/>
                <w:szCs w:val="18"/>
              </w:rPr>
              <w:t>岷江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3"/>
              <w:jc w:val="righ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6"/>
              <w:jc w:val="right"/>
              <w:rPr>
                <w:rFonts w:ascii="宋体" w:hAnsi="宋体" w:cs="宋体" w:eastAsia="宋体" w:hint="default"/>
                <w:sz w:val="18"/>
                <w:szCs w:val="18"/>
              </w:rPr>
            </w:pPr>
            <w:r>
              <w:rPr>
                <w:rFonts w:ascii="宋体" w:hAnsi="宋体" w:cs="宋体" w:eastAsia="宋体" w:hint="default"/>
                <w:sz w:val="18"/>
                <w:szCs w:val="18"/>
              </w:rPr>
              <w:t>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3"/>
              <w:jc w:val="both"/>
              <w:rPr>
                <w:rFonts w:ascii="宋体" w:hAnsi="宋体" w:cs="宋体" w:eastAsia="宋体" w:hint="default"/>
                <w:sz w:val="18"/>
                <w:szCs w:val="18"/>
              </w:rPr>
            </w:pPr>
            <w:r>
              <w:rPr>
                <w:rFonts w:ascii="宋体" w:hAnsi="宋体" w:cs="宋体" w:eastAsia="宋体" w:hint="default"/>
                <w:sz w:val="18"/>
                <w:szCs w:val="18"/>
              </w:rPr>
              <w:t>收回 一次 计息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 w:right="0"/>
              <w:jc w:val="center"/>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7" w:right="0"/>
              <w:jc w:val="center"/>
              <w:rPr>
                <w:rFonts w:ascii="Times New Roman" w:hAnsi="Times New Roman" w:cs="Times New Roman" w:eastAsia="Times New Roman" w:hint="default"/>
                <w:sz w:val="18"/>
                <w:szCs w:val="18"/>
              </w:rPr>
            </w:pPr>
            <w:r>
              <w:rPr>
                <w:rFonts w:ascii="Times New Roman"/>
                <w:sz w:val="18"/>
              </w:rPr>
              <w:t>3.11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6" w:right="0"/>
              <w:jc w:val="center"/>
              <w:rPr>
                <w:rFonts w:ascii="Times New Roman" w:hAnsi="Times New Roman" w:cs="Times New Roman" w:eastAsia="Times New Roman" w:hint="default"/>
                <w:sz w:val="18"/>
                <w:szCs w:val="18"/>
              </w:rPr>
            </w:pPr>
            <w:r>
              <w:rPr>
                <w:rFonts w:ascii="Times New Roman"/>
                <w:sz w:val="18"/>
              </w:rPr>
              <w:t>3.11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2"/>
                <w:w w:val="95"/>
                <w:sz w:val="18"/>
              </w:rPr>
              <w:t>3.11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 w:right="0"/>
              <w:jc w:val="center"/>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4.64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9" w:right="0"/>
              <w:jc w:val="center"/>
              <w:rPr>
                <w:rFonts w:ascii="Times New Roman" w:hAnsi="Times New Roman" w:cs="Times New Roman" w:eastAsia="Times New Roman" w:hint="default"/>
                <w:sz w:val="18"/>
                <w:szCs w:val="18"/>
              </w:rPr>
            </w:pPr>
            <w:r>
              <w:rPr>
                <w:rFonts w:ascii="Times New Roman"/>
                <w:sz w:val="18"/>
              </w:rPr>
              <w:t>4.64</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4.64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1,660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 w:right="0"/>
              <w:jc w:val="center"/>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19.44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center"/>
              <w:rPr>
                <w:rFonts w:ascii="Times New Roman" w:hAnsi="Times New Roman" w:cs="Times New Roman" w:eastAsia="Times New Roman" w:hint="default"/>
                <w:sz w:val="18"/>
                <w:szCs w:val="18"/>
              </w:rPr>
            </w:pPr>
            <w:r>
              <w:rPr>
                <w:rFonts w:ascii="Times New Roman"/>
                <w:sz w:val="18"/>
              </w:rPr>
              <w:t>19.44</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19.44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386.48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323.33</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3"/>
        <w:jc w:val="left"/>
      </w:pPr>
      <w:r>
        <w:rPr/>
        <w:t>委托理财出现预期无法收回本金或存在其他可能导致减值的情形</w:t>
      </w:r>
    </w:p>
    <w:p>
      <w:pPr>
        <w:pStyle w:val="BodyText"/>
        <w:spacing w:line="240" w:lineRule="auto" w:before="115"/>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67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67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675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3" w:firstLine="372"/>
        <w:jc w:val="left"/>
      </w:pPr>
      <w:r>
        <w:rPr/>
        <w:t>报告期内，公司高度重视企业社会责任工作，以“产品服务化、服务产品化”为理念，坚持诚信经营、规范运作、稳 </w:t>
      </w:r>
      <w:r>
        <w:rPr>
          <w:spacing w:val="-2"/>
        </w:rPr>
        <w:t>健发展。公司严格按照《公司法》、《证券法》、《股票上市规则》等法律法规、部门规章、规范性文件和《公司章程》的</w:t>
      </w:r>
      <w:r>
        <w:rPr>
          <w:spacing w:val="-74"/>
        </w:rPr>
        <w:t> </w:t>
      </w:r>
      <w:r>
        <w:rPr>
          <w:spacing w:val="-74"/>
        </w:rPr>
      </w:r>
      <w:r>
        <w:rPr>
          <w:spacing w:val="-2"/>
        </w:rPr>
        <w:t>规定，不断健全、完善公司法人治理结构和内部控制体系，依法召开股东大会、董事会、监事会，规范董事、监事、高级管</w:t>
      </w:r>
      <w:r>
        <w:rPr>
          <w:spacing w:val="-65"/>
        </w:rPr>
        <w:t> </w:t>
      </w:r>
      <w:r>
        <w:rPr>
          <w:spacing w:val="-65"/>
        </w:rPr>
      </w:r>
      <w:r>
        <w:rPr>
          <w:spacing w:val="-2"/>
        </w:rPr>
        <w:t>理人员的行为及选聘任免，切实履行信息披露义务，积极承担社会责任，采取有效措施保护投资者特别是中小投资者的合法</w:t>
      </w:r>
      <w:r>
        <w:rPr>
          <w:spacing w:val="-64"/>
        </w:rPr>
        <w:t> </w:t>
      </w:r>
      <w:r>
        <w:rPr>
          <w:spacing w:val="-64"/>
        </w:rPr>
      </w:r>
      <w:r>
        <w:rPr/>
        <w:t>权益，不断强化社会责任意识。</w:t>
      </w:r>
    </w:p>
    <w:p>
      <w:pPr>
        <w:pStyle w:val="BodyText"/>
        <w:spacing w:line="240" w:lineRule="auto" w:before="19"/>
        <w:ind w:left="525" w:right="6753"/>
        <w:jc w:val="left"/>
      </w:pPr>
      <w:r>
        <w:rPr>
          <w:rFonts w:ascii="Times New Roman" w:hAnsi="Times New Roman" w:cs="Times New Roman" w:eastAsia="Times New Roman" w:hint="default"/>
        </w:rPr>
        <w:t>2017</w:t>
      </w:r>
      <w:r>
        <w:rPr/>
        <w:t>年公司社会责任履行如下：</w:t>
      </w:r>
    </w:p>
    <w:p>
      <w:pPr>
        <w:pStyle w:val="BodyText"/>
        <w:spacing w:line="300" w:lineRule="auto" w:before="63"/>
        <w:ind w:left="525" w:right="93"/>
        <w:jc w:val="left"/>
      </w:pPr>
      <w:r>
        <w:rPr/>
        <w:t>（</w:t>
      </w:r>
      <w:r>
        <w:rPr>
          <w:rFonts w:ascii="Times New Roman" w:hAnsi="Times New Roman" w:cs="Times New Roman" w:eastAsia="Times New Roman" w:hint="default"/>
        </w:rPr>
        <w:t>1</w:t>
      </w:r>
      <w:r>
        <w:rPr/>
        <w:t>）股东及投资者权益保护 </w:t>
      </w:r>
      <w:r>
        <w:rPr>
          <w:spacing w:val="-1"/>
        </w:rPr>
        <w:t>公司高度重视投资者关系管理，报告期内，公司严格执行国家法律、证监会法规、深交所规范运作指引和《公司章程》</w:t>
      </w:r>
    </w:p>
    <w:p>
      <w:pPr>
        <w:pStyle w:val="BodyText"/>
        <w:spacing w:line="240" w:lineRule="auto" w:before="31"/>
        <w:ind w:right="93"/>
        <w:jc w:val="left"/>
      </w:pPr>
      <w:r>
        <w:rPr>
          <w:spacing w:val="-4"/>
        </w:rPr>
        <w:t>相关制度，进一步完善法人治理结构，规范公司运作，加强内部控制体系建设，不断提升公司管理水平；坚持以公开、公平、</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t>公正的原则对待所有投资者，通过持续、稳定的分红政策，及时、准确、完整的信息披露，有效、顺畅的投资者沟通渠道， </w:t>
      </w:r>
      <w:r>
        <w:rPr>
          <w:spacing w:val="-2"/>
        </w:rPr>
        <w:t>积极搭建与投资者沟通交流的平台，进一步健全投资者互动与服务体系，积极维护股东、投资者的合法权益，将投资者权益</w:t>
      </w:r>
      <w:r>
        <w:rPr>
          <w:spacing w:val="-64"/>
        </w:rPr>
        <w:t> </w:t>
      </w:r>
      <w:r>
        <w:rPr>
          <w:spacing w:val="-64"/>
        </w:rPr>
      </w:r>
      <w:r>
        <w:rPr/>
        <w:t>保护工作切实落到实处，实现公司与股东、债权人的协调和谐发展。</w:t>
      </w:r>
    </w:p>
    <w:p>
      <w:pPr>
        <w:pStyle w:val="BodyText"/>
        <w:spacing w:line="316" w:lineRule="auto" w:before="17"/>
        <w:ind w:right="93" w:firstLine="372"/>
        <w:jc w:val="left"/>
      </w:pPr>
      <w:r>
        <w:rPr/>
        <w:t>公司认真贯彻信息披露等法律法规和规章制度，不断改进信息披露工作，建立了完善的信息披露制度，严格履行了信 </w:t>
      </w:r>
      <w:r>
        <w:rPr>
          <w:spacing w:val="-2"/>
        </w:rPr>
        <w:t>息披露义务，以利于投资者及时了解掌握公司经营动态、财务状况及重大事项的进展情况。召开股东大会采取现场与网络投</w:t>
      </w:r>
      <w:r>
        <w:rPr>
          <w:spacing w:val="-63"/>
        </w:rPr>
        <w:t> </w:t>
      </w:r>
      <w:r>
        <w:rPr>
          <w:spacing w:val="-63"/>
        </w:rPr>
      </w:r>
      <w:r>
        <w:rPr/>
        <w:t>票相结合的方式，为广大中小投资者参与和表决提供便利。</w:t>
      </w:r>
    </w:p>
    <w:p>
      <w:pPr>
        <w:pStyle w:val="BodyText"/>
        <w:spacing w:line="300" w:lineRule="auto" w:before="19"/>
        <w:ind w:left="525" w:right="93"/>
        <w:jc w:val="left"/>
      </w:pPr>
      <w:r>
        <w:rPr/>
        <w:t>（</w:t>
      </w:r>
      <w:r>
        <w:rPr>
          <w:rFonts w:ascii="Times New Roman" w:hAnsi="Times New Roman" w:cs="Times New Roman" w:eastAsia="Times New Roman" w:hint="default"/>
        </w:rPr>
        <w:t>2</w:t>
      </w:r>
      <w:r>
        <w:rPr/>
        <w:t>）员工权益保护和社会公益事业 </w:t>
      </w:r>
      <w:r>
        <w:rPr>
          <w:spacing w:val="-4"/>
        </w:rPr>
        <w:t>公司所处行业为软件和信息技术服务业，人才即为公司的核心竞争力。公司坚持</w:t>
      </w:r>
      <w:r>
        <w:rPr>
          <w:rFonts w:ascii="Times New Roman" w:hAnsi="Times New Roman" w:cs="Times New Roman" w:eastAsia="Times New Roman" w:hint="default"/>
          <w:spacing w:val="-4"/>
        </w:rPr>
        <w:t>“</w:t>
      </w:r>
      <w:r>
        <w:rPr>
          <w:spacing w:val="-4"/>
        </w:rPr>
        <w:t>以人为本</w:t>
      </w:r>
      <w:r>
        <w:rPr>
          <w:rFonts w:ascii="Times New Roman" w:hAnsi="Times New Roman" w:cs="Times New Roman" w:eastAsia="Times New Roman" w:hint="default"/>
          <w:spacing w:val="-4"/>
        </w:rPr>
        <w:t>”</w:t>
      </w:r>
      <w:r>
        <w:rPr>
          <w:spacing w:val="-4"/>
        </w:rPr>
        <w:t>的理念，依法维护职工权益，</w:t>
      </w:r>
    </w:p>
    <w:p>
      <w:pPr>
        <w:pStyle w:val="BodyText"/>
        <w:spacing w:line="316" w:lineRule="auto" w:before="13"/>
        <w:ind w:left="525" w:right="261" w:hanging="372"/>
        <w:jc w:val="left"/>
      </w:pPr>
      <w:r>
        <w:rPr/>
        <w:t>构建和谐的劳动关系，实现员工与公司和谐发展。 公司严格按照国家及地方的有关法律法规和文件要求，与员工建立正规、合法的劳动关系，为员工提供均等的就业、</w:t>
      </w:r>
    </w:p>
    <w:p>
      <w:pPr>
        <w:pStyle w:val="BodyText"/>
        <w:spacing w:line="319" w:lineRule="auto" w:before="19"/>
        <w:ind w:right="93"/>
        <w:jc w:val="left"/>
      </w:pPr>
      <w:r>
        <w:rPr>
          <w:spacing w:val="-2"/>
        </w:rPr>
        <w:t>晋升机会，对员工实行同等的福利待遇，对困难员工及时进行帮扶救助，积极促进企业与员工之间的共同发展，保障员工合</w:t>
      </w:r>
      <w:r>
        <w:rPr>
          <w:spacing w:val="-65"/>
        </w:rPr>
        <w:t> </w:t>
      </w:r>
      <w:r>
        <w:rPr>
          <w:spacing w:val="-65"/>
        </w:rPr>
      </w:r>
      <w:r>
        <w:rPr>
          <w:spacing w:val="-4"/>
        </w:rPr>
        <w:t>法权益。公司建立和完善了包括薪酬体系、激励机制等在内的用人制度，保障员工依法享有劳动权利和履行劳动义务。建立、</w:t>
      </w:r>
      <w:r>
        <w:rPr>
          <w:spacing w:val="-46"/>
        </w:rPr>
        <w:t> </w:t>
      </w:r>
      <w:r>
        <w:rPr>
          <w:spacing w:val="-46"/>
        </w:rPr>
      </w:r>
      <w:r>
        <w:rPr>
          <w:spacing w:val="-2"/>
        </w:rPr>
        <w:t>健全了劳动安全卫生制度，对员工进行劳动安全卫生教育、职业防护和健康体检，为员工提供健康、安全的工作环境和生活</w:t>
      </w:r>
      <w:r>
        <w:rPr>
          <w:spacing w:val="-64"/>
        </w:rPr>
        <w:t> </w:t>
      </w:r>
      <w:r>
        <w:rPr>
          <w:spacing w:val="-64"/>
        </w:rPr>
      </w:r>
      <w:r>
        <w:rPr>
          <w:spacing w:val="-2"/>
        </w:rPr>
        <w:t>环境，最大限度地防止劳动过程中的事故，减少职业病危害。要求新进职工参加相关培训，定期举行相关职业知识培训。对</w:t>
      </w:r>
      <w:r>
        <w:rPr>
          <w:spacing w:val="-67"/>
        </w:rPr>
        <w:t> </w:t>
      </w:r>
      <w:r>
        <w:rPr>
          <w:spacing w:val="-67"/>
        </w:rPr>
      </w:r>
      <w:r>
        <w:rPr>
          <w:spacing w:val="-2"/>
        </w:rPr>
        <w:t>工资、福利、员工持股计划、劳动安全卫生、社会保险等涉及员工切身利益的事项，通过职工代表大会等各种形式征求和听</w:t>
      </w:r>
      <w:r>
        <w:rPr>
          <w:spacing w:val="-65"/>
        </w:rPr>
        <w:t> </w:t>
      </w:r>
      <w:r>
        <w:rPr>
          <w:spacing w:val="-65"/>
        </w:rPr>
      </w:r>
      <w:r>
        <w:rPr/>
        <w:t>取员工的意见，关心和重视员工的合理需求。</w:t>
      </w:r>
    </w:p>
    <w:p>
      <w:pPr>
        <w:pStyle w:val="BodyText"/>
        <w:spacing w:line="300" w:lineRule="auto" w:before="17"/>
        <w:ind w:left="525" w:right="261"/>
        <w:jc w:val="left"/>
      </w:pPr>
      <w:r>
        <w:rPr/>
        <w:t>（</w:t>
      </w:r>
      <w:r>
        <w:rPr>
          <w:rFonts w:ascii="Times New Roman" w:hAnsi="Times New Roman" w:cs="Times New Roman" w:eastAsia="Times New Roman" w:hint="default"/>
        </w:rPr>
        <w:t>3</w:t>
      </w:r>
      <w:r>
        <w:rPr/>
        <w:t>）供应商、客户和消费者权益保护 公司坚持以客户需求为中心，以顾客满意为基本原则，不断提升管理和服务水平，积极保护供应商、客户和消费者的</w:t>
      </w:r>
    </w:p>
    <w:p>
      <w:pPr>
        <w:pStyle w:val="BodyText"/>
        <w:spacing w:line="316" w:lineRule="auto" w:before="31"/>
        <w:ind w:left="525" w:right="81" w:hanging="372"/>
        <w:jc w:val="left"/>
      </w:pPr>
      <w:r>
        <w:rPr/>
        <w:t>合法权益，致力为客户提供更为优质的产品和服务，营造诚信、和谐、公平的合作氛围。 公司秉承诚信经营理念，对供应商、客户和消费者诚实守信。公司严格按照国家法律规定，严格监控和防范商业贿赂，</w:t>
      </w:r>
    </w:p>
    <w:p>
      <w:pPr>
        <w:pStyle w:val="BodyText"/>
        <w:spacing w:line="316" w:lineRule="auto" w:before="19"/>
        <w:ind w:right="93"/>
        <w:jc w:val="left"/>
      </w:pPr>
      <w:r>
        <w:rPr>
          <w:spacing w:val="-2"/>
        </w:rPr>
        <w:t>各项商业活动完全遵循公开、公平、公正、有偿、自愿的商业原则。公司为客户提供良好的售后服务，及时处理供应商、客</w:t>
      </w:r>
      <w:r>
        <w:rPr>
          <w:spacing w:val="-73"/>
        </w:rPr>
        <w:t> </w:t>
      </w:r>
      <w:r>
        <w:rPr>
          <w:spacing w:val="-73"/>
        </w:rPr>
      </w:r>
      <w:r>
        <w:rPr/>
        <w:t>户和消费者的投诉和建议。</w:t>
      </w:r>
    </w:p>
    <w:p>
      <w:pPr>
        <w:pStyle w:val="BodyText"/>
        <w:spacing w:line="300" w:lineRule="auto" w:before="19"/>
        <w:ind w:left="525" w:right="261"/>
        <w:jc w:val="left"/>
      </w:pPr>
      <w:r>
        <w:rPr/>
        <w:t>（</w:t>
      </w:r>
      <w:r>
        <w:rPr>
          <w:rFonts w:ascii="Times New Roman" w:hAnsi="Times New Roman" w:cs="Times New Roman" w:eastAsia="Times New Roman" w:hint="default"/>
        </w:rPr>
        <w:t>4</w:t>
      </w:r>
      <w:r>
        <w:rPr/>
        <w:t>）党务工作的开展 公司根据中国共产党相关组织规定，建立了党委和基层党支部组织。公司紧紧围绕学习型、服务型、创新型党组织建</w:t>
      </w:r>
    </w:p>
    <w:p>
      <w:pPr>
        <w:pStyle w:val="BodyText"/>
        <w:spacing w:line="312" w:lineRule="auto" w:before="31"/>
        <w:ind w:right="190"/>
        <w:jc w:val="both"/>
      </w:pPr>
      <w:r>
        <w:rPr>
          <w:spacing w:val="-1"/>
        </w:rPr>
        <w:t>设目标，坚持和完善</w:t>
      </w:r>
      <w:r>
        <w:rPr>
          <w:rFonts w:ascii="Times New Roman" w:hAnsi="Times New Roman" w:cs="Times New Roman" w:eastAsia="Times New Roman" w:hint="default"/>
          <w:spacing w:val="-1"/>
        </w:rPr>
        <w:t>“</w:t>
      </w:r>
      <w:r>
        <w:rPr>
          <w:spacing w:val="-1"/>
        </w:rPr>
        <w:t>双向进入、交叉任职</w:t>
      </w:r>
      <w:r>
        <w:rPr>
          <w:rFonts w:ascii="Times New Roman" w:hAnsi="Times New Roman" w:cs="Times New Roman" w:eastAsia="Times New Roman" w:hint="default"/>
          <w:spacing w:val="-1"/>
        </w:rPr>
        <w:t>”</w:t>
      </w:r>
      <w:r>
        <w:rPr>
          <w:spacing w:val="-1"/>
        </w:rPr>
        <w:t>的领导体制，落实</w:t>
      </w:r>
      <w:r>
        <w:rPr>
          <w:rFonts w:ascii="Times New Roman" w:hAnsi="Times New Roman" w:cs="Times New Roman" w:eastAsia="Times New Roman" w:hint="default"/>
          <w:spacing w:val="-1"/>
        </w:rPr>
        <w:t>“</w:t>
      </w:r>
      <w:r>
        <w:rPr>
          <w:spacing w:val="-1"/>
        </w:rPr>
        <w:t>一岗双责</w:t>
      </w:r>
      <w:r>
        <w:rPr>
          <w:rFonts w:ascii="Times New Roman" w:hAnsi="Times New Roman" w:cs="Times New Roman" w:eastAsia="Times New Roman" w:hint="default"/>
          <w:spacing w:val="-1"/>
        </w:rPr>
        <w:t>”</w:t>
      </w:r>
      <w:r>
        <w:rPr>
          <w:spacing w:val="-1"/>
        </w:rPr>
        <w:t>责任，保证党委参与企业重大问题决策；认真履行</w:t>
      </w:r>
      <w:r>
        <w:rPr>
          <w:spacing w:val="-81"/>
        </w:rPr>
        <w:t> </w:t>
      </w:r>
      <w:r>
        <w:rPr>
          <w:spacing w:val="-81"/>
        </w:rPr>
      </w:r>
      <w:r>
        <w:rPr>
          <w:spacing w:val="-2"/>
        </w:rPr>
        <w:t>党风廉政建设党委的主体责任和纪委的监督责任，强化监督执纪问责，严肃查处深化企业改革中的违规违纪问题；重视发挥</w:t>
      </w:r>
      <w:r>
        <w:rPr>
          <w:spacing w:val="-64"/>
        </w:rPr>
        <w:t> </w:t>
      </w:r>
      <w:r>
        <w:rPr>
          <w:spacing w:val="-64"/>
        </w:rPr>
      </w:r>
      <w:r>
        <w:rPr>
          <w:spacing w:val="-2"/>
        </w:rPr>
        <w:t>工会、团委等群团组织联系群众和维护员工合法权益的职能作用，组织动员广大员工积极支持和参与各项改革工作，激发员</w:t>
      </w:r>
      <w:r>
        <w:rPr>
          <w:spacing w:val="-63"/>
        </w:rPr>
        <w:t> </w:t>
      </w:r>
      <w:r>
        <w:rPr>
          <w:spacing w:val="-63"/>
        </w:rPr>
      </w:r>
      <w:r>
        <w:rPr/>
        <w:t>工创业创新的动力。</w:t>
      </w:r>
    </w:p>
    <w:p>
      <w:pPr>
        <w:pStyle w:val="BodyText"/>
        <w:spacing w:line="300" w:lineRule="auto" w:before="22"/>
        <w:ind w:left="525" w:right="261"/>
        <w:jc w:val="left"/>
      </w:pPr>
      <w:r>
        <w:rPr/>
        <w:t>（</w:t>
      </w:r>
      <w:r>
        <w:rPr>
          <w:rFonts w:ascii="Times New Roman" w:hAnsi="Times New Roman" w:cs="Times New Roman" w:eastAsia="Times New Roman" w:hint="default"/>
        </w:rPr>
        <w:t>5</w:t>
      </w:r>
      <w:r>
        <w:rPr/>
        <w:t>）社会贡献 自公司成立以来，坚持做到规范经营、诚信经营，积极承担并履行法定纳税义务，连续多年为当地的纳税大户之一，</w:t>
      </w:r>
    </w:p>
    <w:p>
      <w:pPr>
        <w:pStyle w:val="BodyText"/>
        <w:spacing w:line="240" w:lineRule="auto" w:before="31"/>
        <w:ind w:right="93"/>
        <w:jc w:val="left"/>
      </w:pPr>
      <w:r>
        <w:rPr/>
        <w:t>有力地支持了国家和地方财政，促进和带动了自身及地方经济的发展。</w:t>
      </w:r>
    </w:p>
    <w:p>
      <w:pPr>
        <w:pStyle w:val="BodyText"/>
        <w:spacing w:line="300" w:lineRule="auto" w:before="117"/>
        <w:ind w:right="93" w:firstLine="360"/>
        <w:jc w:val="left"/>
      </w:pPr>
      <w:r>
        <w:rPr>
          <w:rFonts w:ascii="Times New Roman" w:hAnsi="Times New Roman" w:cs="Times New Roman" w:eastAsia="Times New Roman" w:hint="default"/>
          <w:spacing w:val="-2"/>
        </w:rPr>
        <w:t>2018</w:t>
      </w:r>
      <w:r>
        <w:rPr>
          <w:spacing w:val="-2"/>
        </w:rPr>
        <w:t>年，公司将不忘初心，砥砺前行，在持续推动公司持续、稳健向前发展的同时，秉承回报社会的理念，更好地履行</w:t>
      </w:r>
      <w:r>
        <w:rPr/>
        <w:t> 社会责任，为股东、为客户、为员工、为社会做出积极贡献。</w:t>
      </w:r>
    </w:p>
    <w:p>
      <w:pPr>
        <w:spacing w:line="240" w:lineRule="auto" w:before="8"/>
        <w:rPr>
          <w:rFonts w:ascii="宋体" w:hAnsi="宋体" w:cs="宋体" w:eastAsia="宋体" w:hint="default"/>
          <w:sz w:val="23"/>
          <w:szCs w:val="23"/>
        </w:rPr>
      </w:pPr>
    </w:p>
    <w:p>
      <w:pPr>
        <w:pStyle w:val="Heading3"/>
        <w:spacing w:line="240" w:lineRule="auto"/>
        <w:ind w:right="675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3" w:firstLine="288"/>
        <w:jc w:val="left"/>
      </w:pPr>
      <w:r>
        <w:rPr/>
        <w:t>公司根据工投集团的统一协调安排，负责云南省临沧市永德县崇岗乡龙竹棚村扶贫培训工作，并于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日，派 </w:t>
      </w:r>
      <w:r>
        <w:rPr>
          <w:spacing w:val="-2"/>
        </w:rPr>
        <w:t>驻村工作队员一名，持续驻村至今，目前已开展</w:t>
      </w:r>
      <w:r>
        <w:rPr>
          <w:rFonts w:ascii="Times New Roman" w:hAnsi="Times New Roman" w:cs="Times New Roman" w:eastAsia="Times New Roman" w:hint="default"/>
          <w:spacing w:val="-2"/>
        </w:rPr>
        <w:t>3</w:t>
      </w:r>
      <w:r>
        <w:rPr>
          <w:spacing w:val="-2"/>
        </w:rPr>
        <w:t>期培训工作，培训内容包括养殖、疾病预防、种植技术、科普培训等内容。</w:t>
      </w:r>
    </w:p>
    <w:p>
      <w:pPr>
        <w:spacing w:after="0" w:line="30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0"/>
        <w:jc w:val="left"/>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rPr>
          <w:rFonts w:ascii="宋体" w:hAnsi="宋体" w:cs="宋体" w:eastAsia="宋体"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27 </w:t>
      </w:r>
      <w:r>
        <w:rPr/>
        <w:t>日，公司新派一名驻村工作队员，负责云南省临沧市永德县崇岗乡龙竹棚村扶贫培训工作。</w:t>
      </w:r>
      <w:r>
        <w:rPr>
          <w:rFonts w:ascii="宋体" w:hAnsi="宋体" w:cs="宋体" w:eastAsia="宋体" w:hint="default"/>
        </w:rPr>
        <w:t> </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733"/>
        <w:jc w:val="left"/>
      </w:pPr>
      <w:r>
        <w:rPr/>
        <w:t>上市公司及其子公司是否属于环境保护部门公布的重点排污单位 不适用 上市公司及其子公司不属于环境保护部门公布的重点排污单位。</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712" w:right="0"/>
        <w:jc w:val="left"/>
      </w:pPr>
      <w:r>
        <w:rPr/>
        <w:t>设立云南南天电子信息产业股份有限公司合肥分公司事项。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日召开第七届董事会第五次会议审议同意</w:t>
      </w:r>
    </w:p>
    <w:p>
      <w:pPr>
        <w:pStyle w:val="BodyText"/>
        <w:spacing w:line="316" w:lineRule="auto" w:before="63"/>
        <w:ind w:left="712" w:right="0" w:hanging="560"/>
        <w:jc w:val="left"/>
      </w:pPr>
      <w:r>
        <w:rPr/>
        <w:t>《关于设立南天信息合肥分公司的议案》；报告期内，南天信息合肥分公司已完成设立。 </w:t>
      </w:r>
      <w:r>
        <w:rPr>
          <w:spacing w:val="-1"/>
        </w:rPr>
        <w:t>上述具体内容详见公司于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19</w:t>
      </w:r>
      <w:r>
        <w:rPr>
          <w:spacing w:val="-1"/>
        </w:rPr>
        <w:t>日在《证券时报》、《中国证券报》、《上海证券报》、《证券日报》及巨潮</w:t>
      </w:r>
    </w:p>
    <w:p>
      <w:pPr>
        <w:pStyle w:val="BodyText"/>
        <w:spacing w:line="248" w:lineRule="exact"/>
        <w:ind w:right="0"/>
        <w:jc w:val="left"/>
      </w:pPr>
      <w:r>
        <w:rPr/>
        <w:t>资讯网（</w:t>
      </w:r>
      <w:hyperlink r:id="rId9">
        <w:r>
          <w:rPr>
            <w:rFonts w:ascii="Times New Roman" w:hAnsi="Times New Roman" w:cs="Times New Roman" w:eastAsia="Times New Roman" w:hint="default"/>
          </w:rPr>
          <w:t>http://www.cninfo.com.cn</w:t>
        </w:r>
      </w:hyperlink>
      <w:r>
        <w:rPr/>
        <w:t>）上刊载的《第七届董事会第五次会议决议公告》（</w:t>
      </w:r>
      <w:r>
        <w:rPr>
          <w:rFonts w:ascii="Times New Roman" w:hAnsi="Times New Roman" w:cs="Times New Roman" w:eastAsia="Times New Roman" w:hint="default"/>
        </w:rPr>
        <w:t>2017-032</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84" w:right="9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173" w:right="67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73" w:right="67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0"/>
        <w:jc w:val="right"/>
      </w:pPr>
      <w:r>
        <w:rPr/>
        <w:t>单位：股</w:t>
      </w:r>
    </w:p>
    <w:p>
      <w:pPr>
        <w:spacing w:line="240" w:lineRule="auto" w:before="2"/>
        <w:rPr>
          <w:rFonts w:ascii="宋体" w:hAnsi="宋体" w:cs="宋体" w:eastAsia="宋体" w:hint="default"/>
          <w:sz w:val="8"/>
          <w:szCs w:val="8"/>
        </w:rPr>
      </w:pPr>
    </w:p>
    <w:tbl>
      <w:tblPr>
        <w:tblW w:w="0" w:type="auto"/>
        <w:jc w:val="left"/>
        <w:tblInd w:w="214" w:type="dxa"/>
        <w:tblLayout w:type="fixed"/>
        <w:tblCellMar>
          <w:top w:w="0" w:type="dxa"/>
          <w:left w:w="0" w:type="dxa"/>
          <w:bottom w:w="0" w:type="dxa"/>
          <w:right w:w="0" w:type="dxa"/>
        </w:tblCellMar>
        <w:tblLook w:val="01E0"/>
      </w:tblPr>
      <w:tblGrid>
        <w:gridCol w:w="2204"/>
        <w:gridCol w:w="835"/>
        <w:gridCol w:w="823"/>
        <w:gridCol w:w="821"/>
        <w:gridCol w:w="823"/>
        <w:gridCol w:w="821"/>
        <w:gridCol w:w="824"/>
        <w:gridCol w:w="821"/>
        <w:gridCol w:w="795"/>
        <w:gridCol w:w="794"/>
      </w:tblGrid>
      <w:tr>
        <w:trPr>
          <w:trHeight w:val="403"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-502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-502</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99.95%</w:t>
            </w:r>
          </w:p>
        </w:tc>
      </w:tr>
      <w:tr>
        <w:trPr>
          <w:trHeight w:val="391"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5" w:type="dxa"/>
            <w:vMerge/>
            <w:tcBorders>
              <w:left w:val="single" w:sz="10"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-502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-502</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99.95%</w:t>
            </w:r>
          </w:p>
        </w:tc>
      </w:tr>
      <w:tr>
        <w:trPr>
          <w:trHeight w:val="394"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5" w:type="dxa"/>
            <w:vMerge/>
            <w:tcBorders>
              <w:left w:val="single" w:sz="10"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5" w:type="dxa"/>
            <w:vMerge/>
            <w:tcBorders>
              <w:left w:val="single" w:sz="10"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173" w:right="6753"/>
        <w:jc w:val="left"/>
      </w:pPr>
      <w:r>
        <w:rPr/>
        <w:t>股份变动的原因</w:t>
      </w:r>
    </w:p>
    <w:p>
      <w:pPr>
        <w:pStyle w:val="BodyText"/>
        <w:spacing w:line="338" w:lineRule="auto" w:before="117"/>
        <w:ind w:left="173" w:right="8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40" w:lineRule="auto" w:before="43"/>
        <w:ind w:left="173" w:right="8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left="173" w:right="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left="173"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4"/>
        <w:ind w:left="17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73" w:right="67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7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70"/>
        <w:jc w:val="right"/>
      </w:pPr>
      <w:r>
        <w:rPr/>
        <w:t>单位：股</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959"/>
        <w:gridCol w:w="991"/>
        <w:gridCol w:w="992"/>
        <w:gridCol w:w="1135"/>
        <w:gridCol w:w="992"/>
        <w:gridCol w:w="3154"/>
        <w:gridCol w:w="1524"/>
      </w:tblGrid>
      <w:tr>
        <w:trPr>
          <w:trHeight w:val="715"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1" w:right="39" w:hanging="361"/>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8,437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8,437</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月底公司监事会换届选举离职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79" w:top="1060" w:bottom="1160" w:left="960" w:right="96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960"/>
        <w:gridCol w:w="991"/>
        <w:gridCol w:w="992"/>
        <w:gridCol w:w="1135"/>
        <w:gridCol w:w="992"/>
        <w:gridCol w:w="3154"/>
        <w:gridCol w:w="1524"/>
      </w:tblGrid>
      <w:tr>
        <w:trPr>
          <w:trHeight w:val="36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后所持有股份全部锁定半年后解锁</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月底公司监事会换届选举离职 后所持有股份全部锁定半年后解锁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月底公司监事会换届选举离职 后所持有股份全部锁定半年后解锁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42,217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56,289</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月底因工作原因离职后所持 有股份全部锁定半年</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12,614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16,819</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月底因工作原因离职后所持 有股份全部锁定半年</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18,277</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73,108</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73" w:right="67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73" w:right="9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7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73" w:right="9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7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73" w:right="67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7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73" w:right="67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73" w:right="67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0"/>
        <w:jc w:val="right"/>
      </w:pPr>
      <w:r>
        <w:rPr/>
        <w:pict>
          <v:shape style="position:absolute;margin-left:457.777008pt;margin-top:70.701706pt;width:79pt;height:31.2pt;mso-position-horizontal-relative:page;mso-position-vertical-relative:paragraph;z-index:-1056520"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90.899994pt;margin-top:70.701706pt;width:45.9pt;height:31.2pt;mso-position-horizontal-relative:page;mso-position-vertical-relative:paragraph;z-index:-1056496" coordorigin="9818,1414" coordsize="918,624">
            <v:shape style="position:absolute;left:9818;top:1414;width:918;height:624" coordorigin="9818,1414" coordsize="918,624" path="m9818,2038l10735,2038,10735,1414,9818,1414,9818,2038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204" w:type="dxa"/>
        <w:tblLayout w:type="fixed"/>
        <w:tblCellMar>
          <w:top w:w="0" w:type="dxa"/>
          <w:left w:w="0" w:type="dxa"/>
          <w:bottom w:w="0" w:type="dxa"/>
          <w:right w:w="0" w:type="dxa"/>
        </w:tblCellMar>
        <w:tblLook w:val="01E0"/>
      </w:tblPr>
      <w:tblGrid>
        <w:gridCol w:w="1220"/>
        <w:gridCol w:w="1171"/>
        <w:gridCol w:w="977"/>
        <w:gridCol w:w="347"/>
        <w:gridCol w:w="741"/>
        <w:gridCol w:w="346"/>
        <w:gridCol w:w="694"/>
        <w:gridCol w:w="745"/>
        <w:gridCol w:w="104"/>
        <w:gridCol w:w="987"/>
        <w:gridCol w:w="1291"/>
        <w:gridCol w:w="458"/>
        <w:gridCol w:w="489"/>
      </w:tblGrid>
      <w:tr>
        <w:trPr>
          <w:trHeight w:val="163"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34,486</w:t>
            </w:r>
          </w:p>
        </w:tc>
        <w:tc>
          <w:tcPr>
            <w:tcW w:w="1324" w:type="dxa"/>
            <w:gridSpan w:val="2"/>
            <w:vMerge w:val="restart"/>
            <w:tcBorders>
              <w:top w:val="single" w:sz="4" w:space="0" w:color="000000"/>
              <w:left w:val="single" w:sz="4" w:space="0" w:color="000000"/>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33,724</w:t>
            </w:r>
          </w:p>
        </w:tc>
        <w:tc>
          <w:tcPr>
            <w:tcW w:w="14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w:t>
            </w:r>
          </w:p>
        </w:tc>
        <w:tc>
          <w:tcPr>
            <w:tcW w:w="12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 w:right="11"/>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58" w:type="dxa"/>
            <w:vMerge w:val="restart"/>
            <w:tcBorders>
              <w:top w:val="single" w:sz="4" w:space="0" w:color="000000"/>
              <w:left w:val="single" w:sz="10" w:space="0" w:color="D2D2D2"/>
              <w:right w:val="nil" w:sz="6" w:space="0" w:color="auto"/>
            </w:tcBorders>
          </w:tcPr>
          <w:p>
            <w:pPr/>
          </w:p>
        </w:tc>
        <w:tc>
          <w:tcPr>
            <w:tcW w:w="48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1171" w:type="dxa"/>
            <w:vMerge/>
            <w:tcBorders>
              <w:left w:val="single" w:sz="9" w:space="0" w:color="D2D2D2"/>
              <w:right w:val="single" w:sz="9" w:space="0" w:color="D2D2D2"/>
            </w:tcBorders>
          </w:tcPr>
          <w:p>
            <w:pPr/>
          </w:p>
        </w:tc>
        <w:tc>
          <w:tcPr>
            <w:tcW w:w="1324"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91" w:type="dxa"/>
            <w:gridSpan w:val="2"/>
            <w:vMerge/>
            <w:tcBorders>
              <w:left w:val="single" w:sz="9" w:space="0" w:color="D2D2D2"/>
              <w:right w:val="single" w:sz="10" w:space="0" w:color="D2D2D2"/>
            </w:tcBorders>
          </w:tcPr>
          <w:p>
            <w:pPr/>
          </w:p>
        </w:tc>
        <w:tc>
          <w:tcPr>
            <w:tcW w:w="1291" w:type="dxa"/>
            <w:vMerge/>
            <w:tcBorders>
              <w:left w:val="single" w:sz="4" w:space="0" w:color="000000"/>
              <w:right w:val="single" w:sz="4" w:space="0" w:color="000000"/>
            </w:tcBorders>
            <w:shd w:val="clear" w:color="auto" w:fill="D2D2D2"/>
          </w:tcPr>
          <w:p>
            <w:pPr/>
          </w:p>
        </w:tc>
        <w:tc>
          <w:tcPr>
            <w:tcW w:w="458" w:type="dxa"/>
            <w:vMerge/>
            <w:tcBorders>
              <w:left w:val="single" w:sz="10"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171" w:type="dxa"/>
            <w:vMerge/>
            <w:tcBorders>
              <w:left w:val="single" w:sz="9" w:space="0" w:color="D2D2D2"/>
              <w:right w:val="single" w:sz="9" w:space="0" w:color="D2D2D2"/>
            </w:tcBorders>
          </w:tcPr>
          <w:p>
            <w:pPr/>
          </w:p>
        </w:tc>
        <w:tc>
          <w:tcPr>
            <w:tcW w:w="13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86" w:type="dxa"/>
            <w:gridSpan w:val="2"/>
            <w:vMerge/>
            <w:tcBorders>
              <w:left w:val="single" w:sz="9" w:space="0" w:color="D2D2D2"/>
              <w:right w:val="single" w:sz="10"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9" w:space="0" w:color="D2D2D2"/>
              <w:right w:val="single" w:sz="10" w:space="0" w:color="D2D2D2"/>
            </w:tcBorders>
          </w:tcPr>
          <w:p>
            <w:pPr/>
          </w:p>
        </w:tc>
        <w:tc>
          <w:tcPr>
            <w:tcW w:w="1291" w:type="dxa"/>
            <w:vMerge/>
            <w:tcBorders>
              <w:left w:val="single" w:sz="4" w:space="0" w:color="000000"/>
              <w:right w:val="single" w:sz="4" w:space="0" w:color="000000"/>
            </w:tcBorders>
            <w:shd w:val="clear" w:color="auto" w:fill="D2D2D2"/>
          </w:tcPr>
          <w:p>
            <w:pPr/>
          </w:p>
        </w:tc>
        <w:tc>
          <w:tcPr>
            <w:tcW w:w="458" w:type="dxa"/>
            <w:vMerge/>
            <w:tcBorders>
              <w:left w:val="single" w:sz="10"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71" w:type="dxa"/>
            <w:vMerge/>
            <w:tcBorders>
              <w:left w:val="single" w:sz="9" w:space="0" w:color="D2D2D2"/>
              <w:right w:val="single" w:sz="9" w:space="0" w:color="D2D2D2"/>
            </w:tcBorders>
          </w:tcPr>
          <w:p>
            <w:pPr/>
          </w:p>
        </w:tc>
        <w:tc>
          <w:tcPr>
            <w:tcW w:w="1324"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9" w:space="0" w:color="D2D2D2"/>
              <w:right w:val="single" w:sz="10" w:space="0" w:color="D2D2D2"/>
            </w:tcBorders>
          </w:tcPr>
          <w:p>
            <w:pPr/>
          </w:p>
        </w:tc>
        <w:tc>
          <w:tcPr>
            <w:tcW w:w="1291" w:type="dxa"/>
            <w:vMerge/>
            <w:tcBorders>
              <w:left w:val="single" w:sz="4" w:space="0" w:color="000000"/>
              <w:right w:val="single" w:sz="4" w:space="0" w:color="000000"/>
            </w:tcBorders>
            <w:shd w:val="clear" w:color="auto" w:fill="D2D2D2"/>
          </w:tcPr>
          <w:p>
            <w:pPr/>
          </w:p>
        </w:tc>
        <w:tc>
          <w:tcPr>
            <w:tcW w:w="458" w:type="dxa"/>
            <w:vMerge/>
            <w:tcBorders>
              <w:left w:val="single" w:sz="10"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171" w:type="dxa"/>
            <w:vMerge/>
            <w:tcBorders>
              <w:left w:val="single" w:sz="9" w:space="0" w:color="D2D2D2"/>
              <w:right w:val="single" w:sz="9" w:space="0" w:color="D2D2D2"/>
            </w:tcBorders>
          </w:tcPr>
          <w:p>
            <w:pPr/>
          </w:p>
        </w:tc>
        <w:tc>
          <w:tcPr>
            <w:tcW w:w="1324"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9" w:space="0" w:color="D2D2D2"/>
              <w:right w:val="single" w:sz="10" w:space="0" w:color="D2D2D2"/>
            </w:tcBorders>
          </w:tcPr>
          <w:p>
            <w:pPr/>
          </w:p>
        </w:tc>
        <w:tc>
          <w:tcPr>
            <w:tcW w:w="1291" w:type="dxa"/>
            <w:vMerge/>
            <w:tcBorders>
              <w:left w:val="single" w:sz="4" w:space="0" w:color="000000"/>
              <w:right w:val="single" w:sz="4" w:space="0" w:color="000000"/>
            </w:tcBorders>
            <w:shd w:val="clear" w:color="auto" w:fill="D2D2D2"/>
          </w:tcPr>
          <w:p>
            <w:pPr/>
          </w:p>
        </w:tc>
        <w:tc>
          <w:tcPr>
            <w:tcW w:w="458" w:type="dxa"/>
            <w:vMerge/>
            <w:tcBorders>
              <w:left w:val="single" w:sz="10"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1171" w:type="dxa"/>
            <w:vMerge/>
            <w:tcBorders>
              <w:left w:val="single" w:sz="9" w:space="0" w:color="D2D2D2"/>
              <w:right w:val="single" w:sz="9" w:space="0" w:color="D2D2D2"/>
            </w:tcBorders>
          </w:tcPr>
          <w:p>
            <w:pPr/>
          </w:p>
        </w:tc>
        <w:tc>
          <w:tcPr>
            <w:tcW w:w="1324" w:type="dxa"/>
            <w:gridSpan w:val="2"/>
            <w:vMerge w:val="restart"/>
            <w:tcBorders>
              <w:top w:val="nil" w:sz="6" w:space="0" w:color="auto"/>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091" w:type="dxa"/>
            <w:gridSpan w:val="2"/>
            <w:vMerge/>
            <w:tcBorders>
              <w:left w:val="single" w:sz="9" w:space="0" w:color="D2D2D2"/>
              <w:right w:val="single" w:sz="10" w:space="0" w:color="D2D2D2"/>
            </w:tcBorders>
          </w:tcPr>
          <w:p>
            <w:pPr/>
          </w:p>
        </w:tc>
        <w:tc>
          <w:tcPr>
            <w:tcW w:w="1291" w:type="dxa"/>
            <w:vMerge/>
            <w:tcBorders>
              <w:left w:val="single" w:sz="4" w:space="0" w:color="000000"/>
              <w:right w:val="single" w:sz="4" w:space="0" w:color="000000"/>
            </w:tcBorders>
            <w:shd w:val="clear" w:color="auto" w:fill="D2D2D2"/>
          </w:tcPr>
          <w:p>
            <w:pPr/>
          </w:p>
        </w:tc>
        <w:tc>
          <w:tcPr>
            <w:tcW w:w="458" w:type="dxa"/>
            <w:vMerge/>
            <w:tcBorders>
              <w:left w:val="single" w:sz="10"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9" w:space="0" w:color="D2D2D2"/>
              <w:bottom w:val="single" w:sz="4" w:space="0" w:color="000000"/>
              <w:right w:val="single" w:sz="9" w:space="0" w:color="D2D2D2"/>
            </w:tcBorders>
          </w:tcPr>
          <w:p>
            <w:pPr/>
          </w:p>
        </w:tc>
        <w:tc>
          <w:tcPr>
            <w:tcW w:w="1324" w:type="dxa"/>
            <w:gridSpan w:val="2"/>
            <w:vMerge/>
            <w:tcBorders>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10"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gridSpan w:val="2"/>
            <w:vMerge/>
            <w:tcBorders>
              <w:left w:val="single" w:sz="9" w:space="0" w:color="D2D2D2"/>
              <w:bottom w:val="single" w:sz="4" w:space="0" w:color="000000"/>
              <w:right w:val="single" w:sz="10" w:space="0" w:color="D2D2D2"/>
            </w:tcBorders>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458" w:type="dxa"/>
            <w:vMerge/>
            <w:tcBorders>
              <w:left w:val="single" w:sz="10" w:space="0" w:color="D2D2D2"/>
              <w:bottom w:val="single" w:sz="4" w:space="0" w:color="000000"/>
              <w:right w:val="nil" w:sz="6" w:space="0" w:color="auto"/>
            </w:tcBorders>
          </w:tcPr>
          <w:p>
            <w:pPr/>
          </w:p>
        </w:tc>
        <w:tc>
          <w:tcPr>
            <w:tcW w:w="48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1" w:type="dxa"/>
            <w:vMerge w:val="restart"/>
            <w:tcBorders>
              <w:top w:val="single" w:sz="4" w:space="0" w:color="000000"/>
              <w:left w:val="single" w:sz="4" w:space="0" w:color="000000"/>
              <w:right w:val="single" w:sz="4" w:space="0" w:color="000000"/>
            </w:tcBorders>
            <w:shd w:val="clear" w:color="auto" w:fill="D2D2D2"/>
          </w:tcPr>
          <w:p>
            <w:pPr/>
          </w:p>
        </w:tc>
        <w:tc>
          <w:tcPr>
            <w:tcW w:w="977" w:type="dxa"/>
            <w:vMerge w:val="restart"/>
            <w:tcBorders>
              <w:top w:val="single" w:sz="4" w:space="0" w:color="000000"/>
              <w:left w:val="single" w:sz="4" w:space="0" w:color="000000"/>
              <w:right w:val="single" w:sz="4" w:space="0" w:color="FFFFFF"/>
            </w:tcBorders>
            <w:shd w:val="clear" w:color="auto" w:fill="D2D2D2"/>
          </w:tcPr>
          <w:p>
            <w:pPr/>
          </w:p>
        </w:tc>
        <w:tc>
          <w:tcPr>
            <w:tcW w:w="1088"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0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bottom w:val="nil" w:sz="6" w:space="0" w:color="auto"/>
              <w:right w:val="single" w:sz="4" w:space="0" w:color="FFFFFF"/>
            </w:tcBorders>
            <w:shd w:val="clear" w:color="auto" w:fill="D2D2D2"/>
          </w:tcPr>
          <w:p>
            <w:pPr/>
          </w:p>
        </w:tc>
        <w:tc>
          <w:tcPr>
            <w:tcW w:w="1088"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49"/>
              <w:ind w:left="268" w:right="8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4" w:right="62"/>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2237" w:type="dxa"/>
            <w:gridSpan w:val="3"/>
            <w:vMerge/>
            <w:tcBorders>
              <w:left w:val="single" w:sz="4" w:space="0" w:color="000000"/>
              <w:right w:val="single" w:sz="4" w:space="0" w:color="000000"/>
            </w:tcBorders>
            <w:shd w:val="clear" w:color="auto" w:fill="D2D2D2"/>
          </w:tcPr>
          <w:p>
            <w:pPr/>
          </w:p>
        </w:tc>
      </w:tr>
      <w:tr>
        <w:trPr>
          <w:trHeight w:val="139"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7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8" w:type="dxa"/>
            <w:gridSpan w:val="2"/>
            <w:vMerge/>
            <w:tcBorders>
              <w:left w:val="single" w:sz="4" w:space="0" w:color="FFFFFF"/>
              <w:right w:val="single" w:sz="4" w:space="0" w:color="000000"/>
            </w:tcBorders>
            <w:shd w:val="clear" w:color="auto" w:fill="D2D2D2"/>
          </w:tcPr>
          <w:p>
            <w:pPr/>
          </w:p>
        </w:tc>
        <w:tc>
          <w:tcPr>
            <w:tcW w:w="1039"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223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bottom w:val="nil" w:sz="6" w:space="0" w:color="auto"/>
              <w:right w:val="single" w:sz="4" w:space="0" w:color="FFFFFF"/>
            </w:tcBorders>
            <w:shd w:val="clear" w:color="auto" w:fill="D2D2D2"/>
          </w:tcPr>
          <w:p>
            <w:pPr/>
          </w:p>
        </w:tc>
        <w:tc>
          <w:tcPr>
            <w:tcW w:w="1088" w:type="dxa"/>
            <w:gridSpan w:val="2"/>
            <w:vMerge/>
            <w:tcBorders>
              <w:left w:val="single" w:sz="4" w:space="0" w:color="FFFFFF"/>
              <w:right w:val="single" w:sz="4" w:space="0" w:color="000000"/>
            </w:tcBorders>
            <w:shd w:val="clear" w:color="auto" w:fill="D2D2D2"/>
          </w:tcPr>
          <w:p>
            <w:pPr/>
          </w:p>
        </w:tc>
        <w:tc>
          <w:tcPr>
            <w:tcW w:w="1039"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2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8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171" w:type="dxa"/>
            <w:vMerge w:val="restart"/>
            <w:tcBorders>
              <w:top w:val="nil" w:sz="6" w:space="0" w:color="auto"/>
              <w:left w:val="single" w:sz="4" w:space="0" w:color="000000"/>
              <w:right w:val="single" w:sz="4" w:space="0" w:color="000000"/>
            </w:tcBorders>
            <w:shd w:val="clear" w:color="auto" w:fill="D2D2D2"/>
          </w:tcPr>
          <w:p>
            <w:pPr/>
          </w:p>
        </w:tc>
        <w:tc>
          <w:tcPr>
            <w:tcW w:w="977" w:type="dxa"/>
            <w:vMerge w:val="restart"/>
            <w:tcBorders>
              <w:top w:val="nil" w:sz="6" w:space="0" w:color="auto"/>
              <w:left w:val="single" w:sz="4" w:space="0" w:color="000000"/>
              <w:right w:val="single" w:sz="4" w:space="0" w:color="FFFFFF"/>
            </w:tcBorders>
            <w:shd w:val="clear" w:color="auto" w:fill="D2D2D2"/>
          </w:tcPr>
          <w:p>
            <w:pPr/>
          </w:p>
        </w:tc>
        <w:tc>
          <w:tcPr>
            <w:tcW w:w="1088" w:type="dxa"/>
            <w:gridSpan w:val="2"/>
            <w:vMerge/>
            <w:tcBorders>
              <w:left w:val="single" w:sz="4" w:space="0" w:color="FFFFFF"/>
              <w:bottom w:val="nil" w:sz="6" w:space="0" w:color="auto"/>
              <w:right w:val="single" w:sz="4" w:space="0" w:color="000000"/>
            </w:tcBorders>
            <w:shd w:val="clear" w:color="auto" w:fill="D2D2D2"/>
          </w:tcPr>
          <w:p>
            <w:pPr/>
          </w:p>
        </w:tc>
        <w:tc>
          <w:tcPr>
            <w:tcW w:w="1039"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291" w:type="dxa"/>
            <w:vMerge/>
            <w:tcBorders>
              <w:left w:val="single" w:sz="4" w:space="0" w:color="000000"/>
              <w:right w:val="single" w:sz="4" w:space="0" w:color="000000"/>
            </w:tcBorders>
            <w:shd w:val="clear" w:color="auto" w:fill="D2D2D2"/>
          </w:tcPr>
          <w:p>
            <w:pPr/>
          </w:p>
        </w:tc>
        <w:tc>
          <w:tcPr>
            <w:tcW w:w="947" w:type="dxa"/>
            <w:gridSpan w:val="2"/>
            <w:vMerge/>
            <w:tcBorders>
              <w:left w:val="single" w:sz="4" w:space="0" w:color="000000"/>
              <w:right w:val="single" w:sz="4" w:space="0" w:color="000000"/>
            </w:tcBorders>
            <w:shd w:val="clear" w:color="auto" w:fill="D2D2D2"/>
          </w:tcPr>
          <w:p>
            <w:pPr/>
          </w:p>
        </w:tc>
      </w:tr>
      <w:tr>
        <w:trPr>
          <w:trHeight w:val="161"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FFFFFF"/>
            </w:tcBorders>
            <w:shd w:val="clear" w:color="auto" w:fill="D2D2D2"/>
          </w:tcPr>
          <w:p>
            <w:pPr/>
          </w:p>
        </w:tc>
        <w:tc>
          <w:tcPr>
            <w:tcW w:w="1088"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0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947"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南天电子信息 产业集团公司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26.88%</w:t>
            </w:r>
          </w:p>
        </w:tc>
        <w:tc>
          <w:tcPr>
            <w:tcW w:w="1088"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66,281,031</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-8,400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66,281,031</w:t>
            </w:r>
          </w:p>
        </w:tc>
        <w:tc>
          <w:tcPr>
            <w:tcW w:w="1291" w:type="dxa"/>
            <w:tcBorders>
              <w:top w:val="single" w:sz="48" w:space="0" w:color="D2D2D2"/>
              <w:left w:val="single" w:sz="4" w:space="0" w:color="000000"/>
              <w:bottom w:val="single" w:sz="4" w:space="0" w:color="000000"/>
              <w:right w:val="single" w:sz="4" w:space="0" w:color="000000"/>
            </w:tcBorders>
          </w:tcPr>
          <w:p>
            <w:pPr/>
          </w:p>
        </w:tc>
        <w:tc>
          <w:tcPr>
            <w:tcW w:w="947" w:type="dxa"/>
            <w:gridSpan w:val="2"/>
            <w:tcBorders>
              <w:top w:val="single" w:sz="48" w:space="0" w:color="D2D2D2"/>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4" w:type="dxa"/>
        <w:tblLayout w:type="fixed"/>
        <w:tblCellMar>
          <w:top w:w="0" w:type="dxa"/>
          <w:left w:w="0" w:type="dxa"/>
          <w:bottom w:w="0" w:type="dxa"/>
          <w:right w:w="0" w:type="dxa"/>
        </w:tblCellMar>
        <w:tblLook w:val="01E0"/>
      </w:tblPr>
      <w:tblGrid>
        <w:gridCol w:w="1241"/>
        <w:gridCol w:w="1133"/>
        <w:gridCol w:w="994"/>
        <w:gridCol w:w="1088"/>
        <w:gridCol w:w="1039"/>
        <w:gridCol w:w="850"/>
        <w:gridCol w:w="992"/>
        <w:gridCol w:w="1277"/>
        <w:gridCol w:w="956"/>
      </w:tblGrid>
      <w:tr>
        <w:trPr>
          <w:trHeight w:val="102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云南省工业投 资控股集团有 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22,870,213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22,870,213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2,200,677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2,200,677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2,200,677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华商基金－建 设银行－中国 人寿－中国人 寿保险委托华 商基金中证全 指组合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1,409,250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666,400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1,409,250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中国证券金融 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钱国华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孙焕平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935,302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蔡祖芬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王圣祎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733,100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翁迎春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94"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pacing w:val="-2"/>
                <w:sz w:val="18"/>
                <w:szCs w:val="18"/>
              </w:rPr>
              <w:t>上述股东中，公司已知南天集团是工投集团的全资子公司，故工投集团、南天集团属于一致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行动人；未知其他股东是否属于《上市公司股东持股变动信息披露管理办法》中规定的一致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行动人；也未知以上其他股东之间是否存在关联关系。</w:t>
            </w:r>
          </w:p>
        </w:tc>
      </w:tr>
      <w:tr>
        <w:trPr>
          <w:trHeight w:val="703" w:hRule="exact"/>
        </w:trPr>
        <w:tc>
          <w:tcPr>
            <w:tcW w:w="237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94" w:type="dxa"/>
            <w:gridSpan w:val="7"/>
            <w:vMerge/>
            <w:tcBorders>
              <w:left w:val="single" w:sz="10" w:space="0" w:color="D2D2D2"/>
              <w:right w:val="single" w:sz="4" w:space="0" w:color="000000"/>
            </w:tcBorders>
          </w:tcPr>
          <w:p>
            <w:pPr/>
          </w:p>
        </w:tc>
      </w:tr>
      <w:tr>
        <w:trPr>
          <w:trHeight w:val="161" w:hRule="exact"/>
        </w:trPr>
        <w:tc>
          <w:tcPr>
            <w:tcW w:w="23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94"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3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6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gridSpan w:val="2"/>
            <w:vMerge/>
            <w:tcBorders>
              <w:left w:val="single" w:sz="4" w:space="0" w:color="000000"/>
              <w:bottom w:val="nil" w:sz="6" w:space="0" w:color="auto"/>
              <w:right w:val="single" w:sz="4" w:space="0" w:color="000000"/>
            </w:tcBorders>
            <w:shd w:val="clear" w:color="auto" w:fill="D2D2D2"/>
          </w:tcPr>
          <w:p>
            <w:pPr/>
          </w:p>
        </w:tc>
        <w:tc>
          <w:tcPr>
            <w:tcW w:w="4962"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6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66,281,031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66,281,031</w:t>
            </w:r>
          </w:p>
        </w:tc>
      </w:tr>
      <w:tr>
        <w:trPr>
          <w:trHeight w:val="71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云南省工业投资控股集团有 限责任公司</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22,870,213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22,870,213</w:t>
            </w:r>
          </w:p>
        </w:tc>
      </w:tr>
      <w:tr>
        <w:trPr>
          <w:trHeight w:val="40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黄彪</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2,200,677</w:t>
            </w:r>
          </w:p>
        </w:tc>
      </w:tr>
      <w:tr>
        <w:trPr>
          <w:trHeight w:val="1025"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both"/>
              <w:rPr>
                <w:rFonts w:ascii="宋体" w:hAnsi="宋体" w:cs="宋体" w:eastAsia="宋体" w:hint="default"/>
                <w:sz w:val="18"/>
                <w:szCs w:val="18"/>
              </w:rPr>
            </w:pPr>
            <w:r>
              <w:rPr>
                <w:rFonts w:ascii="宋体" w:hAnsi="宋体" w:cs="宋体" w:eastAsia="宋体" w:hint="default"/>
                <w:sz w:val="18"/>
                <w:szCs w:val="18"/>
              </w:rPr>
              <w:t>华商基金－建设银行－中国 人寿－中国人寿保险委托华 商基金中证全指组合</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1,409,250</w:t>
            </w:r>
          </w:p>
        </w:tc>
      </w:tr>
      <w:tr>
        <w:trPr>
          <w:trHeight w:val="40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1,288,000</w:t>
            </w:r>
          </w:p>
        </w:tc>
      </w:tr>
      <w:tr>
        <w:trPr>
          <w:trHeight w:val="401"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钱国华</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孙焕平</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935,302</w:t>
            </w:r>
          </w:p>
        </w:tc>
      </w:tr>
      <w:tr>
        <w:trPr>
          <w:trHeight w:val="401"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蔡祖芬</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w:t>
            </w:r>
          </w:p>
        </w:tc>
      </w:tr>
      <w:tr>
        <w:trPr>
          <w:trHeight w:val="403"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王圣祎</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733,100</w:t>
            </w:r>
          </w:p>
        </w:tc>
      </w:tr>
      <w:tr>
        <w:trPr>
          <w:trHeight w:val="401" w:hRule="exact"/>
        </w:trPr>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翁迎春</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722,300</w:t>
            </w:r>
          </w:p>
        </w:tc>
      </w:tr>
      <w:tr>
        <w:trPr>
          <w:trHeight w:val="362" w:hRule="exact"/>
        </w:trPr>
        <w:tc>
          <w:tcPr>
            <w:tcW w:w="23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tc>
        <w:tc>
          <w:tcPr>
            <w:tcW w:w="7194"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pacing w:val="-2"/>
                <w:sz w:val="18"/>
                <w:szCs w:val="18"/>
              </w:rPr>
              <w:t>上述股东中，公司已知南天集团是工投集团的全资子公司，故工投集团、南天集团属于一致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4" w:type="dxa"/>
        <w:tblLayout w:type="fixed"/>
        <w:tblCellMar>
          <w:top w:w="0" w:type="dxa"/>
          <w:left w:w="0" w:type="dxa"/>
          <w:bottom w:w="0" w:type="dxa"/>
          <w:right w:w="0" w:type="dxa"/>
        </w:tblCellMar>
        <w:tblLook w:val="01E0"/>
      </w:tblPr>
      <w:tblGrid>
        <w:gridCol w:w="2363"/>
        <w:gridCol w:w="7205"/>
      </w:tblGrid>
      <w:tr>
        <w:trPr>
          <w:trHeight w:val="987" w:hRule="exact"/>
        </w:trPr>
        <w:tc>
          <w:tcPr>
            <w:tcW w:w="2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w:t>
            </w:r>
          </w:p>
          <w:p>
            <w:pPr>
              <w:pStyle w:val="TableParagraph"/>
              <w:spacing w:line="300" w:lineRule="auto" w:before="63"/>
              <w:ind w:left="24" w:right="74"/>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 联关系或一致行动的说明</w:t>
            </w:r>
          </w:p>
        </w:tc>
        <w:tc>
          <w:tcPr>
            <w:tcW w:w="7205" w:type="dxa"/>
            <w:tcBorders>
              <w:top w:val="single" w:sz="4" w:space="0" w:color="000000"/>
              <w:left w:val="single" w:sz="10" w:space="0" w:color="D2D2D2"/>
              <w:bottom w:val="single" w:sz="4" w:space="0" w:color="000000"/>
              <w:right w:val="single" w:sz="4" w:space="0" w:color="000000"/>
            </w:tcBorders>
          </w:tcPr>
          <w:p>
            <w:pPr>
              <w:pStyle w:val="TableParagraph"/>
              <w:spacing w:line="319" w:lineRule="auto" w:before="8"/>
              <w:ind w:left="27" w:right="23"/>
              <w:jc w:val="left"/>
              <w:rPr>
                <w:rFonts w:ascii="宋体" w:hAnsi="宋体" w:cs="宋体" w:eastAsia="宋体" w:hint="default"/>
                <w:sz w:val="18"/>
                <w:szCs w:val="18"/>
              </w:rPr>
            </w:pPr>
            <w:r>
              <w:rPr>
                <w:rFonts w:ascii="宋体" w:hAnsi="宋体" w:cs="宋体" w:eastAsia="宋体" w:hint="default"/>
                <w:spacing w:val="-2"/>
                <w:sz w:val="18"/>
                <w:szCs w:val="18"/>
              </w:rPr>
              <w:t>行动人；未知其他股东是否属于《上市公司股东持股变动信息披露管理办法》中规定的一致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行动人；也未知以上其他股东之间是否存在关联关系。</w:t>
            </w:r>
          </w:p>
        </w:tc>
      </w:tr>
      <w:tr>
        <w:trPr>
          <w:trHeight w:val="1025" w:hRule="exact"/>
        </w:trPr>
        <w:tc>
          <w:tcPr>
            <w:tcW w:w="2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 </w:t>
            </w:r>
            <w:r>
              <w:rPr>
                <w:rFonts w:ascii="宋体" w:hAnsi="宋体" w:cs="宋体" w:eastAsia="宋体" w:hint="default"/>
                <w:spacing w:val="-15"/>
                <w:sz w:val="18"/>
                <w:szCs w:val="18"/>
              </w:rPr>
              <w:t>融券业务情况说明（如有）（参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报告期内，公司自然人股东王圣祎通过投资者信用账户持有公司股票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注：南天集团持股数</w:t>
      </w:r>
      <w:r>
        <w:rPr>
          <w:spacing w:val="-48"/>
        </w:rPr>
        <w:t> </w:t>
      </w:r>
      <w:r>
        <w:rPr>
          <w:rFonts w:ascii="Times New Roman" w:hAnsi="Times New Roman" w:cs="Times New Roman" w:eastAsia="Times New Roman" w:hint="default"/>
        </w:rPr>
        <w:t>66,281,031 </w:t>
      </w:r>
      <w:r>
        <w:rPr/>
        <w:t>股中含有南天信息管理层委托南天集团通过其资产管理计划增持的股份</w:t>
      </w:r>
      <w:r>
        <w:rPr>
          <w:spacing w:val="-48"/>
        </w:rPr>
        <w:t> </w:t>
      </w:r>
      <w:r>
        <w:rPr>
          <w:rFonts w:ascii="Times New Roman" w:hAnsi="Times New Roman" w:cs="Times New Roman" w:eastAsia="Times New Roman" w:hint="default"/>
        </w:rPr>
        <w:t>9,047</w:t>
      </w:r>
      <w:r>
        <w:rPr>
          <w:rFonts w:ascii="Times New Roman" w:hAnsi="Times New Roman" w:cs="Times New Roman" w:eastAsia="Times New Roman" w:hint="default"/>
          <w:spacing w:val="-1"/>
        </w:rPr>
        <w:t> </w:t>
      </w:r>
      <w:r>
        <w:rPr/>
        <w:t>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3"/>
        <w:jc w:val="left"/>
      </w:pPr>
      <w:r>
        <w:rPr/>
        <w:t>控股股东性质：地方国有控股 控股股东类型：法人</w:t>
      </w:r>
    </w:p>
    <w:tbl>
      <w:tblPr>
        <w:tblW w:w="0" w:type="auto"/>
        <w:jc w:val="left"/>
        <w:tblInd w:w="184" w:type="dxa"/>
        <w:tblLayout w:type="fixed"/>
        <w:tblCellMar>
          <w:top w:w="0" w:type="dxa"/>
          <w:left w:w="0" w:type="dxa"/>
          <w:bottom w:w="0" w:type="dxa"/>
          <w:right w:w="0" w:type="dxa"/>
        </w:tblCellMar>
        <w:tblLook w:val="01E0"/>
      </w:tblPr>
      <w:tblGrid>
        <w:gridCol w:w="2264"/>
        <w:gridCol w:w="1615"/>
        <w:gridCol w:w="1721"/>
        <w:gridCol w:w="1882"/>
        <w:gridCol w:w="2086"/>
      </w:tblGrid>
      <w:tr>
        <w:trPr>
          <w:trHeight w:val="71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24"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91530000216531468G</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电子计算机、机床自动化 设备、</w:t>
            </w:r>
            <w:r>
              <w:rPr>
                <w:rFonts w:ascii="Times New Roman" w:hAnsi="Times New Roman" w:cs="Times New Roman" w:eastAsia="Times New Roman" w:hint="default"/>
                <w:sz w:val="18"/>
                <w:szCs w:val="18"/>
              </w:rPr>
              <w:t>"</w:t>
            </w:r>
            <w:r>
              <w:rPr>
                <w:rFonts w:ascii="宋体" w:hAnsi="宋体" w:cs="宋体" w:eastAsia="宋体" w:hint="default"/>
                <w:sz w:val="18"/>
                <w:szCs w:val="18"/>
              </w:rPr>
              <w:t>三来一补</w:t>
            </w:r>
            <w:r>
              <w:rPr>
                <w:rFonts w:ascii="Times New Roman" w:hAnsi="Times New Roman" w:cs="Times New Roman" w:eastAsia="Times New Roman" w:hint="default"/>
                <w:sz w:val="18"/>
                <w:szCs w:val="18"/>
              </w:rPr>
              <w:t>"</w:t>
            </w:r>
            <w:r>
              <w:rPr>
                <w:rFonts w:ascii="宋体" w:hAnsi="宋体" w:cs="宋体" w:eastAsia="宋体" w:hint="default"/>
                <w:sz w:val="18"/>
                <w:szCs w:val="18"/>
              </w:rPr>
              <w:t>业务等</w:t>
            </w:r>
          </w:p>
        </w:tc>
      </w:tr>
      <w:tr>
        <w:trPr>
          <w:trHeight w:val="102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5"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893"/>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6"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7" w:right="29"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云南省人民政府国有资产监督 管理委员会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罗昭斌</w:t>
            </w:r>
          </w:p>
        </w:tc>
        <w:tc>
          <w:tcPr>
            <w:tcW w:w="152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3"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0" w:lineRule="auto" w:before="115"/>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after="0" w:line="3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公司与实际控制人之间的产权及控制关系的方框图</w:t>
      </w:r>
    </w:p>
    <w:p>
      <w:pPr>
        <w:spacing w:line="240" w:lineRule="auto" w:before="7"/>
        <w:rPr>
          <w:rFonts w:ascii="宋体" w:hAnsi="宋体" w:cs="宋体" w:eastAsia="宋体" w:hint="default"/>
          <w:sz w:val="21"/>
          <w:szCs w:val="21"/>
        </w:rPr>
      </w:pPr>
    </w:p>
    <w:p>
      <w:pPr>
        <w:spacing w:line="3720" w:lineRule="exact"/>
        <w:ind w:left="2080"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672840" cy="23622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672840" cy="236220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1"/>
        <w:rPr>
          <w:rFonts w:ascii="宋体" w:hAnsi="宋体" w:cs="宋体" w:eastAsia="宋体" w:hint="default"/>
          <w:sz w:val="16"/>
          <w:szCs w:val="16"/>
        </w:rPr>
      </w:pPr>
    </w:p>
    <w:p>
      <w:pPr>
        <w:pStyle w:val="BodyText"/>
        <w:spacing w:line="300" w:lineRule="auto"/>
        <w:ind w:right="93" w:firstLine="360"/>
        <w:jc w:val="left"/>
      </w:pPr>
      <w:r>
        <w:rPr/>
        <w:t>注：公司控股股东南天集团委托公司第二大股东工投集团管理其所直接持有的南天信息</w:t>
      </w:r>
      <w:r>
        <w:rPr>
          <w:rFonts w:ascii="Times New Roman" w:hAnsi="Times New Roman" w:cs="Times New Roman" w:eastAsia="Times New Roman" w:hint="default"/>
        </w:rPr>
        <w:t>66,271,984</w:t>
      </w:r>
      <w:r>
        <w:rPr/>
        <w:t>股（占公司总股本 </w:t>
      </w:r>
      <w:r>
        <w:rPr>
          <w:rFonts w:ascii="Times New Roman" w:hAnsi="Times New Roman" w:cs="Times New Roman" w:eastAsia="Times New Roman" w:hint="default"/>
          <w:spacing w:val="-1"/>
        </w:rPr>
        <w:t>26.87%</w:t>
      </w:r>
      <w:r>
        <w:rPr>
          <w:spacing w:val="-1"/>
        </w:rPr>
        <w:t>）股票除财产权之外的其他权利，并由工投集团履行委托管理职责。本次股权委托管理不会导致公司控制权的变更。</w:t>
      </w:r>
      <w:r>
        <w:rPr>
          <w:spacing w:val="-44"/>
        </w:rPr>
        <w:t> </w:t>
      </w:r>
      <w:r>
        <w:rPr>
          <w:spacing w:val="-44"/>
        </w:rPr>
      </w:r>
      <w:r>
        <w:rPr/>
        <w:t>就本次委托管理事项，南天集团和工投集团已签订委托管理协议，依法履行相关法律程序。</w:t>
      </w:r>
    </w:p>
    <w:p>
      <w:pPr>
        <w:pStyle w:val="BodyText"/>
        <w:spacing w:line="300" w:lineRule="auto" w:before="31"/>
        <w:ind w:right="189" w:firstLine="360"/>
        <w:jc w:val="left"/>
      </w:pPr>
      <w:r>
        <w:rPr>
          <w:spacing w:val="-2"/>
        </w:rPr>
        <w:t>上述具体内容详见公司于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日在《证券时报》、《中国证券报》、《上海证券报》、《证券日报》及巨潮资</w:t>
      </w:r>
      <w:r>
        <w:rPr/>
        <w:t> 讯网（</w:t>
      </w:r>
      <w:hyperlink r:id="rId9">
        <w:r>
          <w:rPr>
            <w:rFonts w:ascii="Times New Roman" w:hAnsi="Times New Roman" w:cs="Times New Roman" w:eastAsia="Times New Roman" w:hint="default"/>
          </w:rPr>
          <w:t>http://www.cninfo.com.cn</w:t>
        </w:r>
      </w:hyperlink>
      <w:r>
        <w:rPr/>
        <w:t>）上刊载的《关于公司控股股东所持国有股权委托管理公告》（</w:t>
      </w:r>
      <w:r>
        <w:rPr>
          <w:rFonts w:ascii="Times New Roman" w:hAnsi="Times New Roman" w:cs="Times New Roman" w:eastAsia="Times New Roman" w:hint="default"/>
        </w:rPr>
        <w:t>2017-039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BodyText"/>
        <w:spacing w:line="240" w:lineRule="auto"/>
        <w:ind w:right="93"/>
        <w:jc w:val="left"/>
      </w:pPr>
      <w:r>
        <w:rPr/>
        <w:t>实际控制人通过信托或其他资产管理方式控制公司</w:t>
      </w:r>
    </w:p>
    <w:p>
      <w:pPr>
        <w:pStyle w:val="BodyText"/>
        <w:spacing w:line="240" w:lineRule="auto" w:before="117"/>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56,289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56,289</w:t>
            </w:r>
          </w:p>
        </w:tc>
      </w:tr>
      <w:tr>
        <w:trPr>
          <w:trHeight w:val="1027"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16,819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16,819</w:t>
            </w:r>
          </w:p>
        </w:tc>
      </w:tr>
      <w:tr>
        <w:trPr>
          <w:trHeight w:val="1027"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26,156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26,156</w:t>
            </w:r>
          </w:p>
        </w:tc>
      </w:tr>
      <w:tr>
        <w:trPr>
          <w:trHeight w:val="1027"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25,312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25,312</w:t>
            </w:r>
          </w:p>
        </w:tc>
      </w:tr>
      <w:tr>
        <w:trPr>
          <w:trHeight w:val="1028"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熊辉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林家宏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张涛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黄毓青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母景平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安树昆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张春生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王海荣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周子学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王建新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李小军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高文凤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11,250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11,250</w:t>
            </w:r>
          </w:p>
        </w:tc>
      </w:tr>
      <w:tr>
        <w:trPr>
          <w:trHeight w:val="674"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363" w:hRule="exact"/>
        </w:trPr>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1025" w:hRule="exact"/>
        </w:trPr>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章维萍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冯卫华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6,825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6,825</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唐绯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吴育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陈烈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刘伟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宋卫权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6,750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6,750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倪佳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周建华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何立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刘涓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赵起高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160,932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160,932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330"/>
        <w:gridCol w:w="1330"/>
        <w:gridCol w:w="1330"/>
        <w:gridCol w:w="1647"/>
        <w:gridCol w:w="3932"/>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工作原因辞职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林家宏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黄毓青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right="0"/>
        <w:jc w:val="left"/>
      </w:pPr>
      <w:r>
        <w:rPr>
          <w:spacing w:val="-2"/>
        </w:rPr>
        <w:t>徐宏灿：中欧国际工商学院硕士研究生</w:t>
      </w:r>
      <w:r>
        <w:rPr>
          <w:rFonts w:ascii="Times New Roman" w:hAnsi="Times New Roman" w:cs="Times New Roman" w:eastAsia="Times New Roman" w:hint="default"/>
          <w:spacing w:val="-2"/>
        </w:rPr>
        <w:t>EMBA</w:t>
      </w:r>
      <w:r>
        <w:rPr>
          <w:spacing w:val="-2"/>
        </w:rPr>
        <w:t>，高级工程师；现任本公司董事长、总裁，南天集团董事；曾任本公司副董事</w:t>
      </w:r>
      <w:r>
        <w:rPr>
          <w:spacing w:val="-46"/>
        </w:rPr>
        <w:t> </w:t>
      </w:r>
      <w:r>
        <w:rPr>
          <w:spacing w:val="-46"/>
        </w:rPr>
      </w:r>
      <w:r>
        <w:rPr/>
        <w:t>长、副总裁、软件事业部总经理。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陈宇峰：大学学历，高级工程师。现任本公司董事、高级副总裁，南天集团董事；曾任本公司监事、副总裁、产品研发一部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717" w:lineRule="auto" w:before="44"/>
        <w:ind w:right="189"/>
        <w:jc w:val="both"/>
      </w:pPr>
      <w:r>
        <w:rPr/>
        <w:t>总经理。 熊辉：博士研究生学历，高级工程师；现任本公司董事、副总裁；曾任本公司总裁助理、软件业务集团执行总裁。</w:t>
      </w:r>
    </w:p>
    <w:p>
      <w:pPr>
        <w:pStyle w:val="BodyText"/>
        <w:spacing w:line="316" w:lineRule="auto" w:before="112"/>
        <w:ind w:right="189"/>
        <w:jc w:val="both"/>
      </w:pPr>
      <w:r>
        <w:rPr>
          <w:spacing w:val="-2"/>
        </w:rPr>
        <w:t>张建生：大学学历，高级会计师；现任本公司董事，云南沃森生物技术股份有限公司副总裁；曾任本公司监事、工投集团投</w:t>
      </w:r>
      <w:r>
        <w:rPr>
          <w:spacing w:val="-65"/>
        </w:rPr>
        <w:t> </w:t>
      </w:r>
      <w:r>
        <w:rPr>
          <w:spacing w:val="-65"/>
        </w:rPr>
      </w:r>
      <w:r>
        <w:rPr/>
        <w:t>资管理部总经理、财务部总经理。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93"/>
        <w:jc w:val="both"/>
      </w:pPr>
      <w:r>
        <w:rPr>
          <w:spacing w:val="-2"/>
        </w:rPr>
        <w:t>黄毓青：硕士研究生学历，经济师；现任本公司董事，工投集团控股子公司中唐国盛信息技术有限公司董事长；曾任工投集</w:t>
      </w:r>
      <w:r>
        <w:rPr>
          <w:spacing w:val="-67"/>
        </w:rPr>
        <w:t> </w:t>
      </w:r>
      <w:r>
        <w:rPr>
          <w:spacing w:val="-67"/>
        </w:rPr>
      </w:r>
      <w:r>
        <w:rPr/>
        <w:t>团投资发展部副总经理、投资管理部副总经理。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9" w:lineRule="auto"/>
        <w:ind w:right="191"/>
        <w:jc w:val="both"/>
      </w:pPr>
      <w:r>
        <w:rPr>
          <w:spacing w:val="-2"/>
        </w:rPr>
        <w:t>王海荣：本科学历，律师；现任本公司独立董事，北京市东卫律师事务所合伙人；曾任北京市国联律师事务所律师，北京国</w:t>
      </w:r>
      <w:r>
        <w:rPr>
          <w:spacing w:val="-68"/>
        </w:rPr>
        <w:t> </w:t>
      </w:r>
      <w:r>
        <w:rPr>
          <w:spacing w:val="-68"/>
        </w:rPr>
      </w:r>
      <w:r>
        <w:rPr/>
        <w:t>枫凯文律师事务所合伙人。</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16" w:lineRule="auto"/>
        <w:ind w:right="190"/>
        <w:jc w:val="both"/>
      </w:pPr>
      <w:r>
        <w:rPr>
          <w:spacing w:val="-2"/>
        </w:rPr>
        <w:t>周子学：高级会计师，电子科技大学管理工程专业硕士和华中师范大学经济史博士；现任本公司独立董事，中芯国际集成电</w:t>
      </w:r>
      <w:r>
        <w:rPr>
          <w:spacing w:val="-64"/>
        </w:rPr>
        <w:t> </w:t>
      </w:r>
      <w:r>
        <w:rPr>
          <w:spacing w:val="-64"/>
        </w:rPr>
      </w:r>
      <w:r>
        <w:rPr>
          <w:spacing w:val="-2"/>
        </w:rPr>
        <w:t>路制造有限公司董事长和执行董事；曾在电子工业部经调司历任副处长、处长、副司长，在信息产业部经济体制改革与经济</w:t>
      </w:r>
      <w:r>
        <w:rPr>
          <w:spacing w:val="-66"/>
        </w:rPr>
        <w:t> </w:t>
      </w:r>
      <w:r>
        <w:rPr>
          <w:spacing w:val="-66"/>
        </w:rPr>
      </w:r>
      <w:r>
        <w:rPr>
          <w:spacing w:val="-2"/>
        </w:rPr>
        <w:t>运行司任副司长，在信息产业部经济体制改革与经济运行司任司长，在工业和信息化部财务司任司长，在工业和信息化部任</w:t>
      </w:r>
      <w:r>
        <w:rPr>
          <w:spacing w:val="-63"/>
        </w:rPr>
        <w:t> </w:t>
      </w:r>
      <w:r>
        <w:rPr>
          <w:spacing w:val="-63"/>
        </w:rPr>
      </w:r>
      <w:r>
        <w:rPr/>
        <w:t>总经济师。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90"/>
        <w:jc w:val="both"/>
      </w:pPr>
      <w:r>
        <w:rPr>
          <w:spacing w:val="-2"/>
        </w:rPr>
        <w:t>王建新：上海财经大学会计学博士，研究员，博士生导师；现任本公司独立董事，中国财政科学研究院教授；曾在财政部科</w:t>
      </w:r>
      <w:r>
        <w:rPr>
          <w:spacing w:val="-70"/>
        </w:rPr>
        <w:t> </w:t>
      </w:r>
      <w:r>
        <w:rPr>
          <w:spacing w:val="-70"/>
        </w:rPr>
      </w:r>
      <w:r>
        <w:rPr>
          <w:spacing w:val="-2"/>
        </w:rPr>
        <w:t>研所任副研究员、硕士生导师，先后担任了中外运、报喜鸟、冀东水泥、宁波华翔等上市公司的独立董事，在云南省财政厅</w:t>
      </w:r>
      <w:r>
        <w:rPr>
          <w:spacing w:val="-68"/>
        </w:rPr>
        <w:t> </w:t>
      </w:r>
      <w:r>
        <w:rPr>
          <w:spacing w:val="-68"/>
        </w:rPr>
      </w:r>
      <w:r>
        <w:rPr/>
        <w:t>挂职副厅长。</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16" w:lineRule="auto"/>
        <w:ind w:right="103"/>
        <w:jc w:val="both"/>
      </w:pPr>
      <w:r>
        <w:rPr>
          <w:spacing w:val="-2"/>
        </w:rPr>
        <w:t>李小军：会计学副教授，西安交通大学工商管理（会计学）博士；现任本公司独立董事，云南财经大学会计学院教授委员会</w:t>
      </w:r>
      <w:r>
        <w:rPr>
          <w:spacing w:val="-66"/>
        </w:rPr>
        <w:t> </w:t>
      </w:r>
      <w:r>
        <w:rPr>
          <w:spacing w:val="-66"/>
        </w:rPr>
      </w:r>
      <w:r>
        <w:rPr>
          <w:spacing w:val="-4"/>
        </w:rPr>
        <w:t>委员、会计研究所所长，会计学院副教授，硕士研究生导师；曾在昆明钢铁控股集团有限公司资产财务部任副主任（挂职）。</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10"/>
        <w:jc w:val="both"/>
      </w:pPr>
      <w:r>
        <w:rPr>
          <w:spacing w:val="-2"/>
        </w:rPr>
        <w:t>李云：大专学历，质量工程师；现任本公司监事会主席、工会主席、纪委书记、风险管理部部长；曾在本公司生产部任质量</w:t>
      </w:r>
      <w:r>
        <w:rPr>
          <w:spacing w:val="-73"/>
        </w:rPr>
        <w:t> </w:t>
      </w:r>
      <w:r>
        <w:rPr>
          <w:spacing w:val="-73"/>
        </w:rPr>
      </w:r>
      <w:r>
        <w:rPr/>
        <w:t>部经理、注册质量工程师，在深圳南天东华科技有限公司任总经理。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0"/>
        <w:jc w:val="both"/>
      </w:pPr>
      <w:r>
        <w:rPr/>
        <w:t>唐绯：本科学历，高级会计师，注册会计师。现任本公司监事、总部党支部书记、经营管理中心总经理、行政管理部部长； 曾在本公司财务部历任会计、主办会计、财务经理、副总经理，财务总监，风险管理部、资产管理部部长。</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9" w:lineRule="auto"/>
        <w:ind w:right="191"/>
        <w:jc w:val="both"/>
      </w:pPr>
      <w:r>
        <w:rPr>
          <w:spacing w:val="-2"/>
        </w:rPr>
        <w:t>吴育：工商管理硕士，会计师，注册会计师；现任本公司监事，工投集团财务管理部总经理；曾历任工投集团财务管理部财</w:t>
      </w:r>
      <w:r>
        <w:rPr>
          <w:spacing w:val="-67"/>
        </w:rPr>
        <w:t> </w:t>
      </w:r>
      <w:r>
        <w:rPr>
          <w:spacing w:val="-67"/>
        </w:rPr>
      </w:r>
      <w:r>
        <w:rPr/>
        <w:t>务内控岗，主管会计岗，财务管理部副总经理。</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16" w:lineRule="auto"/>
        <w:ind w:right="193"/>
        <w:jc w:val="both"/>
      </w:pPr>
      <w:r>
        <w:rPr>
          <w:spacing w:val="-2"/>
        </w:rPr>
        <w:t>陈烈：本科学历，高级工程师；现任本公司监事，云南南天信息设备有限公司副总经理；曾任本公司生产部总经理，专业产</w:t>
      </w:r>
      <w:r>
        <w:rPr>
          <w:spacing w:val="-68"/>
        </w:rPr>
        <w:t> </w:t>
      </w:r>
      <w:r>
        <w:rPr>
          <w:spacing w:val="-68"/>
        </w:rPr>
      </w:r>
      <w:r>
        <w:rPr/>
        <w:t>品中心副总经理。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刘伟：本科学历，助理统计师；现任本公司监事、经营管理中心副总经理；曾历任本公司经营管理部统计主管、副部长。</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0" w:lineRule="auto"/>
        <w:ind w:right="192"/>
        <w:jc w:val="both"/>
      </w:pPr>
      <w:r>
        <w:rPr>
          <w:spacing w:val="-2"/>
        </w:rPr>
        <w:t>宋卫权：</w:t>
      </w:r>
      <w:r>
        <w:rPr>
          <w:rFonts w:ascii="Times New Roman" w:hAnsi="Times New Roman" w:cs="Times New Roman" w:eastAsia="Times New Roman" w:hint="default"/>
          <w:spacing w:val="-2"/>
        </w:rPr>
        <w:t>EMBA</w:t>
      </w:r>
      <w:r>
        <w:rPr>
          <w:spacing w:val="-2"/>
        </w:rPr>
        <w:t>，高级工程师；现任本公司副总裁；曾任本公司董事，云南南天信息设备有限公司总经理，自助产品中心总</w:t>
      </w:r>
      <w:r>
        <w:rPr>
          <w:spacing w:val="-46"/>
        </w:rPr>
        <w:t> </w:t>
      </w:r>
      <w:r>
        <w:rPr>
          <w:spacing w:val="-46"/>
        </w:rPr>
      </w:r>
      <w:r>
        <w:rPr/>
        <w:t>经理。</w:t>
      </w:r>
    </w:p>
    <w:p>
      <w:pPr>
        <w:spacing w:after="0" w:line="300" w:lineRule="auto"/>
        <w:jc w:val="both"/>
        <w:sectPr>
          <w:footerReference w:type="default" r:id="rId14"/>
          <w:pgSz w:w="11910" w:h="16840"/>
          <w:pgMar w:footer="979" w:header="745" w:top="1060" w:bottom="1160" w:left="980" w:right="94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6" w:lineRule="auto"/>
        <w:ind w:right="152"/>
        <w:jc w:val="both"/>
      </w:pPr>
      <w:r>
        <w:rPr>
          <w:spacing w:val="-2"/>
        </w:rPr>
        <w:t>倪佳：硕士研究生学历，高级工程师；现任本公司副总裁；曾任本公司总裁助理，运营管理部部长，北京南天软件有限公司</w:t>
      </w:r>
      <w:r>
        <w:rPr>
          <w:spacing w:val="-68"/>
        </w:rPr>
        <w:t> </w:t>
      </w:r>
      <w:r>
        <w:rPr>
          <w:spacing w:val="-68"/>
        </w:rPr>
      </w:r>
      <w:r>
        <w:rPr/>
        <w:t>运营总经理。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00" w:lineRule="auto"/>
        <w:ind w:right="151"/>
        <w:jc w:val="both"/>
      </w:pPr>
      <w:r>
        <w:rPr>
          <w:spacing w:val="-2"/>
        </w:rPr>
        <w:t>周建华：</w:t>
      </w:r>
      <w:r>
        <w:rPr>
          <w:rFonts w:ascii="Times New Roman" w:hAnsi="Times New Roman" w:cs="Times New Roman" w:eastAsia="Times New Roman" w:hint="default"/>
          <w:spacing w:val="-2"/>
        </w:rPr>
        <w:t>EMBA</w:t>
      </w:r>
      <w:r>
        <w:rPr>
          <w:spacing w:val="-2"/>
        </w:rPr>
        <w:t>，高级工程师；现任本公司副总裁；曾任本公司总裁助理，集成服务集团执行副总裁，昆明南天电脑系统有</w:t>
      </w:r>
      <w:r>
        <w:rPr>
          <w:spacing w:val="-46"/>
        </w:rPr>
        <w:t> </w:t>
      </w:r>
      <w:r>
        <w:rPr>
          <w:spacing w:val="-46"/>
        </w:rPr>
      </w:r>
      <w:r>
        <w:rPr/>
        <w:t>限公司总经理。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6" w:lineRule="auto"/>
        <w:ind w:right="151"/>
        <w:jc w:val="both"/>
      </w:pPr>
      <w:r>
        <w:rPr>
          <w:spacing w:val="-2"/>
        </w:rPr>
        <w:t>何立：硕士研究生学历，中级工程师；现任本公司副总裁；曾任本公司总裁助理，北京南天软件有限公司任业务总经理、集</w:t>
      </w:r>
      <w:r>
        <w:rPr>
          <w:spacing w:val="-67"/>
        </w:rPr>
        <w:t> </w:t>
      </w:r>
      <w:r>
        <w:rPr>
          <w:spacing w:val="-67"/>
        </w:rPr>
      </w:r>
      <w:r>
        <w:rPr/>
        <w:t>成业务集团执行副总裁、集成业务本部总经理。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刘涓：本科学历，会计师，注册会计师；现任本公司财务总监；曾任工投集团财务管理部会计。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right="149"/>
        <w:jc w:val="both"/>
      </w:pPr>
      <w:r>
        <w:rPr>
          <w:spacing w:val="-2"/>
        </w:rPr>
        <w:t>赵起高：本科学历，中级会计师、注册会计师、审计师、注册评估师，通过国家司法考试。现任本公司董事会秘书；曾在本</w:t>
      </w:r>
      <w:r>
        <w:rPr>
          <w:spacing w:val="-65"/>
        </w:rPr>
        <w:t> </w:t>
      </w:r>
      <w:r>
        <w:rPr>
          <w:spacing w:val="-65"/>
        </w:rPr>
      </w:r>
      <w:r>
        <w:rPr>
          <w:spacing w:val="-2"/>
        </w:rPr>
        <w:t>公司担任董事长助理，北京千舟清源投资基金管理有限公司担任副总裁，在中科招商投资管理集团担任高级副总裁，在北京</w:t>
      </w:r>
      <w:r>
        <w:rPr>
          <w:spacing w:val="-63"/>
        </w:rPr>
        <w:t> </w:t>
      </w:r>
      <w:r>
        <w:rPr>
          <w:spacing w:val="-63"/>
        </w:rPr>
      </w:r>
      <w:r>
        <w:rPr/>
        <w:t>海风联投资顾问有限公司担任执行总裁。</w:t>
      </w:r>
    </w:p>
    <w:p>
      <w:pPr>
        <w:pStyle w:val="BodyText"/>
        <w:spacing w:line="240" w:lineRule="auto" w:before="59"/>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421"/>
        <w:gridCol w:w="1138"/>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6"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云南沃森生物技术股份有限公司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黄毓青</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中唐国盛信息技术有限公司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财务管理部 总经理</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北京市东卫律师事务所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中芯国际集成电路制造有限公司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董事长、执行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青岛海信电器股份有限公司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中国财政科学研究院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云南财经大学会计学院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研究生导师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云南煤业能源股份有限公司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在昆明市城市投资开发有限责任公司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云南陆良农村商业银行股份有限公司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易见供应链管理股份有限公司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冰轮环境股份有限公司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3"/>
        <w:jc w:val="left"/>
      </w:pPr>
      <w:r>
        <w:rPr/>
        <w:t>公司现任及报告期内离任董事、监事和高级管理人员近三年证券监管机构处罚的情况</w:t>
      </w:r>
    </w:p>
    <w:p>
      <w:pPr>
        <w:pStyle w:val="BodyText"/>
        <w:spacing w:line="240" w:lineRule="auto" w:before="115"/>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93" w:hanging="360"/>
        <w:jc w:val="left"/>
      </w:pPr>
      <w:r>
        <w:rPr/>
        <w:t>董事、监事、高级管理人员报酬的决策程序、确定依据、实际支付情况 </w:t>
      </w:r>
      <w:r>
        <w:rPr>
          <w:spacing w:val="-2"/>
        </w:rPr>
        <w:t>根据《公司章程》、《南天信息董事、监事及高级管理人员薪酬管理办法》等相关规定，公司董事、监事报酬由公司股</w:t>
      </w:r>
    </w:p>
    <w:p>
      <w:pPr>
        <w:pStyle w:val="BodyText"/>
        <w:spacing w:line="224" w:lineRule="exact"/>
        <w:ind w:right="0"/>
        <w:jc w:val="left"/>
      </w:pPr>
      <w:r>
        <w:rPr/>
        <w:t>东大会批准，高级管理人员报酬由董事会批准。独立董事津贴由公司股东大会予以批准。董事、监事、高级管理人员的报酬</w:t>
      </w:r>
    </w:p>
    <w:p>
      <w:pPr>
        <w:pStyle w:val="BodyText"/>
        <w:spacing w:line="360" w:lineRule="auto" w:before="76"/>
        <w:ind w:right="93"/>
        <w:jc w:val="left"/>
      </w:pPr>
      <w:r>
        <w:rPr/>
        <w:t>根据公司盈利情况及董事、监事、高级管理人员的履职情况，由董事会薪酬与考核委员会结合公司绩效考核情况综合确定。 公司报告期内董事、监事和高级管理人员报酬情况</w:t>
      </w:r>
    </w:p>
    <w:p>
      <w:pPr>
        <w:pStyle w:val="BodyText"/>
        <w:spacing w:line="240" w:lineRule="auto" w:before="27"/>
        <w:ind w:left="0" w:right="19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林家宏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黄毓青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周建华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4,355</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售后服务人员（含维修）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w:t>
            </w:r>
          </w:p>
        </w:tc>
      </w:tr>
    </w:tbl>
    <w:p>
      <w:pPr>
        <w:spacing w:line="240" w:lineRule="auto" w:before="3"/>
        <w:rPr>
          <w:rFonts w:ascii="宋体" w:hAnsi="宋体" w:cs="宋体" w:eastAsia="宋体" w:hint="default"/>
          <w:b/>
          <w:bCs/>
          <w:sz w:val="19"/>
          <w:szCs w:val="19"/>
        </w:rPr>
      </w:pPr>
    </w:p>
    <w:p>
      <w:pPr>
        <w:pStyle w:val="Heading3"/>
        <w:spacing w:line="240" w:lineRule="auto" w:before="36"/>
        <w:ind w:right="675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2" w:firstLine="288"/>
        <w:jc w:val="both"/>
      </w:pPr>
      <w:r>
        <w:rPr>
          <w:spacing w:val="-1"/>
        </w:rPr>
        <w:t>公司逐步建立基于员工业绩与能力的薪酬分配体系，将岗位价值、能力价值、业绩价值进行系统整合，构建体现岗位价</w:t>
      </w:r>
      <w:r>
        <w:rPr/>
        <w:t> </w:t>
      </w:r>
      <w:r>
        <w:rPr>
          <w:spacing w:val="-2"/>
        </w:rPr>
        <w:t>值并与业绩挂钩的动态科学的薪酬管理体系；完善中长期激励机制，充分调动公司各级管理人员及骨干员工的主观能动性和</w:t>
      </w:r>
      <w:r>
        <w:rPr>
          <w:spacing w:val="-64"/>
        </w:rPr>
        <w:t> </w:t>
      </w:r>
      <w:r>
        <w:rPr>
          <w:spacing w:val="-64"/>
        </w:rPr>
      </w:r>
      <w:r>
        <w:rPr/>
        <w:t>积极性。</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3" w:firstLine="288"/>
        <w:jc w:val="left"/>
      </w:pPr>
      <w:r>
        <w:rPr/>
        <w:t>围绕公司</w:t>
      </w:r>
      <w:r>
        <w:rPr>
          <w:rFonts w:ascii="Times New Roman" w:hAnsi="Times New Roman" w:cs="Times New Roman" w:eastAsia="Times New Roman" w:hint="default"/>
        </w:rPr>
        <w:t>“</w:t>
      </w:r>
      <w:r>
        <w:rPr/>
        <w:t>以人为本，人尽其才</w:t>
      </w:r>
      <w:r>
        <w:rPr>
          <w:rFonts w:ascii="Times New Roman" w:hAnsi="Times New Roman" w:cs="Times New Roman" w:eastAsia="Times New Roman" w:hint="default"/>
        </w:rPr>
        <w:t>”</w:t>
      </w:r>
      <w:r>
        <w:rPr/>
        <w:t>的人才发展战略，推进专业化人才队伍的建设，将提升各类员工专业技术、管理水平作 </w:t>
      </w:r>
      <w:r>
        <w:rPr>
          <w:spacing w:val="-4"/>
        </w:rPr>
        <w:t>为培训的工作重点，建立分层、分类、多形式、多渠道的人才培养机制，完善培训管理制度，构建系统健全的培训组织体系，</w:t>
      </w:r>
      <w:r>
        <w:rPr>
          <w:spacing w:val="-44"/>
        </w:rPr>
        <w:t> </w:t>
      </w:r>
      <w:r>
        <w:rPr>
          <w:spacing w:val="-44"/>
        </w:rPr>
      </w:r>
      <w:r>
        <w:rPr/>
        <w:t>培养能够顺应公司发展需求、支持公司组织战略目标实现的人才。</w:t>
      </w:r>
    </w:p>
    <w:p>
      <w:pPr>
        <w:spacing w:line="240" w:lineRule="auto" w:before="3"/>
        <w:rPr>
          <w:rFonts w:ascii="宋体" w:hAnsi="宋体" w:cs="宋体" w:eastAsia="宋体" w:hint="default"/>
          <w:sz w:val="23"/>
          <w:szCs w:val="23"/>
        </w:rPr>
      </w:pPr>
    </w:p>
    <w:p>
      <w:pPr>
        <w:pStyle w:val="Heading3"/>
        <w:spacing w:line="240" w:lineRule="auto"/>
        <w:ind w:right="67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3" w:right="408"/>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报告期内，公司董事会严格按照《中华人民共和国公司法》、《中华人民共和国证券法》、《上市公司信息披露管理办</w:t>
      </w:r>
      <w:r>
        <w:rPr/>
        <w:t> </w:t>
      </w:r>
      <w:r>
        <w:rPr>
          <w:spacing w:val="-2"/>
        </w:rPr>
        <w:t>法》、《深圳证券交易所股票上市规则》、《上市公司治理准则》等有关法律、法规和《公司章程》的要求，不断完善公司</w:t>
      </w:r>
      <w:r>
        <w:rPr>
          <w:spacing w:val="-68"/>
        </w:rPr>
        <w:t> </w:t>
      </w:r>
      <w:r>
        <w:rPr>
          <w:spacing w:val="-68"/>
        </w:rPr>
      </w:r>
      <w:r>
        <w:rPr>
          <w:spacing w:val="-2"/>
        </w:rPr>
        <w:t>法人治理结构，建立健全公司内部控制制度，提高公司规范运作水平，认真及时履行信息披露义务，切实维护公司和全体股</w:t>
      </w:r>
      <w:r>
        <w:rPr>
          <w:spacing w:val="-65"/>
        </w:rPr>
        <w:t> </w:t>
      </w:r>
      <w:r>
        <w:rPr>
          <w:spacing w:val="-65"/>
        </w:rPr>
      </w:r>
      <w:r>
        <w:rPr/>
        <w:t>东的利益。公司治理的实际情况与《上市公司治理准则》等规范性文件的规定和要求基本相符。</w:t>
      </w:r>
    </w:p>
    <w:p>
      <w:pPr>
        <w:pStyle w:val="BodyText"/>
        <w:spacing w:line="300" w:lineRule="auto" w:before="19"/>
        <w:ind w:left="513" w:right="93"/>
        <w:jc w:val="left"/>
      </w:pPr>
      <w:r>
        <w:rPr>
          <w:rFonts w:ascii="Times New Roman" w:hAnsi="Times New Roman" w:cs="Times New Roman" w:eastAsia="Times New Roman" w:hint="default"/>
        </w:rPr>
        <w:t>1</w:t>
      </w:r>
      <w:r>
        <w:rPr/>
        <w:t>、关于股东与股东大会 </w:t>
      </w:r>
      <w:r>
        <w:rPr>
          <w:spacing w:val="-2"/>
        </w:rPr>
        <w:t>公司根据《中华人民共和国公司法》、《深圳证券交易所股票上市规则》、《公司章程》和《股东大会议事规则》的规</w:t>
      </w:r>
    </w:p>
    <w:p>
      <w:pPr>
        <w:pStyle w:val="BodyText"/>
        <w:spacing w:line="314" w:lineRule="auto" w:before="32"/>
        <w:ind w:right="191"/>
        <w:jc w:val="both"/>
      </w:pPr>
      <w:r>
        <w:rPr>
          <w:spacing w:val="-2"/>
        </w:rPr>
        <w:t>定和要求，依照法定程序召集、召开股东大会，规范股东大会的议事程序，会议经律师现场见证并对其合法合规性出具了法</w:t>
      </w:r>
      <w:r>
        <w:rPr>
          <w:spacing w:val="-64"/>
        </w:rPr>
        <w:t> </w:t>
      </w:r>
      <w:r>
        <w:rPr>
          <w:spacing w:val="-64"/>
        </w:rPr>
      </w:r>
      <w:r>
        <w:rPr>
          <w:spacing w:val="-2"/>
        </w:rPr>
        <w:t>律意见书，在审议重大事项时，对中小投资者单独计票，切实维护了所有股东特别是广大中小股东的权益。报告期内，本公</w:t>
      </w:r>
      <w:r>
        <w:rPr>
          <w:spacing w:val="-66"/>
        </w:rPr>
        <w:t> </w:t>
      </w:r>
      <w:r>
        <w:rPr>
          <w:spacing w:val="-66"/>
        </w:rPr>
      </w:r>
      <w:r>
        <w:rPr>
          <w:spacing w:val="-1"/>
        </w:rPr>
        <w:t>司召开的股东大会不存在违反监管规则的情形，公司未发生单独或合并持有本公司有表决权股份总数</w:t>
      </w:r>
      <w:r>
        <w:rPr>
          <w:rFonts w:ascii="Times New Roman" w:hAnsi="Times New Roman" w:cs="Times New Roman" w:eastAsia="Times New Roman" w:hint="default"/>
          <w:spacing w:val="-1"/>
        </w:rPr>
        <w:t>10%</w:t>
      </w:r>
      <w:r>
        <w:rPr>
          <w:spacing w:val="-1"/>
        </w:rPr>
        <w:t>以上的股东请求召</w:t>
      </w:r>
      <w:r>
        <w:rPr>
          <w:spacing w:val="-87"/>
        </w:rPr>
        <w:t> </w:t>
      </w:r>
      <w:r>
        <w:rPr>
          <w:spacing w:val="-2"/>
        </w:rPr>
        <w:t>开临时股东大会的情形，也无因监事会提议召开的股东大会。按照《公司法》、《公司章程》的规定应由股东大会审议的重</w:t>
      </w:r>
      <w:r>
        <w:rPr>
          <w:spacing w:val="-69"/>
        </w:rPr>
        <w:t> </w:t>
      </w:r>
      <w:r>
        <w:rPr>
          <w:spacing w:val="-69"/>
        </w:rPr>
      </w:r>
      <w:r>
        <w:rPr/>
        <w:t>大事项，本公司均通过了股东大会审议。</w:t>
      </w:r>
    </w:p>
    <w:p>
      <w:pPr>
        <w:pStyle w:val="BodyText"/>
        <w:spacing w:line="300" w:lineRule="auto" w:before="20"/>
        <w:ind w:left="513" w:right="93"/>
        <w:jc w:val="left"/>
      </w:pPr>
      <w:r>
        <w:rPr>
          <w:rFonts w:ascii="Times New Roman" w:hAnsi="Times New Roman" w:cs="Times New Roman" w:eastAsia="Times New Roman" w:hint="default"/>
        </w:rPr>
        <w:t>2</w:t>
      </w:r>
      <w:r>
        <w:rPr/>
        <w:t>、关于控股股东与上市公司关系 </w:t>
      </w:r>
      <w:r>
        <w:rPr>
          <w:spacing w:val="-2"/>
        </w:rPr>
        <w:t>报告期内，控股股东行为规范，能依法行使其权利，并承担相应义务，没有超越股东大会直接或间接干预公司决策和经</w:t>
      </w:r>
    </w:p>
    <w:p>
      <w:pPr>
        <w:pStyle w:val="BodyText"/>
        <w:spacing w:line="309" w:lineRule="auto" w:before="31"/>
        <w:ind w:right="190"/>
        <w:jc w:val="both"/>
      </w:pPr>
      <w:r>
        <w:rPr>
          <w:spacing w:val="-2"/>
        </w:rPr>
        <w:t>营的活动；公司与控股股东在业务、人员、资产、机构、财务做到了</w:t>
      </w:r>
      <w:r>
        <w:rPr>
          <w:rFonts w:ascii="Times New Roman" w:hAnsi="Times New Roman" w:cs="Times New Roman" w:eastAsia="Times New Roman" w:hint="default"/>
          <w:spacing w:val="-2"/>
        </w:rPr>
        <w:t>“</w:t>
      </w:r>
      <w:r>
        <w:rPr>
          <w:spacing w:val="-2"/>
        </w:rPr>
        <w:t>五独立</w:t>
      </w:r>
      <w:r>
        <w:rPr>
          <w:rFonts w:ascii="Times New Roman" w:hAnsi="Times New Roman" w:cs="Times New Roman" w:eastAsia="Times New Roman" w:hint="default"/>
          <w:spacing w:val="-2"/>
        </w:rPr>
        <w:t>”</w:t>
      </w:r>
      <w:r>
        <w:rPr>
          <w:spacing w:val="-2"/>
        </w:rPr>
        <w:t>，公司董事会、监事会和内部机构能够独立运</w:t>
      </w:r>
      <w:r>
        <w:rPr>
          <w:spacing w:val="-48"/>
        </w:rPr>
        <w:t> </w:t>
      </w:r>
      <w:r>
        <w:rPr>
          <w:spacing w:val="-48"/>
        </w:rPr>
      </w:r>
      <w:r>
        <w:rPr>
          <w:spacing w:val="-2"/>
        </w:rPr>
        <w:t>作；不存在控股股东干涉公司的财务和会计活动的情况，不存在控股股东占用公司资金的现象，亦无为控股股东提供担保的</w:t>
      </w:r>
      <w:r>
        <w:rPr>
          <w:spacing w:val="-63"/>
        </w:rPr>
        <w:t> </w:t>
      </w:r>
      <w:r>
        <w:rPr>
          <w:spacing w:val="-63"/>
        </w:rPr>
      </w:r>
      <w:r>
        <w:rPr/>
        <w:t>情形，没有损害全体股东特别是中小股东的利益。</w:t>
      </w:r>
    </w:p>
    <w:p>
      <w:pPr>
        <w:pStyle w:val="BodyText"/>
        <w:spacing w:line="340" w:lineRule="auto" w:before="24"/>
        <w:ind w:left="441" w:right="91" w:firstLine="72"/>
        <w:jc w:val="left"/>
      </w:pPr>
      <w:r>
        <w:rPr>
          <w:rFonts w:ascii="Times New Roman" w:hAnsi="Times New Roman" w:cs="Times New Roman" w:eastAsia="Times New Roman" w:hint="default"/>
        </w:rPr>
        <w:t>3</w:t>
      </w:r>
      <w:r>
        <w:rPr/>
        <w:t>、关于董事和董事会 </w:t>
      </w:r>
      <w:r>
        <w:rPr>
          <w:spacing w:val="-2"/>
        </w:rPr>
        <w:t>报告期内，公司董事会严格按照《中华人民共和国公司法》、《公司章程》和《董事会工作细则》的有关规定履行职责，</w:t>
      </w:r>
    </w:p>
    <w:p>
      <w:pPr>
        <w:pStyle w:val="BodyText"/>
        <w:spacing w:line="314" w:lineRule="auto" w:before="1"/>
        <w:ind w:right="188"/>
        <w:jc w:val="both"/>
      </w:pPr>
      <w:r>
        <w:rPr>
          <w:spacing w:val="-2"/>
        </w:rPr>
        <w:t>董事会人员构成符合法律法规的要求，公司董事会下设审计委员会、战略委员会、提名委员会、薪酬与考核委员会、风险管</w:t>
      </w:r>
      <w:r>
        <w:rPr>
          <w:spacing w:val="-67"/>
        </w:rPr>
        <w:t> </w:t>
      </w:r>
      <w:r>
        <w:rPr>
          <w:spacing w:val="-67"/>
        </w:rPr>
      </w:r>
      <w:r>
        <w:rPr/>
        <w:t>理委员会</w:t>
      </w:r>
      <w:r>
        <w:rPr>
          <w:rFonts w:ascii="Times New Roman" w:hAnsi="Times New Roman" w:cs="Times New Roman" w:eastAsia="Times New Roman" w:hint="default"/>
        </w:rPr>
        <w:t>5</w:t>
      </w:r>
      <w:r>
        <w:rPr/>
        <w:t>个专门委员会，其成员组成结构合理，为董事会的决策提供了科学和专业的意见；公司独立董事严格遵守《独立</w:t>
      </w:r>
      <w:r>
        <w:rPr>
          <w:spacing w:val="-80"/>
        </w:rPr>
        <w:t> </w:t>
      </w:r>
      <w:r>
        <w:rPr>
          <w:spacing w:val="-80"/>
        </w:rPr>
      </w:r>
      <w:r>
        <w:rPr>
          <w:spacing w:val="-2"/>
        </w:rPr>
        <w:t>董事会管理办法》，认真负责的履行各自职责；董事会的召集、召开及形成决议均按有关规定程序操作，严格执行股东大会</w:t>
      </w:r>
      <w:r>
        <w:rPr>
          <w:spacing w:val="-67"/>
        </w:rPr>
        <w:t> </w:t>
      </w:r>
      <w:r>
        <w:rPr>
          <w:spacing w:val="-67"/>
        </w:rPr>
      </w:r>
      <w:r>
        <w:rPr>
          <w:spacing w:val="-2"/>
        </w:rPr>
        <w:t>决议并依法行使职权，未出现越权行使股东大会权利的行为，也未出现越权干预监事会运作和管理层的行为。公司各位董事</w:t>
      </w:r>
      <w:r>
        <w:rPr>
          <w:spacing w:val="-63"/>
        </w:rPr>
        <w:t> </w:t>
      </w:r>
      <w:r>
        <w:rPr>
          <w:spacing w:val="-63"/>
        </w:rPr>
      </w:r>
      <w:r>
        <w:rPr>
          <w:spacing w:val="-2"/>
        </w:rPr>
        <w:t>积极参加相关知识培训，熟悉有关法律法规，勤勉尽责地履行职责，按时出席董事会和股东大会，认真审议各项议案，确保</w:t>
      </w:r>
      <w:r>
        <w:rPr>
          <w:spacing w:val="-67"/>
        </w:rPr>
        <w:t> </w:t>
      </w:r>
      <w:r>
        <w:rPr>
          <w:spacing w:val="-67"/>
        </w:rPr>
      </w:r>
      <w:r>
        <w:rPr/>
        <w:t>董事会规范、高效运作和审慎、科学决策。</w:t>
      </w:r>
    </w:p>
    <w:p>
      <w:pPr>
        <w:pStyle w:val="BodyText"/>
        <w:spacing w:line="340" w:lineRule="auto" w:before="59"/>
        <w:ind w:left="441" w:right="91" w:firstLine="72"/>
        <w:jc w:val="left"/>
      </w:pPr>
      <w:r>
        <w:rPr>
          <w:rFonts w:ascii="Times New Roman" w:hAnsi="Times New Roman" w:cs="Times New Roman" w:eastAsia="Times New Roman" w:hint="default"/>
        </w:rPr>
        <w:t>4</w:t>
      </w:r>
      <w:r>
        <w:rPr/>
        <w:t>、关于监事和监事会 </w:t>
      </w:r>
      <w:r>
        <w:rPr>
          <w:spacing w:val="-2"/>
        </w:rPr>
        <w:t>报告期内，公司监事会严格按照《中华人民共和国公司法》、《公司章程》和《监事会工作细则》的有关规定履行职责，</w:t>
      </w:r>
    </w:p>
    <w:p>
      <w:pPr>
        <w:pStyle w:val="BodyText"/>
        <w:spacing w:line="319" w:lineRule="auto" w:before="1"/>
        <w:ind w:right="93"/>
        <w:jc w:val="left"/>
      </w:pPr>
      <w:r>
        <w:rPr>
          <w:spacing w:val="-4"/>
        </w:rPr>
        <w:t>监事会的召集、召开及形成决议均按有关规定程序操作，监事会的人数和人员构成及任职资格均符合相关法律、法规的要求，</w:t>
      </w:r>
      <w:r>
        <w:rPr>
          <w:spacing w:val="-44"/>
        </w:rPr>
        <w:t> </w:t>
      </w:r>
      <w:r>
        <w:rPr>
          <w:spacing w:val="-44"/>
        </w:rPr>
      </w:r>
      <w:r>
        <w:rPr>
          <w:spacing w:val="-2"/>
        </w:rPr>
        <w:t>公司各位监事能够依据《监事会工作细则》等制度，按时出席会议，认真履行职责，本着对全体股东负责的态度，独立有效</w:t>
      </w:r>
      <w:r>
        <w:rPr>
          <w:spacing w:val="-68"/>
        </w:rPr>
        <w:t> </w:t>
      </w:r>
      <w:r>
        <w:rPr>
          <w:spacing w:val="-68"/>
        </w:rPr>
      </w:r>
      <w:r>
        <w:rPr>
          <w:spacing w:val="-2"/>
        </w:rPr>
        <w:t>地对公司财务及董事、高级管理人员履行职责的合法合规性行使监督和检查的权利，对公司重大事项、关联交易、财务状况</w:t>
      </w:r>
      <w:r>
        <w:rPr>
          <w:spacing w:val="-64"/>
        </w:rPr>
        <w:t> </w:t>
      </w:r>
      <w:r>
        <w:rPr>
          <w:spacing w:val="-64"/>
        </w:rPr>
      </w:r>
      <w:r>
        <w:rPr/>
        <w:t>等进行监督并发表意见，有效维护了公司及股东的合法权益。</w:t>
      </w:r>
    </w:p>
    <w:p>
      <w:pPr>
        <w:pStyle w:val="BodyText"/>
        <w:spacing w:line="340" w:lineRule="auto" w:before="58"/>
        <w:ind w:left="441" w:right="165" w:firstLine="144"/>
        <w:jc w:val="left"/>
      </w:pPr>
      <w:r>
        <w:rPr>
          <w:rFonts w:ascii="Times New Roman" w:hAnsi="Times New Roman" w:cs="Times New Roman" w:eastAsia="Times New Roman" w:hint="default"/>
        </w:rPr>
        <w:t>5</w:t>
      </w:r>
      <w:r>
        <w:rPr/>
        <w:t>、关于信息披露与透明度 公司高度重视信息披露与投资者关系管理工作，报告期内，公司董事会秘书负责信息披露工作、投资者关系管理工作，</w:t>
      </w:r>
    </w:p>
    <w:p>
      <w:pPr>
        <w:pStyle w:val="BodyText"/>
        <w:spacing w:line="312" w:lineRule="auto"/>
        <w:ind w:right="192"/>
        <w:jc w:val="both"/>
      </w:pPr>
      <w:r>
        <w:rPr>
          <w:spacing w:val="-2"/>
        </w:rPr>
        <w:t>公司严格按照《深圳证券交易所股票上市规则》等有关法律法规及公司制定的《信息披露管理办法》的要求，加强信息披露</w:t>
      </w:r>
      <w:r>
        <w:rPr>
          <w:spacing w:val="-67"/>
        </w:rPr>
        <w:t> </w:t>
      </w:r>
      <w:r>
        <w:rPr>
          <w:spacing w:val="-67"/>
        </w:rPr>
      </w:r>
      <w:r>
        <w:rPr>
          <w:spacing w:val="-2"/>
        </w:rPr>
        <w:t>事务管理，及时、准确、真实、完整、公平地披露信息，公平对待所有投资者，提高公司透明度，保障了全体股东的合法权</w:t>
      </w:r>
      <w:r>
        <w:rPr>
          <w:spacing w:val="-68"/>
        </w:rPr>
        <w:t> </w:t>
      </w:r>
      <w:r>
        <w:rPr>
          <w:spacing w:val="-68"/>
        </w:rPr>
      </w:r>
      <w:r>
        <w:rPr/>
        <w:t>益。《中国证券报》、《证券时报》、《上海证券报》、《证券日报》和巨潮资讯网（</w:t>
      </w:r>
      <w:hyperlink r:id="rId9">
        <w:r>
          <w:rPr>
            <w:rFonts w:ascii="Times New Roman" w:hAnsi="Times New Roman" w:cs="Times New Roman" w:eastAsia="Times New Roman" w:hint="default"/>
          </w:rPr>
          <w:t>http://www.cninfo.com.cn</w:t>
        </w:r>
      </w:hyperlink>
      <w:r>
        <w:rPr/>
        <w:t>）为公司法 定信息披露媒体和网站。</w:t>
      </w:r>
    </w:p>
    <w:p>
      <w:pPr>
        <w:pStyle w:val="BodyText"/>
        <w:spacing w:line="240" w:lineRule="auto" w:before="63"/>
        <w:ind w:left="513" w:right="6753"/>
        <w:jc w:val="left"/>
      </w:pPr>
      <w:r>
        <w:rPr>
          <w:rFonts w:ascii="Times New Roman" w:hAnsi="Times New Roman" w:cs="Times New Roman" w:eastAsia="Times New Roman" w:hint="default"/>
        </w:rPr>
        <w:t>6</w:t>
      </w:r>
      <w:r>
        <w:rPr/>
        <w:t>、关于绩效评价与激励约束机制</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firstLine="360"/>
        <w:jc w:val="both"/>
      </w:pPr>
      <w:r>
        <w:rPr>
          <w:spacing w:val="-2"/>
        </w:rPr>
        <w:t>公司逐步健全和完善公正、透明的绩效评价激励体系，董事会薪酬与考核委员会按照《董事、监事及高级管理人员薪酬</w:t>
      </w:r>
      <w:r>
        <w:rPr/>
        <w:t> </w:t>
      </w:r>
      <w:r>
        <w:rPr>
          <w:spacing w:val="-2"/>
        </w:rPr>
        <w:t>管理办法》进行绩效考核，公司现有的考核及激励约束机制符合公司的发展现状。高级管理人员的聘任公开、透明，符合相</w:t>
      </w:r>
      <w:r>
        <w:rPr>
          <w:spacing w:val="-67"/>
        </w:rPr>
        <w:t> </w:t>
      </w:r>
      <w:r>
        <w:rPr>
          <w:spacing w:val="-67"/>
        </w:rPr>
      </w:r>
      <w:r>
        <w:rPr/>
        <w:t>关法律、法规的规定。</w:t>
      </w:r>
    </w:p>
    <w:p>
      <w:pPr>
        <w:pStyle w:val="BodyText"/>
        <w:spacing w:line="300" w:lineRule="auto" w:before="17"/>
        <w:ind w:left="513" w:right="93"/>
        <w:jc w:val="left"/>
      </w:pPr>
      <w:r>
        <w:rPr>
          <w:rFonts w:ascii="Times New Roman" w:hAnsi="Times New Roman" w:cs="Times New Roman" w:eastAsia="Times New Roman" w:hint="default"/>
        </w:rPr>
        <w:t>7</w:t>
      </w:r>
      <w:r>
        <w:rPr/>
        <w:t>、关于利益相关者 </w:t>
      </w:r>
      <w:r>
        <w:rPr>
          <w:spacing w:val="-2"/>
        </w:rPr>
        <w:t>报告期内，公司能够充分尊重和维护利益相关者的合法权益，实现股东、员工、社会等各方利益的协调平衡，能够与利</w:t>
      </w:r>
    </w:p>
    <w:p>
      <w:pPr>
        <w:pStyle w:val="BodyText"/>
        <w:spacing w:line="240" w:lineRule="auto" w:before="31"/>
        <w:ind w:right="0"/>
        <w:jc w:val="both"/>
      </w:pPr>
      <w:r>
        <w:rPr/>
        <w:t>益相关者积极合作，共同推动公司持续、健康、可持续发展。</w:t>
      </w:r>
    </w:p>
    <w:p>
      <w:pPr>
        <w:pStyle w:val="BodyText"/>
        <w:spacing w:line="300" w:lineRule="auto" w:before="76"/>
        <w:ind w:left="513" w:right="93"/>
        <w:jc w:val="left"/>
      </w:pPr>
      <w:r>
        <w:rPr>
          <w:rFonts w:ascii="Times New Roman" w:hAnsi="Times New Roman" w:cs="Times New Roman" w:eastAsia="Times New Roman" w:hint="default"/>
        </w:rPr>
        <w:t>8</w:t>
      </w:r>
      <w:r>
        <w:rPr/>
        <w:t>、以总裁为首的经营团队 </w:t>
      </w:r>
      <w:r>
        <w:rPr>
          <w:spacing w:val="-2"/>
        </w:rPr>
        <w:t>总裁在董事会的领导下，执行董事会决议，不存在越权行使职权的行为。超越经营层权限的事项，公司一律提交董事会</w:t>
      </w:r>
    </w:p>
    <w:p>
      <w:pPr>
        <w:pStyle w:val="BodyText"/>
        <w:spacing w:line="300" w:lineRule="auto" w:before="31"/>
        <w:ind w:right="93"/>
        <w:jc w:val="left"/>
      </w:pPr>
      <w:r>
        <w:rPr>
          <w:spacing w:val="-2"/>
        </w:rPr>
        <w:t>审议，不存在</w:t>
      </w:r>
      <w:r>
        <w:rPr>
          <w:rFonts w:ascii="Times New Roman" w:hAnsi="Times New Roman" w:cs="Times New Roman" w:eastAsia="Times New Roman" w:hint="default"/>
          <w:spacing w:val="-2"/>
        </w:rPr>
        <w:t>“</w:t>
      </w:r>
      <w:r>
        <w:rPr>
          <w:spacing w:val="-2"/>
        </w:rPr>
        <w:t>内部人控制</w:t>
      </w:r>
      <w:r>
        <w:rPr>
          <w:rFonts w:ascii="Times New Roman" w:hAnsi="Times New Roman" w:cs="Times New Roman" w:eastAsia="Times New Roman" w:hint="default"/>
          <w:spacing w:val="-2"/>
        </w:rPr>
        <w:t>”</w:t>
      </w:r>
      <w:r>
        <w:rPr>
          <w:spacing w:val="-2"/>
        </w:rPr>
        <w:t>的倾向。公司经营层兢兢业业，在日常经营过程中，加强规范运作，诚实守信经营，不存在未能</w:t>
      </w:r>
      <w:r>
        <w:rPr>
          <w:spacing w:val="-48"/>
        </w:rPr>
        <w:t> </w:t>
      </w:r>
      <w:r>
        <w:rPr>
          <w:spacing w:val="-48"/>
        </w:rPr>
      </w:r>
      <w:r>
        <w:rPr/>
        <w:t>忠实履行职务、违背诚信义务的情形。</w:t>
      </w:r>
    </w:p>
    <w:p>
      <w:pPr>
        <w:pStyle w:val="BodyText"/>
        <w:spacing w:line="300" w:lineRule="auto" w:before="31"/>
        <w:ind w:left="513" w:right="93"/>
        <w:jc w:val="left"/>
      </w:pPr>
      <w:r>
        <w:rPr>
          <w:rFonts w:ascii="Times New Roman" w:hAnsi="Times New Roman" w:cs="Times New Roman" w:eastAsia="Times New Roman" w:hint="default"/>
        </w:rPr>
        <w:t>9</w:t>
      </w:r>
      <w:r>
        <w:rPr/>
        <w:t>、公司治理相关制度 公司不断建立健全各项治理制度，目前已覆盖公司法人治理、信息披露、投资、交易、审计、子公司管理等各个方面，</w:t>
      </w:r>
    </w:p>
    <w:p>
      <w:pPr>
        <w:pStyle w:val="BodyText"/>
        <w:spacing w:line="316" w:lineRule="auto" w:before="32"/>
        <w:ind w:left="513" w:right="93" w:hanging="360"/>
        <w:jc w:val="left"/>
      </w:pPr>
      <w:r>
        <w:rPr/>
        <w:t>为公司的规范运作与健康发展提供了良好的制度保障。 </w:t>
      </w:r>
      <w:r>
        <w:rPr>
          <w:spacing w:val="-2"/>
        </w:rPr>
        <w:t>截止报告期末，公司内部治理结构完整、健全、清晰，符合《中华人民共和国公司法》、《公司章程》及其他法律、法</w:t>
      </w:r>
    </w:p>
    <w:p>
      <w:pPr>
        <w:pStyle w:val="BodyText"/>
        <w:spacing w:line="316" w:lineRule="auto" w:before="19"/>
        <w:ind w:right="93"/>
        <w:jc w:val="left"/>
      </w:pPr>
      <w:r>
        <w:rPr>
          <w:spacing w:val="-2"/>
        </w:rPr>
        <w:t>规和规范性文件的规定。报告期内，公司股东大会、董事会、监事会均能严格按照相关规章制度规范地召开，各位董事、监</w:t>
      </w:r>
      <w:r>
        <w:rPr>
          <w:spacing w:val="-70"/>
        </w:rPr>
        <w:t> </w:t>
      </w:r>
      <w:r>
        <w:rPr>
          <w:spacing w:val="-70"/>
        </w:rPr>
      </w:r>
      <w:r>
        <w:rPr/>
        <w:t>事均能认真履行自己的职责。</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40" w:lineRule="auto" w:before="115"/>
        <w:ind w:right="2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5" w:firstLine="360"/>
        <w:jc w:val="both"/>
      </w:pPr>
      <w:r>
        <w:rPr>
          <w:spacing w:val="-2"/>
        </w:rPr>
        <w:t>公司严格按照《中华人民共和国公司法》和《公司章程》规范运作，逐步建立健全公司的法人治理结构，公司与控股股</w:t>
      </w:r>
      <w:r>
        <w:rPr/>
        <w:t> 东在业务、人员、资产、机构、财务等方面完全独立，具有独立完整的业务及自主经营能力。</w:t>
      </w:r>
    </w:p>
    <w:p>
      <w:pPr>
        <w:pStyle w:val="BodyText"/>
        <w:spacing w:line="300" w:lineRule="auto" w:before="17"/>
        <w:ind w:left="513" w:right="93"/>
        <w:jc w:val="left"/>
      </w:pPr>
      <w:r>
        <w:rPr>
          <w:rFonts w:ascii="Times New Roman" w:hAnsi="Times New Roman" w:cs="Times New Roman" w:eastAsia="Times New Roman" w:hint="default"/>
        </w:rPr>
        <w:t>1</w:t>
      </w:r>
      <w:r>
        <w:rPr/>
        <w:t>、人员独立性 </w:t>
      </w:r>
      <w:r>
        <w:rPr>
          <w:spacing w:val="-2"/>
        </w:rPr>
        <w:t>除董事长、总裁徐宏灿，高级副总裁陈宇峰在公司控股股东南天集团担任董事，公司副总裁、财务总监、董事会秘书等</w:t>
      </w:r>
    </w:p>
    <w:p>
      <w:pPr>
        <w:pStyle w:val="BodyText"/>
        <w:spacing w:line="316" w:lineRule="auto" w:before="31"/>
        <w:ind w:right="190"/>
        <w:jc w:val="both"/>
      </w:pPr>
      <w:r>
        <w:rPr>
          <w:spacing w:val="-2"/>
        </w:rPr>
        <w:t>高级管理人员均未在控股股东、实际控制人及其控制的其它企业中担任职务，公司及其子公司的财务人员未在控股股东、实</w:t>
      </w:r>
      <w:r>
        <w:rPr>
          <w:spacing w:val="-63"/>
        </w:rPr>
        <w:t> </w:t>
      </w:r>
      <w:r>
        <w:rPr>
          <w:spacing w:val="-63"/>
        </w:rPr>
      </w:r>
      <w:r>
        <w:rPr>
          <w:spacing w:val="-2"/>
        </w:rPr>
        <w:t>际控制人及其控制的其它企业中兼职。公司的高级管理人员在公司领取薪酬，未在控股股东、实际控制人及其控制的其它企</w:t>
      </w:r>
      <w:r>
        <w:rPr>
          <w:spacing w:val="-63"/>
        </w:rPr>
        <w:t> </w:t>
      </w:r>
      <w:r>
        <w:rPr>
          <w:spacing w:val="-63"/>
        </w:rPr>
      </w:r>
      <w:r>
        <w:rPr/>
        <w:t>业领取薪酬。公司的劳动、人事、工资报酬以及相应的社会保障独立管理，人员独立。</w:t>
      </w:r>
    </w:p>
    <w:p>
      <w:pPr>
        <w:pStyle w:val="BodyText"/>
        <w:spacing w:line="300" w:lineRule="auto" w:before="19"/>
        <w:ind w:left="513" w:right="93"/>
        <w:jc w:val="left"/>
      </w:pPr>
      <w:r>
        <w:rPr>
          <w:rFonts w:ascii="Times New Roman" w:hAnsi="Times New Roman" w:cs="Times New Roman" w:eastAsia="Times New Roman" w:hint="default"/>
        </w:rPr>
        <w:t>2</w:t>
      </w:r>
      <w:r>
        <w:rPr/>
        <w:t>、资产独立性 </w:t>
      </w:r>
      <w:r>
        <w:rPr>
          <w:spacing w:val="-2"/>
        </w:rPr>
        <w:t>公司与控股股东产权关系明确，资产界定清晰，公司的实物资产和无形资产均产权完整、明确。公司拥有独立完整的采</w:t>
      </w:r>
    </w:p>
    <w:p>
      <w:pPr>
        <w:pStyle w:val="BodyText"/>
        <w:spacing w:line="316" w:lineRule="auto" w:before="31"/>
        <w:ind w:right="93"/>
        <w:jc w:val="left"/>
      </w:pPr>
      <w:r>
        <w:rPr>
          <w:spacing w:val="-2"/>
        </w:rPr>
        <w:t>购、生产、销售系统及配套设施，具有开展生产经营所必备的独立完整的资产，不存在控股股东或实际控制人违规占用公司</w:t>
      </w:r>
      <w:r>
        <w:rPr>
          <w:spacing w:val="-63"/>
        </w:rPr>
        <w:t> </w:t>
      </w:r>
      <w:r>
        <w:rPr>
          <w:spacing w:val="-63"/>
        </w:rPr>
      </w:r>
      <w:r>
        <w:rPr/>
        <w:t>资金、资产及其它资源的情况。</w:t>
      </w:r>
    </w:p>
    <w:p>
      <w:pPr>
        <w:pStyle w:val="BodyText"/>
        <w:spacing w:line="300" w:lineRule="auto" w:before="19"/>
        <w:ind w:left="441" w:right="93"/>
        <w:jc w:val="left"/>
      </w:pPr>
      <w:r>
        <w:rPr>
          <w:rFonts w:ascii="Times New Roman" w:hAnsi="Times New Roman" w:cs="Times New Roman" w:eastAsia="Times New Roman" w:hint="default"/>
        </w:rPr>
        <w:t>3</w:t>
      </w:r>
      <w:r>
        <w:rPr/>
        <w:t>、业务独立性 </w:t>
      </w:r>
      <w:r>
        <w:rPr>
          <w:spacing w:val="-1"/>
        </w:rPr>
        <w:t>公司拥有独立的业务体系，具有直接面向市场独立经营的能力，在业务上与控股股东之间不存在竞争关系，也不存在对</w:t>
      </w:r>
    </w:p>
    <w:p>
      <w:pPr>
        <w:pStyle w:val="BodyText"/>
        <w:spacing w:line="314" w:lineRule="auto" w:before="31"/>
        <w:ind w:right="93"/>
        <w:jc w:val="left"/>
      </w:pPr>
      <w:r>
        <w:rPr>
          <w:spacing w:val="-2"/>
        </w:rPr>
        <w:t>控股股东及其关联方的依赖关系。公司独立开展自身业务，在生产及销售方面具有完整的业务流程、具有独立的生产经营场</w:t>
      </w:r>
      <w:r>
        <w:rPr>
          <w:spacing w:val="-65"/>
        </w:rPr>
        <w:t> </w:t>
      </w:r>
      <w:r>
        <w:rPr>
          <w:spacing w:val="-65"/>
        </w:rPr>
      </w:r>
      <w:r>
        <w:rPr/>
        <w:t>所，独立制定并下达经营计划，独立签订、独立履行业务经营合同。</w:t>
      </w:r>
    </w:p>
    <w:p>
      <w:pPr>
        <w:pStyle w:val="BodyText"/>
        <w:spacing w:line="300" w:lineRule="auto" w:before="20"/>
        <w:ind w:left="441" w:right="93"/>
        <w:jc w:val="left"/>
      </w:pPr>
      <w:r>
        <w:rPr>
          <w:rFonts w:ascii="Times New Roman" w:hAnsi="Times New Roman" w:cs="Times New Roman" w:eastAsia="Times New Roman" w:hint="default"/>
        </w:rPr>
        <w:t>4</w:t>
      </w:r>
      <w:r>
        <w:rPr/>
        <w:t>、财务独立性 </w:t>
      </w:r>
      <w:r>
        <w:rPr>
          <w:spacing w:val="-1"/>
        </w:rPr>
        <w:t>公司设立了独立的财务部门，配置了专职财务人员，并按照《企业会计制度》等有关法规的要求，建立了独立的财务核</w:t>
      </w:r>
    </w:p>
    <w:p>
      <w:pPr>
        <w:pStyle w:val="BodyText"/>
        <w:spacing w:line="316" w:lineRule="auto" w:before="31"/>
        <w:ind w:right="93"/>
        <w:jc w:val="left"/>
      </w:pPr>
      <w:r>
        <w:rPr>
          <w:spacing w:val="-2"/>
        </w:rPr>
        <w:t>算体系，制定了规范的财务会计制度和财务管理制度，独立进行财务决策。公司与控股股东在财务方面分账独立管理，财务</w:t>
      </w:r>
      <w:r>
        <w:rPr>
          <w:spacing w:val="-65"/>
        </w:rPr>
        <w:t> </w:t>
      </w:r>
      <w:r>
        <w:rPr>
          <w:spacing w:val="-65"/>
        </w:rPr>
      </w:r>
      <w:r>
        <w:rPr/>
        <w:t>人员未在股东单位兼职。公司开设了独立的银行账户，未与控股股东及其关联方共用银行账户；公司依法独立纳税。</w:t>
      </w:r>
    </w:p>
    <w:p>
      <w:pPr>
        <w:pStyle w:val="BodyText"/>
        <w:spacing w:line="300" w:lineRule="auto" w:before="19"/>
        <w:ind w:left="525" w:right="261"/>
        <w:jc w:val="left"/>
      </w:pPr>
      <w:r>
        <w:rPr>
          <w:rFonts w:ascii="Times New Roman" w:hAnsi="Times New Roman" w:cs="Times New Roman" w:eastAsia="Times New Roman" w:hint="default"/>
        </w:rPr>
        <w:t>5</w:t>
      </w:r>
      <w:r>
        <w:rPr/>
        <w:t>、机构独立性 公司拥有独立的生产经营和办公场所，不存在与控股股东及其它关联方混合经营、合署办公的情形。公司建立了股东</w:t>
      </w:r>
    </w:p>
    <w:p>
      <w:pPr>
        <w:pStyle w:val="BodyText"/>
        <w:spacing w:line="240" w:lineRule="auto" w:before="31"/>
        <w:ind w:right="0"/>
        <w:jc w:val="both"/>
      </w:pPr>
      <w:r>
        <w:rPr/>
        <w:t>大会、董事会和监事会等机构并制定了相应的议事规则，各机构依照《中华人民共和国公司法》及《公司章程》规定在各自</w:t>
      </w:r>
    </w:p>
    <w:p>
      <w:pPr>
        <w:spacing w:after="0" w:line="24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9"/>
        <w:jc w:val="both"/>
      </w:pPr>
      <w:r>
        <w:rPr>
          <w:spacing w:val="-2"/>
        </w:rPr>
        <w:t>职责范围内独立决策。公司建立了适应自身发展需要的组织机构，明确了各机构的职能，公司决策管理机构、生产单位及各</w:t>
      </w:r>
      <w:r>
        <w:rPr>
          <w:spacing w:val="-63"/>
        </w:rPr>
        <w:t> </w:t>
      </w:r>
      <w:r>
        <w:rPr>
          <w:spacing w:val="-63"/>
        </w:rPr>
      </w:r>
      <w:r>
        <w:rPr>
          <w:spacing w:val="-2"/>
        </w:rPr>
        <w:t>职能部门与控股股东完全分开，独立运行，独立开展生产经营活动。公司及其职能部门与控股股东（包括其它关联方）及其</w:t>
      </w:r>
      <w:r>
        <w:rPr>
          <w:spacing w:val="-67"/>
        </w:rPr>
        <w:t> </w:t>
      </w:r>
      <w:r>
        <w:rPr>
          <w:spacing w:val="-67"/>
        </w:rPr>
      </w:r>
      <w:r>
        <w:rPr/>
        <w:t>职能部门之间不存在上下级关系，不存在大股东干预公司机构设置、生产经营活动的情况。</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.com.cn)</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428"/>
        <w:gridCol w:w="1165"/>
        <w:gridCol w:w="1164"/>
        <w:gridCol w:w="1162"/>
        <w:gridCol w:w="1164"/>
        <w:gridCol w:w="1165"/>
        <w:gridCol w:w="1162"/>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8"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49"/>
        <w:ind w:right="7073"/>
        <w:jc w:val="left"/>
      </w:pPr>
      <w:r>
        <w:rPr/>
        <w:t>连续两次未亲自出席董事会的说明 无</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
        <w:jc w:val="left"/>
      </w:pPr>
      <w:r>
        <w:rPr/>
        <w:t>独立董事对公司有关事项是否提出异议</w:t>
      </w:r>
    </w:p>
    <w:p>
      <w:pPr>
        <w:pStyle w:val="BodyText"/>
        <w:spacing w:line="340" w:lineRule="auto" w:before="115"/>
        <w:ind w:right="6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3"/>
        <w:jc w:val="left"/>
      </w:pPr>
      <w:r>
        <w:rPr/>
        <w:t>独立董事对公司有关建议是否被采纳</w:t>
      </w:r>
    </w:p>
    <w:p>
      <w:pPr>
        <w:pStyle w:val="BodyText"/>
        <w:spacing w:line="340" w:lineRule="auto" w:before="117"/>
        <w:ind w:right="5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0"/>
        <w:ind w:right="190" w:firstLine="300"/>
        <w:jc w:val="both"/>
      </w:pPr>
      <w:r>
        <w:rPr>
          <w:spacing w:val="-1"/>
        </w:rPr>
        <w:t>报告期内，公司独立董事严格按照有关法律、法规和《公司章程》的规定，本着对投资者负责的态度，认真勤勉地履行</w:t>
      </w:r>
      <w:r>
        <w:rPr/>
        <w:t> </w:t>
      </w:r>
      <w:r>
        <w:rPr>
          <w:spacing w:val="-2"/>
        </w:rPr>
        <w:t>独立董事的职责，积极参加公司各次董事会和股东大会，对公司的重大事项认真调研。公司独立董事通过参加会议和与管理</w:t>
      </w:r>
      <w:r>
        <w:rPr>
          <w:spacing w:val="-63"/>
        </w:rPr>
        <w:t> </w:t>
      </w:r>
      <w:r>
        <w:rPr>
          <w:spacing w:val="-63"/>
        </w:rPr>
      </w:r>
      <w:r>
        <w:rPr>
          <w:spacing w:val="-2"/>
        </w:rPr>
        <w:t>层沟通等方式，及时了解掌握公司经营与发展情况，并结合其在管理、财务等方面的专业知识，为公司的发展和规范化运作</w:t>
      </w:r>
      <w:r>
        <w:rPr>
          <w:spacing w:val="-65"/>
        </w:rPr>
        <w:t> </w:t>
      </w:r>
      <w:r>
        <w:rPr>
          <w:spacing w:val="-65"/>
        </w:rPr>
      </w:r>
      <w:r>
        <w:rPr>
          <w:spacing w:val="-2"/>
        </w:rPr>
        <w:t>提供建设性意见。同时，对报告期内公司董事、监事、高管换届选举、内部控制评价、聘任财务审计机构、对外投资等需要</w:t>
      </w:r>
      <w:r>
        <w:rPr>
          <w:spacing w:val="-71"/>
        </w:rPr>
        <w:t> </w:t>
      </w:r>
      <w:r>
        <w:rPr>
          <w:spacing w:val="-71"/>
        </w:rPr>
      </w:r>
      <w:r>
        <w:rPr>
          <w:spacing w:val="-2"/>
        </w:rPr>
        <w:t>独立董事发表意见的事项发表了公正、客观的独立意见，切实维护公司和股东尤其是中小股东的利益，发挥了独立董事的作</w:t>
      </w:r>
      <w:r>
        <w:rPr>
          <w:spacing w:val="-66"/>
        </w:rPr>
        <w:t> </w:t>
      </w:r>
      <w:r>
        <w:rPr>
          <w:spacing w:val="-66"/>
        </w:rPr>
      </w:r>
      <w:r>
        <w:rPr/>
        <w:t>用。</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0" w:firstLine="559"/>
        <w:jc w:val="both"/>
      </w:pPr>
      <w:r>
        <w:rPr>
          <w:spacing w:val="-1"/>
        </w:rPr>
        <w:t>公司董事会下设战略委员会、审计委员会、薪酬与考核委员会、风险管理委员会、提名委员会</w:t>
      </w:r>
      <w:r>
        <w:rPr>
          <w:rFonts w:ascii="Times New Roman" w:hAnsi="Times New Roman" w:cs="Times New Roman" w:eastAsia="Times New Roman" w:hint="default"/>
          <w:spacing w:val="-1"/>
        </w:rPr>
        <w:t>5</w:t>
      </w:r>
      <w:r>
        <w:rPr>
          <w:spacing w:val="-1"/>
        </w:rPr>
        <w:t>个专门委员会。报告</w:t>
      </w:r>
      <w:r>
        <w:rPr/>
        <w:t> </w:t>
      </w:r>
      <w:r>
        <w:rPr>
          <w:spacing w:val="-2"/>
        </w:rPr>
        <w:t>期内，各专门委员会本着勤勉尽责的原则，按照有关法律法规、规范性文件及公司各专门委员会工作细则的有关规定开展相</w:t>
      </w:r>
      <w:r>
        <w:rPr>
          <w:spacing w:val="-63"/>
        </w:rPr>
        <w:t> </w:t>
      </w:r>
      <w:r>
        <w:rPr>
          <w:spacing w:val="-63"/>
        </w:rPr>
      </w:r>
      <w:r>
        <w:rPr/>
        <w:t>关工作。报告期内，各专门委员会履职情况如下：</w:t>
      </w:r>
    </w:p>
    <w:p>
      <w:pPr>
        <w:pStyle w:val="BodyText"/>
        <w:spacing w:line="240" w:lineRule="auto" w:before="24"/>
        <w:ind w:left="712" w:right="6753"/>
        <w:jc w:val="left"/>
      </w:pPr>
      <w:r>
        <w:rPr>
          <w:rFonts w:ascii="Times New Roman" w:hAnsi="Times New Roman" w:cs="Times New Roman" w:eastAsia="Times New Roman" w:hint="default"/>
        </w:rPr>
        <w:t>1</w:t>
      </w:r>
      <w:r>
        <w:rPr/>
        <w:t>、审计委员会履职情况</w:t>
      </w:r>
    </w:p>
    <w:p>
      <w:pPr>
        <w:pStyle w:val="BodyText"/>
        <w:spacing w:line="300" w:lineRule="auto" w:before="63"/>
        <w:ind w:right="190" w:firstLine="55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日，召开</w:t>
      </w:r>
      <w:r>
        <w:rPr>
          <w:rFonts w:ascii="Times New Roman" w:hAnsi="Times New Roman" w:cs="Times New Roman" w:eastAsia="Times New Roman" w:hint="default"/>
          <w:spacing w:val="-1"/>
        </w:rPr>
        <w:t>2017</w:t>
      </w:r>
      <w:r>
        <w:rPr>
          <w:spacing w:val="-1"/>
        </w:rPr>
        <w:t>年董事会审计委员会第一次会议，审计委员会成员与公司年报审计会计师事务所中审众环</w:t>
      </w:r>
      <w:r>
        <w:rPr/>
        <w:t> 会计师事务所（特殊普通合伙）就南天信息</w:t>
      </w:r>
      <w:r>
        <w:rPr>
          <w:rFonts w:ascii="Times New Roman" w:hAnsi="Times New Roman" w:cs="Times New Roman" w:eastAsia="Times New Roman" w:hint="default"/>
        </w:rPr>
        <w:t>2016</w:t>
      </w:r>
      <w:r>
        <w:rPr/>
        <w:t>年度财务报告审计工作进行事中沟通。</w:t>
      </w:r>
    </w:p>
    <w:p>
      <w:pPr>
        <w:pStyle w:val="BodyText"/>
        <w:spacing w:line="300" w:lineRule="auto" w:before="13"/>
        <w:ind w:right="193" w:firstLine="55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日，召开</w:t>
      </w:r>
      <w:r>
        <w:rPr>
          <w:rFonts w:ascii="Times New Roman" w:hAnsi="Times New Roman" w:cs="Times New Roman" w:eastAsia="Times New Roman" w:hint="default"/>
          <w:spacing w:val="-1"/>
        </w:rPr>
        <w:t>2017</w:t>
      </w:r>
      <w:r>
        <w:rPr>
          <w:spacing w:val="-1"/>
        </w:rPr>
        <w:t>年董事会审计委员会第二次会议，会议审议同意《南天信息</w:t>
      </w:r>
      <w:r>
        <w:rPr>
          <w:rFonts w:ascii="Times New Roman" w:hAnsi="Times New Roman" w:cs="Times New Roman" w:eastAsia="Times New Roman" w:hint="default"/>
          <w:spacing w:val="-1"/>
        </w:rPr>
        <w:t>2016</w:t>
      </w:r>
      <w:r>
        <w:rPr>
          <w:spacing w:val="-1"/>
        </w:rPr>
        <w:t>年度财务报告》、《关于</w:t>
      </w:r>
      <w:r>
        <w:rPr/>
        <w:t> 聘任会计师事务所的议案》、《中审众环会计师事务所关于</w:t>
      </w:r>
      <w:r>
        <w:rPr>
          <w:rFonts w:ascii="Times New Roman" w:hAnsi="Times New Roman" w:cs="Times New Roman" w:eastAsia="Times New Roman" w:hint="default"/>
        </w:rPr>
        <w:t>2016</w:t>
      </w:r>
      <w:r>
        <w:rPr/>
        <w:t>年度南天信息审计工作的总结报告》。</w:t>
      </w:r>
    </w:p>
    <w:p>
      <w:pPr>
        <w:pStyle w:val="BodyText"/>
        <w:spacing w:line="300" w:lineRule="auto" w:before="13"/>
        <w:ind w:left="712" w:right="254"/>
        <w:jc w:val="left"/>
      </w:pPr>
      <w:r>
        <w:rPr>
          <w:rFonts w:ascii="Times New Roman" w:hAnsi="Times New Roman" w:cs="Times New Roman" w:eastAsia="Times New Roman" w:hint="default"/>
        </w:rPr>
        <w:t>2</w:t>
      </w:r>
      <w:r>
        <w:rPr/>
        <w:t>、薪酬与考核委员会履职情况 公司董事会薪酬与考核委员会授权公司董事长雷坚先生、总裁徐宏灿先生对公司内部董事及其他高级管理人员进行</w:t>
      </w:r>
    </w:p>
    <w:p>
      <w:pPr>
        <w:pStyle w:val="BodyText"/>
        <w:spacing w:line="240" w:lineRule="auto" w:before="31"/>
        <w:ind w:right="6753"/>
        <w:jc w:val="left"/>
        <w:rPr>
          <w:rFonts w:ascii="宋体" w:hAnsi="宋体" w:cs="宋体" w:eastAsia="宋体" w:hint="default"/>
        </w:rPr>
      </w:pPr>
      <w:r>
        <w:rPr>
          <w:rFonts w:ascii="宋体" w:hAnsi="宋体" w:cs="宋体" w:eastAsia="宋体" w:hint="default"/>
        </w:rPr>
        <w:t>2016</w:t>
      </w:r>
      <w:r>
        <w:rPr/>
        <w:t>年度绩效考评。</w:t>
      </w:r>
      <w:r>
        <w:rPr>
          <w:rFonts w:ascii="宋体" w:hAnsi="宋体" w:cs="宋体" w:eastAsia="宋体" w:hint="default"/>
        </w:rPr>
        <w:t> </w:t>
      </w:r>
    </w:p>
    <w:p>
      <w:pPr>
        <w:pStyle w:val="BodyText"/>
        <w:spacing w:line="300" w:lineRule="auto" w:before="76"/>
        <w:ind w:right="190" w:firstLine="55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日，召开</w:t>
      </w:r>
      <w:r>
        <w:rPr>
          <w:rFonts w:ascii="Times New Roman" w:hAnsi="Times New Roman" w:cs="Times New Roman" w:eastAsia="Times New Roman" w:hint="default"/>
          <w:spacing w:val="-1"/>
        </w:rPr>
        <w:t>2017</w:t>
      </w:r>
      <w:r>
        <w:rPr>
          <w:spacing w:val="-1"/>
        </w:rPr>
        <w:t>年董事会薪酬与考核委员会第一次会议，会议审议同意《董事、高级管理人员</w:t>
      </w:r>
      <w:r>
        <w:rPr>
          <w:rFonts w:ascii="宋体" w:hAnsi="宋体" w:cs="宋体" w:eastAsia="宋体" w:hint="default"/>
          <w:spacing w:val="-1"/>
        </w:rPr>
        <w:t>2016</w:t>
      </w:r>
      <w:r>
        <w:rPr>
          <w:spacing w:val="-1"/>
        </w:rPr>
        <w:t>年度薪</w:t>
      </w:r>
      <w:r>
        <w:rPr/>
        <w:t> 酬发放情况及</w:t>
      </w:r>
      <w:r>
        <w:rPr>
          <w:rFonts w:ascii="宋体" w:hAnsi="宋体" w:cs="宋体" w:eastAsia="宋体" w:hint="default"/>
        </w:rPr>
        <w:t>2017</w:t>
      </w:r>
      <w:r>
        <w:rPr/>
        <w:t>年度薪酬方案》。</w:t>
      </w:r>
    </w:p>
    <w:p>
      <w:pPr>
        <w:pStyle w:val="BodyText"/>
        <w:spacing w:line="240" w:lineRule="auto" w:before="31"/>
        <w:ind w:left="712" w:right="6753"/>
        <w:jc w:val="left"/>
      </w:pPr>
      <w:r>
        <w:rPr>
          <w:rFonts w:ascii="Times New Roman" w:hAnsi="Times New Roman" w:cs="Times New Roman" w:eastAsia="Times New Roman" w:hint="default"/>
        </w:rPr>
        <w:t>3</w:t>
      </w:r>
      <w:r>
        <w:rPr/>
        <w:t>、风险管理委员会履职情况</w:t>
      </w:r>
    </w:p>
    <w:p>
      <w:pPr>
        <w:pStyle w:val="BodyText"/>
        <w:spacing w:line="300" w:lineRule="auto" w:before="63"/>
        <w:ind w:right="190" w:firstLine="55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年董事会风险管理委员会第一次会议，对《南天信息</w:t>
      </w:r>
      <w:r>
        <w:rPr>
          <w:rFonts w:ascii="Times New Roman" w:hAnsi="Times New Roman" w:cs="Times New Roman" w:eastAsia="Times New Roman" w:hint="default"/>
          <w:spacing w:val="-2"/>
        </w:rPr>
        <w:t>2016</w:t>
      </w:r>
      <w:r>
        <w:rPr>
          <w:spacing w:val="-2"/>
        </w:rPr>
        <w:t>年度内部控制评价报告</w:t>
      </w:r>
      <w:r>
        <w:rPr>
          <w:rFonts w:ascii="Times New Roman" w:hAnsi="Times New Roman" w:cs="Times New Roman" w:eastAsia="Times New Roman" w:hint="default"/>
          <w:spacing w:val="-2"/>
        </w:rPr>
        <w:t>(</w:t>
      </w:r>
      <w:r>
        <w:rPr>
          <w:spacing w:val="-2"/>
        </w:rPr>
        <w:t>征求意见</w:t>
      </w:r>
      <w:r>
        <w:rPr/>
        <w:t> 稿</w:t>
      </w:r>
      <w:r>
        <w:rPr>
          <w:rFonts w:ascii="Times New Roman" w:hAnsi="Times New Roman" w:cs="Times New Roman" w:eastAsia="Times New Roman" w:hint="default"/>
        </w:rPr>
        <w:t>)</w:t>
      </w:r>
      <w:r>
        <w:rPr/>
        <w:t>》进行了审阅，并出具无异议意见。</w:t>
      </w:r>
    </w:p>
    <w:p>
      <w:pPr>
        <w:pStyle w:val="BodyText"/>
        <w:spacing w:line="300" w:lineRule="auto" w:before="13"/>
        <w:ind w:right="192" w:firstLine="55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28</w:t>
      </w:r>
      <w:r>
        <w:rPr>
          <w:spacing w:val="-1"/>
        </w:rPr>
        <w:t>日，召开</w:t>
      </w:r>
      <w:r>
        <w:rPr>
          <w:rFonts w:ascii="Times New Roman" w:hAnsi="Times New Roman" w:cs="Times New Roman" w:eastAsia="Times New Roman" w:hint="default"/>
          <w:spacing w:val="-1"/>
        </w:rPr>
        <w:t>2017</w:t>
      </w:r>
      <w:r>
        <w:rPr>
          <w:spacing w:val="-1"/>
        </w:rPr>
        <w:t>年董事会风险管理委员会第二次会议，会议审议同意《南天信息关于对产品服务集团开展</w:t>
      </w:r>
      <w:r>
        <w:rPr/>
        <w:t> 风险管理及内部控制专项检查的工作方案》。</w:t>
      </w:r>
    </w:p>
    <w:p>
      <w:pPr>
        <w:pStyle w:val="BodyText"/>
        <w:spacing w:line="240" w:lineRule="auto" w:before="31"/>
        <w:ind w:left="712" w:right="6753"/>
        <w:jc w:val="left"/>
      </w:pPr>
      <w:r>
        <w:rPr>
          <w:rFonts w:ascii="Times New Roman" w:hAnsi="Times New Roman" w:cs="Times New Roman" w:eastAsia="Times New Roman" w:hint="default"/>
        </w:rPr>
        <w:t>4</w:t>
      </w:r>
      <w:r>
        <w:rPr/>
        <w:t>、提名委员会履职情况</w:t>
      </w:r>
    </w:p>
    <w:p>
      <w:pPr>
        <w:pStyle w:val="BodyText"/>
        <w:spacing w:line="300" w:lineRule="auto" w:before="63"/>
        <w:ind w:right="271" w:firstLine="559"/>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2017</w:t>
      </w:r>
      <w:r>
        <w:rPr/>
        <w:t>年董事会提名委员会第一次会议，会议审议同意《关于向南天信息董事会提名第七届董事 会非独立董事候选人的议案》、《关于向南天信息董事会提名第七届董事会独立董事候选人的议案》。</w:t>
      </w:r>
    </w:p>
    <w:p>
      <w:pPr>
        <w:pStyle w:val="BodyText"/>
        <w:spacing w:line="309" w:lineRule="auto" w:before="31"/>
        <w:ind w:right="110" w:firstLine="559"/>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日，召开</w:t>
      </w:r>
      <w:r>
        <w:rPr>
          <w:rFonts w:ascii="Times New Roman" w:hAnsi="Times New Roman" w:cs="Times New Roman" w:eastAsia="Times New Roman" w:hint="default"/>
        </w:rPr>
        <w:t>2017</w:t>
      </w:r>
      <w:r>
        <w:rPr/>
        <w:t>年董事会提名委员会第二次会议，会议审议同意《关于推荐徐宏灿先生担任参股公司北京 </w:t>
      </w:r>
      <w:r>
        <w:rPr>
          <w:spacing w:val="-2"/>
        </w:rPr>
        <w:t>人大金仓信息技术股份有限公司董事职务的议案》、《关于推荐宋卫权先生、陈朝晖先生担任参股公司云南曲靖珠江源科技</w:t>
      </w:r>
      <w:r>
        <w:rPr>
          <w:spacing w:val="-66"/>
        </w:rPr>
        <w:t> </w:t>
      </w:r>
      <w:r>
        <w:rPr>
          <w:spacing w:val="-66"/>
        </w:rPr>
      </w:r>
      <w:r>
        <w:rPr/>
        <w:t>股份有限公司董事职务的议案》、《关于推荐唐绯女士担任参股公司云南曲靖珠江源科技股份有限公司监事职务的议案》、</w:t>
      </w:r>
    </w:p>
    <w:p>
      <w:pPr>
        <w:spacing w:after="0" w:line="309"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《关于推荐李云先生担任上海南天电脑系统有限公司等</w:t>
      </w:r>
      <w:r>
        <w:rPr>
          <w:rFonts w:ascii="Times New Roman" w:hAnsi="Times New Roman" w:cs="Times New Roman" w:eastAsia="Times New Roman" w:hint="default"/>
        </w:rPr>
        <w:t>10</w:t>
      </w:r>
      <w:r>
        <w:rPr/>
        <w:t>家控股子公司监事职务的议案》。</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6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0" w:firstLine="372"/>
        <w:jc w:val="left"/>
      </w:pPr>
      <w:r>
        <w:rPr/>
        <w:t>公司董事会根据公司</w:t>
      </w:r>
      <w:r>
        <w:rPr>
          <w:rFonts w:ascii="Times New Roman" w:hAnsi="Times New Roman" w:cs="Times New Roman" w:eastAsia="Times New Roman" w:hint="default"/>
        </w:rPr>
        <w:t>2017</w:t>
      </w:r>
      <w:r>
        <w:rPr/>
        <w:t>年度经营指标和经营目标完成情况，结合高级管理人员分管工作范围及主要职责，对公司高 </w:t>
      </w:r>
      <w:r>
        <w:rPr>
          <w:spacing w:val="-2"/>
        </w:rPr>
        <w:t>级管理人员的工作能力、履职情况、责任目标完成情况进行绩效考核。董事会下设薪酬与考核委员会，薪酬委以《董事、监</w:t>
      </w:r>
      <w:r>
        <w:rPr>
          <w:spacing w:val="-69"/>
        </w:rPr>
        <w:t> </w:t>
      </w:r>
      <w:r>
        <w:rPr>
          <w:spacing w:val="-69"/>
        </w:rPr>
      </w:r>
      <w:r>
        <w:rPr>
          <w:spacing w:val="-2"/>
        </w:rPr>
        <w:t>事及高级管理人员薪酬管理办法》为考核规范，根据公司年度财务报告的各项考核指标和年度经营计划目标，对公司高级管</w:t>
      </w:r>
      <w:r>
        <w:rPr>
          <w:spacing w:val="-66"/>
        </w:rPr>
        <w:t> </w:t>
      </w:r>
      <w:r>
        <w:rPr>
          <w:spacing w:val="-66"/>
        </w:rPr>
      </w:r>
      <w:r>
        <w:rPr>
          <w:spacing w:val="-2"/>
        </w:rPr>
        <w:t>理人员及其所负责的单位进行经营业绩和管理指标的考核，以此作为奖惩依据。公司将继续按照市场化取向，进一步完善激</w:t>
      </w:r>
      <w:r>
        <w:rPr>
          <w:spacing w:val="-63"/>
        </w:rPr>
        <w:t> </w:t>
      </w:r>
      <w:r>
        <w:rPr>
          <w:spacing w:val="-63"/>
        </w:rPr>
      </w:r>
      <w:r>
        <w:rPr>
          <w:spacing w:val="-2"/>
        </w:rPr>
        <w:t>励和约束机制，以促使高级管理人员勤勉尽责，提高公司法人治理水平，实现股东利益和公司利益最大化，确保公司长远目</w:t>
      </w:r>
      <w:r>
        <w:rPr>
          <w:spacing w:val="-65"/>
        </w:rPr>
        <w:t> </w:t>
      </w:r>
      <w:r>
        <w:rPr>
          <w:spacing w:val="-65"/>
        </w:rPr>
      </w:r>
      <w:r>
        <w:rPr/>
        <w:t>标的实现。</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4" w:type="dxa"/>
        <w:tblLayout w:type="fixed"/>
        <w:tblCellMar>
          <w:top w:w="0" w:type="dxa"/>
          <w:left w:w="0" w:type="dxa"/>
          <w:bottom w:w="0" w:type="dxa"/>
          <w:right w:w="0" w:type="dxa"/>
        </w:tblCellMar>
        <w:tblLook w:val="01E0"/>
      </w:tblPr>
      <w:tblGrid>
        <w:gridCol w:w="3187"/>
        <w:gridCol w:w="3330"/>
        <w:gridCol w:w="305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详见巨潮资讯网（</w:t>
            </w:r>
            <w:r>
              <w:rPr>
                <w:rFonts w:ascii="Times New Roman" w:hAnsi="Times New Roman" w:cs="Times New Roman" w:eastAsia="Times New Roman" w:hint="default"/>
                <w:sz w:val="18"/>
                <w:szCs w:val="18"/>
              </w:rPr>
              <w:t>http://www.cninfo.com.cn)</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98.78%</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97.83%</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0" w:type="dxa"/>
            <w:vMerge w:val="restart"/>
            <w:tcBorders>
              <w:top w:val="single" w:sz="4" w:space="0" w:color="000000"/>
              <w:left w:val="single" w:sz="10" w:space="0" w:color="D2D2D2"/>
              <w:right w:val="single" w:sz="4" w:space="0" w:color="000000"/>
            </w:tcBorders>
          </w:tcPr>
          <w:p>
            <w:pPr>
              <w:pStyle w:val="TableParagraph"/>
              <w:spacing w:line="304"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董事、 监事和高级管理人员舞弊；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 财务报告存在重大错报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而内部控制在运 行过程中未能发现该错报；</w:t>
            </w:r>
            <w:r>
              <w:rPr>
                <w:rFonts w:ascii="Times New Roman" w:hAnsi="Times New Roman" w:cs="Times New Roman" w:eastAsia="Times New Roman" w:hint="default"/>
                <w:sz w:val="18"/>
                <w:szCs w:val="18"/>
              </w:rPr>
              <w:t>(4)</w:t>
            </w:r>
            <w:r>
              <w:rPr>
                <w:rFonts w:ascii="宋体" w:hAnsi="宋体" w:cs="宋体" w:eastAsia="宋体" w:hint="default"/>
                <w:sz w:val="18"/>
                <w:szCs w:val="18"/>
              </w:rPr>
              <w:t>董事会及审 计部对内部控制的监督无效。财务报告重 要缺陷的迹象包括：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 则选择和应用会计政策、未建立反舞弊程 序和控制措施；</w:t>
            </w:r>
            <w:r>
              <w:rPr>
                <w:rFonts w:ascii="Times New Roman" w:hAnsi="Times New Roman" w:cs="Times New Roman" w:eastAsia="Times New Roman" w:hint="default"/>
                <w:sz w:val="18"/>
                <w:szCs w:val="18"/>
              </w:rPr>
              <w:t>(2)</w:t>
            </w:r>
            <w:r>
              <w:rPr>
                <w:rFonts w:ascii="宋体" w:hAnsi="宋体" w:cs="宋体" w:eastAsia="宋体" w:hint="default"/>
                <w:sz w:val="18"/>
                <w:szCs w:val="18"/>
              </w:rPr>
              <w:t>对于非常规或特殊交易</w:t>
            </w:r>
          </w:p>
        </w:tc>
        <w:tc>
          <w:tcPr>
            <w:tcW w:w="3051" w:type="dxa"/>
            <w:vMerge w:val="restart"/>
            <w:tcBorders>
              <w:top w:val="single" w:sz="4" w:space="0" w:color="000000"/>
              <w:left w:val="single" w:sz="4" w:space="0" w:color="000000"/>
              <w:right w:val="single" w:sz="4" w:space="0" w:color="000000"/>
            </w:tcBorders>
          </w:tcPr>
          <w:p>
            <w:pPr>
              <w:pStyle w:val="TableParagraph"/>
              <w:spacing w:line="30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非财务报告重大缺陷的迹象包括：</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缺乏长远发展战略规划，没有切实可行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的战略目标；</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公司决策程序不科学</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未有效执行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决策失误，造成损失；</w:t>
            </w:r>
            <w:r>
              <w:rPr>
                <w:rFonts w:ascii="Times New Roman" w:hAnsi="Times New Roman" w:cs="Times New Roman" w:eastAsia="Times New Roman" w:hint="default"/>
                <w:sz w:val="18"/>
                <w:szCs w:val="18"/>
              </w:rPr>
              <w:t>(3)</w:t>
            </w:r>
            <w:r>
              <w:rPr>
                <w:rFonts w:ascii="宋体" w:hAnsi="宋体" w:cs="宋体" w:eastAsia="宋体" w:hint="default"/>
                <w:sz w:val="18"/>
                <w:szCs w:val="18"/>
              </w:rPr>
              <w:t>违犯国家法 律、法规，并受到处罚；</w:t>
            </w:r>
            <w:r>
              <w:rPr>
                <w:rFonts w:ascii="Times New Roman" w:hAnsi="Times New Roman" w:cs="Times New Roman" w:eastAsia="Times New Roman" w:hint="default"/>
                <w:sz w:val="18"/>
                <w:szCs w:val="18"/>
              </w:rPr>
              <w:t>(4)</w:t>
            </w:r>
            <w:r>
              <w:rPr>
                <w:rFonts w:ascii="宋体" w:hAnsi="宋体" w:cs="宋体" w:eastAsia="宋体" w:hint="default"/>
                <w:sz w:val="18"/>
                <w:szCs w:val="18"/>
              </w:rPr>
              <w:t>中高级管 理人员和高级技术人员流失严重；</w:t>
            </w:r>
            <w:r>
              <w:rPr>
                <w:rFonts w:ascii="Times New Roman" w:hAnsi="Times New Roman" w:cs="Times New Roman" w:eastAsia="Times New Roman" w:hint="default"/>
                <w:sz w:val="18"/>
                <w:szCs w:val="18"/>
              </w:rPr>
              <w:t>(5) </w:t>
            </w:r>
            <w:r>
              <w:rPr>
                <w:rFonts w:ascii="宋体" w:hAnsi="宋体" w:cs="宋体" w:eastAsia="宋体" w:hint="default"/>
                <w:sz w:val="18"/>
                <w:szCs w:val="18"/>
              </w:rPr>
              <w:t>内部控制评价的结果特别是重大或重 要缺陷未得到整改；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重要业务缺乏</w:t>
            </w:r>
          </w:p>
        </w:tc>
      </w:tr>
      <w:tr>
        <w:trPr>
          <w:trHeight w:val="391" w:hRule="exact"/>
        </w:trPr>
        <w:tc>
          <w:tcPr>
            <w:tcW w:w="3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0" w:type="dxa"/>
            <w:vMerge/>
            <w:tcBorders>
              <w:left w:val="single" w:sz="10"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34" w:hRule="exact"/>
        </w:trPr>
        <w:tc>
          <w:tcPr>
            <w:tcW w:w="3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0" w:type="dxa"/>
            <w:vMerge/>
            <w:tcBorders>
              <w:left w:val="single" w:sz="10"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58.223999pt;margin-top:71.999985pt;width:479.15pt;height:649.550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4"/>
                    <w:gridCol w:w="3051"/>
                  </w:tblGrid>
                  <w:tr>
                    <w:trPr>
                      <w:trHeight w:val="5667"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46"/>
                          <w:jc w:val="both"/>
                          <w:rPr>
                            <w:rFonts w:ascii="宋体" w:hAnsi="宋体" w:cs="宋体" w:eastAsia="宋体" w:hint="default"/>
                            <w:sz w:val="18"/>
                            <w:szCs w:val="18"/>
                          </w:rPr>
                        </w:pPr>
                        <w:r>
                          <w:rPr>
                            <w:rFonts w:ascii="宋体" w:hAnsi="宋体" w:cs="宋体" w:eastAsia="宋体" w:hint="default"/>
                            <w:sz w:val="18"/>
                            <w:szCs w:val="18"/>
                          </w:rPr>
                          <w:t>的账务处理没有建立相应的控制机制或没 有实施且没有相应的补偿性控制；</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对 于期末财务报告过程的控制存在一项或多 项缺陷且不能合理保证编制的财务报表达 到真实、准确的目标。财务报告一般缺陷 的迹象包括：不构成重大缺陷或重要缺陷 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7"/>
                          <w:jc w:val="left"/>
                          <w:rPr>
                            <w:rFonts w:ascii="宋体" w:hAnsi="宋体" w:cs="宋体" w:eastAsia="宋体" w:hint="default"/>
                            <w:sz w:val="18"/>
                            <w:szCs w:val="18"/>
                          </w:rPr>
                        </w:pPr>
                        <w:r>
                          <w:rPr>
                            <w:rFonts w:ascii="宋体" w:hAnsi="宋体" w:cs="宋体" w:eastAsia="宋体" w:hint="default"/>
                            <w:spacing w:val="-4"/>
                            <w:sz w:val="18"/>
                            <w:szCs w:val="18"/>
                          </w:rPr>
                          <w:t>制度控制或制度系统性失效。非财务报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告重要缺陷的迹象包括：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战略的制 </w:t>
                        </w:r>
                        <w:r>
                          <w:rPr>
                            <w:rFonts w:ascii="宋体" w:hAnsi="宋体" w:cs="宋体" w:eastAsia="宋体" w:hint="default"/>
                            <w:spacing w:val="-4"/>
                            <w:sz w:val="18"/>
                            <w:szCs w:val="18"/>
                          </w:rPr>
                          <w:t>定较为简单、粗略；制定的公司总体战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略目标不明确；</w:t>
                        </w:r>
                        <w:r>
                          <w:rPr>
                            <w:rFonts w:ascii="Times New Roman" w:hAnsi="Times New Roman" w:cs="Times New Roman" w:eastAsia="Times New Roman" w:hint="default"/>
                            <w:sz w:val="18"/>
                            <w:szCs w:val="18"/>
                          </w:rPr>
                          <w:t>(2)</w:t>
                        </w:r>
                        <w:r>
                          <w:rPr>
                            <w:rFonts w:ascii="宋体" w:hAnsi="宋体" w:cs="宋体" w:eastAsia="宋体" w:hint="default"/>
                            <w:sz w:val="18"/>
                            <w:szCs w:val="18"/>
                          </w:rPr>
                          <w:t>未有效执行</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 大</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决策程序，导致决策失误，但尚未 造成重大损失；</w:t>
                        </w:r>
                        <w:r>
                          <w:rPr>
                            <w:rFonts w:ascii="Times New Roman" w:hAnsi="Times New Roman" w:cs="Times New Roman" w:eastAsia="Times New Roman" w:hint="default"/>
                            <w:sz w:val="18"/>
                            <w:szCs w:val="18"/>
                          </w:rPr>
                          <w:t>(3)</w:t>
                        </w:r>
                        <w:r>
                          <w:rPr>
                            <w:rFonts w:ascii="宋体" w:hAnsi="宋体" w:cs="宋体" w:eastAsia="宋体" w:hint="default"/>
                            <w:sz w:val="18"/>
                            <w:szCs w:val="18"/>
                          </w:rPr>
                          <w:t>违反企业内部规章 形成损失；</w:t>
                        </w:r>
                        <w:r>
                          <w:rPr>
                            <w:rFonts w:ascii="Times New Roman" w:hAnsi="Times New Roman" w:cs="Times New Roman" w:eastAsia="Times New Roman" w:hint="default"/>
                            <w:sz w:val="18"/>
                            <w:szCs w:val="18"/>
                          </w:rPr>
                          <w:t>(4)</w:t>
                        </w:r>
                        <w:r>
                          <w:rPr>
                            <w:rFonts w:ascii="宋体" w:hAnsi="宋体" w:cs="宋体" w:eastAsia="宋体" w:hint="default"/>
                            <w:sz w:val="18"/>
                            <w:szCs w:val="18"/>
                          </w:rPr>
                          <w:t>关键岗位业务人员流失 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重要业务制度或系统存在缺 陷；</w:t>
                        </w:r>
                        <w:r>
                          <w:rPr>
                            <w:rFonts w:ascii="Times New Roman" w:hAnsi="Times New Roman" w:cs="Times New Roman" w:eastAsia="Times New Roman" w:hint="default"/>
                            <w:sz w:val="18"/>
                            <w:szCs w:val="18"/>
                          </w:rPr>
                          <w:t>(6)</w:t>
                        </w:r>
                        <w:r>
                          <w:rPr>
                            <w:rFonts w:ascii="宋体" w:hAnsi="宋体" w:cs="宋体" w:eastAsia="宋体" w:hint="default"/>
                            <w:sz w:val="18"/>
                            <w:szCs w:val="18"/>
                          </w:rPr>
                          <w:t>内部控制重要或一般缺陷未得 </w:t>
                        </w:r>
                        <w:r>
                          <w:rPr>
                            <w:rFonts w:ascii="宋体" w:hAnsi="宋体" w:cs="宋体" w:eastAsia="宋体" w:hint="default"/>
                            <w:spacing w:val="-4"/>
                            <w:sz w:val="18"/>
                            <w:szCs w:val="18"/>
                          </w:rPr>
                          <w:t>到整改。非财务报告一般缺陷的迹象包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括：</w:t>
                        </w:r>
                        <w:r>
                          <w:rPr>
                            <w:rFonts w:ascii="Times New Roman" w:hAnsi="Times New Roman" w:cs="Times New Roman" w:eastAsia="Times New Roman" w:hint="default"/>
                            <w:sz w:val="18"/>
                            <w:szCs w:val="18"/>
                          </w:rPr>
                          <w:t>(1)</w:t>
                        </w:r>
                        <w:r>
                          <w:rPr>
                            <w:rFonts w:ascii="宋体" w:hAnsi="宋体" w:cs="宋体" w:eastAsia="宋体" w:hint="default"/>
                            <w:sz w:val="18"/>
                            <w:szCs w:val="18"/>
                          </w:rPr>
                          <w:t>战略分析、战略制定及战略实 施方面存在其他的影响实现战略目标 的缺陷；</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决策程序不规范，决策效 率较低；</w:t>
                        </w:r>
                        <w:r>
                          <w:rPr>
                            <w:rFonts w:ascii="Times New Roman" w:hAnsi="Times New Roman" w:cs="Times New Roman" w:eastAsia="Times New Roman" w:hint="default"/>
                            <w:sz w:val="18"/>
                            <w:szCs w:val="18"/>
                          </w:rPr>
                          <w:t>(3)</w:t>
                        </w:r>
                        <w:r>
                          <w:rPr>
                            <w:rFonts w:ascii="宋体" w:hAnsi="宋体" w:cs="宋体" w:eastAsia="宋体" w:hint="default"/>
                            <w:sz w:val="18"/>
                            <w:szCs w:val="18"/>
                          </w:rPr>
                          <w:t>违反公司内部规章，但未 形成损失；</w:t>
                        </w:r>
                        <w:r>
                          <w:rPr>
                            <w:rFonts w:ascii="Times New Roman" w:hAnsi="Times New Roman" w:cs="Times New Roman" w:eastAsia="Times New Roman" w:hint="default"/>
                            <w:sz w:val="18"/>
                            <w:szCs w:val="18"/>
                          </w:rPr>
                          <w:t>(4)</w:t>
                        </w:r>
                        <w:r>
                          <w:rPr>
                            <w:rFonts w:ascii="宋体" w:hAnsi="宋体" w:cs="宋体" w:eastAsia="宋体" w:hint="default"/>
                            <w:sz w:val="18"/>
                            <w:szCs w:val="18"/>
                          </w:rPr>
                          <w:t>一般岗位业务人员流失 严重；</w:t>
                        </w:r>
                        <w:r>
                          <w:rPr>
                            <w:rFonts w:ascii="Times New Roman" w:hAnsi="Times New Roman" w:cs="Times New Roman" w:eastAsia="Times New Roman" w:hint="default"/>
                            <w:sz w:val="18"/>
                            <w:szCs w:val="18"/>
                          </w:rPr>
                          <w:t>(5)</w:t>
                        </w:r>
                        <w:r>
                          <w:rPr>
                            <w:rFonts w:ascii="宋体" w:hAnsi="宋体" w:cs="宋体" w:eastAsia="宋体" w:hint="default"/>
                            <w:sz w:val="18"/>
                            <w:szCs w:val="18"/>
                          </w:rPr>
                          <w:t>一般业务制度或系统存在缺 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一般缺陷未得到整改；</w:t>
                        </w:r>
                        <w:r>
                          <w:rPr>
                            <w:rFonts w:ascii="Times New Roman" w:hAnsi="Times New Roman" w:cs="Times New Roman" w:eastAsia="Times New Roman" w:hint="default"/>
                            <w:sz w:val="18"/>
                            <w:szCs w:val="18"/>
                          </w:rPr>
                          <w:t>(7)</w:t>
                        </w:r>
                        <w:r>
                          <w:rPr>
                            <w:rFonts w:ascii="宋体" w:hAnsi="宋体" w:cs="宋体" w:eastAsia="宋体" w:hint="default"/>
                            <w:sz w:val="18"/>
                            <w:szCs w:val="18"/>
                          </w:rPr>
                          <w:t>存在 的其他缺陷。</w:t>
                        </w:r>
                      </w:p>
                    </w:tc>
                  </w:tr>
                  <w:tr>
                    <w:trPr>
                      <w:trHeight w:val="570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6" w:right="19"/>
                          <w:jc w:val="left"/>
                          <w:rPr>
                            <w:rFonts w:ascii="宋体" w:hAnsi="宋体" w:cs="宋体" w:eastAsia="宋体" w:hint="default"/>
                            <w:sz w:val="18"/>
                            <w:szCs w:val="18"/>
                          </w:rPr>
                        </w:pPr>
                        <w:r>
                          <w:rPr>
                            <w:rFonts w:ascii="宋体" w:hAnsi="宋体" w:cs="宋体" w:eastAsia="宋体" w:hint="default"/>
                            <w:sz w:val="18"/>
                            <w:szCs w:val="18"/>
                          </w:rPr>
                          <w:t>根据错报、漏报造成的偏差，将财务报告 内部控制缺陷划分为重大缺陷、重要缺陷 和一般缺陷。公司以当年资产总额或当年 营业收入为基数进行定量判断，错报金额 大于资产总额的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或大于营业收入的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认定为重大缺陷；错报金额在资产总额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之间或在营业收入的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之间认定为重要缺陷；错报金额小于资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或小于营业收入的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根据重大事故事件（未经授权、舞弊或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产品质量控制不善等）、对外投资失误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对外担保失误造成的直接财产损失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将 非财务报告内部控制缺陷划分为重大 </w:t>
                        </w:r>
                        <w:r>
                          <w:rPr>
                            <w:rFonts w:ascii="宋体" w:hAnsi="宋体" w:cs="宋体" w:eastAsia="宋体" w:hint="default"/>
                            <w:spacing w:val="-4"/>
                            <w:sz w:val="18"/>
                            <w:szCs w:val="18"/>
                          </w:rPr>
                          <w:t>缺陷、重要缺陷和一般缺陷。重大事故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事件（未经授权、舞弊或产品质量控制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不善等）造成直接财产损失的重大缺陷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万元；重要缺陷标准</w:t>
                        </w:r>
                      </w:p>
                      <w:p>
                        <w:pPr>
                          <w:pStyle w:val="TableParagraph"/>
                          <w:spacing w:line="300" w:lineRule="auto" w:before="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万元之间；一般缺陷</w:t>
                        </w:r>
                        <w:r>
                          <w:rPr>
                            <w:rFonts w:ascii="宋体" w:hAnsi="宋体" w:cs="宋体" w:eastAsia="宋体" w:hint="default"/>
                            <w:w w:val="99"/>
                            <w:sz w:val="18"/>
                            <w:szCs w:val="18"/>
                          </w:rPr>
                          <w:t> </w:t>
                        </w:r>
                        <w:r>
                          <w:rPr>
                            <w:rFonts w:ascii="宋体" w:hAnsi="宋体" w:cs="宋体" w:eastAsia="宋体" w:hint="default"/>
                            <w:sz w:val="18"/>
                            <w:szCs w:val="18"/>
                          </w:rPr>
                          <w:t>标准</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pacing w:val="-7"/>
                            <w:sz w:val="18"/>
                            <w:szCs w:val="18"/>
                          </w:rPr>
                          <w:t>万元之间；对外投</w:t>
                        </w:r>
                        <w:r>
                          <w:rPr>
                            <w:rFonts w:ascii="宋体" w:hAnsi="宋体" w:cs="宋体" w:eastAsia="宋体" w:hint="default"/>
                            <w:w w:val="99"/>
                            <w:sz w:val="18"/>
                            <w:szCs w:val="18"/>
                          </w:rPr>
                          <w:t> </w:t>
                        </w:r>
                        <w:r>
                          <w:rPr>
                            <w:rFonts w:ascii="宋体" w:hAnsi="宋体" w:cs="宋体" w:eastAsia="宋体" w:hint="default"/>
                            <w:sz w:val="18"/>
                            <w:szCs w:val="18"/>
                          </w:rPr>
                          <w:t>资失误造成损失的重大缺陷标准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r>
                          <w:rPr>
                            <w:rFonts w:ascii="宋体" w:hAnsi="宋体" w:cs="宋体" w:eastAsia="宋体" w:hint="default"/>
                            <w:w w:val="99"/>
                            <w:sz w:val="18"/>
                            <w:szCs w:val="18"/>
                          </w:rPr>
                          <w:t>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万元；重要缺陷标准</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万元之间；一般缺陷标准</w:t>
                        </w:r>
                        <w:r>
                          <w:rPr>
                            <w:rFonts w:ascii="Times New Roman" w:hAnsi="Times New Roman" w:cs="Times New Roman" w:eastAsia="Times New Roman"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万元；对外担保失误造成损失</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的重大缺陷标准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万元；重要 缺陷标准</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 一般缺陷标准</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 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BodyText"/>
        <w:spacing w:line="240" w:lineRule="auto" w:before="44"/>
        <w:ind w:left="0" w:right="12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44"/>
        <w:ind w:left="0" w:right="125"/>
        <w:jc w:val="right"/>
      </w:pPr>
      <w:r>
        <w:rPr/>
        <w:t>、</w:t>
      </w:r>
    </w:p>
    <w:p>
      <w:pPr>
        <w:spacing w:after="0" w:line="240" w:lineRule="auto"/>
        <w:jc w:val="righ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0" w:right="123"/>
        <w:jc w:val="right"/>
      </w:pPr>
      <w:r>
        <w:rPr/>
        <w:pict>
          <v:shape style="position:absolute;margin-left:58.223999pt;margin-top:-190.838303pt;width:479.15pt;height:50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1"/>
                    <w:gridCol w:w="6917"/>
                  </w:tblGrid>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59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84" w:right="21" w:hanging="36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云南南天电子信息产业股份有限公司全体股东： </w:t>
                        </w:r>
                        <w:r>
                          <w:rPr>
                            <w:rFonts w:ascii="宋体" w:hAnsi="宋体" w:cs="宋体" w:eastAsia="宋体" w:hint="default"/>
                            <w:spacing w:val="-1"/>
                            <w:sz w:val="18"/>
                            <w:szCs w:val="18"/>
                          </w:rPr>
                          <w:t>按照《企业内部控制审计指引》及中国注册会计师执业准则的相关要求，我们审计了云南南天电子信息产业股份有限</w:t>
                        </w:r>
                      </w:p>
                      <w:p>
                        <w:pPr>
                          <w:pStyle w:val="TableParagraph"/>
                          <w:spacing w:line="236"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公司（以下简称</w:t>
                        </w:r>
                        <w:r>
                          <w:rPr>
                            <w:rFonts w:ascii="Arial Narrow" w:hAnsi="Arial Narrow" w:cs="Arial Narrow" w:eastAsia="Arial Narrow" w:hint="default"/>
                            <w:sz w:val="18"/>
                            <w:szCs w:val="18"/>
                          </w:rPr>
                          <w:t>“</w:t>
                        </w:r>
                        <w:r>
                          <w:rPr>
                            <w:rFonts w:ascii="宋体" w:hAnsi="宋体" w:cs="宋体" w:eastAsia="宋体" w:hint="default"/>
                            <w:sz w:val="18"/>
                            <w:szCs w:val="18"/>
                          </w:rPr>
                          <w:t>南天信息</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2017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日的财务报告内部控制的有效性。</w:t>
                        </w:r>
                      </w:p>
                      <w:p>
                        <w:pPr>
                          <w:pStyle w:val="TableParagraph"/>
                          <w:spacing w:line="360" w:lineRule="auto" w:before="104"/>
                          <w:ind w:left="384" w:right="19"/>
                          <w:jc w:val="left"/>
                          <w:rPr>
                            <w:rFonts w:ascii="宋体" w:hAnsi="宋体" w:cs="宋体" w:eastAsia="宋体" w:hint="default"/>
                            <w:sz w:val="18"/>
                            <w:szCs w:val="18"/>
                          </w:rPr>
                        </w:pPr>
                        <w:r>
                          <w:rPr>
                            <w:rFonts w:ascii="宋体" w:hAnsi="宋体" w:cs="宋体" w:eastAsia="宋体" w:hint="default"/>
                            <w:b/>
                            <w:bCs/>
                            <w:sz w:val="18"/>
                            <w:szCs w:val="18"/>
                          </w:rPr>
                          <w:t>一、企业对内部控制的责任</w:t>
                        </w:r>
                        <w:r>
                          <w:rPr>
                            <w:rFonts w:ascii="宋体" w:hAnsi="宋体" w:cs="宋体" w:eastAsia="宋体" w:hint="default"/>
                            <w:b/>
                            <w:bCs/>
                            <w:w w:val="99"/>
                            <w:sz w:val="18"/>
                            <w:szCs w:val="18"/>
                          </w:rPr>
                          <w:t> </w:t>
                        </w:r>
                        <w:r>
                          <w:rPr>
                            <w:rFonts w:ascii="宋体" w:hAnsi="宋体" w:cs="宋体" w:eastAsia="宋体" w:hint="default"/>
                            <w:spacing w:val="-8"/>
                            <w:sz w:val="18"/>
                            <w:szCs w:val="18"/>
                          </w:rPr>
                          <w:t>按照《企业内部控制基本规范》、《企业内部控制应用指引》、《企业内部控制评价指引》的规定，建立健全和有效实施</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内部控制，并评价其有效性是企业董事会的责任。</w:t>
                        </w:r>
                      </w:p>
                      <w:p>
                        <w:pPr>
                          <w:pStyle w:val="TableParagraph"/>
                          <w:spacing w:line="360" w:lineRule="auto" w:before="115"/>
                          <w:ind w:left="384" w:right="21"/>
                          <w:jc w:val="left"/>
                          <w:rPr>
                            <w:rFonts w:ascii="宋体" w:hAnsi="宋体" w:cs="宋体" w:eastAsia="宋体" w:hint="default"/>
                            <w:sz w:val="18"/>
                            <w:szCs w:val="18"/>
                          </w:rPr>
                        </w:pPr>
                        <w:r>
                          <w:rPr>
                            <w:rFonts w:ascii="宋体" w:hAnsi="宋体" w:cs="宋体" w:eastAsia="宋体" w:hint="default"/>
                            <w:b/>
                            <w:bCs/>
                            <w:sz w:val="18"/>
                            <w:szCs w:val="18"/>
                          </w:rPr>
                          <w:t>二、注册会计师的责任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我们的责任是在实施审计工作的基础上，对财务报告内部控制的有效性发表审计意见，并对注意到的非财务报告内部</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控制的重大缺陷进行披露。</w:t>
                        </w:r>
                      </w:p>
                      <w:p>
                        <w:pPr>
                          <w:pStyle w:val="TableParagraph"/>
                          <w:spacing w:line="357" w:lineRule="auto" w:before="117"/>
                          <w:ind w:left="384" w:right="110"/>
                          <w:jc w:val="left"/>
                          <w:rPr>
                            <w:rFonts w:ascii="宋体" w:hAnsi="宋体" w:cs="宋体" w:eastAsia="宋体" w:hint="default"/>
                            <w:sz w:val="18"/>
                            <w:szCs w:val="18"/>
                          </w:rPr>
                        </w:pPr>
                        <w:r>
                          <w:rPr>
                            <w:rFonts w:ascii="宋体" w:hAnsi="宋体" w:cs="宋体" w:eastAsia="宋体" w:hint="default"/>
                            <w:b/>
                            <w:bCs/>
                            <w:sz w:val="18"/>
                            <w:szCs w:val="18"/>
                          </w:rPr>
                          <w:t>三、内部控制的固有局限性</w:t>
                        </w:r>
                        <w:r>
                          <w:rPr>
                            <w:rFonts w:ascii="宋体" w:hAnsi="宋体" w:cs="宋体" w:eastAsia="宋体" w:hint="default"/>
                            <w:b/>
                            <w:bCs/>
                            <w:w w:val="99"/>
                            <w:sz w:val="18"/>
                            <w:szCs w:val="18"/>
                          </w:rPr>
                          <w:t> </w:t>
                        </w:r>
                        <w:r>
                          <w:rPr>
                            <w:rFonts w:ascii="宋体" w:hAnsi="宋体" w:cs="宋体" w:eastAsia="宋体" w:hint="default"/>
                            <w:spacing w:val="-3"/>
                            <w:sz w:val="18"/>
                            <w:szCs w:val="18"/>
                          </w:rPr>
                          <w:t>内部控制具有固有局限性，存在不能防止和发现错报的可能性。此外，由于情况的变化可能导致内部控制变得不恰当</w:t>
                        </w:r>
                      </w:p>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或对控制政策和程序遵循的程度降低，根据内部控制审计结果推测未来内部控制的有效性具有一定风险。</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b/>
                            <w:bCs/>
                            <w:sz w:val="18"/>
                            <w:szCs w:val="18"/>
                          </w:rPr>
                          <w:t>四、财务报告内部控制审计意见</w:t>
                        </w:r>
                        <w:r>
                          <w:rPr>
                            <w:rFonts w:ascii="宋体" w:hAnsi="宋体" w:cs="宋体" w:eastAsia="宋体" w:hint="default"/>
                            <w:sz w:val="18"/>
                            <w:szCs w:val="18"/>
                          </w:rPr>
                        </w:r>
                      </w:p>
                      <w:p>
                        <w:pPr>
                          <w:pStyle w:val="TableParagraph"/>
                          <w:spacing w:line="302" w:lineRule="auto" w:before="117"/>
                          <w:ind w:left="24" w:right="18" w:firstLine="360"/>
                          <w:jc w:val="left"/>
                          <w:rPr>
                            <w:rFonts w:ascii="宋体" w:hAnsi="宋体" w:cs="宋体" w:eastAsia="宋体" w:hint="default"/>
                            <w:sz w:val="18"/>
                            <w:szCs w:val="18"/>
                          </w:rPr>
                        </w:pPr>
                        <w:r>
                          <w:rPr>
                            <w:rFonts w:ascii="宋体" w:hAnsi="宋体" w:cs="宋体" w:eastAsia="宋体" w:hint="default"/>
                            <w:sz w:val="18"/>
                            <w:szCs w:val="18"/>
                          </w:rPr>
                          <w:t>我们认为，南天信息于</w:t>
                        </w:r>
                        <w:r>
                          <w:rPr>
                            <w:rFonts w:ascii="宋体" w:hAnsi="宋体" w:cs="宋体" w:eastAsia="宋体" w:hint="default"/>
                            <w:spacing w:val="-54"/>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6"/>
                            <w:sz w:val="18"/>
                            <w:szCs w:val="18"/>
                          </w:rPr>
                          <w:t> </w:t>
                        </w:r>
                        <w:r>
                          <w:rPr>
                            <w:rFonts w:ascii="宋体" w:hAnsi="宋体" w:cs="宋体" w:eastAsia="宋体" w:hint="default"/>
                            <w:sz w:val="18"/>
                            <w:szCs w:val="18"/>
                          </w:rPr>
                          <w:t>日按照《企业内部控制基本规范》和相关规定在所有重大方面保持了有效的财 务报告内部控制。</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tabs>
                            <w:tab w:pos="4527" w:val="left" w:leader="none"/>
                          </w:tabs>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tab/>
                          <w:t>中国注册会计师：杨漫辉</w:t>
                        </w:r>
                      </w:p>
                      <w:p>
                        <w:pPr>
                          <w:pStyle w:val="TableParagraph"/>
                          <w:spacing w:line="360" w:lineRule="auto" w:before="115"/>
                          <w:ind w:left="4524" w:right="3051" w:firstLine="180"/>
                          <w:jc w:val="left"/>
                          <w:rPr>
                            <w:rFonts w:ascii="宋体" w:hAnsi="宋体" w:cs="宋体" w:eastAsia="宋体" w:hint="default"/>
                            <w:sz w:val="18"/>
                            <w:szCs w:val="18"/>
                          </w:rPr>
                        </w:pPr>
                        <w:r>
                          <w:rPr>
                            <w:rFonts w:ascii="宋体" w:hAnsi="宋体" w:cs="宋体" w:eastAsia="宋体" w:hint="default"/>
                            <w:sz w:val="18"/>
                            <w:szCs w:val="18"/>
                          </w:rPr>
                          <w:t>（项目合伙人） 中国注册会计师：雷小兵</w:t>
                        </w:r>
                      </w:p>
                      <w:p>
                        <w:pPr>
                          <w:pStyle w:val="TableParagraph"/>
                          <w:tabs>
                            <w:tab w:pos="4680" w:val="left" w:leader="none"/>
                          </w:tabs>
                          <w:spacing w:line="240" w:lineRule="auto" w:before="27"/>
                          <w:ind w:left="1643" w:right="0"/>
                          <w:jc w:val="left"/>
                          <w:rPr>
                            <w:rFonts w:ascii="宋体" w:hAnsi="宋体" w:cs="宋体" w:eastAsia="宋体" w:hint="default"/>
                            <w:sz w:val="18"/>
                            <w:szCs w:val="18"/>
                          </w:rPr>
                        </w:pP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武汉</w:t>
                          <w:tab/>
                        </w:r>
                        <w:r>
                          <w:rPr>
                            <w:rFonts w:ascii="宋体" w:hAnsi="宋体" w:cs="宋体" w:eastAsia="宋体" w:hint="default"/>
                            <w:sz w:val="18"/>
                            <w:szCs w:val="18"/>
                          </w:rPr>
                          <w:t>二〇一七年三月十九日</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详见巨潮资讯网（</w:t>
                        </w:r>
                        <w:r>
                          <w:rPr>
                            <w:rFonts w:ascii="Times New Roman" w:hAnsi="Times New Roman" w:cs="Times New Roman" w:eastAsia="Times New Roman" w:hint="default"/>
                            <w:sz w:val="18"/>
                            <w:szCs w:val="18"/>
                          </w:rPr>
                          <w:t>http://www.cninfo.com.cn)</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0"/>
        <w:jc w:val="left"/>
      </w:pPr>
      <w:r>
        <w:rPr/>
        <w:t>会计师事务所是否出具非标准意见的内部控制审计报告</w:t>
      </w:r>
    </w:p>
    <w:p>
      <w:pPr>
        <w:pStyle w:val="BodyText"/>
        <w:spacing w:line="340" w:lineRule="auto" w:before="115"/>
        <w:ind w:right="3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060"/>
        <w:jc w:val="center"/>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(2018)160018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杨漫辉、雷小兵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360" w:lineRule="auto"/>
        <w:ind w:left="515" w:right="0" w:hanging="363"/>
        <w:jc w:val="left"/>
        <w:rPr>
          <w:b w:val="0"/>
          <w:bCs w:val="0"/>
        </w:rPr>
      </w:pPr>
      <w:r>
        <w:rPr>
          <w:w w:val="95"/>
        </w:rPr>
        <w:t>云南南天电子信息产业股份有限公司全体股东：</w:t>
      </w:r>
      <w:r>
        <w:rPr>
          <w:spacing w:val="14"/>
          <w:w w:val="95"/>
        </w:rPr>
        <w:t> </w:t>
      </w:r>
      <w:r>
        <w:rPr>
          <w:spacing w:val="14"/>
          <w:w w:val="95"/>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80"/>
          <w:cols w:num="2" w:equalWidth="0">
            <w:col w:w="3947" w:space="333"/>
            <w:col w:w="5670"/>
          </w:cols>
        </w:sectPr>
      </w:pPr>
    </w:p>
    <w:p>
      <w:pPr>
        <w:pStyle w:val="BodyText"/>
        <w:spacing w:line="451" w:lineRule="auto" w:before="104"/>
        <w:ind w:right="148" w:firstLine="360"/>
        <w:jc w:val="both"/>
      </w:pPr>
      <w:r>
        <w:rPr/>
        <w:t>我们审计了云南南天电子信息产业股份有限公司（以下简称</w:t>
      </w:r>
      <w:r>
        <w:rPr>
          <w:rFonts w:ascii="Times New Roman" w:hAnsi="Times New Roman" w:cs="Times New Roman" w:eastAsia="Times New Roman" w:hint="default"/>
        </w:rPr>
        <w:t>“</w:t>
      </w:r>
      <w:r>
        <w:rPr/>
        <w:t>南天信息</w:t>
      </w:r>
      <w:r>
        <w:rPr>
          <w:rFonts w:ascii="Times New Roman" w:hAnsi="Times New Roman" w:cs="Times New Roman" w:eastAsia="Times New Roman" w:hint="default"/>
        </w:rPr>
        <w:t>”</w:t>
      </w:r>
      <w:r>
        <w:rPr/>
        <w:t>）财务报表，包括</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 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年度的合并及母公司利润表、合并及母公司现金流量表、合并及母公司所有者权益变动表，以及 财务报表附注。</w:t>
      </w:r>
    </w:p>
    <w:p>
      <w:pPr>
        <w:pStyle w:val="BodyText"/>
        <w:spacing w:line="240" w:lineRule="auto" w:before="35"/>
        <w:ind w:left="513" w:right="0"/>
        <w:jc w:val="left"/>
      </w:pPr>
      <w:r>
        <w:rPr/>
        <w:t>我们认为，后附的财务报表在所有重大方面按照企业会计准则的规定编制，公允反映了南天信息</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日的</w:t>
      </w:r>
    </w:p>
    <w:p>
      <w:pPr>
        <w:pStyle w:val="BodyText"/>
        <w:spacing w:line="240" w:lineRule="auto" w:before="63"/>
        <w:ind w:right="0"/>
        <w:jc w:val="left"/>
      </w:pPr>
      <w:r>
        <w:rPr/>
        <w:t>合并及母公司财务状况以及</w:t>
      </w:r>
      <w:r>
        <w:rPr>
          <w:spacing w:val="-46"/>
        </w:rPr>
        <w:t> </w:t>
      </w:r>
      <w:r>
        <w:rPr>
          <w:rFonts w:ascii="Times New Roman" w:hAnsi="Times New Roman" w:cs="Times New Roman" w:eastAsia="Times New Roman" w:hint="default"/>
        </w:rPr>
        <w:t>2017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60" w:lineRule="auto"/>
        <w:ind w:left="513"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199" w:lineRule="exact"/>
        <w:ind w:right="0"/>
        <w:jc w:val="left"/>
      </w:pPr>
      <w:r>
        <w:rPr/>
        <w:t>阐述了我们在这些准则下的责任。按照中国注册会计师职业道德守则，我们独立于南天信息，并履行了职业道德方面的其他</w:t>
      </w:r>
    </w:p>
    <w:p>
      <w:pPr>
        <w:pStyle w:val="BodyText"/>
        <w:spacing w:line="240" w:lineRule="auto" w:before="76"/>
        <w:ind w:right="0"/>
        <w:jc w:val="left"/>
      </w:pPr>
      <w:r>
        <w:rPr/>
        <w:t>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57" w:lineRule="auto"/>
        <w:ind w:left="513" w:right="0" w:hanging="39"/>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4" w:lineRule="exact"/>
        <w:ind w:right="0"/>
        <w:jc w:val="left"/>
      </w:pPr>
      <w:r>
        <w:rPr/>
        <w:t>审计并形成审计意见为背景，我们不对这些事项单独发表意见。</w:t>
      </w:r>
    </w:p>
    <w:p>
      <w:pPr>
        <w:pStyle w:val="BodyText"/>
        <w:spacing w:line="240" w:lineRule="auto" w:before="117"/>
        <w:ind w:left="513" w:right="0"/>
        <w:jc w:val="left"/>
      </w:pPr>
      <w:r>
        <w:rPr/>
        <w:t>（一）收入确认</w:t>
      </w:r>
    </w:p>
    <w:p>
      <w:pPr>
        <w:pStyle w:val="BodyText"/>
        <w:spacing w:line="340" w:lineRule="auto" w:before="115"/>
        <w:ind w:left="513" w:right="1133"/>
        <w:jc w:val="left"/>
      </w:pPr>
      <w:r>
        <w:rPr>
          <w:rFonts w:ascii="Times New Roman" w:hAnsi="Times New Roman" w:cs="Times New Roman" w:eastAsia="Times New Roman" w:hint="default"/>
        </w:rPr>
        <w:t>1</w:t>
      </w:r>
      <w:r>
        <w:rPr/>
        <w:t>、事项描述 南天信息的主营业务主要分为三类：系统集成、软件开发、信息产品，各类业务的收入确认标准分别为：</w:t>
      </w:r>
    </w:p>
    <w:p>
      <w:pPr>
        <w:pStyle w:val="BodyText"/>
        <w:spacing w:line="309" w:lineRule="auto" w:before="41"/>
        <w:ind w:right="150" w:firstLine="360"/>
        <w:jc w:val="both"/>
      </w:pPr>
      <w:r>
        <w:rPr/>
        <w:t>（</w:t>
      </w:r>
      <w:r>
        <w:rPr>
          <w:rFonts w:ascii="Times New Roman" w:hAnsi="Times New Roman" w:cs="Times New Roman" w:eastAsia="Times New Roman" w:hint="default"/>
        </w:rPr>
        <w:t>1</w:t>
      </w:r>
      <w:r>
        <w:rPr/>
        <w:t>）集成业务：是指根据客户的需求，为其数据平台建设和升级提供规划设计、软硬件选型、开发实施以及安装调试 </w:t>
      </w:r>
      <w:r>
        <w:rPr>
          <w:spacing w:val="-2"/>
        </w:rPr>
        <w:t>等工作的过程。系统集成业务主要分为两类，一类是在按照合同约定内容向购买方移交了所提供的软硬件产品、并完成安装</w:t>
      </w:r>
      <w:r>
        <w:rPr>
          <w:spacing w:val="-63"/>
        </w:rPr>
        <w:t> </w:t>
      </w:r>
      <w:r>
        <w:rPr>
          <w:spacing w:val="-63"/>
        </w:rPr>
      </w:r>
      <w:r>
        <w:rPr/>
        <w:t>调试，取得了购买方的验收报告，确认系统集成收入。一类是系统集成维保服务业务，以合同约定的服务期限确认收入；</w:t>
      </w:r>
    </w:p>
    <w:p>
      <w:pPr>
        <w:pStyle w:val="BodyText"/>
        <w:spacing w:line="309" w:lineRule="auto" w:before="62"/>
        <w:ind w:right="152" w:firstLine="360"/>
        <w:jc w:val="both"/>
      </w:pPr>
      <w:r>
        <w:rPr/>
        <w:t>（</w:t>
      </w:r>
      <w:r>
        <w:rPr>
          <w:rFonts w:ascii="Times New Roman" w:hAnsi="Times New Roman" w:cs="Times New Roman" w:eastAsia="Times New Roman" w:hint="default"/>
        </w:rPr>
        <w:t>2</w:t>
      </w:r>
      <w:r>
        <w:rPr/>
        <w:t>）软件开发：主要是针对数据平台所涉及的操作系统、虚拟化、服务器、中间件、数据库、存储设备、备份软件等 </w:t>
      </w:r>
      <w:r>
        <w:rPr>
          <w:spacing w:val="-2"/>
        </w:rPr>
        <w:t>多品牌产品，提供从咨询、运维、优化和提升等各阶段专业服务。对于一次性提供的专业服务，在服务已经完成，取得客户</w:t>
      </w:r>
      <w:r>
        <w:rPr>
          <w:spacing w:val="-67"/>
        </w:rPr>
        <w:t> </w:t>
      </w:r>
      <w:r>
        <w:rPr>
          <w:spacing w:val="-67"/>
        </w:rPr>
      </w:r>
      <w:r>
        <w:rPr/>
        <w:t>对相关服务的确认单后确认收入；对于需要在一定期限内提供的专业服务，按照完工百分比确认收入；</w:t>
      </w:r>
    </w:p>
    <w:p>
      <w:pPr>
        <w:pStyle w:val="BodyText"/>
        <w:spacing w:line="300" w:lineRule="auto" w:before="65"/>
        <w:ind w:right="159" w:firstLine="360"/>
        <w:jc w:val="both"/>
      </w:pPr>
      <w:r>
        <w:rPr/>
        <w:t>（</w:t>
      </w:r>
      <w:r>
        <w:rPr>
          <w:rFonts w:ascii="Times New Roman" w:hAnsi="Times New Roman" w:cs="Times New Roman" w:eastAsia="Times New Roman" w:hint="default"/>
        </w:rPr>
        <w:t>3</w:t>
      </w:r>
      <w:r>
        <w:rPr/>
        <w:t>）信息产品：主要是自产信息产品的销售，产品销售在按照合同约定向购买方移交了产品并取得签收凭证时确认收 入。</w:t>
      </w:r>
    </w:p>
    <w:p>
      <w:pPr>
        <w:spacing w:after="0" w:line="300" w:lineRule="auto"/>
        <w:jc w:val="both"/>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89" w:firstLine="360"/>
        <w:jc w:val="both"/>
      </w:pPr>
      <w:r>
        <w:rPr>
          <w:spacing w:val="-2"/>
        </w:rPr>
        <w:t>上述几类业务，由于系统集成的验收单以及信息产品的到货签收单的取得需要与客户进行对接，其取得时点因为客户的</w:t>
      </w:r>
      <w:r>
        <w:rPr/>
        <w:t> </w:t>
      </w:r>
      <w:r>
        <w:rPr>
          <w:spacing w:val="-2"/>
        </w:rPr>
        <w:t>人为或其他不可控因素具有不可控制性；软件开发完工百分比的确认，主要依靠专业人士估计和判断项目进展是否达到合同</w:t>
      </w:r>
      <w:r>
        <w:rPr>
          <w:spacing w:val="-64"/>
        </w:rPr>
        <w:t> </w:t>
      </w:r>
      <w:r>
        <w:rPr>
          <w:spacing w:val="-64"/>
        </w:rPr>
      </w:r>
      <w:r>
        <w:rPr>
          <w:spacing w:val="-2"/>
        </w:rPr>
        <w:t>规定的情况；收入是南天信息的关键业绩指标之一，对财务报表影响重大，从而存在管理层为了达到特定目标或期望而操纵</w:t>
      </w:r>
      <w:r>
        <w:rPr>
          <w:spacing w:val="-62"/>
        </w:rPr>
        <w:t> </w:t>
      </w:r>
      <w:r>
        <w:rPr>
          <w:spacing w:val="-62"/>
        </w:rPr>
      </w:r>
      <w:r>
        <w:rPr/>
        <w:t>收入确认时点的固有风险；综合以上原因，我们将其认定为关键审计事项。</w:t>
      </w:r>
    </w:p>
    <w:p>
      <w:pPr>
        <w:pStyle w:val="BodyText"/>
        <w:spacing w:line="240" w:lineRule="auto" w:before="58"/>
        <w:ind w:left="513" w:right="6753"/>
        <w:jc w:val="left"/>
      </w:pPr>
      <w:r>
        <w:rPr>
          <w:rFonts w:ascii="Times New Roman" w:hAnsi="Times New Roman" w:cs="Times New Roman" w:eastAsia="Times New Roman" w:hint="default"/>
        </w:rPr>
        <w:t>2</w:t>
      </w:r>
      <w:r>
        <w:rPr/>
        <w:t>、审计应对</w:t>
      </w:r>
    </w:p>
    <w:p>
      <w:pPr>
        <w:pStyle w:val="BodyText"/>
        <w:spacing w:line="309" w:lineRule="auto" w:before="101"/>
        <w:ind w:right="93" w:firstLine="360"/>
        <w:jc w:val="left"/>
      </w:pPr>
      <w:r>
        <w:rPr/>
        <w:t>（</w:t>
      </w:r>
      <w:r>
        <w:rPr>
          <w:rFonts w:ascii="Times New Roman" w:hAnsi="Times New Roman" w:cs="Times New Roman" w:eastAsia="Times New Roman" w:hint="default"/>
        </w:rPr>
        <w:t>1</w:t>
      </w:r>
      <w:r>
        <w:rPr/>
        <w:t>）我们通过与管理层的访谈，了解和评估了南天信息的收入确认政策，对收入的关键内部控制进行了测试。我们选 取南天信息的相关业务合同，对主要合同条款进行分析，根据判断结果与收入明细表进行核对，检查合同金额、客户名称、 收入确认金额是否相符。</w:t>
      </w:r>
    </w:p>
    <w:p>
      <w:pPr>
        <w:pStyle w:val="BodyText"/>
        <w:spacing w:line="300" w:lineRule="auto" w:before="65"/>
        <w:ind w:right="183" w:firstLine="360"/>
        <w:jc w:val="left"/>
      </w:pPr>
      <w:r>
        <w:rPr/>
        <w:t>（</w:t>
      </w:r>
      <w:r>
        <w:rPr>
          <w:rFonts w:ascii="Times New Roman" w:hAnsi="Times New Roman" w:cs="Times New Roman" w:eastAsia="Times New Roman" w:hint="default"/>
        </w:rPr>
        <w:t>2</w:t>
      </w:r>
      <w:r>
        <w:rPr/>
        <w:t>）对于系统集成收入：检查了主要合同的验收报告，根据合同规定的服务期限验证南天信息分期确认收入的金额是 否正确；</w:t>
      </w:r>
    </w:p>
    <w:p>
      <w:pPr>
        <w:pStyle w:val="BodyText"/>
        <w:spacing w:line="300" w:lineRule="auto" w:before="72"/>
        <w:ind w:right="183" w:firstLine="360"/>
        <w:jc w:val="left"/>
      </w:pPr>
      <w:r>
        <w:rPr/>
        <w:t>（</w:t>
      </w:r>
      <w:r>
        <w:rPr>
          <w:rFonts w:ascii="Times New Roman" w:hAnsi="Times New Roman" w:cs="Times New Roman" w:eastAsia="Times New Roman" w:hint="default"/>
        </w:rPr>
        <w:t>3</w:t>
      </w:r>
      <w:r>
        <w:rPr/>
        <w:t>）对于软件开发收入：了解完工百分比的计算标准并选取样本进行检查；选取合同样本，与项目负责人讨论完工进 度，并与账面记录进行比较；</w:t>
      </w:r>
    </w:p>
    <w:p>
      <w:pPr>
        <w:pStyle w:val="BodyText"/>
        <w:spacing w:line="240" w:lineRule="auto" w:before="70"/>
        <w:ind w:left="513" w:right="93"/>
        <w:jc w:val="left"/>
      </w:pPr>
      <w:r>
        <w:rPr/>
        <w:t>（</w:t>
      </w:r>
      <w:r>
        <w:rPr>
          <w:rFonts w:ascii="Times New Roman" w:hAnsi="Times New Roman" w:cs="Times New Roman" w:eastAsia="Times New Roman" w:hint="default"/>
        </w:rPr>
        <w:t>4</w:t>
      </w:r>
      <w:r>
        <w:rPr/>
        <w:t>）对于信息产品销售收入：我们检查了客户签收单，确定南天信息是否收到签收单后确认收入。</w:t>
      </w:r>
    </w:p>
    <w:p>
      <w:pPr>
        <w:pStyle w:val="BodyText"/>
        <w:spacing w:line="240" w:lineRule="auto" w:before="103"/>
        <w:ind w:left="513" w:right="6753"/>
        <w:jc w:val="left"/>
      </w:pPr>
      <w:r>
        <w:rPr/>
        <w:t>（二）在产品存货的确认</w:t>
      </w:r>
    </w:p>
    <w:p>
      <w:pPr>
        <w:pStyle w:val="BodyText"/>
        <w:spacing w:line="240" w:lineRule="auto" w:before="117"/>
        <w:ind w:left="513" w:right="6753"/>
        <w:jc w:val="left"/>
      </w:pPr>
      <w:r>
        <w:rPr>
          <w:rFonts w:ascii="Times New Roman" w:hAnsi="Times New Roman" w:cs="Times New Roman" w:eastAsia="Times New Roman" w:hint="default"/>
        </w:rPr>
        <w:t>1</w:t>
      </w:r>
      <w:r>
        <w:rPr/>
        <w:t>、事项描述</w:t>
      </w:r>
    </w:p>
    <w:p>
      <w:pPr>
        <w:pStyle w:val="BodyText"/>
        <w:spacing w:line="240" w:lineRule="auto" w:before="101"/>
        <w:ind w:left="513" w:right="93"/>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日，南天信息存货包含原材料、库存商品以及在产品，合并财务报表附注所示存货账面价值为人</w:t>
      </w:r>
    </w:p>
    <w:p>
      <w:pPr>
        <w:pStyle w:val="BodyText"/>
        <w:spacing w:line="300" w:lineRule="auto" w:before="63"/>
        <w:ind w:right="230"/>
        <w:jc w:val="both"/>
      </w:pPr>
      <w:r>
        <w:rPr/>
        <w:t>民币</w:t>
      </w:r>
      <w:r>
        <w:rPr>
          <w:spacing w:val="-48"/>
        </w:rPr>
        <w:t> </w:t>
      </w:r>
      <w:r>
        <w:rPr>
          <w:rFonts w:ascii="Times New Roman" w:hAnsi="Times New Roman" w:cs="Times New Roman" w:eastAsia="Times New Roman" w:hint="default"/>
        </w:rPr>
        <w:t>562,673,982.79 </w:t>
      </w:r>
      <w:r>
        <w:rPr/>
        <w:t>元，占合并报表资产总额的</w:t>
      </w:r>
      <w:r>
        <w:rPr>
          <w:spacing w:val="-47"/>
        </w:rPr>
        <w:t> </w:t>
      </w:r>
      <w:r>
        <w:rPr>
          <w:rFonts w:ascii="Times New Roman" w:hAnsi="Times New Roman" w:cs="Times New Roman" w:eastAsia="Times New Roman" w:hint="default"/>
        </w:rPr>
        <w:t>20.28%</w:t>
      </w:r>
      <w:r>
        <w:rPr/>
        <w:t>；其中在产品金额为</w:t>
      </w:r>
      <w:r>
        <w:rPr>
          <w:spacing w:val="-48"/>
        </w:rPr>
        <w:t> </w:t>
      </w:r>
      <w:r>
        <w:rPr>
          <w:rFonts w:ascii="Times New Roman" w:hAnsi="Times New Roman" w:cs="Times New Roman" w:eastAsia="Times New Roman" w:hint="default"/>
        </w:rPr>
        <w:t>433,571,591.45</w:t>
      </w:r>
      <w:r>
        <w:rPr>
          <w:rFonts w:ascii="Times New Roman" w:hAnsi="Times New Roman" w:cs="Times New Roman" w:eastAsia="Times New Roman" w:hint="default"/>
          <w:spacing w:val="42"/>
        </w:rPr>
        <w:t> </w:t>
      </w:r>
      <w:r>
        <w:rPr/>
        <w:t>元，主要是集成项目硬件设备 成本以及归集的其他成本，占存货账面价值的</w:t>
      </w:r>
      <w:r>
        <w:rPr>
          <w:spacing w:val="-47"/>
        </w:rPr>
        <w:t> </w:t>
      </w:r>
      <w:r>
        <w:rPr>
          <w:rFonts w:ascii="Times New Roman" w:hAnsi="Times New Roman" w:cs="Times New Roman" w:eastAsia="Times New Roman" w:hint="default"/>
        </w:rPr>
        <w:t>77.06%</w:t>
      </w:r>
      <w:r>
        <w:rPr/>
        <w:t>，由于部分存货没有实物形态，且金额较大，期末余额的真实性及准 确性确认对财务报表的影响非常大，因此将其作为关键审计事项。</w:t>
      </w:r>
    </w:p>
    <w:p>
      <w:pPr>
        <w:pStyle w:val="BodyText"/>
        <w:spacing w:line="240" w:lineRule="auto" w:before="72"/>
        <w:ind w:left="513" w:right="6753"/>
        <w:jc w:val="left"/>
      </w:pPr>
      <w:r>
        <w:rPr>
          <w:rFonts w:ascii="Times New Roman" w:hAnsi="Times New Roman" w:cs="Times New Roman" w:eastAsia="Times New Roman" w:hint="default"/>
        </w:rPr>
        <w:t>2</w:t>
      </w:r>
      <w:r>
        <w:rPr/>
        <w:t>、审计应对</w:t>
      </w:r>
    </w:p>
    <w:p>
      <w:pPr>
        <w:pStyle w:val="BodyText"/>
        <w:spacing w:line="312" w:lineRule="auto" w:before="103"/>
        <w:ind w:right="190" w:firstLine="360"/>
        <w:jc w:val="both"/>
      </w:pPr>
      <w:r>
        <w:rPr/>
        <w:t>（</w:t>
      </w:r>
      <w:r>
        <w:rPr>
          <w:rFonts w:ascii="Times New Roman" w:hAnsi="Times New Roman" w:cs="Times New Roman" w:eastAsia="Times New Roman" w:hint="default"/>
        </w:rPr>
        <w:t>1</w:t>
      </w:r>
      <w:r>
        <w:rPr/>
        <w:t>）针对硬件设备成本：主要核算系统集成项目发出的硬件产品，我们通过盘点程序证明该存货的真实性；通过向供 </w:t>
      </w:r>
      <w:r>
        <w:rPr>
          <w:spacing w:val="-2"/>
        </w:rPr>
        <w:t>应商函证等程序证明该部分存货的准确性，对于未回函部分执行替代程序，替代程序主要包括检查相关的销售合同确认是否</w:t>
      </w:r>
      <w:r>
        <w:rPr>
          <w:spacing w:val="-64"/>
        </w:rPr>
        <w:t> </w:t>
      </w:r>
      <w:r>
        <w:rPr>
          <w:spacing w:val="-64"/>
        </w:rPr>
      </w:r>
      <w:r>
        <w:rPr>
          <w:spacing w:val="-2"/>
        </w:rPr>
        <w:t>存在延期确认收入的情况，取得该部分合同的项目进展明细清单，检查归集成本的原始凭证，证明该部分存货的真实性及准</w:t>
      </w:r>
      <w:r>
        <w:rPr>
          <w:spacing w:val="-63"/>
        </w:rPr>
        <w:t> </w:t>
      </w:r>
      <w:r>
        <w:rPr>
          <w:spacing w:val="-63"/>
        </w:rPr>
      </w:r>
      <w:r>
        <w:rPr/>
        <w:t>确性。</w:t>
      </w:r>
    </w:p>
    <w:p>
      <w:pPr>
        <w:pStyle w:val="BodyText"/>
        <w:spacing w:line="312" w:lineRule="auto" w:before="61"/>
        <w:ind w:right="190" w:firstLine="360"/>
        <w:jc w:val="both"/>
      </w:pPr>
      <w:r>
        <w:rPr/>
        <w:t>（</w:t>
      </w:r>
      <w:r>
        <w:rPr>
          <w:rFonts w:ascii="Times New Roman" w:hAnsi="Times New Roman" w:cs="Times New Roman" w:eastAsia="Times New Roman" w:hint="default"/>
        </w:rPr>
        <w:t>2</w:t>
      </w:r>
      <w:r>
        <w:rPr/>
        <w:t>）针对其他成本：我们通过与管理层的访谈，了解南天信息的成本费用归集划分标准，并判断其是否合理；分析各 </w:t>
      </w:r>
      <w:r>
        <w:rPr>
          <w:spacing w:val="-2"/>
        </w:rPr>
        <w:t>项其他成本的性质以及波动情况，结合其他相关实质性科目的审计，确认是否合理；我们选取南天信息的相关业务的其他成</w:t>
      </w:r>
      <w:r>
        <w:rPr>
          <w:spacing w:val="-66"/>
        </w:rPr>
        <w:t> </w:t>
      </w:r>
      <w:r>
        <w:rPr>
          <w:spacing w:val="-66"/>
        </w:rPr>
      </w:r>
      <w:r>
        <w:rPr>
          <w:spacing w:val="-2"/>
        </w:rPr>
        <w:t>本归集原始凭证，检查其执行是否与企业标准一致，是否存在成本费用划分不清楚的情况，证明该部分存货的真实性和准确</w:t>
      </w:r>
      <w:r>
        <w:rPr>
          <w:spacing w:val="-63"/>
        </w:rPr>
        <w:t> </w:t>
      </w:r>
      <w:r>
        <w:rPr>
          <w:spacing w:val="-63"/>
        </w:rPr>
      </w:r>
      <w:r>
        <w:rPr/>
        <w:t>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left="513" w:right="6753"/>
        <w:jc w:val="left"/>
        <w:rPr>
          <w:b w:val="0"/>
          <w:bCs w:val="0"/>
        </w:rPr>
      </w:pPr>
      <w:r>
        <w:rPr/>
        <w:t>四、其他信息</w:t>
      </w:r>
      <w:r>
        <w:rPr>
          <w:b w:val="0"/>
          <w:bCs w:val="0"/>
        </w:rPr>
      </w:r>
    </w:p>
    <w:p>
      <w:pPr>
        <w:pStyle w:val="BodyText"/>
        <w:spacing w:line="300" w:lineRule="auto" w:before="115"/>
        <w:ind w:right="184" w:firstLine="360"/>
        <w:jc w:val="left"/>
      </w:pPr>
      <w:r>
        <w:rPr/>
        <w:t>南天信息管理层对其他信息负责。其他信息包括南天信息</w:t>
      </w:r>
      <w:r>
        <w:rPr>
          <w:spacing w:val="-46"/>
        </w:rPr>
        <w:t> </w:t>
      </w:r>
      <w:r>
        <w:rPr>
          <w:rFonts w:ascii="Times New Roman" w:hAnsi="Times New Roman" w:cs="Times New Roman" w:eastAsia="Times New Roman" w:hint="default"/>
        </w:rPr>
        <w:t>2017 </w:t>
      </w:r>
      <w:r>
        <w:rPr/>
        <w:t>年年度报告中涵盖的信息，但不包括财务报表和我们的 审计报告。</w:t>
      </w:r>
    </w:p>
    <w:p>
      <w:pPr>
        <w:pStyle w:val="BodyText"/>
        <w:spacing w:line="360" w:lineRule="auto" w:before="72"/>
        <w:ind w:left="513" w:right="93"/>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2" w:lineRule="exact"/>
        <w:ind w:right="0"/>
        <w:jc w:val="both"/>
      </w:pPr>
      <w:r>
        <w:rPr/>
        <w:t>程中了解到的情况存在重大不一致或者似乎存在重大错报。</w:t>
      </w:r>
    </w:p>
    <w:p>
      <w:pPr>
        <w:pStyle w:val="BodyText"/>
        <w:spacing w:line="316" w:lineRule="auto" w:before="115"/>
        <w:ind w:right="93"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line="357" w:lineRule="auto" w:before="0"/>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南天信息管理层负责按照企业会计准则的规定编制财务报表，使其实现公允反映，并设计、执行和维护必要的内部控制，</w:t>
      </w:r>
    </w:p>
    <w:p>
      <w:pPr>
        <w:pStyle w:val="BodyText"/>
        <w:spacing w:line="224" w:lineRule="exact"/>
        <w:ind w:right="0"/>
        <w:jc w:val="both"/>
      </w:pPr>
      <w:r>
        <w:rPr/>
        <w:t>以使财务报表不存在由于舞弊或错误导致的重大错报。</w:t>
      </w:r>
    </w:p>
    <w:p>
      <w:pPr>
        <w:pStyle w:val="BodyText"/>
        <w:spacing w:line="240" w:lineRule="auto" w:before="117"/>
        <w:ind w:left="513" w:right="0"/>
        <w:jc w:val="left"/>
      </w:pPr>
      <w:r>
        <w:rPr/>
        <w:t>在编制财务报表时，管理层负责评估南天信息的持续经营能力，披露与持续经营相关的事项，并运用持续经营假设，除</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513" w:right="4773" w:hanging="360"/>
        <w:jc w:val="left"/>
      </w:pPr>
      <w:r>
        <w:rPr/>
        <w:t>非管理层计划清算南天信息、终止运营或别无其他现实的选择。 治理层负责监督南天信息的财务报告过程。</w:t>
      </w:r>
    </w:p>
    <w:p>
      <w:pPr>
        <w:spacing w:line="240" w:lineRule="auto" w:before="0"/>
        <w:rPr>
          <w:rFonts w:ascii="宋体" w:hAnsi="宋体" w:cs="宋体" w:eastAsia="宋体" w:hint="default"/>
          <w:sz w:val="18"/>
          <w:szCs w:val="18"/>
        </w:rPr>
      </w:pPr>
    </w:p>
    <w:p>
      <w:pPr>
        <w:spacing w:line="360" w:lineRule="auto" w:before="142"/>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22" w:lineRule="exact"/>
        <w:ind w:right="0"/>
        <w:jc w:val="left"/>
      </w:pPr>
      <w:r>
        <w:rPr/>
        <w:t>告。合理保证是高水平的保证，但并不能保证按照审计准则执行的审计在某一重大错报存在时总能发现。错报可能由于舞弊</w:t>
      </w:r>
    </w:p>
    <w:p>
      <w:pPr>
        <w:pStyle w:val="BodyText"/>
        <w:spacing w:line="316" w:lineRule="auto" w:before="76"/>
        <w:ind w:right="93"/>
        <w:jc w:val="left"/>
      </w:pPr>
      <w:r>
        <w:rPr>
          <w:spacing w:val="-2"/>
        </w:rPr>
        <w:t>或错误导致，如果合理预期错报单独或汇总起来可能影响财务报表使用者依据财务报表作出的经济决策，则通常认为错报是</w:t>
      </w:r>
      <w:r>
        <w:rPr>
          <w:spacing w:val="-62"/>
        </w:rPr>
        <w:t> </w:t>
      </w:r>
      <w:r>
        <w:rPr>
          <w:spacing w:val="-62"/>
        </w:rPr>
      </w:r>
      <w:r>
        <w:rPr/>
        <w:t>重大的。</w:t>
      </w:r>
    </w:p>
    <w:p>
      <w:pPr>
        <w:pStyle w:val="BodyText"/>
        <w:spacing w:line="240" w:lineRule="auto" w:before="57"/>
        <w:ind w:left="513" w:right="93"/>
        <w:jc w:val="left"/>
      </w:pPr>
      <w:r>
        <w:rPr/>
        <w:t>在按照审计准则执行审计工作的过程中，我们运用职业判断，并保持职业怀疑。同时，我们也执行以下工作：</w:t>
      </w:r>
    </w:p>
    <w:p>
      <w:pPr>
        <w:pStyle w:val="BodyText"/>
        <w:spacing w:line="319" w:lineRule="auto" w:before="117"/>
        <w:ind w:right="11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513" w:right="93"/>
        <w:jc w:val="left"/>
      </w:pPr>
      <w:r>
        <w:rPr/>
        <w:t>（二）了解与审计相关的内部控制，以设计恰当的审计程序。</w:t>
      </w:r>
    </w:p>
    <w:p>
      <w:pPr>
        <w:pStyle w:val="BodyText"/>
        <w:spacing w:line="240" w:lineRule="auto" w:before="115"/>
        <w:ind w:left="513" w:right="93"/>
        <w:jc w:val="left"/>
      </w:pPr>
      <w:r>
        <w:rPr/>
        <w:t>（三）评价管理层选用会计政策的恰当性和作出会计估计及相关披露的合理性。</w:t>
      </w:r>
    </w:p>
    <w:p>
      <w:pPr>
        <w:pStyle w:val="BodyText"/>
        <w:spacing w:line="316" w:lineRule="auto" w:before="117"/>
        <w:ind w:right="191" w:firstLine="360"/>
        <w:jc w:val="both"/>
      </w:pPr>
      <w:r>
        <w:rPr>
          <w:spacing w:val="-2"/>
        </w:rPr>
        <w:t>（四）对管理层使用持续经营假设的恰当性得出结论。同时，根据获取的审计证据，就可能导致对南天信息持续经营能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于截至审计报告日可获得的信息。然而，未来的事项或情况可能导致南天信息不能持续经营。</w:t>
      </w:r>
    </w:p>
    <w:p>
      <w:pPr>
        <w:pStyle w:val="BodyText"/>
        <w:spacing w:line="240" w:lineRule="auto" w:before="59"/>
        <w:ind w:left="513" w:right="93"/>
        <w:jc w:val="left"/>
      </w:pPr>
      <w:r>
        <w:rPr/>
        <w:t>（五）评价财务报表的总体列报、结构和内容（包括披露</w:t>
      </w:r>
      <w:r>
        <w:rPr>
          <w:spacing w:val="-92"/>
        </w:rPr>
        <w:t>）</w:t>
      </w:r>
      <w:r>
        <w:rPr>
          <w:spacing w:val="2"/>
        </w:rPr>
        <w:t>，</w:t>
      </w:r>
      <w:r>
        <w:rPr/>
        <w:t>并评价财务报表是否公允反映相关交</w:t>
      </w:r>
      <w:r>
        <w:rPr>
          <w:spacing w:val="1"/>
        </w:rPr>
        <w:t>易</w:t>
      </w:r>
      <w:r>
        <w:rPr/>
        <w:t>和事项。</w:t>
      </w:r>
    </w:p>
    <w:p>
      <w:pPr>
        <w:pStyle w:val="BodyText"/>
        <w:spacing w:line="316" w:lineRule="auto" w:before="115"/>
        <w:ind w:right="103" w:firstLine="360"/>
        <w:jc w:val="both"/>
      </w:pPr>
      <w:r>
        <w:rPr>
          <w:spacing w:val="-4"/>
        </w:rPr>
        <w:t>（六）就南天信息实体或业务活动的财务信息获取充分、适当的审计证据，以对财务报表发表审计意见。我们负责指导、</w:t>
      </w:r>
      <w:r>
        <w:rPr/>
        <w:t> 监督和执行集团审计，并对审计意见承担全部责任。</w:t>
      </w:r>
    </w:p>
    <w:p>
      <w:pPr>
        <w:pStyle w:val="BodyText"/>
        <w:spacing w:line="319" w:lineRule="auto" w:before="59"/>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8"/>
        <w:ind w:right="19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57"/>
        <w:ind w:right="188"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tabs>
          <w:tab w:pos="5134" w:val="left" w:leader="none"/>
        </w:tabs>
        <w:spacing w:line="240" w:lineRule="auto"/>
        <w:ind w:left="575" w:right="93"/>
        <w:jc w:val="left"/>
        <w:rPr>
          <w:rFonts w:ascii="宋体" w:hAnsi="宋体" w:cs="宋体" w:eastAsia="宋体" w:hint="default"/>
          <w:b w:val="0"/>
          <w:bCs w:val="0"/>
        </w:rPr>
      </w:pPr>
      <w:r>
        <w:rPr>
          <w:spacing w:val="-1"/>
        </w:rPr>
        <w:t>中审众环会计师事务所（特殊普通合伙）</w:t>
        <w:tab/>
        <w:t>中国注册会计师：杨漫辉</w:t>
      </w:r>
      <w:r>
        <w:rPr>
          <w:rFonts w:ascii="宋体" w:hAnsi="宋体" w:cs="宋体" w:eastAsia="宋体" w:hint="default"/>
          <w:w w:val="99"/>
        </w:rPr>
        <w:t> </w:t>
      </w:r>
      <w:r>
        <w:rPr>
          <w:rFonts w:ascii="宋体" w:hAnsi="宋体" w:cs="宋体" w:eastAsia="宋体" w:hint="default"/>
          <w:b w:val="0"/>
          <w:bCs w:val="0"/>
        </w:rPr>
      </w:r>
    </w:p>
    <w:p>
      <w:pPr>
        <w:pStyle w:val="Heading3"/>
        <w:spacing w:line="544" w:lineRule="auto" w:before="37"/>
        <w:ind w:left="5143" w:right="2504" w:firstLine="206"/>
        <w:jc w:val="left"/>
        <w:rPr>
          <w:b w:val="0"/>
          <w:bCs w:val="0"/>
        </w:rPr>
      </w:pPr>
      <w:r>
        <w:rPr/>
        <w:t>（项目合伙人）</w:t>
      </w:r>
      <w:r>
        <w:rPr>
          <w:rFonts w:ascii="宋体" w:hAnsi="宋体" w:cs="宋体" w:eastAsia="宋体" w:hint="default"/>
          <w:w w:val="99"/>
        </w:rPr>
        <w:t> </w:t>
      </w:r>
      <w:r>
        <w:rPr/>
        <w:t>中国注册会计师：雷小兵</w:t>
      </w:r>
      <w:r>
        <w:rPr>
          <w:b w:val="0"/>
          <w:bCs w:val="0"/>
        </w:rPr>
      </w:r>
    </w:p>
    <w:p>
      <w:pPr>
        <w:pStyle w:val="Heading3"/>
        <w:tabs>
          <w:tab w:pos="5386" w:val="left" w:leader="none"/>
        </w:tabs>
        <w:spacing w:line="240" w:lineRule="auto" w:before="82"/>
        <w:ind w:left="2573" w:right="93"/>
        <w:jc w:val="left"/>
        <w:rPr>
          <w:rFonts w:ascii="宋体" w:hAnsi="宋体" w:cs="宋体" w:eastAsia="宋体" w:hint="default"/>
          <w:b w:val="0"/>
          <w:bCs w:val="0"/>
        </w:rPr>
      </w:pPr>
      <w:r>
        <w:rPr/>
        <w:t>中国</w:t>
      </w:r>
      <w:r>
        <w:rPr>
          <w:spacing w:val="72"/>
        </w:rPr>
        <w:t> </w:t>
      </w:r>
      <w:r>
        <w:rPr/>
        <w:t>武汉</w:t>
        <w:tab/>
        <w:t>二〇一八年三月十九日</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979" w:top="1060" w:bottom="1160" w:left="980" w:right="94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20"/>
        <w:jc w:val="left"/>
      </w:pPr>
      <w:r>
        <w:rPr/>
        <w:t>编制单位：云南南天电子信息产业股份有限公司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934" w:space="142"/>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718,563,011.24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831,645,263.21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10,394,307.00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150,575.00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406,446,140.62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400,735,281.60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60,077,627.78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57,121,043.71</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15,149,234.08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13,869,580.92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562,673,982.79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349,575,893.27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155,427,344.01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164,297,335.10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1,928,731,647.52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1,817,394,972.81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120,783,696.72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90,783,696.72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323,181,836.57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310,589,533.33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81,353,793.72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76,960,038.10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236,724,549.90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253,718,813.57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55,594,866.03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48,023,343.12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7,220,448.76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7,917,408.61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1,820,650.62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1,814,511.52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19,690,280.13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17,133,342.46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846,370,122.45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806,940,687.43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2,775,101,769.97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2,624,335,660.24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340,766,294.00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43,638,786.51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55,189,717.76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448,076,460.83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408,344,716.96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173,739,995.08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75,807,284.07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34,584,651.36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32,405,360.21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49,703,590.87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51,344,389.66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688,296.23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1,225,214.30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14,216,747.10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12,837,004.46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587,654.58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144,881,704.89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1,275,236,182.56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1,122,801,686.31</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1,979,626.65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2,807,462.17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7,167,376.00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7,915,672.00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31,586,175.79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38,424,730.48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40,733,178.44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49,147,864.65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1,315,969,361.00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1,171,949,550.96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246,606,046.00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807,734,582.58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807,627,561.49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476,301.19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1,345,025.22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1,147,773.34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77,335,774.45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74,285,037.79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322,953,434.90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316,349,974.33</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1,456,485,453.90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1,446,492,694.14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2,646,955.07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5,893,415.14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1,459,132,408.97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1,452,386,109.28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2,775,101,769.97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2,624,335,660.24</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法定代表人：徐宏灿</w:t>
        <w:tab/>
      </w:r>
      <w:r>
        <w:rPr>
          <w:spacing w:val="-1"/>
        </w:rPr>
        <w:t>主管会计工作负责人：徐宏灿</w:t>
        <w:tab/>
      </w:r>
      <w:r>
        <w:rPr/>
        <w:t>会计机构负责人：刘涓</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423,636,065.92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528,282,428.79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10,394,307.00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150,575.00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428,745,964.40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403,003,187.82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45,938,843.92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51,303,874.14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24,794,823.81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13,478,952.24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397,427,193.41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197,573,341.83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150,310,145.82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150,443,159.51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1,481,247,344.28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1,344,235,519.33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120,783,696.72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90,783,696.72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681,923,403.16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668,347,907.79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64,531,428.10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59,432,295.08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199,434,456.88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210,865,115.79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31,541,470.17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35,743,528.87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2,103,834.45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233,051.59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1,321,316.72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1,466,683.28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19,919,037.79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17,393,039.35</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1,121,558,643.99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1,084,265,318.47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2,602,805,988.27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2,428,500,837.80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16,280,095.48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20,925,565.79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374,505,574.91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320,823,482.98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128,135,511.91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51,476,361.21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6,065,629.36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6,674,127.35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17,586,561.94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22,398,186.37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688,296.23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1,225,214.30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3,735,752.25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7,461,175.82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587,654.58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144,881,704.89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1,057,585,076.66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901,865,818.71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1,979,626.65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2,807,462.17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7,167,376.00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7,552,672.00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25,716,384.59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24,140,134.62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34,863,387.24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34,500,268.79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1,092,448,463.90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936,366,087.50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246,606,046.00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862,875,245.37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862,863,825.18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476,301.19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82,315,550.10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79,264,813.44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318,050,092.15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302,923,764.49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1,510,357,524.37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1,492,134,750.30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2,602,805,988.27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2,428,500,837.80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1"/>
        <w:gridCol w:w="3222"/>
        <w:gridCol w:w="3277"/>
      </w:tblGrid>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2,315,809,791.16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2,157,812,325.80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2,315,809,791.16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2,157,812,325.80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2,309,314,490.53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2,141,337,856.49</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1,755,357,115.49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1,633,289,668.39</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02.22998pt;width:158.9pt;height:20.65pt;mso-position-horizontal-relative:page;mso-position-vertical-relative:page;z-index:-1056424" coordorigin="4220,8045" coordsize="3178,413">
            <v:group style="position:absolute;left:4231;top:8055;width:2;height:392" coordorigin="4231,8055" coordsize="2,392">
              <v:shape style="position:absolute;left:4231;top:8055;width:2;height:392" coordorigin="4231,8055" coordsize="0,392" path="m4231,8055l4231,8447e" filled="false" stroked="true" strokeweight="1.08pt" strokecolor="#ffffff">
                <v:path arrowok="t"/>
              </v:shape>
            </v:group>
            <v:group style="position:absolute;left:4242;top:8055;width:3157;height:392" coordorigin="4242,8055" coordsize="3157,392">
              <v:shape style="position:absolute;left:4242;top:8055;width:3157;height:392" coordorigin="4242,8055" coordsize="3157,392" path="m4242,8447l7398,8447,7398,8055,4242,8055,4242,8447xe" filled="true" fillcolor="#ffffff" stroked="false">
                <v:path arrowok="t"/>
                <v:fill type="solid"/>
              </v:shape>
            </v:group>
            <w10:wrap type="none"/>
          </v:group>
        </w:pict>
      </w:r>
      <w:r>
        <w:rPr/>
        <w:pict>
          <v:group style="position:absolute;margin-left:211.009995pt;margin-top:538.450012pt;width:158.9pt;height:20.65pt;mso-position-horizontal-relative:page;mso-position-vertical-relative:page;z-index:-1056400" coordorigin="4220,10769" coordsize="3178,413">
            <v:group style="position:absolute;left:4231;top:10780;width:2;height:392" coordorigin="4231,10780" coordsize="2,392">
              <v:shape style="position:absolute;left:4231;top:10780;width:2;height:392" coordorigin="4231,10780" coordsize="0,392" path="m4231,10780l4231,11171e" filled="false" stroked="true" strokeweight="1.08pt" strokecolor="#ffffff">
                <v:path arrowok="t"/>
              </v:shape>
            </v:group>
            <v:group style="position:absolute;left:4242;top:10780;width:3157;height:392" coordorigin="4242,10780" coordsize="3157,392">
              <v:shape style="position:absolute;left:4242;top:10780;width:3157;height:392" coordorigin="4242,10780" coordsize="3157,392" path="m4242,11171l7398,11171,7398,10780,4242,10780,4242,1117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15,464,568.96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14,019,675.10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6" w:right="0"/>
              <w:jc w:val="left"/>
              <w:rPr>
                <w:rFonts w:ascii="Times New Roman" w:hAnsi="Times New Roman" w:cs="Times New Roman" w:eastAsia="Times New Roman" w:hint="default"/>
                <w:sz w:val="18"/>
                <w:szCs w:val="18"/>
              </w:rPr>
            </w:pPr>
            <w:r>
              <w:rPr>
                <w:rFonts w:ascii="Times New Roman"/>
                <w:sz w:val="18"/>
              </w:rPr>
              <w:t>167,016,677.13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154,620,262.49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334,635,402.79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314,296,633.20</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18,420,048.37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13,398,067.86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18,420,677.79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11,713,549.45</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6,192,418.81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-3,540,289.70</w:t>
            </w:r>
          </w:p>
        </w:tc>
      </w:tr>
      <w:tr>
        <w:trPr>
          <w:trHeight w:val="75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-4,595,995.68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-14,798,844.87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-30,190.85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-86,300.43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15,606,124.71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28,263,653.30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12,847,879.18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247,372.90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14,270,767.31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256,696.82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485,724.04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28,254,329.38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26,632,922.45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6,396,289.92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4,229,881.17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21,858,039.46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22,403,041.28</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21,858,039.46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22,403,041.28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21,984,499.53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20,689,391.09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1,713,650.19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11,150.92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11,150.92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11,150.92</w:t>
            </w:r>
            <w:r>
              <w:rPr>
                <w:rFonts w:ascii="Times New Roman"/>
                <w:sz w:val="18"/>
              </w:rPr>
            </w: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11,150.92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21,892,329.02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22,414,192.20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22,018,789.09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20,700,542.01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-126,460.07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1,713,650.19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0.0839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0.0839</w:t>
            </w:r>
          </w:p>
        </w:tc>
      </w:tr>
    </w:tbl>
    <w:p>
      <w:pPr>
        <w:pStyle w:val="BodyText"/>
        <w:tabs>
          <w:tab w:pos="3667" w:val="left" w:leader="none"/>
          <w:tab w:pos="7899" w:val="left" w:leader="none"/>
        </w:tabs>
        <w:spacing w:line="595" w:lineRule="auto" w:before="49"/>
        <w:ind w:right="24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法定代表人：徐宏灿</w:t>
        <w:tab/>
      </w:r>
      <w:r>
        <w:rPr>
          <w:spacing w:val="-1"/>
        </w:rPr>
        <w:t>主管会计工作负责人：徐宏灿</w:t>
        <w:tab/>
      </w:r>
      <w:r>
        <w:rPr/>
        <w:t>会计机构负责人：刘涓</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299"/>
        <w:gridCol w:w="3303"/>
      </w:tblGrid>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00" w:right="0"/>
              <w:jc w:val="left"/>
              <w:rPr>
                <w:rFonts w:ascii="Times New Roman" w:hAnsi="Times New Roman" w:cs="Times New Roman" w:eastAsia="Times New Roman" w:hint="default"/>
                <w:sz w:val="18"/>
                <w:szCs w:val="18"/>
              </w:rPr>
            </w:pPr>
            <w:r>
              <w:rPr>
                <w:rFonts w:ascii="Times New Roman"/>
                <w:sz w:val="18"/>
              </w:rPr>
              <w:t>1,464,767,306.94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1,372,804,356.84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1,342,446,446.23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1,265,913,304.21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6,696,061.24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5,310,777.94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14,615,329.35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13,861,734.85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58,765,492.34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60,151,605.76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18,652,596.12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11,326,365.02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15,698,913.20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8,758,666.86</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23,076,408.52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12,948,564.79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-3,523,828.37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-14,296,645.59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-47,358.02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1,591,849.69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32,559,871.80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20,383,108.97</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212,986.73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3,921,910.22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143,942.30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329,925.21</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32,628,916.23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23,975,093.98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2,121,549.61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1,848,424.28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30,507,366.62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22,126,669.70</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30,507,366.62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22,126,669.70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11,150.92</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11,150.92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11,150.92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67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30,541,656.18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22,137,820.62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2,416,923,062.94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2,422,239,488.97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1,030,404.28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65,226,024.11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97,261,504.66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2,482,149,087.05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2,520,531,397.91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1,648,347,051.18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1,577,010,314.17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627,707,083.12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560,755,222.85</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92,926,117.09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105,003,399.00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169,312,654.73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208,479,228.49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2,538,292,906.12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2,451,248,164.51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-56,143,819.07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69,283,233.40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10,788,414.49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11,277,068.48</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19,515.00</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6,625.72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12,867,870.21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146,796,583.48</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2,563,047.33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6,063,117.10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311,180,000.00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51,243,047.33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317,243,117.10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-38,375,177.12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-170,446,533.62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669,095,281.00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390,766,294.00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669,095,281.00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390,766,294.00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634,747,645.08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371,123,294.54</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39,056,517.70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27,318,350.56</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673,804,162.78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398,441,645.10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-4,708,881.78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-7,675,351.10</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-465,366.95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1,311,666.78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-99,693,244.92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-107,526,984.54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762,620,496.47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870,147,481.01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662,927,251.55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762,620,496.47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1,666,535,835.96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1,473,796,286.64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976,166.55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33,252,278.92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147,577,540.52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1,699,788,114.88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1,622,349,993.71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1,643,571,786.04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1,295,521,796.63</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43,262,513.64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39,875,441.12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28,192,004.43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21,874,382.00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57,092,150.48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95,218,271.37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1,772,118,454.59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1,452,489,891.12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-72,330,339.71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169,860,102.59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26,600,236.89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27,263,723.69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1,875.00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28,601,186.89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157,265,598.69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690,283.73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2,899,318.34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360,802,340.00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49,370,283.73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363,701,658.34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-20,769,096.84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-206,436,059.65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376,000,000.00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622,861,330.08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328,217,017.42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35,776,023.66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24,324,103.00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658,637,353.74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352,541,120.42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3,362,646.26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23,458,879.58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-465,326.65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1,311,628.36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-90,202,116.94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-11,805,449.12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488,914,287.50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500,719,736.62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398,712,170.56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488,914,287.50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807,627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,561.49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476,301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73.34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74,285,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037.79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316,349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,974.33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5,893,4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15.14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807,627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,561.49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476,301</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73.34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74,285,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037.79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316,349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,974.33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5,893,4</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15.14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86,109.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107,021</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197,251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60.57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-3,246,4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60.07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6,746,2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99.69</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34,289.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21,984,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499.53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-126,46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0.07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21,892,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329.02</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36.66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-15,381,</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038.96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-3,120,0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-15,450,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302.30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36.66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36.66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-12,330,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302.30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-3,120,0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-15,450,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302.30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197,251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197,251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.88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1,188,5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1,188,5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11.20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991,259</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991,259</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107,021</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107,021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.09</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807,734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,582.58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510,590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1,345,0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77,335,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774.45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322,953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2,646,9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55.07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32,408.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2"/>
        <w:gridCol w:w="665"/>
        <w:gridCol w:w="667"/>
        <w:gridCol w:w="665"/>
        <w:gridCol w:w="663"/>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801,174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,098.43</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465,150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.27</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370.82</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307,737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,492.04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4,179,7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64.95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801,174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,098.43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465,150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307,737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,492.04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4,179,7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64.95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6,453,4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11,150.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73.34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8,612,4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82.29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1,713,6</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50.19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186.77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11,150.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20,689,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391.09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1,713,6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50.19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22,414,</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192.20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-12,076,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908.80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-9,864,2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41.83</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66.97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-9,864,2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41.83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-9,864,2</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41.83</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73.34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73.34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73.34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73.34</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6,453,4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6,453,4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63.06</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807,627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,561.49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476,301</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73.34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74,285,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037.79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316,349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,974.33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5,893,4</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15.14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86,109.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862,863,8</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25.18</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476,301.1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79,264,81</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3.44</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302,923</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,764.49</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1,492,134</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,750.30</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862,863,8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25.18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476,301.1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79,264,81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302,923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,764.49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1,492,134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,750.30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34,289.56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3,050,736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18,222,77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4.07</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34,289.56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366.62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30,541,65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6.18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3,050,736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-15,381,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038.96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-12,330,3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02.30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3,050,736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-3,050,7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36.66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-12,330,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302.30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-12,330,3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02.30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11,420.19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862,875,2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510,590.7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82,315,55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318,050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1,510,357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,524.37</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856,414,5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76.03</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465,150.2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77,052,14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292,874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,003.59</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14" w:right="0"/>
              <w:jc w:val="center"/>
              <w:rPr>
                <w:rFonts w:ascii="Times New Roman" w:hAnsi="Times New Roman" w:cs="Times New Roman" w:eastAsia="Times New Roman" w:hint="default"/>
                <w:sz w:val="18"/>
                <w:szCs w:val="18"/>
              </w:rPr>
            </w:pPr>
            <w:r>
              <w:rPr>
                <w:rFonts w:ascii="Times New Roman"/>
                <w:sz w:val="18"/>
              </w:rPr>
              <w:t>1,473,411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,922.36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856,414,5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76.03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465,150.2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77,052,14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292,874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1,473,411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,922.36</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6,449,249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11,150.92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18,722,82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7.94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11,150.92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669.70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22,137,82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0.62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2,212,666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-12,076,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908.80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-9,864,24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1.83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-2,212,6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66.97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-9,864,2</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-9,864,24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6,449,249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6,449,249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862,863,8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476,301.1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79,264,81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302,923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,764.49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1,492,134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,750.30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left="373" w:right="7644"/>
        <w:jc w:val="center"/>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rPr>
          <w:rFonts w:ascii="宋体" w:hAnsi="宋体" w:cs="宋体" w:eastAsia="宋体" w:hint="default"/>
        </w:rPr>
      </w:pPr>
      <w:r>
        <w:rPr>
          <w:rFonts w:ascii="宋体" w:hAnsi="宋体" w:cs="宋体" w:eastAsia="宋体" w:hint="default"/>
          <w:w w:val="100"/>
          <w:sz w:val="21"/>
          <w:szCs w:val="21"/>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1</w:t>
      </w:r>
      <w:r>
        <w:rPr/>
        <w:t>、公司注册地、组织形式和总部地址</w:t>
      </w:r>
      <w:r>
        <w:rPr>
          <w:rFonts w:ascii="宋体" w:hAnsi="宋体" w:cs="宋体" w:eastAsia="宋体" w:hint="default"/>
        </w:rPr>
        <w:t> </w:t>
      </w:r>
    </w:p>
    <w:p>
      <w:pPr>
        <w:pStyle w:val="BodyText"/>
        <w:spacing w:line="240" w:lineRule="auto" w:before="76"/>
        <w:ind w:right="0"/>
        <w:jc w:val="both"/>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云南南天电子信息产业股份有限公司（以下简称“公司”或“本公司”或“南天信息”）是经云南省人民政府云政复</w:t>
      </w:r>
    </w:p>
    <w:p>
      <w:pPr>
        <w:pStyle w:val="BodyText"/>
        <w:spacing w:line="316" w:lineRule="auto" w:before="76"/>
        <w:ind w:right="190"/>
        <w:jc w:val="both"/>
        <w:rPr>
          <w:rFonts w:ascii="宋体" w:hAnsi="宋体" w:cs="宋体" w:eastAsia="宋体" w:hint="default"/>
        </w:rPr>
      </w:pPr>
      <w:r>
        <w:rPr/>
        <w:t>（</w:t>
      </w:r>
      <w:r>
        <w:rPr>
          <w:rFonts w:ascii="宋体" w:hAnsi="宋体" w:cs="宋体" w:eastAsia="宋体" w:hint="default"/>
        </w:rPr>
        <w:t>1998</w:t>
      </w:r>
      <w:r>
        <w:rPr/>
        <w:t>）</w:t>
      </w:r>
      <w:r>
        <w:rPr>
          <w:rFonts w:ascii="宋体" w:hAnsi="宋体" w:cs="宋体" w:eastAsia="宋体" w:hint="default"/>
        </w:rPr>
        <w:t>118</w:t>
      </w:r>
      <w:r>
        <w:rPr/>
        <w:t>号文批准，由南天电子信息产业集团公司、珠海南方集团有限公司、云南医药工业股份有限公司（原云南省医</w:t>
      </w:r>
      <w:r>
        <w:rPr>
          <w:spacing w:val="-86"/>
        </w:rPr>
        <w:t> </w:t>
      </w:r>
      <w:r>
        <w:rPr>
          <w:spacing w:val="-86"/>
        </w:rPr>
      </w:r>
      <w:r>
        <w:rPr>
          <w:spacing w:val="-2"/>
        </w:rPr>
        <w:t>药医疗器械工业公司）、裴海平、李宏坤、周永泰、丁柏林共同发起设立的股份有限公司，</w:t>
      </w:r>
      <w:r>
        <w:rPr>
          <w:rFonts w:ascii="宋体" w:hAnsi="宋体" w:cs="宋体" w:eastAsia="宋体" w:hint="default"/>
          <w:spacing w:val="-2"/>
        </w:rPr>
        <w:t>1998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日在云南省工商局</w:t>
      </w:r>
      <w:r>
        <w:rPr>
          <w:spacing w:val="-61"/>
        </w:rPr>
        <w:t> </w:t>
      </w:r>
      <w:r>
        <w:rPr>
          <w:spacing w:val="-61"/>
        </w:rPr>
      </w:r>
      <w:r>
        <w:rPr/>
        <w:t>登记注册，统一社会信用代码为</w:t>
      </w:r>
      <w:r>
        <w:rPr>
          <w:rFonts w:ascii="宋体" w:hAnsi="宋体" w:cs="宋体" w:eastAsia="宋体" w:hint="default"/>
        </w:rPr>
        <w:t>91530000713401509F</w:t>
      </w:r>
      <w:r>
        <w:rPr/>
        <w:t>，现法定代表人：徐宏灿。</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公司注册地：昆明高新技术产业开发区产业研发基地</w:t>
      </w:r>
      <w:r>
        <w:rPr>
          <w:rFonts w:ascii="宋体" w:hAnsi="宋体" w:cs="宋体" w:eastAsia="宋体" w:hint="default"/>
        </w:rPr>
        <w:t> </w:t>
      </w:r>
    </w:p>
    <w:p>
      <w:pPr>
        <w:pStyle w:val="BodyText"/>
        <w:spacing w:line="240" w:lineRule="auto" w:before="76"/>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组织形式：股份有限公司</w:t>
      </w:r>
      <w:r>
        <w:rPr>
          <w:rFonts w:ascii="宋体" w:hAnsi="宋体" w:cs="宋体" w:eastAsia="宋体" w:hint="default"/>
        </w:rPr>
        <w:t> </w:t>
      </w:r>
    </w:p>
    <w:p>
      <w:pPr>
        <w:pStyle w:val="BodyText"/>
        <w:spacing w:line="316" w:lineRule="auto" w:before="76"/>
        <w:ind w:left="513" w:right="4053" w:hanging="36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总部地址：云南省昆明市环城东路</w:t>
      </w:r>
      <w:r>
        <w:rPr>
          <w:rFonts w:ascii="宋体" w:hAnsi="宋体" w:cs="宋体" w:eastAsia="宋体" w:hint="default"/>
        </w:rPr>
        <w:t>455</w:t>
      </w:r>
      <w:r>
        <w:rPr/>
        <w:t>号</w:t>
      </w:r>
      <w:r>
        <w:rPr>
          <w:rFonts w:ascii="宋体" w:hAnsi="宋体" w:cs="宋体" w:eastAsia="宋体" w:hint="default"/>
        </w:rPr>
        <w:t> 2</w:t>
      </w:r>
      <w:r>
        <w:rPr/>
        <w:t>、公司的业务性质和主要经营活动</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19"/>
        <w:ind w:right="9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4"/>
        </w:rPr>
        <w:t>公司所属行业为：软件和信息技术服务业。本公司及子公司主要业务包括：开发、生产、销售计算机、硬件，外围设备、</w:t>
      </w:r>
      <w:r>
        <w:rPr/>
        <w:t> </w:t>
      </w:r>
      <w:r>
        <w:rPr>
          <w:spacing w:val="-2"/>
        </w:rPr>
        <w:t>金融专用设备、智能、机电产品（含国产汽车不含小轿车），承接网络工程、信息系统工程（不含管理项目）、技术服务及</w:t>
      </w:r>
      <w:r>
        <w:rPr>
          <w:spacing w:val="-70"/>
        </w:rPr>
        <w:t> </w:t>
      </w:r>
      <w:r>
        <w:rPr>
          <w:spacing w:val="-70"/>
        </w:rPr>
      </w:r>
      <w:r>
        <w:rPr/>
        <w:t>技术咨询，自产产品的安装、调试、维修，系统集成、网络设备、信息产品；房屋租赁业务，培训业务；进出口业务。</w:t>
      </w:r>
      <w:r>
        <w:rPr>
          <w:rFonts w:ascii="宋体" w:hAnsi="宋体" w:cs="宋体" w:eastAsia="宋体" w:hint="default"/>
        </w:rPr>
        <w:t> </w:t>
      </w:r>
    </w:p>
    <w:p>
      <w:pPr>
        <w:pStyle w:val="BodyText"/>
        <w:spacing w:line="316" w:lineRule="auto" w:before="17"/>
        <w:ind w:right="135" w:firstLine="420"/>
        <w:jc w:val="both"/>
        <w:rPr>
          <w:rFonts w:ascii="宋体" w:hAnsi="宋体" w:cs="宋体" w:eastAsia="宋体" w:hint="default"/>
        </w:rPr>
      </w:pPr>
      <w:r>
        <w:rPr/>
        <w:t>公司主要经营金融信息系统软件以及信息系统集成、金融终端产品、网络产品、专业存折打印机、自动柜员机（</w:t>
      </w:r>
      <w:r>
        <w:rPr>
          <w:rFonts w:ascii="宋体" w:hAnsi="宋体" w:cs="宋体" w:eastAsia="宋体" w:hint="default"/>
        </w:rPr>
        <w:t>ATM</w:t>
      </w:r>
      <w:r>
        <w:rPr/>
        <w:t>） 等。</w:t>
      </w:r>
      <w:r>
        <w:rPr>
          <w:rFonts w:ascii="宋体" w:hAnsi="宋体" w:cs="宋体" w:eastAsia="宋体" w:hint="default"/>
        </w:rPr>
        <w:t> </w:t>
      </w:r>
    </w:p>
    <w:p>
      <w:pPr>
        <w:pStyle w:val="BodyText"/>
        <w:spacing w:line="316" w:lineRule="auto" w:before="19"/>
        <w:ind w:left="513" w:right="183" w:hanging="360"/>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3</w:t>
      </w:r>
      <w:r>
        <w:rPr/>
        <w:t>、母公司以及集团最终母公司的名称</w:t>
      </w:r>
      <w:r>
        <w:rPr>
          <w:rFonts w:ascii="宋体" w:hAnsi="宋体" w:cs="宋体" w:eastAsia="宋体" w:hint="default"/>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日，本公司股份总额为</w:t>
      </w:r>
      <w:r>
        <w:rPr>
          <w:rFonts w:ascii="宋体" w:hAnsi="宋体" w:cs="宋体" w:eastAsia="宋体" w:hint="default"/>
        </w:rPr>
        <w:t>246,606,046</w:t>
      </w:r>
      <w:r>
        <w:rPr/>
        <w:t>股。本公司的控股股东为南天电子信息产业集团公司，其持有本</w:t>
      </w:r>
    </w:p>
    <w:p>
      <w:pPr>
        <w:pStyle w:val="BodyText"/>
        <w:spacing w:line="316" w:lineRule="auto" w:before="19"/>
        <w:ind w:right="191"/>
        <w:jc w:val="both"/>
        <w:rPr>
          <w:rFonts w:ascii="宋体" w:hAnsi="宋体" w:cs="宋体" w:eastAsia="宋体" w:hint="default"/>
        </w:rPr>
      </w:pPr>
      <w:r>
        <w:rPr>
          <w:spacing w:val="-2"/>
        </w:rPr>
        <w:t>公司股份</w:t>
      </w:r>
      <w:r>
        <w:rPr>
          <w:rFonts w:ascii="宋体" w:hAnsi="宋体" w:cs="宋体" w:eastAsia="宋体" w:hint="default"/>
          <w:spacing w:val="-2"/>
        </w:rPr>
        <w:t>66,271,984</w:t>
      </w:r>
      <w:r>
        <w:rPr>
          <w:spacing w:val="-2"/>
        </w:rPr>
        <w:t>股，占本公司总股本的</w:t>
      </w:r>
      <w:r>
        <w:rPr>
          <w:rFonts w:ascii="宋体" w:hAnsi="宋体" w:cs="宋体" w:eastAsia="宋体" w:hint="default"/>
          <w:spacing w:val="-2"/>
        </w:rPr>
        <w:t>26.87%</w:t>
      </w:r>
      <w:r>
        <w:rPr>
          <w:spacing w:val="-2"/>
        </w:rPr>
        <w:t>；云南省工业投资控股集团有限责任公司是南天电子信息产业集团公司控</w:t>
      </w:r>
      <w:r>
        <w:rPr>
          <w:spacing w:val="-56"/>
        </w:rPr>
        <w:t> </w:t>
      </w:r>
      <w:r>
        <w:rPr>
          <w:spacing w:val="-56"/>
        </w:rPr>
      </w:r>
      <w:r>
        <w:rPr/>
        <w:t>股股东，云南省工业投资控股集团有限责任公司直接持有本公司股份</w:t>
      </w:r>
      <w:r>
        <w:rPr>
          <w:rFonts w:ascii="宋体" w:hAnsi="宋体" w:cs="宋体" w:eastAsia="宋体" w:hint="default"/>
        </w:rPr>
        <w:t>22,870,213</w:t>
      </w:r>
      <w:r>
        <w:rPr/>
        <w:t>股，占本公司总股本的</w:t>
      </w:r>
      <w:r>
        <w:rPr>
          <w:rFonts w:ascii="宋体" w:hAnsi="宋体" w:cs="宋体" w:eastAsia="宋体" w:hint="default"/>
        </w:rPr>
        <w:t>9.27%</w:t>
      </w:r>
      <w:r>
        <w:rPr/>
        <w:t>。云南省工业 投资控股集团有限责任公司直接和间接持有本公司股份</w:t>
      </w:r>
      <w:r>
        <w:rPr>
          <w:rFonts w:ascii="宋体" w:hAnsi="宋体" w:cs="宋体" w:eastAsia="宋体" w:hint="default"/>
        </w:rPr>
        <w:t>89,142,197</w:t>
      </w:r>
      <w:r>
        <w:rPr/>
        <w:t>股，占本公司总股本的</w:t>
      </w:r>
      <w:r>
        <w:rPr>
          <w:rFonts w:ascii="宋体" w:hAnsi="宋体" w:cs="宋体" w:eastAsia="宋体" w:hint="default"/>
        </w:rPr>
        <w:t>36.15%</w:t>
      </w:r>
      <w:r>
        <w:rPr/>
        <w:t>。</w:t>
      </w:r>
      <w:r>
        <w:rPr>
          <w:rFonts w:ascii="宋体" w:hAnsi="宋体" w:cs="宋体" w:eastAsia="宋体" w:hint="default"/>
          <w:spacing w:val="-2"/>
        </w:rPr>
        <w:t> </w:t>
      </w:r>
      <w:r>
        <w:rPr>
          <w:rFonts w:ascii="宋体" w:hAnsi="宋体" w:cs="宋体" w:eastAsia="宋体" w:hint="default"/>
        </w:rPr>
        <w:t> </w:t>
      </w:r>
    </w:p>
    <w:p>
      <w:pPr>
        <w:pStyle w:val="BodyText"/>
        <w:spacing w:line="319" w:lineRule="auto" w:before="19"/>
        <w:ind w:left="513" w:right="4053" w:firstLine="60"/>
        <w:jc w:val="left"/>
        <w:rPr>
          <w:rFonts w:ascii="宋体" w:hAnsi="宋体" w:cs="宋体" w:eastAsia="宋体" w:hint="default"/>
        </w:rPr>
      </w:pPr>
      <w:r>
        <w:rPr/>
        <w:t>控股股东名称：南天电子信息产业集团公司</w:t>
      </w:r>
      <w:r>
        <w:rPr>
          <w:rFonts w:ascii="宋体" w:hAnsi="宋体" w:cs="宋体" w:eastAsia="宋体" w:hint="default"/>
        </w:rPr>
        <w:t> </w:t>
      </w:r>
      <w:r>
        <w:rPr/>
        <w:t>公司的最终控制方：云南省人民政府国有资产监督管理委员会</w:t>
      </w:r>
      <w:r>
        <w:rPr>
          <w:rFonts w:ascii="宋体" w:hAnsi="宋体" w:cs="宋体" w:eastAsia="宋体" w:hint="default"/>
        </w:rPr>
        <w:t> 4</w:t>
      </w:r>
      <w:r>
        <w:rPr/>
        <w:t>、公司股权变化情况</w:t>
      </w:r>
      <w:r>
        <w:rPr>
          <w:rFonts w:ascii="宋体" w:hAnsi="宋体" w:cs="宋体" w:eastAsia="宋体" w:hint="default"/>
        </w:rPr>
        <w:t> </w:t>
      </w:r>
    </w:p>
    <w:p>
      <w:pPr>
        <w:pStyle w:val="BodyText"/>
        <w:spacing w:line="316" w:lineRule="auto" w:before="17"/>
        <w:ind w:right="190" w:firstLine="420"/>
        <w:jc w:val="both"/>
        <w:rPr>
          <w:rFonts w:ascii="宋体" w:hAnsi="宋体" w:cs="宋体" w:eastAsia="宋体" w:hint="default"/>
        </w:rPr>
      </w:pPr>
      <w:r>
        <w:rPr/>
        <w:t>经中国证券监督管理委员会批准，本公司于</w:t>
      </w:r>
      <w:r>
        <w:rPr>
          <w:rFonts w:ascii="宋体" w:hAnsi="宋体" w:cs="宋体" w:eastAsia="宋体" w:hint="default"/>
        </w:rPr>
        <w:t>1999</w:t>
      </w:r>
      <w:r>
        <w:rPr/>
        <w:t>年</w:t>
      </w:r>
      <w:r>
        <w:rPr>
          <w:rFonts w:ascii="宋体" w:hAnsi="宋体" w:cs="宋体" w:eastAsia="宋体" w:hint="default"/>
        </w:rPr>
        <w:t>8</w:t>
      </w:r>
      <w:r>
        <w:rPr/>
        <w:t>月</w:t>
      </w:r>
      <w:r>
        <w:rPr>
          <w:rFonts w:ascii="宋体" w:hAnsi="宋体" w:cs="宋体" w:eastAsia="宋体" w:hint="default"/>
        </w:rPr>
        <w:t>18</w:t>
      </w:r>
      <w:r>
        <w:rPr/>
        <w:t>日以网上定价方式向社会公开发行人民币普通股</w:t>
      </w:r>
      <w:r>
        <w:rPr>
          <w:rFonts w:ascii="宋体" w:hAnsi="宋体" w:cs="宋体" w:eastAsia="宋体" w:hint="default"/>
        </w:rPr>
        <w:t>4,000</w:t>
      </w:r>
      <w:r>
        <w:rPr/>
        <w:t>万股， 股本总额增至</w:t>
      </w:r>
      <w:r>
        <w:rPr>
          <w:rFonts w:ascii="宋体" w:hAnsi="宋体" w:cs="宋体" w:eastAsia="宋体" w:hint="default"/>
        </w:rPr>
        <w:t>140,000,551.00</w:t>
      </w:r>
      <w:r>
        <w:rPr/>
        <w:t>元，并于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14</w:t>
      </w:r>
      <w:r>
        <w:rPr/>
        <w:t>日在深圳证券交易所上市交易。</w:t>
      </w:r>
      <w:r>
        <w:rPr>
          <w:rFonts w:ascii="宋体" w:hAnsi="宋体" w:cs="宋体" w:eastAsia="宋体" w:hint="default"/>
        </w:rPr>
        <w:t> </w:t>
      </w:r>
    </w:p>
    <w:p>
      <w:pPr>
        <w:pStyle w:val="BodyText"/>
        <w:spacing w:line="316" w:lineRule="auto" w:before="19"/>
        <w:ind w:right="138" w:firstLine="420"/>
        <w:jc w:val="both"/>
        <w:rPr>
          <w:rFonts w:ascii="宋体" w:hAnsi="宋体" w:cs="宋体" w:eastAsia="宋体" w:hint="default"/>
        </w:rPr>
      </w:pP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7</w:t>
      </w:r>
      <w:r>
        <w:rPr/>
        <w:t>日，本公司实施股权分置改革，以当时的流通股本</w:t>
      </w:r>
      <w:r>
        <w:rPr>
          <w:rFonts w:ascii="宋体" w:hAnsi="宋体" w:cs="宋体" w:eastAsia="宋体" w:hint="default"/>
        </w:rPr>
        <w:t>4,000</w:t>
      </w:r>
      <w:r>
        <w:rPr/>
        <w:t>万股为基数，向当时的全体流通股股东转增股本， 流通股股东持有每</w:t>
      </w:r>
      <w:r>
        <w:rPr>
          <w:rFonts w:ascii="宋体" w:hAnsi="宋体" w:cs="宋体" w:eastAsia="宋体" w:hint="default"/>
        </w:rPr>
        <w:t>10</w:t>
      </w:r>
      <w:r>
        <w:rPr/>
        <w:t>股流通股获得转增股份</w:t>
      </w:r>
      <w:r>
        <w:rPr>
          <w:rFonts w:ascii="宋体" w:hAnsi="宋体" w:cs="宋体" w:eastAsia="宋体" w:hint="default"/>
        </w:rPr>
        <w:t>5.1376</w:t>
      </w:r>
      <w:r>
        <w:rPr/>
        <w:t>股，共计转增</w:t>
      </w:r>
      <w:r>
        <w:rPr>
          <w:rFonts w:ascii="宋体" w:hAnsi="宋体" w:cs="宋体" w:eastAsia="宋体" w:hint="default"/>
        </w:rPr>
        <w:t>20,550,399</w:t>
      </w:r>
      <w:r>
        <w:rPr/>
        <w:t>股。</w:t>
      </w:r>
      <w:r>
        <w:rPr>
          <w:rFonts w:ascii="宋体" w:hAnsi="宋体" w:cs="宋体" w:eastAsia="宋体" w:hint="default"/>
        </w:rPr>
        <w:t> </w:t>
      </w:r>
    </w:p>
    <w:p>
      <w:pPr>
        <w:pStyle w:val="BodyText"/>
        <w:spacing w:line="316" w:lineRule="auto" w:before="19"/>
        <w:ind w:right="191" w:firstLine="420"/>
        <w:jc w:val="both"/>
        <w:rPr>
          <w:rFonts w:ascii="宋体" w:hAnsi="宋体" w:cs="宋体" w:eastAsia="宋体" w:hint="default"/>
        </w:rPr>
      </w:pPr>
      <w:r>
        <w:rPr/>
        <w:t>经中国证券监督管理委员会证监许可</w:t>
      </w:r>
      <w:r>
        <w:rPr>
          <w:rFonts w:ascii="宋体" w:hAnsi="宋体" w:cs="宋体" w:eastAsia="宋体" w:hint="default"/>
        </w:rPr>
        <w:t>[2008]492</w:t>
      </w:r>
      <w:r>
        <w:rPr/>
        <w:t>号文核准，公司于</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14</w:t>
      </w:r>
      <w:r>
        <w:rPr/>
        <w:t>日以非公开发行股票的方式向</w:t>
      </w:r>
      <w:r>
        <w:rPr>
          <w:rFonts w:ascii="宋体" w:hAnsi="宋体" w:cs="宋体" w:eastAsia="宋体" w:hint="default"/>
        </w:rPr>
        <w:t>10</w:t>
      </w:r>
      <w:r>
        <w:rPr/>
        <w:t>家特定 投资者发行了</w:t>
      </w:r>
      <w:r>
        <w:rPr>
          <w:rFonts w:ascii="宋体" w:hAnsi="宋体" w:cs="宋体" w:eastAsia="宋体" w:hint="default"/>
        </w:rPr>
        <w:t>5,000</w:t>
      </w:r>
      <w:r>
        <w:rPr/>
        <w:t>万股人民币普通股（</w:t>
      </w:r>
      <w:r>
        <w:rPr>
          <w:rFonts w:ascii="宋体" w:hAnsi="宋体" w:cs="宋体" w:eastAsia="宋体" w:hint="default"/>
        </w:rPr>
        <w:t>A</w:t>
      </w:r>
      <w:r>
        <w:rPr/>
        <w:t>股）。</w:t>
      </w:r>
      <w:r>
        <w:rPr>
          <w:rFonts w:ascii="宋体" w:hAnsi="宋体" w:cs="宋体" w:eastAsia="宋体" w:hint="default"/>
        </w:rPr>
        <w:t> </w:t>
      </w:r>
    </w:p>
    <w:p>
      <w:pPr>
        <w:pStyle w:val="BodyText"/>
        <w:spacing w:line="316" w:lineRule="auto" w:before="19"/>
        <w:ind w:right="188" w:firstLine="420"/>
        <w:jc w:val="both"/>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13</w:t>
      </w:r>
      <w:r>
        <w:rPr/>
        <w:t>日，本公司召开的</w:t>
      </w:r>
      <w:r>
        <w:rPr>
          <w:rFonts w:ascii="宋体" w:hAnsi="宋体" w:cs="宋体" w:eastAsia="宋体" w:hint="default"/>
        </w:rPr>
        <w:t>2011</w:t>
      </w:r>
      <w:r>
        <w:rPr/>
        <w:t>年度股东大会审议通过</w:t>
      </w:r>
      <w:r>
        <w:rPr>
          <w:rFonts w:ascii="宋体" w:hAnsi="宋体" w:cs="宋体" w:eastAsia="宋体" w:hint="default"/>
        </w:rPr>
        <w:t>2011</w:t>
      </w:r>
      <w:r>
        <w:rPr/>
        <w:t>年度权益分派方案为：以公司现有总股本</w:t>
      </w:r>
      <w:r>
        <w:rPr>
          <w:rFonts w:ascii="宋体" w:hAnsi="宋体" w:cs="宋体" w:eastAsia="宋体" w:hint="default"/>
        </w:rPr>
        <w:t>210,550,951 </w:t>
      </w:r>
      <w:r>
        <w:rPr/>
        <w:t>股为基数，向全体股东每</w:t>
      </w:r>
      <w:r>
        <w:rPr>
          <w:rFonts w:ascii="宋体" w:hAnsi="宋体" w:cs="宋体" w:eastAsia="宋体" w:hint="default"/>
        </w:rPr>
        <w:t>10</w:t>
      </w:r>
      <w:r>
        <w:rPr/>
        <w:t>股派发现金红利</w:t>
      </w:r>
      <w:r>
        <w:rPr>
          <w:rFonts w:ascii="宋体" w:hAnsi="宋体" w:cs="宋体" w:eastAsia="宋体" w:hint="default"/>
        </w:rPr>
        <w:t>0.80</w:t>
      </w:r>
      <w:r>
        <w:rPr/>
        <w:t>元（含税）。同时进行资本公积转增股本，以公司现有总股本</w:t>
      </w:r>
      <w:r>
        <w:rPr>
          <w:rFonts w:ascii="宋体" w:hAnsi="宋体" w:cs="宋体" w:eastAsia="宋体" w:hint="default"/>
        </w:rPr>
        <w:t>210,550,951</w:t>
      </w:r>
      <w:r>
        <w:rPr>
          <w:rFonts w:ascii="宋体" w:hAnsi="宋体" w:cs="宋体" w:eastAsia="宋体" w:hint="default"/>
          <w:spacing w:val="-87"/>
        </w:rPr>
        <w:t> </w:t>
      </w:r>
      <w:r>
        <w:rPr>
          <w:rFonts w:ascii="宋体" w:hAnsi="宋体" w:cs="宋体" w:eastAsia="宋体" w:hint="default"/>
          <w:spacing w:val="-87"/>
        </w:rPr>
      </w:r>
      <w:r>
        <w:rPr>
          <w:spacing w:val="-2"/>
        </w:rPr>
        <w:t>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w:t>
      </w:r>
      <w:r>
        <w:rPr>
          <w:spacing w:val="-2"/>
        </w:rPr>
        <w:t>股，合计转增股本</w:t>
      </w:r>
      <w:r>
        <w:rPr>
          <w:rFonts w:ascii="宋体" w:hAnsi="宋体" w:cs="宋体" w:eastAsia="宋体" w:hint="default"/>
          <w:spacing w:val="-2"/>
        </w:rPr>
        <w:t>21,055,095</w:t>
      </w:r>
      <w:r>
        <w:rPr>
          <w:spacing w:val="-2"/>
        </w:rPr>
        <w:t>股，转增后公司总股本增加至</w:t>
      </w:r>
      <w:r>
        <w:rPr>
          <w:rFonts w:ascii="宋体" w:hAnsi="宋体" w:cs="宋体" w:eastAsia="宋体" w:hint="default"/>
          <w:spacing w:val="-2"/>
        </w:rPr>
        <w:t>231,606,046</w:t>
      </w:r>
      <w:r>
        <w:rPr>
          <w:spacing w:val="-2"/>
        </w:rPr>
        <w:t>股。已由中瑞岳</w:t>
      </w:r>
      <w:r>
        <w:rPr>
          <w:spacing w:val="-48"/>
        </w:rPr>
        <w:t> </w:t>
      </w:r>
      <w:r>
        <w:rPr>
          <w:spacing w:val="-48"/>
        </w:rPr>
      </w:r>
      <w:r>
        <w:rPr/>
        <w:t>华会计师事务所（特殊普通合伙）审验，并于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28</w:t>
      </w:r>
      <w:r>
        <w:rPr/>
        <w:t>日出具中瑞岳华验字</w:t>
      </w:r>
      <w:r>
        <w:rPr>
          <w:rFonts w:ascii="宋体" w:hAnsi="宋体" w:cs="宋体" w:eastAsia="宋体" w:hint="default"/>
        </w:rPr>
        <w:t>[2012]</w:t>
      </w:r>
      <w:r>
        <w:rPr/>
        <w:t>第</w:t>
      </w:r>
      <w:r>
        <w:rPr>
          <w:rFonts w:ascii="宋体" w:hAnsi="宋体" w:cs="宋体" w:eastAsia="宋体" w:hint="default"/>
        </w:rPr>
        <w:t>0149</w:t>
      </w:r>
      <w:r>
        <w:rPr/>
        <w:t>号验资报告。</w:t>
      </w:r>
      <w:r>
        <w:rPr>
          <w:rFonts w:ascii="宋体" w:hAnsi="宋体" w:cs="宋体" w:eastAsia="宋体" w:hint="default"/>
        </w:rPr>
        <w:t> </w:t>
      </w:r>
    </w:p>
    <w:p>
      <w:pPr>
        <w:pStyle w:val="BodyText"/>
        <w:spacing w:line="314" w:lineRule="auto" w:before="19"/>
        <w:ind w:right="188" w:firstLine="420"/>
        <w:jc w:val="both"/>
        <w:rPr>
          <w:rFonts w:ascii="宋体" w:hAnsi="宋体" w:cs="宋体" w:eastAsia="宋体" w:hint="default"/>
        </w:rPr>
      </w:pPr>
      <w:r>
        <w:rPr>
          <w:spacing w:val="-1"/>
        </w:rPr>
        <w:t>经中国证券监督管理委员会证监许可</w:t>
      </w:r>
      <w:r>
        <w:rPr>
          <w:rFonts w:ascii="宋体" w:hAnsi="宋体" w:cs="宋体" w:eastAsia="宋体" w:hint="default"/>
          <w:spacing w:val="-1"/>
        </w:rPr>
        <w:t>[2013]330</w:t>
      </w:r>
      <w:r>
        <w:rPr>
          <w:spacing w:val="-1"/>
        </w:rPr>
        <w:t>号文核准，公司于</w:t>
      </w: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18</w:t>
      </w:r>
      <w:r>
        <w:rPr>
          <w:spacing w:val="-1"/>
        </w:rPr>
        <w:t>日以非公开发行股票的方式向</w:t>
      </w:r>
      <w:r>
        <w:rPr>
          <w:rFonts w:ascii="宋体" w:hAnsi="宋体" w:cs="宋体" w:eastAsia="宋体" w:hint="default"/>
          <w:spacing w:val="-1"/>
        </w:rPr>
        <w:t>2</w:t>
      </w:r>
      <w:r>
        <w:rPr>
          <w:spacing w:val="-1"/>
        </w:rPr>
        <w:t>家特定投</w:t>
      </w:r>
      <w:r>
        <w:rPr/>
        <w:t> 资者发行了</w:t>
      </w:r>
      <w:r>
        <w:rPr>
          <w:rFonts w:ascii="宋体" w:hAnsi="宋体" w:cs="宋体" w:eastAsia="宋体" w:hint="default"/>
        </w:rPr>
        <w:t>15,000,000</w:t>
      </w:r>
      <w:r>
        <w:rPr/>
        <w:t>股人民币普通股（</w:t>
      </w:r>
      <w:r>
        <w:rPr>
          <w:rFonts w:ascii="宋体" w:hAnsi="宋体" w:cs="宋体" w:eastAsia="宋体" w:hint="default"/>
        </w:rPr>
        <w:t>A</w:t>
      </w:r>
      <w:r>
        <w:rPr/>
        <w:t>股）。</w:t>
      </w:r>
      <w:r>
        <w:rPr>
          <w:rFonts w:ascii="宋体" w:hAnsi="宋体" w:cs="宋体" w:eastAsia="宋体" w:hint="default"/>
        </w:rPr>
        <w:t> </w:t>
      </w:r>
    </w:p>
    <w:p>
      <w:pPr>
        <w:pStyle w:val="BodyText"/>
        <w:spacing w:line="240" w:lineRule="auto" w:before="20"/>
        <w:ind w:left="573" w:right="93"/>
        <w:jc w:val="left"/>
      </w:pPr>
      <w:r>
        <w:rPr>
          <w:rFonts w:ascii="宋体" w:hAnsi="宋体" w:cs="宋体" w:eastAsia="宋体" w:hint="default"/>
          <w:spacing w:val="6"/>
        </w:rPr>
        <w:t>2017</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18</w:t>
      </w:r>
      <w:r>
        <w:rPr>
          <w:spacing w:val="6"/>
        </w:rPr>
        <w:t>日，控股股东为南天电子信息产业集团公司将其持有的本公司</w:t>
      </w:r>
      <w:r>
        <w:rPr>
          <w:rFonts w:ascii="宋体" w:hAnsi="宋体" w:cs="宋体" w:eastAsia="宋体" w:hint="default"/>
          <w:spacing w:val="6"/>
        </w:rPr>
        <w:t>66,271,984</w:t>
      </w:r>
      <w:r>
        <w:rPr>
          <w:spacing w:val="6"/>
        </w:rPr>
        <w:t>股股票（占公司总股本的</w:t>
      </w:r>
      <w:r>
        <w:rPr/>
      </w:r>
    </w:p>
    <w:p>
      <w:pPr>
        <w:pStyle w:val="BodyText"/>
        <w:spacing w:line="316" w:lineRule="auto" w:before="76"/>
        <w:ind w:right="190"/>
        <w:jc w:val="both"/>
        <w:rPr>
          <w:rFonts w:ascii="宋体" w:hAnsi="宋体" w:cs="宋体" w:eastAsia="宋体" w:hint="default"/>
        </w:rPr>
      </w:pPr>
      <w:r>
        <w:rPr>
          <w:rFonts w:ascii="宋体" w:hAnsi="宋体" w:cs="宋体" w:eastAsia="宋体" w:hint="default"/>
          <w:spacing w:val="-2"/>
        </w:rPr>
        <w:t>26.87%</w:t>
      </w:r>
      <w:r>
        <w:rPr>
          <w:spacing w:val="-2"/>
        </w:rPr>
        <w:t>），除股票财产权外的其他权利，委托云南省工业投资控股集团有限责任公司行使，云南省工业投资控股集团有限责</w:t>
      </w:r>
      <w:r>
        <w:rPr>
          <w:spacing w:val="-60"/>
        </w:rPr>
        <w:t> </w:t>
      </w:r>
      <w:r>
        <w:rPr>
          <w:spacing w:val="-60"/>
        </w:rPr>
      </w:r>
      <w:r>
        <w:rPr>
          <w:spacing w:val="2"/>
        </w:rPr>
        <w:t>任公司直接持有本公司股份</w:t>
      </w:r>
      <w:r>
        <w:rPr>
          <w:rFonts w:ascii="宋体" w:hAnsi="宋体" w:cs="宋体" w:eastAsia="宋体" w:hint="default"/>
          <w:spacing w:val="2"/>
        </w:rPr>
        <w:t>22,870,213</w:t>
      </w:r>
      <w:r>
        <w:rPr>
          <w:spacing w:val="2"/>
        </w:rPr>
        <w:t>股（占本公司总股本的</w:t>
      </w:r>
      <w:r>
        <w:rPr>
          <w:rFonts w:ascii="宋体" w:hAnsi="宋体" w:cs="宋体" w:eastAsia="宋体" w:hint="default"/>
          <w:spacing w:val="2"/>
        </w:rPr>
        <w:t>9.27%</w:t>
      </w:r>
      <w:r>
        <w:rPr>
          <w:spacing w:val="2"/>
        </w:rPr>
        <w:t>），云南省工业投资控股集团有限责任公司拥有股票</w:t>
      </w:r>
      <w:r>
        <w:rPr>
          <w:spacing w:val="-54"/>
        </w:rPr>
        <w:t> </w:t>
      </w:r>
      <w:r>
        <w:rPr>
          <w:spacing w:val="-54"/>
        </w:rPr>
      </w:r>
      <w:r>
        <w:rPr>
          <w:rFonts w:ascii="宋体" w:hAnsi="宋体" w:cs="宋体" w:eastAsia="宋体" w:hint="default"/>
        </w:rPr>
        <w:t>89,142,197</w:t>
      </w:r>
      <w:r>
        <w:rPr/>
        <w:t>股的投票权权利，占本公司总股本的</w:t>
      </w:r>
      <w:r>
        <w:rPr>
          <w:rFonts w:ascii="宋体" w:hAnsi="宋体" w:cs="宋体" w:eastAsia="宋体" w:hint="default"/>
        </w:rPr>
        <w:t>36.15%</w:t>
      </w:r>
      <w:r>
        <w:rPr/>
        <w:t>。</w:t>
      </w:r>
      <w:r>
        <w:rPr>
          <w:rFonts w:ascii="宋体" w:hAnsi="宋体" w:cs="宋体" w:eastAsia="宋体" w:hint="default"/>
        </w:rPr>
        <w:t> </w:t>
      </w:r>
    </w:p>
    <w:p>
      <w:pPr>
        <w:pStyle w:val="BodyText"/>
        <w:spacing w:line="240" w:lineRule="auto" w:before="19"/>
        <w:ind w:left="513" w:right="93"/>
        <w:jc w:val="left"/>
        <w:rPr>
          <w:rFonts w:ascii="宋体" w:hAnsi="宋体" w:cs="宋体" w:eastAsia="宋体" w:hint="default"/>
        </w:rPr>
      </w:pPr>
      <w:r>
        <w:rPr>
          <w:rFonts w:ascii="宋体" w:hAnsi="宋体" w:cs="宋体" w:eastAsia="宋体" w:hint="default"/>
        </w:rPr>
        <w:t>5</w:t>
      </w:r>
      <w:r>
        <w:rPr/>
        <w:t>、财务报告的批准报出者和批准报出日</w:t>
      </w:r>
      <w:r>
        <w:rPr>
          <w:rFonts w:ascii="宋体" w:hAnsi="宋体" w:cs="宋体" w:eastAsia="宋体" w:hint="default"/>
        </w:rPr>
        <w:t> </w:t>
      </w:r>
    </w:p>
    <w:p>
      <w:pPr>
        <w:pStyle w:val="BodyText"/>
        <w:spacing w:line="316" w:lineRule="auto" w:before="76"/>
        <w:ind w:left="513" w:right="2613"/>
        <w:jc w:val="left"/>
        <w:rPr>
          <w:rFonts w:ascii="宋体" w:hAnsi="宋体" w:cs="宋体" w:eastAsia="宋体" w:hint="default"/>
        </w:rPr>
      </w:pPr>
      <w:r>
        <w:rPr/>
        <w:t>本财务报表于</w:t>
      </w:r>
      <w:r>
        <w:rPr>
          <w:rFonts w:ascii="宋体" w:hAnsi="宋体" w:cs="宋体" w:eastAsia="宋体" w:hint="default"/>
        </w:rPr>
        <w:t>2018</w:t>
      </w:r>
      <w:r>
        <w:rPr/>
        <w:t>年</w:t>
      </w:r>
      <w:r>
        <w:rPr>
          <w:rFonts w:ascii="宋体" w:hAnsi="宋体" w:cs="宋体" w:eastAsia="宋体" w:hint="default"/>
        </w:rPr>
        <w:t>3</w:t>
      </w:r>
      <w:r>
        <w:rPr/>
        <w:t>月</w:t>
      </w:r>
      <w:r>
        <w:rPr>
          <w:spacing w:val="-2"/>
        </w:rPr>
        <w:t> </w:t>
      </w:r>
      <w:r>
        <w:rPr>
          <w:rFonts w:ascii="宋体" w:hAnsi="宋体" w:cs="宋体" w:eastAsia="宋体" w:hint="default"/>
          <w:spacing w:val="-2"/>
        </w:rPr>
      </w:r>
      <w:r>
        <w:rPr>
          <w:rFonts w:ascii="宋体" w:hAnsi="宋体" w:cs="宋体" w:eastAsia="宋体" w:hint="default"/>
        </w:rPr>
        <w:t>19</w:t>
      </w:r>
      <w:r>
        <w:rPr/>
        <w:t>日经公司第七届董事会第九次会议批准报出。</w:t>
      </w:r>
      <w:r>
        <w:rPr>
          <w:rFonts w:ascii="宋体" w:hAnsi="宋体" w:cs="宋体" w:eastAsia="宋体" w:hint="default"/>
        </w:rPr>
        <w:t> 6</w:t>
      </w:r>
      <w:r>
        <w:rPr/>
        <w:t>、本公司本期合并范围未发生变更</w:t>
      </w:r>
      <w:r>
        <w:rPr>
          <w:rFonts w:ascii="宋体" w:hAnsi="宋体" w:cs="宋体" w:eastAsia="宋体" w:hint="default"/>
        </w:rPr>
        <w:t> </w:t>
      </w:r>
    </w:p>
    <w:p>
      <w:pPr>
        <w:pStyle w:val="BodyText"/>
        <w:spacing w:line="240" w:lineRule="auto" w:before="18"/>
        <w:ind w:left="513" w:right="93"/>
        <w:jc w:val="left"/>
        <w:rPr>
          <w:rFonts w:ascii="宋体" w:hAnsi="宋体" w:cs="宋体" w:eastAsia="宋体" w:hint="default"/>
        </w:rPr>
      </w:pPr>
      <w:r>
        <w:rPr>
          <w:rFonts w:ascii="宋体" w:hAnsi="宋体" w:cs="宋体" w:eastAsia="宋体" w:hint="default"/>
        </w:rPr>
        <w:t>7</w:t>
      </w:r>
      <w:r>
        <w:rPr/>
        <w:t>、在其他主体中的权益详见“第十一节、八在其他主体中的权益”</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67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3"/>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83"/>
        <w:jc w:val="left"/>
        <w:rPr>
          <w:rFonts w:ascii="宋体" w:hAnsi="宋体" w:cs="宋体" w:eastAsia="宋体" w:hint="default"/>
        </w:rPr>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项具体会计准则、企业会计准则 应用指南、企业会计准则解释及其他相关规定（以下合称“企业会计准则”）的披露规定编制。</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rPr>
          <w:rFonts w:ascii="宋体" w:hAnsi="宋体" w:cs="宋体" w:eastAsia="宋体" w:hint="default"/>
        </w:rPr>
      </w:pPr>
      <w:r>
        <w:rPr/>
        <w:t>公司自本报告期末至少</w:t>
      </w:r>
      <w:r>
        <w:rPr>
          <w:rFonts w:ascii="宋体" w:hAnsi="宋体" w:cs="宋体" w:eastAsia="宋体" w:hint="default"/>
        </w:rPr>
        <w:t>12</w:t>
      </w:r>
      <w:r>
        <w:rPr/>
        <w:t>个月内具备持续经营能力，无影响持续经营能力的重大事项。</w:t>
      </w:r>
      <w:r>
        <w:rPr>
          <w:rFonts w:ascii="宋体" w:hAnsi="宋体" w:cs="宋体" w:eastAsia="宋体" w:hint="default"/>
          <w:spacing w:val="1"/>
        </w:rPr>
        <w:t> </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9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3"/>
        <w:jc w:val="left"/>
      </w:pPr>
      <w:r>
        <w:rPr/>
        <w:t>公司是否需要遵守特殊行业的披露要求 否</w:t>
      </w:r>
    </w:p>
    <w:p>
      <w:pPr>
        <w:pStyle w:val="BodyText"/>
        <w:spacing w:line="360" w:lineRule="auto" w:before="25"/>
        <w:ind w:left="513" w:right="93" w:hanging="360"/>
        <w:jc w:val="left"/>
      </w:pPr>
      <w:r>
        <w:rPr/>
        <w:t>具体会计政策和会计估计提示： </w:t>
      </w:r>
      <w:r>
        <w:rPr>
          <w:spacing w:val="-2"/>
        </w:rPr>
        <w:t>公司执行财政部发布的《企业会计准则》，依据企业会计准则，根据公司的具体经营情况，选择符合公司经营情况的会</w:t>
      </w:r>
    </w:p>
    <w:p>
      <w:pPr>
        <w:pStyle w:val="BodyText"/>
        <w:spacing w:line="222" w:lineRule="exact"/>
        <w:ind w:right="6753"/>
        <w:jc w:val="left"/>
        <w:rPr>
          <w:rFonts w:ascii="宋体" w:hAnsi="宋体" w:cs="宋体" w:eastAsia="宋体" w:hint="default"/>
        </w:rPr>
      </w:pPr>
      <w:r>
        <w:rPr/>
        <w:t>计估计方法。</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3" w:firstLine="360"/>
        <w:jc w:val="left"/>
        <w:rPr>
          <w:rFonts w:ascii="宋体" w:hAnsi="宋体" w:cs="宋体" w:eastAsia="宋体" w:hint="default"/>
        </w:rPr>
      </w:pPr>
      <w:r>
        <w:rPr>
          <w:spacing w:val="-2"/>
        </w:rPr>
        <w:t>本公司编制的财务报表符合企业会计准则的要求，真实、完整地反映了企业的财务状况、经营成果和现金流量等有关信</w:t>
      </w:r>
      <w:r>
        <w:rPr/>
        <w:t> 息。</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pPr>
      <w:r>
        <w:rPr/>
        <w:t>本公司会计期间分为年度和中期。中期包括半年度、季度和月度。年度、半年度、季度、月度起止日期按公历日期确 定。公司会计年度为每年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pStyle w:val="Heading3"/>
        <w:spacing w:line="240" w:lineRule="auto"/>
        <w:ind w:right="675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正常营业周期是指本公司从购买用于经营活动的资产起至实现现金或现金等价物的期间。本公司以</w:t>
      </w:r>
      <w:r>
        <w:rPr>
          <w:rFonts w:ascii="宋体" w:hAnsi="宋体" w:cs="宋体" w:eastAsia="宋体" w:hint="default"/>
        </w:rPr>
        <w:t>12</w:t>
      </w:r>
      <w:r>
        <w:rPr/>
        <w:t>个月作为一个营 业周期，并以其作为资产和负债的流动性划分标准。</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pPr>
      <w:r>
        <w:rPr/>
        <w:t>人民币为本公司及境内子公司经营所处的主要经济环境中的货币，本公司及境内子公司以人民币为记账本位币。本公 司编制本财务报表时所采用的货币为人民币。</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5.1</w:t>
      </w:r>
      <w:r>
        <w:rPr>
          <w:rFonts w:ascii="Times New Roman" w:hAnsi="Times New Roman" w:cs="Times New Roman" w:eastAsia="Times New Roman" w:hint="default"/>
          <w:spacing w:val="2"/>
        </w:rPr>
        <w:t> </w:t>
      </w:r>
      <w:r>
        <w:rPr/>
        <w:t>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3"/>
        <w:jc w:val="left"/>
      </w:pPr>
      <w:r>
        <w:rPr/>
        <w:t>参与合并的企业在合并前后均受同一方或相同的多方最终控制且该控制并非暂时性的，为同一控制下的企业合并。通</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常情况下，同一控制下的企业合并是指发生在同一企业集团内部企业之间的合并，除此之外，一般不作为同一控制下的企业</w:t>
      </w:r>
      <w:r>
        <w:rPr>
          <w:spacing w:val="-63"/>
        </w:rPr>
        <w:t> </w:t>
      </w:r>
      <w:r>
        <w:rPr>
          <w:spacing w:val="-63"/>
        </w:rPr>
      </w:r>
      <w:r>
        <w:rPr/>
        <w:t>合并。</w:t>
      </w:r>
    </w:p>
    <w:p>
      <w:pPr>
        <w:pStyle w:val="BodyText"/>
        <w:spacing w:line="316" w:lineRule="auto" w:before="17"/>
        <w:ind w:right="93" w:firstLine="420"/>
        <w:jc w:val="left"/>
      </w:pPr>
      <w:r>
        <w:rPr/>
        <w:t>同一控制下的控股合并形成的长期股权投资，本公司在合并日以被合并方所有者权益在最终控制方合并财务报表中的 </w:t>
      </w:r>
      <w:r>
        <w:rPr>
          <w:spacing w:val="-4"/>
        </w:rPr>
        <w:t>账面价值的份额作为形成长期股权投资的初始投资成本，相关会计处理见长期股权投资；同一控制下的吸收合并取得的资产、</w:t>
      </w:r>
      <w:r>
        <w:rPr>
          <w:spacing w:val="-44"/>
        </w:rPr>
        <w:t> </w:t>
      </w:r>
      <w:r>
        <w:rPr>
          <w:spacing w:val="-44"/>
        </w:rPr>
      </w:r>
      <w:r>
        <w:rPr>
          <w:spacing w:val="-2"/>
        </w:rPr>
        <w:t>负债，在合并日按照被合并方所有者权益在最终控制方合并财务报表中的账面价值计量。本公司取得的净资产账面价值与支</w:t>
      </w:r>
      <w:r>
        <w:rPr>
          <w:spacing w:val="-64"/>
        </w:rPr>
        <w:t> </w:t>
      </w:r>
      <w:r>
        <w:rPr>
          <w:spacing w:val="-64"/>
        </w:rPr>
      </w:r>
      <w:r>
        <w:rPr/>
        <w:t>付的合并对价账面价值（或发行股份面值总额）的差额，调整资本公积（股本溢价）；资本公积（股本溢价）不足冲减的， 调整留存收益。</w:t>
      </w:r>
    </w:p>
    <w:p>
      <w:pPr>
        <w:pStyle w:val="BodyText"/>
        <w:spacing w:line="316" w:lineRule="auto" w:before="19"/>
        <w:ind w:right="93" w:firstLine="420"/>
        <w:jc w:val="left"/>
      </w:pPr>
      <w:r>
        <w:rPr/>
        <w:t>本公司作为合并方为进行企业合并发生的各项直接相关费用，包括支付的审计费用、评估费用、法律服务费等，于发 生时计入当期损益。</w:t>
      </w:r>
    </w:p>
    <w:p>
      <w:pPr>
        <w:pStyle w:val="BodyText"/>
        <w:spacing w:line="316" w:lineRule="auto" w:before="19"/>
        <w:ind w:right="93" w:firstLine="420"/>
        <w:jc w:val="left"/>
      </w:pPr>
      <w:r>
        <w:rPr/>
        <w:t>为企业合并发行的债券或承担其他债务支付的手续费、佣金等，计入所发行债券及其他债务的初始计量金额。企业合 并中发行权益性证券发生的手续费、佣金等费用，抵减权益性证券溢价收入，溢价收入不足冲减的，冲减留存收益。</w:t>
      </w:r>
    </w:p>
    <w:p>
      <w:pPr>
        <w:pStyle w:val="BodyText"/>
        <w:spacing w:line="319" w:lineRule="auto" w:before="19"/>
        <w:ind w:right="93" w:firstLine="420"/>
        <w:jc w:val="left"/>
      </w:pPr>
      <w:r>
        <w:rPr/>
        <w:t>母公司在报告期内因同一控制下企业合并增加的子公司以及业务，编制合并资产负债表时，应当调整合并资产负债表 的期初数，同时应当对比较报表的相关项目进行调整，视同合并后的报告主体自最终控制方开始控制时起一直存在。</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5.2</w:t>
      </w:r>
      <w:r>
        <w:rPr>
          <w:rFonts w:ascii="Times New Roman" w:hAnsi="Times New Roman" w:cs="Times New Roman" w:eastAsia="Times New Roman" w:hint="default"/>
          <w:spacing w:val="-1"/>
        </w:rPr>
        <w:t> </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93"/>
        <w:jc w:val="left"/>
      </w:pPr>
      <w:r>
        <w:rPr/>
        <w:t>参与合并的各方在合并前后不受同一方或相同的多方最终控制的，为非同一控制下的企业合并。 确定企业合并成本：企业合并成本包括购买方为进行企业合并支付的现金或非现金资产、发行或承担的债务、发行的</w:t>
      </w:r>
    </w:p>
    <w:p>
      <w:pPr>
        <w:pStyle w:val="BodyText"/>
        <w:spacing w:line="316" w:lineRule="auto" w:before="19"/>
        <w:ind w:right="93"/>
        <w:jc w:val="left"/>
      </w:pPr>
      <w:r>
        <w:rPr>
          <w:spacing w:val="-2"/>
        </w:rPr>
        <w:t>权益性证券等在购买日的公允价值。通过多次交换交易分步实现的企业合并，合并成本为每一单项交易成本之和。公司为进</w:t>
      </w:r>
      <w:r>
        <w:rPr>
          <w:spacing w:val="-63"/>
        </w:rPr>
        <w:t> </w:t>
      </w:r>
      <w:r>
        <w:rPr>
          <w:spacing w:val="-63"/>
        </w:rPr>
      </w:r>
      <w:r>
        <w:rPr/>
        <w:t>行企业合并发生的各项直接相关费用计入当期损益。</w:t>
      </w:r>
    </w:p>
    <w:p>
      <w:pPr>
        <w:pStyle w:val="BodyText"/>
        <w:spacing w:line="316" w:lineRule="auto" w:before="19"/>
        <w:ind w:right="190" w:firstLine="420"/>
        <w:jc w:val="both"/>
      </w:pPr>
      <w:r>
        <w:rPr/>
        <w:t>非同一控制下的控股合并取得的长期股权投资，本公司以购买日确定的企业合并成本，作为对被购买方长期股权投资 </w:t>
      </w:r>
      <w:r>
        <w:rPr>
          <w:spacing w:val="-2"/>
        </w:rPr>
        <w:t>的初始投资成本；非同一控制下的吸收合并取得的符合确认条件的各项可辨认资产、负债，本公司在购买日按照公允价值确</w:t>
      </w:r>
      <w:r>
        <w:rPr>
          <w:spacing w:val="-63"/>
        </w:rPr>
        <w:t> </w:t>
      </w:r>
      <w:r>
        <w:rPr>
          <w:spacing w:val="-63"/>
        </w:rPr>
      </w:r>
      <w:r>
        <w:rPr/>
        <w:t>认为本企业的资产和负债。</w:t>
      </w:r>
    </w:p>
    <w:p>
      <w:pPr>
        <w:pStyle w:val="BodyText"/>
        <w:spacing w:line="316" w:lineRule="auto" w:before="19"/>
        <w:ind w:right="93" w:firstLine="420"/>
        <w:jc w:val="left"/>
      </w:pPr>
      <w:r>
        <w:rPr/>
        <w:t>非同一控制下的企业合并中，企业合并成本大于合并中取得的被购买方可辨认净资产公允价值份额的差额，确认为商 </w:t>
      </w:r>
      <w:r>
        <w:rPr>
          <w:spacing w:val="-2"/>
        </w:rPr>
        <w:t>誉；在吸收合并情况下，该差额在母公司个别财务报表中确认为商誉；在控股合并情况下，该差额在合并财务报表中列示为</w:t>
      </w:r>
      <w:r>
        <w:rPr>
          <w:spacing w:val="-64"/>
        </w:rPr>
        <w:t> </w:t>
      </w:r>
      <w:r>
        <w:rPr>
          <w:spacing w:val="-64"/>
        </w:rPr>
      </w:r>
      <w:r>
        <w:rPr>
          <w:spacing w:val="-7"/>
        </w:rPr>
        <w:t>商誉。企业合并成本小于合并中取得的被购买方可辨认净资产公允价值份额的差额，本公司计入合并当期损益（营业外收入）。</w:t>
      </w:r>
      <w:r>
        <w:rPr>
          <w:spacing w:val="-54"/>
        </w:rPr>
        <w:t> </w:t>
      </w:r>
      <w:r>
        <w:rPr>
          <w:spacing w:val="-54"/>
        </w:rPr>
      </w:r>
      <w:r>
        <w:rPr/>
        <w:t>在吸收合并情况下，该差额计入合并当期母公司个别利润表；在控股合并情况下，该差额计入合并当期的合并利润表。</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5.3</w:t>
      </w:r>
      <w:r>
        <w:rPr>
          <w:rFonts w:ascii="Times New Roman" w:hAnsi="Times New Roman" w:cs="Times New Roman" w:eastAsia="Times New Roman" w:hint="default"/>
          <w:spacing w:val="1"/>
        </w:rPr>
        <w:t> </w:t>
      </w:r>
      <w:r>
        <w:rPr/>
        <w:t>分步实现企业合并</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3" w:firstLine="420"/>
        <w:jc w:val="left"/>
      </w:pPr>
      <w:r>
        <w:rPr/>
        <w:t>如果分步取得对子公司股权投资直至取得控制权的各项交易属于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，应当将各项交易作为一项取得子公司 控制权的交易，并区分企业合并的类型分别进行会计处理。</w:t>
      </w:r>
    </w:p>
    <w:p>
      <w:pPr>
        <w:spacing w:line="240" w:lineRule="auto" w:before="10"/>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5.3.1</w:t>
      </w:r>
      <w:r>
        <w:rPr>
          <w:rFonts w:ascii="Times New Roman" w:hAnsi="Times New Roman" w:cs="Times New Roman" w:eastAsia="Times New Roman" w:hint="default"/>
          <w:spacing w:val="1"/>
        </w:rPr>
        <w:t> </w:t>
      </w:r>
      <w:r>
        <w:rPr/>
        <w:t>分步实现同一控制下企业合并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3" w:firstLine="420"/>
        <w:jc w:val="left"/>
      </w:pPr>
      <w:r>
        <w:rPr/>
        <w:t>如果不属于一揽子交易并形成同一控制下企业合并的，在取得控制权日，根据合并后应享有被合并方净资产在最终控 </w:t>
      </w:r>
      <w:r>
        <w:rPr>
          <w:spacing w:val="-2"/>
        </w:rPr>
        <w:t>制方合并财务报表中的账面价值的份额，确定长期股权投资的初始投资成本。合并日长期股权投资的初始投资成本，与达到</w:t>
      </w:r>
      <w:r>
        <w:rPr>
          <w:spacing w:val="-63"/>
        </w:rPr>
        <w:t> </w:t>
      </w:r>
      <w:r>
        <w:rPr>
          <w:spacing w:val="-63"/>
        </w:rPr>
      </w:r>
      <w:r>
        <w:rPr>
          <w:spacing w:val="-2"/>
        </w:rPr>
        <w:t>合并前的长期股权投资账面价值加上合并日进一步取得股份新支付对价的账面价值之和的差额，调整资本公积（资本溢价或</w:t>
      </w:r>
      <w:r>
        <w:rPr>
          <w:spacing w:val="-64"/>
        </w:rPr>
        <w:t> </w:t>
      </w:r>
      <w:r>
        <w:rPr>
          <w:spacing w:val="-64"/>
        </w:rPr>
      </w:r>
      <w:r>
        <w:rPr>
          <w:spacing w:val="-2"/>
        </w:rPr>
        <w:t>股本溢价），资本公积不足冲减的，冲减留存收益。合并日之前持有的股权投资，因采用权益法核算或金融工具确认和计量</w:t>
      </w:r>
      <w:r>
        <w:rPr>
          <w:spacing w:val="-67"/>
        </w:rPr>
        <w:t> </w:t>
      </w:r>
      <w:r>
        <w:rPr>
          <w:spacing w:val="-67"/>
        </w:rPr>
      </w:r>
      <w:r>
        <w:rPr>
          <w:spacing w:val="-2"/>
        </w:rPr>
        <w:t>准则核算而确认的其他综合收益，暂不进行会计处理，直至处置该项投资时采用与被投资单位直接处置相关资产或负债相同</w:t>
      </w:r>
      <w:r>
        <w:rPr>
          <w:spacing w:val="-64"/>
        </w:rPr>
        <w:t> </w:t>
      </w:r>
      <w:r>
        <w:rPr>
          <w:spacing w:val="-64"/>
        </w:rPr>
      </w:r>
      <w:r>
        <w:rPr>
          <w:spacing w:val="-2"/>
        </w:rPr>
        <w:t>的基础进行会计处理；因采用权益法核算而确认的被投资单位净资产中除净损益、其他综合收益和利润分配以外的所有者权</w:t>
      </w:r>
      <w:r>
        <w:rPr>
          <w:spacing w:val="-64"/>
        </w:rPr>
        <w:t> </w:t>
      </w:r>
      <w:r>
        <w:rPr>
          <w:spacing w:val="-64"/>
        </w:rPr>
      </w:r>
      <w:r>
        <w:rPr>
          <w:spacing w:val="-4"/>
        </w:rPr>
        <w:t>益其他变动，暂不进行会计处理，直至处置该项投资时转入当期损益。其中，处置后的剩余股权采用成本法或权益法核算的，</w:t>
      </w:r>
      <w:r>
        <w:rPr>
          <w:spacing w:val="-46"/>
        </w:rPr>
        <w:t> </w:t>
      </w:r>
      <w:r>
        <w:rPr>
          <w:spacing w:val="-46"/>
        </w:rPr>
      </w:r>
      <w:r>
        <w:rPr>
          <w:spacing w:val="-2"/>
        </w:rPr>
        <w:t>其他综合收益和其他所有者权益应按比例结转，处置后的剩余股权改按金融工具确认和计量准则进行会计处理的，其他综合</w:t>
      </w:r>
      <w:r>
        <w:rPr>
          <w:spacing w:val="-64"/>
        </w:rPr>
        <w:t> </w:t>
      </w:r>
      <w:r>
        <w:rPr>
          <w:spacing w:val="-64"/>
        </w:rPr>
      </w:r>
      <w:r>
        <w:rPr/>
        <w:t>收益和其他所有者权益应全部结转。</w:t>
      </w:r>
    </w:p>
    <w:p>
      <w:pPr>
        <w:pStyle w:val="BodyText"/>
        <w:spacing w:line="240" w:lineRule="auto" w:before="19"/>
        <w:ind w:left="573" w:right="93"/>
        <w:jc w:val="left"/>
      </w:pPr>
      <w:r>
        <w:rPr/>
        <w:t>合并日应当按照《企业会计准则第</w:t>
      </w:r>
      <w:r>
        <w:rPr>
          <w:rFonts w:ascii="Times New Roman" w:hAnsi="Times New Roman" w:cs="Times New Roman" w:eastAsia="Times New Roman" w:hint="default"/>
        </w:rPr>
        <w:t>20</w:t>
      </w:r>
      <w:r>
        <w:rPr/>
        <w:t>号一一企业合并》和合并财务报表准则的规定编制合并财务报表。在编制合并财</w:t>
      </w:r>
    </w:p>
    <w:p>
      <w:pPr>
        <w:spacing w:after="0" w:line="240" w:lineRule="auto"/>
        <w:jc w:val="left"/>
        <w:sectPr>
          <w:footerReference w:type="default" r:id="rId15"/>
          <w:pgSz w:w="11910" w:h="16840"/>
          <w:pgMar w:footer="979" w:header="745" w:top="1060" w:bottom="1160" w:left="980" w:right="940"/>
          <w:pgNumType w:start="9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务报表时，应视同参与合并的各方在最终控制方开始控制时即以目前的状态存在进行调整，在编制比较报表时，以不早于合</w:t>
      </w:r>
      <w:r>
        <w:rPr>
          <w:spacing w:val="-66"/>
        </w:rPr>
        <w:t> </w:t>
      </w:r>
      <w:r>
        <w:rPr>
          <w:spacing w:val="-66"/>
        </w:rPr>
      </w:r>
      <w:r>
        <w:rPr>
          <w:spacing w:val="-2"/>
        </w:rPr>
        <w:t>并方和被合并方同处于最终控制方的控制之下的时点为限，将被合并方的有关资产、负债并人合并方合并财务报表的比较报</w:t>
      </w:r>
      <w:r>
        <w:rPr>
          <w:spacing w:val="-64"/>
        </w:rPr>
        <w:t> </w:t>
      </w:r>
      <w:r>
        <w:rPr>
          <w:spacing w:val="-64"/>
        </w:rPr>
      </w:r>
      <w:r>
        <w:rPr>
          <w:spacing w:val="-4"/>
        </w:rPr>
        <w:t>表中，并将合并而增加的净资产在比较报表中调整所有者权益项下的相关项目。合并方在达到合并之前持有的长期股权投资，</w:t>
      </w:r>
      <w:r>
        <w:rPr>
          <w:spacing w:val="-44"/>
        </w:rPr>
        <w:t> </w:t>
      </w:r>
      <w:r>
        <w:rPr>
          <w:spacing w:val="-44"/>
        </w:rPr>
      </w:r>
      <w:r>
        <w:rPr>
          <w:spacing w:val="-2"/>
        </w:rPr>
        <w:t>在取得日与合并方与被合并方处于同一最终控制之日孰晚日与合并日之间已确认有关损益、其他综合收益和其他所有者权益</w:t>
      </w:r>
      <w:r>
        <w:rPr>
          <w:spacing w:val="-63"/>
        </w:rPr>
        <w:t> </w:t>
      </w:r>
      <w:r>
        <w:rPr>
          <w:spacing w:val="-63"/>
        </w:rPr>
      </w:r>
      <w:r>
        <w:rPr/>
        <w:t>变动，应分别冲减比较报表期间的期初留存收益或当期损益。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5.3.2</w:t>
      </w:r>
      <w:r>
        <w:rPr>
          <w:rFonts w:ascii="Times New Roman" w:hAnsi="Times New Roman" w:cs="Times New Roman" w:eastAsia="Times New Roman" w:hint="default"/>
          <w:spacing w:val="1"/>
        </w:rPr>
        <w:t> </w:t>
      </w:r>
      <w:r>
        <w:rPr/>
        <w:t>分步实现非同一控制下企业合并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420"/>
        <w:jc w:val="both"/>
      </w:pPr>
      <w:r>
        <w:rPr/>
        <w:t>企业通过多次交易分步实现非同一控制下企业合并且不属于一揽子交易的，在编制个别财务报表时，应当按照原持有 </w:t>
      </w:r>
      <w:r>
        <w:rPr>
          <w:spacing w:val="-2"/>
        </w:rPr>
        <w:t>的股权投资的账面价值加上新增投资成本之和，作为改按成本法核算的初始投资成本。购买日之前持有的股权投资，采用金</w:t>
      </w:r>
      <w:r>
        <w:rPr>
          <w:spacing w:val="-63"/>
        </w:rPr>
        <w:t> </w:t>
      </w:r>
      <w:r>
        <w:rPr>
          <w:spacing w:val="-63"/>
        </w:rPr>
      </w:r>
      <w:r>
        <w:rPr>
          <w:spacing w:val="-2"/>
        </w:rPr>
        <w:t>融工具确认和计量准则进行会计处理的，应当将按照该准则确定的股权投资的公允价值加上新增投资成本之和，作为改按成</w:t>
      </w:r>
      <w:r>
        <w:rPr>
          <w:spacing w:val="-64"/>
        </w:rPr>
        <w:t> </w:t>
      </w:r>
      <w:r>
        <w:rPr>
          <w:spacing w:val="-64"/>
        </w:rPr>
      </w:r>
      <w:r>
        <w:rPr>
          <w:spacing w:val="-2"/>
        </w:rPr>
        <w:t>本法核算的初始投资成本，原持有股权的公允价值与账面价值之间的差额以及原计入其他综合收益的累计公允价值变动应当</w:t>
      </w:r>
      <w:r>
        <w:rPr>
          <w:spacing w:val="-64"/>
        </w:rPr>
        <w:t> </w:t>
      </w:r>
      <w:r>
        <w:rPr>
          <w:spacing w:val="-64"/>
        </w:rPr>
      </w:r>
      <w:r>
        <w:rPr/>
        <w:t>全部转入改按成本法核算的当期投资收益。</w:t>
      </w:r>
    </w:p>
    <w:p>
      <w:pPr>
        <w:pStyle w:val="BodyText"/>
        <w:spacing w:line="316" w:lineRule="auto" w:before="17"/>
        <w:ind w:right="192" w:firstLine="420"/>
        <w:jc w:val="both"/>
      </w:pPr>
      <w:r>
        <w:rPr/>
        <w:t>编制合并报表时，购买日之前持有的被购买方的股权，应当按照该股权在购买日的公允价值进行重新计量，公允价值 </w:t>
      </w:r>
      <w:r>
        <w:rPr>
          <w:spacing w:val="-2"/>
        </w:rPr>
        <w:t>与其账面价值的差额计人当期投资收益；购买日之前持有的被购买方的股权涉及权益法核算下的其他综合收益、其他所有者</w:t>
      </w:r>
      <w:r>
        <w:rPr>
          <w:spacing w:val="-64"/>
        </w:rPr>
        <w:t> </w:t>
      </w:r>
      <w:r>
        <w:rPr>
          <w:spacing w:val="-64"/>
        </w:rPr>
      </w:r>
      <w:r>
        <w:rPr>
          <w:spacing w:val="-2"/>
        </w:rPr>
        <w:t>权益变动的，应当转为购买日所属当期收益，由于被投资方重新计量设定受益计划净负债或净资产变动而产生的其他综合收</w:t>
      </w:r>
      <w:r>
        <w:rPr>
          <w:spacing w:val="-64"/>
        </w:rPr>
        <w:t> </w:t>
      </w:r>
      <w:r>
        <w:rPr>
          <w:spacing w:val="-64"/>
        </w:rPr>
      </w:r>
      <w:r>
        <w:rPr/>
        <w:t>益除外。</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6.1 </w:t>
      </w:r>
      <w:r>
        <w:rPr/>
        <w:t>合并范围</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420"/>
        <w:jc w:val="both"/>
      </w:pPr>
      <w:r>
        <w:rPr/>
        <w:t>合并财务报表的合并范围以控制为基础予以确定。控制是指本公司拥有对被投资单位的权力，通过参与被投资单位的 </w:t>
      </w:r>
      <w:r>
        <w:rPr>
          <w:spacing w:val="-2"/>
        </w:rPr>
        <w:t>相关活动而享有可变回报，并且有能力运用对被投资单位的权力影响其回报金额。子公司，是指被本公司控制的主体（含企</w:t>
      </w:r>
      <w:r>
        <w:rPr>
          <w:spacing w:val="-64"/>
        </w:rPr>
        <w:t> </w:t>
      </w:r>
      <w:r>
        <w:rPr>
          <w:spacing w:val="-64"/>
        </w:rPr>
      </w:r>
      <w:r>
        <w:rPr/>
        <w:t>业、被投资单位中可分割的部分，以及企业所控制的结构化主体等）。</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8" w:firstLine="420"/>
        <w:jc w:val="both"/>
        <w:rPr>
          <w:rFonts w:ascii="宋体" w:hAnsi="宋体" w:cs="宋体" w:eastAsia="宋体" w:hint="default"/>
        </w:rPr>
      </w:pPr>
      <w:r>
        <w:rPr/>
        <w:t>本公司合并财务报表以本公司和子公司的财务报表为基础，根据其他有关资料，由本公司编制。在编制合并财务报表 时，本公司和子公司的会计政策和会计期间要求保持一致，公司间的重大交易和往来余额予以抵销。</w:t>
      </w:r>
      <w:r>
        <w:rPr>
          <w:rFonts w:ascii="宋体" w:hAnsi="宋体" w:cs="宋体" w:eastAsia="宋体" w:hint="default"/>
        </w:rPr>
        <w:t> </w:t>
      </w:r>
    </w:p>
    <w:p>
      <w:pPr>
        <w:pStyle w:val="BodyText"/>
        <w:spacing w:line="316" w:lineRule="auto" w:before="19"/>
        <w:ind w:right="85" w:firstLine="420"/>
        <w:jc w:val="left"/>
        <w:rPr>
          <w:rFonts w:ascii="宋体" w:hAnsi="宋体" w:cs="宋体" w:eastAsia="宋体" w:hint="default"/>
        </w:rPr>
      </w:pPr>
      <w:r>
        <w:rPr>
          <w:spacing w:val="-1"/>
        </w:rPr>
        <w:t>在报告期内因同一控制下企业合并增加的子公司以及业务，本公司将该子公司合并当期期初至报告期末的收入、费用、</w:t>
      </w:r>
      <w:r>
        <w:rPr/>
        <w:t> </w:t>
      </w:r>
      <w:r>
        <w:rPr>
          <w:spacing w:val="-2"/>
        </w:rPr>
        <w:t>利润纳入合并利润表，将其现金流量纳入合并现金流量表；因非同一控制下企业合并增加的子公司以及业务，本公司将该子</w:t>
      </w:r>
      <w:r>
        <w:rPr>
          <w:spacing w:val="-63"/>
        </w:rPr>
        <w:t> </w:t>
      </w:r>
      <w:r>
        <w:rPr>
          <w:spacing w:val="-63"/>
        </w:rPr>
      </w:r>
      <w:r>
        <w:rPr/>
        <w:t>公司以及业务自购买日至报告期末的收入、费用、利润纳入合并利润表，将其现金流量纳入合并现金流量表。</w:t>
      </w:r>
      <w:r>
        <w:rPr>
          <w:rFonts w:ascii="宋体" w:hAnsi="宋体" w:cs="宋体" w:eastAsia="宋体" w:hint="default"/>
        </w:rPr>
        <w:t> </w:t>
      </w:r>
    </w:p>
    <w:p>
      <w:pPr>
        <w:pStyle w:val="BodyText"/>
        <w:spacing w:line="319" w:lineRule="auto" w:before="19"/>
        <w:ind w:right="191" w:firstLine="420"/>
        <w:jc w:val="both"/>
        <w:rPr>
          <w:rFonts w:ascii="宋体" w:hAnsi="宋体" w:cs="宋体" w:eastAsia="宋体" w:hint="default"/>
        </w:rPr>
      </w:pPr>
      <w:r>
        <w:rPr/>
        <w:t>子公司的股东权益中不属于本公司所拥有的部分作为少数股东权益在合并资产负债表中股东权益项下单独列示。子公 </w:t>
      </w:r>
      <w:r>
        <w:rPr>
          <w:spacing w:val="-2"/>
        </w:rPr>
        <w:t>司当期净损益中属于少数股东权益的份额，在合并利润表中净利润项目下以“少数股东损益”项目列示。少数股东分担的子</w:t>
      </w:r>
      <w:r>
        <w:rPr>
          <w:spacing w:val="-64"/>
        </w:rPr>
        <w:t> </w:t>
      </w:r>
      <w:r>
        <w:rPr>
          <w:spacing w:val="-64"/>
        </w:rPr>
      </w:r>
      <w:r>
        <w:rPr/>
        <w:t>公司的亏损超过了少数股东在该子公司期初所有者权益中所享有的份额，其余额仍冲减少数股东权益。</w:t>
      </w:r>
      <w:r>
        <w:rPr>
          <w:rFonts w:ascii="宋体" w:hAnsi="宋体" w:cs="宋体" w:eastAsia="宋体" w:hint="default"/>
        </w:rPr>
        <w:t> </w:t>
      </w:r>
    </w:p>
    <w:p>
      <w:pPr>
        <w:pStyle w:val="BodyText"/>
        <w:spacing w:line="307" w:lineRule="auto" w:before="17"/>
        <w:ind w:right="190" w:firstLine="420"/>
        <w:jc w:val="both"/>
        <w:rPr>
          <w:sz w:val="21"/>
          <w:szCs w:val="21"/>
        </w:rPr>
      </w:pPr>
      <w:r>
        <w:rPr/>
        <w:t>对于购买子公司少数股权或因处置部分股权投资但没有丧失对该子公司控制权的交易，作为权益性交易核算，调整归 属于母公司所有者权益和少数股东权益的账面价值以反映其在子公司中相关权益的变化。少数股东权益的调整额与支付</w:t>
      </w:r>
      <w:r>
        <w:rPr>
          <w:rFonts w:ascii="宋体" w:hAnsi="宋体" w:cs="宋体" w:eastAsia="宋体" w:hint="default"/>
        </w:rPr>
        <w:t>/</w:t>
      </w:r>
      <w:r>
        <w:rPr/>
        <w:t>收</w:t>
      </w:r>
      <w:r>
        <w:rPr>
          <w:spacing w:val="-82"/>
        </w:rPr>
        <w:t> </w:t>
      </w:r>
      <w:r>
        <w:rPr/>
        <w:t>到对价的公允价值之间的差额调整资本公积，资本公积不足冲减的，调整留存收益</w:t>
      </w:r>
      <w:r>
        <w:rPr>
          <w:sz w:val="21"/>
          <w:szCs w:val="21"/>
        </w:rPr>
        <w:t>。</w:t>
      </w:r>
    </w:p>
    <w:p>
      <w:pPr>
        <w:spacing w:line="240" w:lineRule="auto" w:before="4"/>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420"/>
        <w:jc w:val="both"/>
        <w:rPr>
          <w:rFonts w:ascii="宋体" w:hAnsi="宋体" w:cs="宋体" w:eastAsia="宋体" w:hint="default"/>
        </w:rPr>
      </w:pPr>
      <w:r>
        <w:rPr/>
        <w:t>合营安排，是指一项由两个或两个以上的参与方共同控制的安排。合营安排分为共同经营和合营企业。如果合营方通 </w:t>
      </w:r>
      <w:r>
        <w:rPr>
          <w:spacing w:val="-2"/>
        </w:rPr>
        <w:t>过对合营安排的资产享有权利，并对合营安排的义务承担责任来获得回报，则该合营安排应当被划分为共同经营；如果合营</w:t>
      </w:r>
      <w:r>
        <w:rPr>
          <w:spacing w:val="-63"/>
        </w:rPr>
        <w:t> </w:t>
      </w:r>
      <w:r>
        <w:rPr>
          <w:spacing w:val="-63"/>
        </w:rPr>
      </w:r>
      <w:r>
        <w:rPr/>
        <w:t>方仅对合营安排的净资产享有权利，则该合营安排应当被划分为合营企业。</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7.1 </w:t>
      </w:r>
      <w:r>
        <w:rPr/>
        <w:t>共同经营中，合营方的会计处理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合营方应当确认其与共同经营中利益份额相关的下列项目，并按照相关企业会计准则的规定进行会计处理：一是确认 单独所持有的资产，以及按其份额确认共同持有的资产；二是确认单独所承担的负债，以及按其份额确认共同承担的负债； </w:t>
      </w:r>
      <w:r>
        <w:rPr>
          <w:spacing w:val="-2"/>
        </w:rPr>
        <w:t>三是确认出售其享有的共同经营产出份额所产生的收入；四是按其份额确认共同经营因出售产出所产生的收入；五是确认单</w:t>
      </w:r>
      <w:r>
        <w:rPr>
          <w:spacing w:val="-64"/>
        </w:rPr>
        <w:t> </w:t>
      </w:r>
      <w:r>
        <w:rPr>
          <w:spacing w:val="-64"/>
        </w:rPr>
      </w:r>
      <w:r>
        <w:rPr/>
        <w:t>独所发生的费用，以及按其份额确认共同经营发生的费用。</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7.2 </w:t>
      </w:r>
      <w:r>
        <w:rPr/>
        <w:t>合营企业中，合营方的会计处理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t>合营企业中，合营方应当按照《企业会计准则第</w:t>
      </w:r>
      <w:r>
        <w:rPr>
          <w:rFonts w:ascii="宋体" w:hAnsi="宋体" w:cs="宋体" w:eastAsia="宋体" w:hint="default"/>
        </w:rPr>
        <w:t>2</w:t>
      </w:r>
      <w:r>
        <w:rPr/>
        <w:t>号</w:t>
      </w:r>
      <w:r>
        <w:rPr>
          <w:rFonts w:ascii="宋体" w:hAnsi="宋体" w:cs="宋体" w:eastAsia="宋体" w:hint="default"/>
        </w:rPr>
        <w:t>-</w:t>
      </w:r>
      <w:r>
        <w:rPr/>
        <w:t>长期股权投资》的规定核算其对合营企业的投资。</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现金，是指企业库存现金以及可以随时用于支付的存款。现金等价物，是指企业持有的同时具备期限短（一般指从购 入日起不超过</w:t>
      </w:r>
      <w:r>
        <w:rPr>
          <w:rFonts w:ascii="宋体" w:hAnsi="宋体" w:cs="宋体" w:eastAsia="宋体" w:hint="default"/>
        </w:rPr>
        <w:t>3</w:t>
      </w:r>
      <w:r>
        <w:rPr/>
        <w:t>个月内到期）、流动性强、易于转换为已知金额现金、价值变动风险很小的投资。</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9.1 </w:t>
      </w:r>
      <w:r>
        <w:rPr/>
        <w:t>发生外币交易时的折算方法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本公司发生的外币交易在初始确认时，按交易日的即期汇率（通常指中国人民银行公布的当日外汇牌价的中间价，下 同）折算为人民币金额。</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9.2 </w:t>
      </w:r>
      <w:r>
        <w:rPr>
          <w:rFonts w:ascii="Times New Roman" w:hAnsi="Times New Roman" w:cs="Times New Roman" w:eastAsia="Times New Roman" w:hint="default"/>
          <w:spacing w:val="1"/>
        </w:rPr>
        <w:t> </w:t>
      </w:r>
      <w:r>
        <w:rPr/>
        <w:t>在资产负债表日对外币货币性项目和外币非货币性项目的处理方法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0" w:firstLine="420"/>
        <w:jc w:val="both"/>
        <w:rPr>
          <w:rFonts w:ascii="宋体" w:hAnsi="宋体" w:cs="宋体" w:eastAsia="宋体" w:hint="default"/>
        </w:rPr>
      </w:pPr>
      <w:r>
        <w:rPr/>
        <w:t>外币货币性项目，采用资产负债表日即期汇率折算。因资产负债表日即期汇率与初始确认时或者前一资产负债表日即 </w:t>
      </w:r>
      <w:r>
        <w:rPr>
          <w:spacing w:val="-2"/>
        </w:rPr>
        <w:t>期汇率不同而产生的汇兑差额，除了按照《企业会计准则第</w:t>
      </w:r>
      <w:r>
        <w:rPr>
          <w:rFonts w:ascii="宋体" w:hAnsi="宋体" w:cs="宋体" w:eastAsia="宋体" w:hint="default"/>
          <w:spacing w:val="-2"/>
        </w:rPr>
        <w:t>17</w:t>
      </w:r>
      <w:r>
        <w:rPr>
          <w:spacing w:val="-2"/>
        </w:rPr>
        <w:t>号——借款费用》的规定，与购建或生产符合资本化条件的资</w:t>
      </w:r>
      <w:r>
        <w:rPr>
          <w:spacing w:val="-66"/>
        </w:rPr>
        <w:t> </w:t>
      </w:r>
      <w:r>
        <w:rPr>
          <w:spacing w:val="-66"/>
        </w:rPr>
      </w:r>
      <w:r>
        <w:rPr>
          <w:spacing w:val="-2"/>
        </w:rPr>
        <w:t>产相关的外币借款产生的汇兑差额予以资本化外，计入当期损益。以历史成本计量的外币非货币性项目，仍采用交易发生日</w:t>
      </w:r>
      <w:r>
        <w:rPr>
          <w:spacing w:val="-63"/>
        </w:rPr>
        <w:t> </w:t>
      </w:r>
      <w:r>
        <w:rPr>
          <w:spacing w:val="-63"/>
        </w:rPr>
      </w:r>
      <w:r>
        <w:rPr>
          <w:spacing w:val="-2"/>
        </w:rPr>
        <w:t>的即期汇率折算，不改变其记账本位币金额。以公允价值计量的股票、基金等外币非货币性项目，采用公允价值确定日的即</w:t>
      </w:r>
      <w:r>
        <w:rPr>
          <w:spacing w:val="-63"/>
        </w:rPr>
        <w:t> </w:t>
      </w:r>
      <w:r>
        <w:rPr>
          <w:spacing w:val="-63"/>
        </w:rPr>
      </w:r>
      <w:r>
        <w:rPr>
          <w:spacing w:val="-2"/>
        </w:rPr>
        <w:t>期汇率折算，折算后记账本位币金额与原记账本位币金额的差额，作为公允价值变动（含汇率变动）处理，计入当期损益。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9.3  </w:t>
      </w:r>
      <w:r>
        <w:rPr/>
        <w:t>外币财务报表的折算方法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93"/>
        <w:jc w:val="left"/>
      </w:pPr>
      <w:r>
        <w:rPr/>
        <w:t>本公司按照以下规定，将以外币表示的财务报表折算为人民币金额表示的财务报表。</w:t>
      </w:r>
      <w:r>
        <w:rPr>
          <w:rFonts w:ascii="宋体" w:hAnsi="宋体" w:cs="宋体" w:eastAsia="宋体" w:hint="default"/>
        </w:rPr>
        <w:t> </w:t>
      </w:r>
      <w:r>
        <w:rPr/>
        <w:t>资产负债表中的资产和负债项目，采用资产负债表日的即期汇率折算；所有者权益类项目除“未分配利润”项目外，</w:t>
      </w:r>
    </w:p>
    <w:p>
      <w:pPr>
        <w:pStyle w:val="BodyText"/>
        <w:spacing w:line="316" w:lineRule="auto" w:before="19"/>
        <w:ind w:right="189"/>
        <w:jc w:val="both"/>
        <w:rPr>
          <w:rFonts w:ascii="宋体" w:hAnsi="宋体" w:cs="宋体" w:eastAsia="宋体" w:hint="default"/>
        </w:rPr>
      </w:pPr>
      <w:r>
        <w:rPr>
          <w:spacing w:val="-2"/>
        </w:rPr>
        <w:t>其他项目采用发生时的即期汇率折算。利润表中的收入和费用项目，采用交易发生日的即期汇率折算。按照上述方法折算产</w:t>
      </w:r>
      <w:r>
        <w:rPr>
          <w:spacing w:val="-63"/>
        </w:rPr>
        <w:t> </w:t>
      </w:r>
      <w:r>
        <w:rPr>
          <w:spacing w:val="-63"/>
        </w:rPr>
      </w:r>
      <w:r>
        <w:rPr>
          <w:spacing w:val="-2"/>
        </w:rPr>
        <w:t>生的外币财务报表折算差额，在其他综合收益核算。以外币表示的现金流量表采用现金流量发生日的即期汇率折算。汇率变</w:t>
      </w:r>
      <w:r>
        <w:rPr>
          <w:spacing w:val="-62"/>
        </w:rPr>
        <w:t> </w:t>
      </w:r>
      <w:r>
        <w:rPr>
          <w:spacing w:val="-62"/>
        </w:rPr>
      </w:r>
      <w:r>
        <w:rPr/>
        <w:t>动对现金的影响额作为调节项目，在现金流量表中单独列报。</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10.1</w:t>
      </w:r>
      <w:r>
        <w:rPr>
          <w:rFonts w:ascii="Times New Roman" w:hAnsi="Times New Roman" w:cs="Times New Roman" w:eastAsia="Times New Roman" w:hint="default"/>
          <w:spacing w:val="2"/>
        </w:rPr>
        <w:t> </w:t>
      </w:r>
      <w:r>
        <w:rPr/>
        <w:t>金融工具的确认依据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金融工具是指形成一个企业的金融资产，并形成其他单位的金融负债或权益工具的合同。本公司于成为金融工具合同 的一方时确认一项金融资产或金融负债。</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16"/>
          <w:pgSz w:w="11910" w:h="16840"/>
          <w:pgMar w:footer="979" w:header="745" w:top="1060" w:bottom="1160" w:left="980" w:right="940"/>
          <w:pgNumType w:start="92"/>
        </w:sectPr>
      </w:pPr>
    </w:p>
    <w:p>
      <w:pPr>
        <w:spacing w:line="240" w:lineRule="auto" w:before="9"/>
        <w:rPr>
          <w:rFonts w:ascii="宋体" w:hAnsi="宋体" w:cs="宋体" w:eastAsia="宋体" w:hint="default"/>
          <w:sz w:val="25"/>
          <w:szCs w:val="25"/>
        </w:rPr>
      </w:pPr>
    </w:p>
    <w:p>
      <w:pPr>
        <w:pStyle w:val="BodyText"/>
        <w:spacing w:line="319" w:lineRule="auto" w:before="44"/>
        <w:ind w:right="189" w:firstLine="420"/>
        <w:jc w:val="left"/>
        <w:rPr>
          <w:rFonts w:ascii="宋体" w:hAnsi="宋体" w:cs="宋体" w:eastAsia="宋体" w:hint="default"/>
        </w:rPr>
      </w:pPr>
      <w:r>
        <w:rPr>
          <w:spacing w:val="-3"/>
        </w:rPr>
        <w:t>金融资产满足下列条件之一的，终止确认：收取该金融资产现金流量的合同权利终止；该金融资产已转移，且符合《企</w:t>
      </w:r>
      <w:r>
        <w:rPr/>
        <w:t> 业会计准则第</w:t>
      </w:r>
      <w:r>
        <w:rPr>
          <w:rFonts w:ascii="宋体" w:hAnsi="宋体" w:cs="宋体" w:eastAsia="宋体" w:hint="default"/>
        </w:rPr>
        <w:t>23</w:t>
      </w:r>
      <w:r>
        <w:rPr/>
        <w:t>号——金融资产转移》规定的终止确认条件。</w:t>
      </w:r>
      <w:r>
        <w:rPr>
          <w:rFonts w:ascii="宋体" w:hAnsi="宋体" w:cs="宋体" w:eastAsia="宋体" w:hint="default"/>
        </w:rPr>
        <w:t> </w:t>
      </w:r>
    </w:p>
    <w:p>
      <w:pPr>
        <w:pStyle w:val="BodyText"/>
        <w:spacing w:line="240" w:lineRule="auto" w:before="17"/>
        <w:ind w:left="573" w:right="93"/>
        <w:jc w:val="left"/>
        <w:rPr>
          <w:rFonts w:ascii="宋体" w:hAnsi="宋体" w:cs="宋体" w:eastAsia="宋体" w:hint="default"/>
        </w:rPr>
      </w:pPr>
      <w:r>
        <w:rPr/>
        <w:t>金融负债的现时义务全部或部分已经解除的，才终止确认该金融负债或其一部分。</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10.2 </w:t>
      </w:r>
      <w:r>
        <w:rPr>
          <w:rFonts w:ascii="Times New Roman" w:hAnsi="Times New Roman" w:cs="Times New Roman" w:eastAsia="Times New Roman" w:hint="default"/>
          <w:spacing w:val="1"/>
        </w:rPr>
        <w:t> </w:t>
      </w:r>
      <w:r>
        <w:rPr/>
        <w:t>金融资产和金融负债的分类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5" w:firstLine="420"/>
        <w:jc w:val="left"/>
      </w:pPr>
      <w:r>
        <w:rPr>
          <w:spacing w:val="-1"/>
        </w:rPr>
        <w:t>按照投资目的和经济实质将本公司拥有的金融资产划分为四类：①以公允价值计量且其变动计入当期损益的金融资产，</w:t>
      </w:r>
      <w:r>
        <w:rPr/>
        <w:t> 包括交易性金融资产和指定为以公允价值计量且其变动计入当期损益的金融资产；②持有至到期投资；③贷款和应收款项；</w:t>
      </w:r>
    </w:p>
    <w:p>
      <w:pPr>
        <w:pStyle w:val="BodyText"/>
        <w:spacing w:line="316" w:lineRule="auto" w:before="19"/>
        <w:ind w:left="573" w:right="93" w:hanging="420"/>
        <w:jc w:val="left"/>
      </w:pPr>
      <w:r>
        <w:rPr/>
        <w:t>④可供出售金融资产。</w:t>
      </w:r>
      <w:r>
        <w:rPr>
          <w:rFonts w:ascii="宋体" w:hAnsi="宋体" w:cs="宋体" w:eastAsia="宋体" w:hint="default"/>
        </w:rPr>
        <w:t> </w:t>
      </w:r>
      <w:r>
        <w:rPr/>
        <w:t>按照经济实质将承担的金融负债划分为两类：①以公允价值计量且其变动计入当期损益的金融负债，包括交易性金融</w:t>
      </w:r>
    </w:p>
    <w:p>
      <w:pPr>
        <w:pStyle w:val="BodyText"/>
        <w:spacing w:line="240" w:lineRule="auto" w:before="19"/>
        <w:ind w:right="93"/>
        <w:jc w:val="left"/>
        <w:rPr>
          <w:rFonts w:ascii="宋体" w:hAnsi="宋体" w:cs="宋体" w:eastAsia="宋体" w:hint="default"/>
        </w:rPr>
      </w:pPr>
      <w:r>
        <w:rPr/>
        <w:t>负债和指定为以公允价值计量且其变动计入当期损益的金融负债；②其他金融负债。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1"/>
        <w:ind w:right="6753"/>
        <w:jc w:val="left"/>
        <w:rPr>
          <w:b w:val="0"/>
          <w:bCs w:val="0"/>
        </w:rPr>
      </w:pPr>
      <w:r>
        <w:rPr>
          <w:rFonts w:ascii="Times New Roman" w:hAnsi="Times New Roman" w:cs="Times New Roman" w:eastAsia="Times New Roman" w:hint="default"/>
        </w:rPr>
        <w:t>10.3 </w:t>
      </w:r>
      <w:r>
        <w:rPr>
          <w:rFonts w:ascii="Times New Roman" w:hAnsi="Times New Roman" w:cs="Times New Roman" w:eastAsia="Times New Roman" w:hint="default"/>
          <w:spacing w:val="1"/>
        </w:rPr>
        <w:t> </w:t>
      </w:r>
      <w:r>
        <w:rPr/>
        <w:t>金融资产和金融负债的计量</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本公司初始确认金融资产或金融负债，按照公允价值计量。对于以公允价值计量且其变动计入当期损益的金融资产或 金融负债，相关交易费用直接计入当期损益；对于其他类别的金融资产或金融负债，相关交易费用计入初始确认金额。</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本公司对金融资产和金融负债的后续计量主要方法：</w:t>
      </w:r>
      <w:r>
        <w:rPr>
          <w:rFonts w:ascii="宋体" w:hAnsi="宋体" w:cs="宋体" w:eastAsia="宋体" w:hint="default"/>
        </w:rPr>
        <w:t> </w:t>
      </w:r>
    </w:p>
    <w:p>
      <w:pPr>
        <w:pStyle w:val="BodyText"/>
        <w:spacing w:line="316" w:lineRule="auto" w:before="76"/>
        <w:ind w:right="175"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）以公允价值计量且其变动计入当期损益的金融资产和金融负债，按照公允价值进行后续计量，公允价值变动计入</w:t>
      </w:r>
      <w:r>
        <w:rPr/>
        <w:t> 当期损益。</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2</w:t>
      </w:r>
      <w:r>
        <w:rPr/>
        <w:t>）持有至到期投资和应收款项，采用实际利率法，按摊余成本计量。</w:t>
      </w:r>
      <w:r>
        <w:rPr>
          <w:rFonts w:ascii="宋体" w:hAnsi="宋体" w:cs="宋体" w:eastAsia="宋体" w:hint="default"/>
        </w:rPr>
        <w:t> </w:t>
      </w:r>
    </w:p>
    <w:p>
      <w:pPr>
        <w:pStyle w:val="BodyText"/>
        <w:spacing w:line="316" w:lineRule="auto" w:before="76"/>
        <w:ind w:right="175" w:firstLine="420"/>
        <w:jc w:val="left"/>
        <w:rPr>
          <w:rFonts w:ascii="宋体" w:hAnsi="宋体" w:cs="宋体" w:eastAsia="宋体" w:hint="default"/>
        </w:rPr>
      </w:pPr>
      <w:r>
        <w:rPr>
          <w:spacing w:val="-1"/>
        </w:rPr>
        <w:t>（</w:t>
      </w:r>
      <w:r>
        <w:rPr>
          <w:rFonts w:ascii="宋体" w:hAnsi="宋体" w:cs="宋体" w:eastAsia="宋体" w:hint="default"/>
          <w:spacing w:val="-1"/>
        </w:rPr>
        <w:t>3</w:t>
      </w:r>
      <w:r>
        <w:rPr>
          <w:spacing w:val="-1"/>
        </w:rPr>
        <w:t>）可供出售金融资产原则上按照公允价值进行后续计量，公允价值变动形成的利得或损失，除减值损失和外币货币</w:t>
      </w:r>
      <w:r>
        <w:rPr/>
        <w:t> 性金融资产形成的汇兑损益外，直接计入所有者权益，在该金融资产终止确认时转出，计入当期损益。</w:t>
      </w:r>
      <w:r>
        <w:rPr>
          <w:rFonts w:ascii="宋体" w:hAnsi="宋体" w:cs="宋体" w:eastAsia="宋体" w:hint="default"/>
        </w:rPr>
        <w:t> </w:t>
      </w:r>
    </w:p>
    <w:p>
      <w:pPr>
        <w:pStyle w:val="BodyText"/>
        <w:spacing w:line="319" w:lineRule="auto" w:before="19"/>
        <w:ind w:right="175" w:firstLine="420"/>
        <w:jc w:val="left"/>
        <w:rPr>
          <w:rFonts w:ascii="宋体" w:hAnsi="宋体" w:cs="宋体" w:eastAsia="宋体" w:hint="default"/>
        </w:rPr>
      </w:pPr>
      <w:r>
        <w:rPr>
          <w:spacing w:val="-1"/>
        </w:rPr>
        <w:t>（</w:t>
      </w:r>
      <w:r>
        <w:rPr>
          <w:rFonts w:ascii="宋体" w:hAnsi="宋体" w:cs="宋体" w:eastAsia="宋体" w:hint="default"/>
          <w:spacing w:val="-1"/>
        </w:rPr>
        <w:t>4</w:t>
      </w:r>
      <w:r>
        <w:rPr>
          <w:spacing w:val="-1"/>
        </w:rPr>
        <w:t>）在活跃市场中没有报价且其公允价值不能可靠计量的权益工具投资，以及与该权益工具挂钩并须通过交付该权益</w:t>
      </w:r>
      <w:r>
        <w:rPr/>
        <w:t> 工具结算的衍生金融资产，按照成本计量。</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7"/>
        <w:ind w:left="573" w:right="93"/>
        <w:jc w:val="left"/>
        <w:rPr>
          <w:rFonts w:ascii="宋体" w:hAnsi="宋体" w:cs="宋体" w:eastAsia="宋体" w:hint="default"/>
        </w:rPr>
      </w:pPr>
      <w:r>
        <w:rPr/>
        <w:t>（</w:t>
      </w:r>
      <w:r>
        <w:rPr>
          <w:rFonts w:ascii="宋体" w:hAnsi="宋体" w:cs="宋体" w:eastAsia="宋体" w:hint="default"/>
        </w:rPr>
        <w:t>5</w:t>
      </w:r>
      <w:r>
        <w:rPr/>
        <w:t>）其他金融负债按摊余成本进行后续计量。但是下列情况除外：</w:t>
      </w:r>
      <w:r>
        <w:rPr>
          <w:rFonts w:ascii="宋体" w:hAnsi="宋体" w:cs="宋体" w:eastAsia="宋体" w:hint="default"/>
        </w:rPr>
        <w:t> </w:t>
      </w:r>
    </w:p>
    <w:p>
      <w:pPr>
        <w:pStyle w:val="BodyText"/>
        <w:spacing w:line="316" w:lineRule="auto" w:before="76"/>
        <w:ind w:right="93" w:firstLine="420"/>
        <w:jc w:val="left"/>
        <w:rPr>
          <w:rFonts w:ascii="宋体" w:hAnsi="宋体" w:cs="宋体" w:eastAsia="宋体" w:hint="default"/>
        </w:rPr>
      </w:pPr>
      <w:r>
        <w:rPr/>
        <w:t>①与在活跃市场中没有报价，公允价值不能可靠计量的权益工具挂钩并须通过交付该权益工具结算的衍生金融负债， 按照成本计量。</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t>②不属于指定为以公允价值计量且其变动计入当期损益的金融负债的财务担保合同，或没有指定为以公允价值计量且 其变动计入当期损益并将以低于市场利率贷款的贷款承诺，在初始确认后按照下列两项金额之中的较高者进行后续计量：</w:t>
      </w:r>
      <w:r>
        <w:rPr>
          <w:rFonts w:ascii="宋体" w:hAnsi="宋体" w:cs="宋体" w:eastAsia="宋体" w:hint="default"/>
        </w:rPr>
        <w:t> </w:t>
      </w:r>
    </w:p>
    <w:p>
      <w:pPr>
        <w:pStyle w:val="BodyText"/>
        <w:spacing w:line="316" w:lineRule="auto" w:before="19"/>
        <w:ind w:left="573" w:right="93"/>
        <w:jc w:val="left"/>
        <w:rPr>
          <w:rFonts w:ascii="宋体" w:hAnsi="宋体" w:cs="宋体" w:eastAsia="宋体" w:hint="default"/>
        </w:rPr>
      </w:pPr>
      <w:r>
        <w:rPr>
          <w:rFonts w:ascii="宋体" w:hAnsi="宋体" w:cs="宋体" w:eastAsia="宋体" w:hint="default"/>
        </w:rPr>
        <w:t>A.</w:t>
      </w:r>
      <w:r>
        <w:rPr/>
        <w:t>《企业会计准则第</w:t>
      </w:r>
      <w:r>
        <w:rPr>
          <w:rFonts w:ascii="宋体" w:hAnsi="宋体" w:cs="宋体" w:eastAsia="宋体" w:hint="default"/>
        </w:rPr>
        <w:t>13</w:t>
      </w:r>
      <w:r>
        <w:rPr/>
        <w:t>号——或有事项》确定的金额。</w:t>
      </w:r>
      <w:r>
        <w:rPr>
          <w:rFonts w:ascii="宋体" w:hAnsi="宋体" w:cs="宋体" w:eastAsia="宋体" w:hint="default"/>
        </w:rPr>
        <w:t> B.</w:t>
      </w:r>
      <w:r>
        <w:rPr/>
        <w:t>初始确认金额扣除按照《企业会计准则第</w:t>
      </w:r>
      <w:r>
        <w:rPr>
          <w:rFonts w:ascii="宋体" w:hAnsi="宋体" w:cs="宋体" w:eastAsia="宋体" w:hint="default"/>
        </w:rPr>
        <w:t>14</w:t>
      </w:r>
      <w:r>
        <w:rPr/>
        <w:t>号——收入》的原则确定的累计摊销额后的余额。</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10.4 </w:t>
      </w:r>
      <w:r>
        <w:rPr>
          <w:rFonts w:ascii="Times New Roman" w:hAnsi="Times New Roman" w:cs="Times New Roman" w:eastAsia="Times New Roman" w:hint="default"/>
          <w:spacing w:val="1"/>
        </w:rPr>
        <w:t> </w:t>
      </w:r>
      <w:r>
        <w:rPr/>
        <w:t>金融资产和金融负债的公允价值的确定方法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t>（</w:t>
      </w:r>
      <w:r>
        <w:rPr>
          <w:rFonts w:ascii="宋体" w:hAnsi="宋体" w:cs="宋体" w:eastAsia="宋体" w:hint="default"/>
        </w:rPr>
        <w:t>1</w:t>
      </w:r>
      <w:r>
        <w:rPr/>
        <w:t>）存在活跃市场的金融资产或金融负债，以活跃市场中的报价确定公允价值。报价按照以下原则确定：</w:t>
      </w:r>
      <w:r>
        <w:rPr>
          <w:rFonts w:ascii="宋体" w:hAnsi="宋体" w:cs="宋体" w:eastAsia="宋体" w:hint="default"/>
        </w:rPr>
        <w:t> </w:t>
      </w:r>
    </w:p>
    <w:p>
      <w:pPr>
        <w:pStyle w:val="BodyText"/>
        <w:spacing w:line="316" w:lineRule="auto" w:before="77"/>
        <w:ind w:right="93" w:firstLine="420"/>
        <w:jc w:val="left"/>
        <w:rPr>
          <w:rFonts w:ascii="宋体" w:hAnsi="宋体" w:cs="宋体" w:eastAsia="宋体" w:hint="default"/>
        </w:rPr>
      </w:pPr>
      <w:r>
        <w:rPr/>
        <w:t>①在活跃市场上，公司已持有的金融资产或拟承担的金融负债的报价，为市场中的现行出价；拟购入的金融资产或已 承担的金融负债的报价，为市场中的现行要价。</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t>②金融资产和金融负债没有现行出价或要价，采用最近交易的市场报价或经调整的最近交易的市场报价，除非存在明 确的证据表明该市场报价不是公允价值。</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2</w:t>
      </w:r>
      <w:r>
        <w:rPr/>
        <w:t>）金融资产或金融负债不存在活跃市场的，公司采用估值技术确定其公允价值。</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10.5 </w:t>
      </w:r>
      <w:r>
        <w:rPr>
          <w:rFonts w:ascii="Times New Roman" w:hAnsi="Times New Roman" w:cs="Times New Roman" w:eastAsia="Times New Roman" w:hint="default"/>
          <w:spacing w:val="1"/>
        </w:rPr>
        <w:t> </w:t>
      </w:r>
      <w:r>
        <w:rPr/>
        <w:t>金融资产减值准备计提方法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93"/>
        <w:jc w:val="left"/>
      </w:pPr>
      <w:r>
        <w:rPr/>
        <w:t>（</w:t>
      </w:r>
      <w:r>
        <w:rPr>
          <w:rFonts w:ascii="宋体" w:hAnsi="宋体" w:cs="宋体" w:eastAsia="宋体" w:hint="default"/>
        </w:rPr>
        <w:t>1</w:t>
      </w:r>
      <w:r>
        <w:rPr/>
        <w:t>）持有至到期投资</w:t>
      </w:r>
      <w:r>
        <w:rPr>
          <w:rFonts w:ascii="宋体" w:hAnsi="宋体" w:cs="宋体" w:eastAsia="宋体" w:hint="default"/>
        </w:rPr>
        <w:t> </w:t>
      </w:r>
      <w:r>
        <w:rPr/>
        <w:t>以摊余成本计量的持有至到期投资发生减值时，将其账面价值减记至预计未来现金流量（不包括尚未发生的未来信用</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73" w:right="93" w:hanging="420"/>
        <w:jc w:val="left"/>
      </w:pPr>
      <w:r>
        <w:rPr/>
        <w:t>损失）现值（折现利率采用原实际利率），减记的金额确认为资产减值损失，计入当期损益。</w:t>
      </w:r>
      <w:r>
        <w:rPr>
          <w:rFonts w:ascii="宋体" w:hAnsi="宋体" w:cs="宋体" w:eastAsia="宋体" w:hint="default"/>
        </w:rPr>
        <w:t> </w:t>
      </w:r>
      <w:r>
        <w:rPr/>
        <w:t>本公司对单项金额重大的持有至到期投资单独进行减值测试；对单项金额不重大的持有至到期投资，单独进行减值测</w:t>
      </w:r>
    </w:p>
    <w:p>
      <w:pPr>
        <w:pStyle w:val="BodyText"/>
        <w:spacing w:line="316" w:lineRule="auto" w:before="17"/>
        <w:ind w:right="192"/>
        <w:jc w:val="both"/>
        <w:rPr>
          <w:rFonts w:ascii="宋体" w:hAnsi="宋体" w:cs="宋体" w:eastAsia="宋体" w:hint="default"/>
        </w:rPr>
      </w:pPr>
      <w:r>
        <w:rPr>
          <w:spacing w:val="-2"/>
        </w:rPr>
        <w:t>试或包括在具有类似信用风险特征的持有至到期投资组合中进行减值测试。单独测试未发生减值的持有至到期投资（包括单</w:t>
      </w:r>
      <w:r>
        <w:rPr>
          <w:spacing w:val="-64"/>
        </w:rPr>
        <w:t> </w:t>
      </w:r>
      <w:r>
        <w:rPr>
          <w:spacing w:val="-64"/>
        </w:rPr>
      </w:r>
      <w:r>
        <w:rPr>
          <w:spacing w:val="-2"/>
        </w:rPr>
        <w:t>项金额重大和不重大的持有至到期投资），包括在具有类似信用风险特征的持有至到期投资组合中再进行减值测试。已单项</w:t>
      </w:r>
      <w:r>
        <w:rPr>
          <w:spacing w:val="-66"/>
        </w:rPr>
        <w:t> </w:t>
      </w:r>
      <w:r>
        <w:rPr>
          <w:spacing w:val="-66"/>
        </w:rPr>
      </w:r>
      <w:r>
        <w:rPr/>
        <w:t>确认减值损失的持有至到期投资，不包括在具有类似信用风险特征的持有至到期投资组合中进行减值测试。</w:t>
      </w:r>
      <w:r>
        <w:rPr>
          <w:rFonts w:ascii="宋体" w:hAnsi="宋体" w:cs="宋体" w:eastAsia="宋体" w:hint="default"/>
        </w:rPr>
        <w:t> </w:t>
      </w:r>
    </w:p>
    <w:p>
      <w:pPr>
        <w:pStyle w:val="BodyText"/>
        <w:spacing w:line="316" w:lineRule="auto" w:before="19"/>
        <w:ind w:left="573" w:right="4053"/>
        <w:jc w:val="left"/>
        <w:rPr>
          <w:rFonts w:ascii="宋体" w:hAnsi="宋体" w:cs="宋体" w:eastAsia="宋体" w:hint="default"/>
        </w:rPr>
      </w:pPr>
      <w:r>
        <w:rPr/>
        <w:t>（</w:t>
      </w:r>
      <w:r>
        <w:rPr>
          <w:rFonts w:ascii="宋体" w:hAnsi="宋体" w:cs="宋体" w:eastAsia="宋体" w:hint="default"/>
        </w:rPr>
        <w:t>2</w:t>
      </w:r>
      <w:r>
        <w:rPr/>
        <w:t>）应收款项</w:t>
      </w:r>
      <w:r>
        <w:rPr>
          <w:rFonts w:ascii="宋体" w:hAnsi="宋体" w:cs="宋体" w:eastAsia="宋体" w:hint="default"/>
        </w:rPr>
        <w:t> </w:t>
      </w:r>
      <w:r>
        <w:rPr/>
        <w:t>应收款项减值测试方法及减值准备计提方法参见附注</w:t>
      </w:r>
      <w:r>
        <w:rPr>
          <w:rFonts w:ascii="宋体" w:hAnsi="宋体" w:cs="宋体" w:eastAsia="宋体" w:hint="default"/>
        </w:rPr>
        <w:t>2.12</w:t>
      </w:r>
      <w:r>
        <w:rPr/>
        <w:t>。</w:t>
      </w:r>
      <w:r>
        <w:rPr>
          <w:rFonts w:ascii="宋体" w:hAnsi="宋体" w:cs="宋体" w:eastAsia="宋体" w:hint="default"/>
        </w:rPr>
        <w:t> </w:t>
      </w:r>
    </w:p>
    <w:p>
      <w:pPr>
        <w:pStyle w:val="BodyText"/>
        <w:spacing w:line="316" w:lineRule="auto" w:before="19"/>
        <w:ind w:left="573" w:right="93"/>
        <w:jc w:val="left"/>
      </w:pPr>
      <w:r>
        <w:rPr/>
        <w:t>（</w:t>
      </w:r>
      <w:r>
        <w:rPr>
          <w:rFonts w:ascii="宋体" w:hAnsi="宋体" w:cs="宋体" w:eastAsia="宋体" w:hint="default"/>
        </w:rPr>
        <w:t>3</w:t>
      </w:r>
      <w:r>
        <w:rPr/>
        <w:t>）可供出售金融资产</w:t>
      </w:r>
      <w:r>
        <w:rPr>
          <w:rFonts w:ascii="宋体" w:hAnsi="宋体" w:cs="宋体" w:eastAsia="宋体" w:hint="default"/>
        </w:rPr>
        <w:t> </w:t>
      </w:r>
      <w:r>
        <w:rPr>
          <w:spacing w:val="-2"/>
        </w:rPr>
        <w:t>可供出售金融资产的公允价值发生较大幅度下降，或在综合考虑各种相关因素后，预期这种下降趋势属于非暂时性的，</w:t>
      </w:r>
    </w:p>
    <w:p>
      <w:pPr>
        <w:pStyle w:val="BodyText"/>
        <w:spacing w:line="316" w:lineRule="auto" w:before="19"/>
        <w:ind w:right="191"/>
        <w:jc w:val="both"/>
        <w:rPr>
          <w:rFonts w:ascii="宋体" w:hAnsi="宋体" w:cs="宋体" w:eastAsia="宋体" w:hint="default"/>
        </w:rPr>
      </w:pPr>
      <w:r>
        <w:rPr>
          <w:spacing w:val="-2"/>
        </w:rPr>
        <w:t>则按其公允价值低于其账面价值的差额，确认减值损失，计提减值准备。在确认减值损失时，将原直接计入所有者权益的公</w:t>
      </w:r>
      <w:r>
        <w:rPr>
          <w:spacing w:val="-64"/>
        </w:rPr>
        <w:t> </w:t>
      </w:r>
      <w:r>
        <w:rPr>
          <w:spacing w:val="-64"/>
        </w:rPr>
      </w:r>
      <w:r>
        <w:rPr/>
        <w:t>允价值下降形成的累计损失一并转出，计入减值损失。</w:t>
      </w:r>
      <w:r>
        <w:rPr>
          <w:rFonts w:ascii="宋体" w:hAnsi="宋体" w:cs="宋体" w:eastAsia="宋体" w:hint="default"/>
        </w:rPr>
        <w:t> </w:t>
      </w:r>
    </w:p>
    <w:p>
      <w:pPr>
        <w:pStyle w:val="BodyText"/>
        <w:spacing w:line="319" w:lineRule="auto" w:before="19"/>
        <w:ind w:right="198" w:firstLine="420"/>
        <w:jc w:val="both"/>
        <w:rPr>
          <w:rFonts w:ascii="宋体" w:hAnsi="宋体" w:cs="宋体" w:eastAsia="宋体" w:hint="default"/>
        </w:rPr>
      </w:pPr>
      <w:r>
        <w:rPr/>
        <w:t>在活跃市场中没有报价且其公允价值不能可靠计量的权益工具投资，以及与该权益工具挂钩并须通过交付该权益工具 结算的衍生金融资产发生的减值损失不得转回</w:t>
      </w:r>
      <w:r>
        <w:rPr>
          <w:rFonts w:ascii="宋体" w:hAnsi="宋体" w:cs="宋体" w:eastAsia="宋体" w:hint="default"/>
        </w:rPr>
        <w:t> </w:t>
      </w:r>
    </w:p>
    <w:p>
      <w:pPr>
        <w:pStyle w:val="BodyText"/>
        <w:spacing w:line="316" w:lineRule="auto" w:before="17"/>
        <w:ind w:right="190" w:firstLine="420"/>
        <w:jc w:val="both"/>
        <w:rPr>
          <w:rFonts w:ascii="宋体" w:hAnsi="宋体" w:cs="宋体" w:eastAsia="宋体" w:hint="default"/>
        </w:rPr>
      </w:pPr>
      <w:r>
        <w:rPr/>
        <w:t>应明确披露各类可供出售金融资产减值的各项认定标准。其中，对于权益工具投资，还应明确披露判断其公允价值发 </w:t>
      </w:r>
      <w:r>
        <w:rPr>
          <w:spacing w:val="-2"/>
        </w:rPr>
        <w:t>生“严重”或“非暂时性”下跌的具体量化标准、成本的计算方法、期末公允价值的确定方法，以及持续下跌期间的确定依</w:t>
      </w:r>
      <w:r>
        <w:rPr>
          <w:spacing w:val="-64"/>
        </w:rPr>
        <w:t> </w:t>
      </w:r>
      <w:r>
        <w:rPr>
          <w:spacing w:val="-64"/>
        </w:rPr>
      </w:r>
      <w:r>
        <w:rPr/>
        <w:t>据。</w:t>
      </w:r>
      <w:r>
        <w:rPr>
          <w:rFonts w:ascii="宋体" w:hAnsi="宋体" w:cs="宋体" w:eastAsia="宋体" w:hint="default"/>
        </w:rPr>
        <w:t> </w:t>
      </w:r>
    </w:p>
    <w:p>
      <w:pPr>
        <w:pStyle w:val="BodyText"/>
        <w:spacing w:line="316" w:lineRule="auto" w:before="19"/>
        <w:ind w:left="573" w:right="93"/>
        <w:jc w:val="left"/>
      </w:pPr>
      <w:r>
        <w:rPr/>
        <w:t>（</w:t>
      </w:r>
      <w:r>
        <w:rPr>
          <w:rFonts w:ascii="宋体" w:hAnsi="宋体" w:cs="宋体" w:eastAsia="宋体" w:hint="default"/>
        </w:rPr>
        <w:t>4</w:t>
      </w:r>
      <w:r>
        <w:rPr/>
        <w:t>）其他</w:t>
      </w:r>
      <w:r>
        <w:rPr>
          <w:rFonts w:ascii="宋体" w:hAnsi="宋体" w:cs="宋体" w:eastAsia="宋体" w:hint="default"/>
        </w:rPr>
        <w:t> </w:t>
      </w:r>
      <w:r>
        <w:rPr/>
        <w:t>在活跃市场中没有报价且其公允价值不能可靠计量的权益工具投资，或与该权益工具挂钩并须通过交付该权益工具结</w:t>
      </w:r>
    </w:p>
    <w:p>
      <w:pPr>
        <w:pStyle w:val="BodyText"/>
        <w:spacing w:line="316" w:lineRule="auto" w:before="19"/>
        <w:ind w:right="192"/>
        <w:jc w:val="both"/>
        <w:rPr>
          <w:rFonts w:ascii="宋体" w:hAnsi="宋体" w:cs="宋体" w:eastAsia="宋体" w:hint="default"/>
        </w:rPr>
      </w:pPr>
      <w:r>
        <w:rPr>
          <w:spacing w:val="-2"/>
        </w:rPr>
        <w:t>算的衍生金融资产发生减值时，将该权益工具投资或衍生金融资产的账面价值，与按照类似金融资产当时市场收益率对未来</w:t>
      </w:r>
      <w:r>
        <w:rPr>
          <w:spacing w:val="-64"/>
        </w:rPr>
        <w:t> </w:t>
      </w:r>
      <w:r>
        <w:rPr>
          <w:spacing w:val="-64"/>
        </w:rPr>
      </w:r>
      <w:r>
        <w:rPr/>
        <w:t>现金流量折现确定的现值之间的差额，确认为减值损失，计入当期损益。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10.6 </w:t>
      </w:r>
      <w:r>
        <w:rPr>
          <w:rFonts w:ascii="Times New Roman" w:hAnsi="Times New Roman" w:cs="Times New Roman" w:eastAsia="Times New Roman" w:hint="default"/>
          <w:spacing w:val="2"/>
        </w:rPr>
        <w:t> </w:t>
      </w:r>
      <w:r>
        <w:rPr/>
        <w:t>金融资产转移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73" w:right="93"/>
        <w:jc w:val="left"/>
      </w:pPr>
      <w:r>
        <w:rPr/>
        <w:t>金融资产转移，是指公司将金融资产让与或交付给该金融资产发行方以外的另一方（转入方）。</w:t>
      </w:r>
      <w:r>
        <w:rPr>
          <w:rFonts w:ascii="宋体" w:hAnsi="宋体" w:cs="宋体" w:eastAsia="宋体" w:hint="default"/>
        </w:rPr>
        <w:t> </w:t>
      </w:r>
      <w:r>
        <w:rPr/>
        <w:t>本公司已将金融资产所有权上几乎所有的风险和报酬转移给转入方的，终止确认该金融资产；保留了金融资产所有权</w:t>
      </w:r>
    </w:p>
    <w:p>
      <w:pPr>
        <w:pStyle w:val="BodyText"/>
        <w:spacing w:line="316" w:lineRule="auto" w:before="19"/>
        <w:ind w:left="573" w:right="93" w:hanging="420"/>
        <w:jc w:val="left"/>
      </w:pPr>
      <w:r>
        <w:rPr/>
        <w:t>上几乎所有的风险和报酬的，不终止确认该金融资产。</w:t>
      </w:r>
      <w:r>
        <w:rPr>
          <w:rFonts w:ascii="宋体" w:hAnsi="宋体" w:cs="宋体" w:eastAsia="宋体" w:hint="default"/>
        </w:rPr>
        <w:t> </w:t>
      </w:r>
      <w:r>
        <w:rPr/>
        <w:t>本公司既没有转移也没有保留金融资产所有权上几乎所有的风险和报酬的，分别下列情况处理：放弃了对该金融资产</w:t>
      </w:r>
    </w:p>
    <w:p>
      <w:pPr>
        <w:pStyle w:val="BodyText"/>
        <w:spacing w:line="316" w:lineRule="auto" w:before="19"/>
        <w:ind w:right="190"/>
        <w:jc w:val="both"/>
        <w:rPr>
          <w:rFonts w:ascii="宋体" w:hAnsi="宋体" w:cs="宋体" w:eastAsia="宋体" w:hint="default"/>
        </w:rPr>
      </w:pPr>
      <w:r>
        <w:rPr>
          <w:spacing w:val="-2"/>
        </w:rPr>
        <w:t>控制的，终止确认该金融资产并确认产生的资产和负债；未放弃对该金融资产控制的，按照其继续涉入所转移金融资产的程</w:t>
      </w:r>
      <w:r>
        <w:rPr>
          <w:spacing w:val="-63"/>
        </w:rPr>
        <w:t> </w:t>
      </w:r>
      <w:r>
        <w:rPr>
          <w:spacing w:val="-63"/>
        </w:rPr>
      </w:r>
      <w:r>
        <w:rPr/>
        <w:t>度确认有关金融资产，并相应确认有关负债。</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如公司将尚未到期的持有至到期投资重分类为可供出售金融资产，应说明持有意图或能力发生改变的依据。</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 金额重大的应收款项。</w:t>
            </w:r>
          </w:p>
        </w:tc>
      </w:tr>
      <w:tr>
        <w:trPr>
          <w:trHeight w:val="165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before="44"/>
        <w:ind w:left="0" w:right="160"/>
        <w:jc w:val="right"/>
      </w:pPr>
      <w:r>
        <w:rPr/>
        <w:pict>
          <v:shape style="position:absolute;margin-left:56.484001pt;margin-top:-31.958315pt;width:479.2pt;height:134.4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227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计提坏账准备：导致单独进行减值测试的非重大应收款项的 特征包括应收关联方款项，与对方存在争议或涉及诉讼、仲 裁的应收款项，已有明显迹象表明债务人很可能无法履行还 款义务的应收款项，等等。</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单独进行减值测试，个别认定法</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13"/>
        <w:jc w:val="left"/>
      </w:pPr>
      <w:r>
        <w:rPr/>
        <w:t>公司是否需要遵守特殊行业的披露要求 否</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12.1 </w:t>
      </w:r>
      <w:r>
        <w:rPr>
          <w:rFonts w:ascii="Times New Roman" w:hAnsi="Times New Roman" w:cs="Times New Roman" w:eastAsia="Times New Roman" w:hint="default"/>
          <w:spacing w:val="2"/>
        </w:rPr>
        <w:t> </w:t>
      </w:r>
      <w:r>
        <w:rPr/>
        <w:t>存货的分类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本公司存货主要包括原材料、低值易耗品、在产品及自制半成品、库存商品等。</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12.2 </w:t>
      </w:r>
      <w:r>
        <w:rPr>
          <w:rFonts w:ascii="Times New Roman" w:hAnsi="Times New Roman" w:cs="Times New Roman" w:eastAsia="Times New Roman" w:hint="default"/>
          <w:spacing w:val="3"/>
        </w:rPr>
        <w:t> </w:t>
      </w:r>
      <w:r>
        <w:rPr/>
        <w:t>发出存货的计价方法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存货的发出按加权平均法。</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12.3  </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420"/>
        <w:jc w:val="both"/>
        <w:rPr>
          <w:rFonts w:ascii="宋体" w:hAnsi="宋体" w:cs="宋体" w:eastAsia="宋体" w:hint="default"/>
        </w:rPr>
      </w:pPr>
      <w:r>
        <w:rPr/>
        <w:t>资产负债表日，本公司存货按照成本与可变现净值孰低计量。公司在对存货进行全面盘点的基础上，对于存货因已霉 </w:t>
      </w:r>
      <w:r>
        <w:rPr>
          <w:spacing w:val="-2"/>
        </w:rPr>
        <w:t>烂变质、市场价格持续下跌且在可预见的未来无回升的希望、全部或部分陈旧过时，产品更新换代等原因，使存货成本高于</w:t>
      </w:r>
      <w:r>
        <w:rPr>
          <w:spacing w:val="-64"/>
        </w:rPr>
        <w:t> </w:t>
      </w:r>
      <w:r>
        <w:rPr>
          <w:spacing w:val="-64"/>
        </w:rPr>
      </w:r>
      <w:r>
        <w:rPr/>
        <w:t>其可变现净值的，计提存货跌价准备，并计入当期损益。</w:t>
      </w:r>
      <w:r>
        <w:rPr>
          <w:rFonts w:ascii="宋体" w:hAnsi="宋体" w:cs="宋体" w:eastAsia="宋体" w:hint="default"/>
        </w:rPr>
        <w:t> </w:t>
      </w:r>
    </w:p>
    <w:p>
      <w:pPr>
        <w:pStyle w:val="BodyText"/>
        <w:spacing w:line="316" w:lineRule="auto" w:before="19"/>
        <w:ind w:right="150" w:firstLine="420"/>
        <w:jc w:val="both"/>
        <w:rPr>
          <w:rFonts w:ascii="宋体" w:hAnsi="宋体" w:cs="宋体" w:eastAsia="宋体" w:hint="default"/>
        </w:rPr>
      </w:pPr>
      <w:r>
        <w:rPr/>
        <w:t>产成品、库存商品和用于出售的材料等直接用于出售的商品存货，在正常生产经营过程中，以该存货的估计售价减去 </w:t>
      </w:r>
      <w:r>
        <w:rPr>
          <w:spacing w:val="-2"/>
        </w:rPr>
        <w:t>估计的销售费用和相关税费后的金额，确定其可变现净值；需要经过加工的材料存货，在正常生产经营过程中，以所生产的</w:t>
      </w:r>
      <w:r>
        <w:rPr>
          <w:spacing w:val="-64"/>
        </w:rPr>
        <w:t> </w:t>
      </w:r>
      <w:r>
        <w:rPr>
          <w:spacing w:val="-64"/>
        </w:rPr>
      </w:r>
      <w:r>
        <w:rPr>
          <w:spacing w:val="-2"/>
        </w:rPr>
        <w:t>产成品的估计售价减去至完工时估计将要发生的成本、估计的销售费用和相关税费后的金额，确定其可变现净值；为执行销</w:t>
      </w:r>
      <w:r>
        <w:rPr>
          <w:spacing w:val="-66"/>
        </w:rPr>
        <w:t> </w:t>
      </w:r>
      <w:r>
        <w:rPr>
          <w:spacing w:val="-66"/>
        </w:rPr>
      </w:r>
      <w:r>
        <w:rPr>
          <w:spacing w:val="-2"/>
        </w:rPr>
        <w:t>售合同或者劳务合同而持有的存货，其可变现净值以合同价格为基础计算，若持有存货的数量多于销售合同订购数量的，超</w:t>
      </w:r>
      <w:r>
        <w:rPr>
          <w:spacing w:val="-63"/>
        </w:rPr>
        <w:t> </w:t>
      </w:r>
      <w:r>
        <w:rPr>
          <w:spacing w:val="-63"/>
        </w:rPr>
      </w:r>
      <w:r>
        <w:rPr/>
        <w:t>出部分的存货的可变现净值以一般销售价格为基础计算。</w:t>
      </w:r>
      <w:r>
        <w:rPr>
          <w:rFonts w:ascii="宋体" w:hAnsi="宋体" w:cs="宋体" w:eastAsia="宋体" w:hint="default"/>
        </w:rPr>
        <w:t> </w:t>
      </w:r>
    </w:p>
    <w:p>
      <w:pPr>
        <w:pStyle w:val="BodyText"/>
        <w:spacing w:line="316" w:lineRule="auto" w:before="19"/>
        <w:ind w:right="150" w:firstLine="420"/>
        <w:jc w:val="both"/>
        <w:rPr>
          <w:rFonts w:ascii="宋体" w:hAnsi="宋体" w:cs="宋体" w:eastAsia="宋体" w:hint="default"/>
        </w:rPr>
      </w:pPr>
      <w:r>
        <w:rPr/>
        <w:t>存货跌价准备通常按单个存货项目的成本高于其可变现净值的差额提取。对于数量繁多、单价较低的存货，按存货类 </w:t>
      </w:r>
      <w:r>
        <w:rPr>
          <w:spacing w:val="-2"/>
        </w:rPr>
        <w:t>别计提存货跌价准备；对在同一地区生产和销售的产品系列相关、具有相同或类似最终用途或目的，且难以与其他项目分开</w:t>
      </w:r>
      <w:r>
        <w:rPr>
          <w:spacing w:val="-63"/>
        </w:rPr>
        <w:t> </w:t>
      </w:r>
      <w:r>
        <w:rPr>
          <w:spacing w:val="-63"/>
        </w:rPr>
      </w:r>
      <w:r>
        <w:rPr/>
        <w:t>计量的存货，可合并计提存货跌价准备。</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right="157" w:firstLine="420"/>
        <w:jc w:val="both"/>
        <w:rPr>
          <w:rFonts w:ascii="宋体" w:hAnsi="宋体" w:cs="宋体" w:eastAsia="宋体" w:hint="default"/>
        </w:rPr>
      </w:pPr>
      <w:r>
        <w:rPr/>
        <w:t>计提存货跌价准备后，如果以前减记存货价值的影响因素已经消失，导致存货的可变现净值高于其账面价值的，在原 已计提的存货跌价准备金额内予以转回，转回的金额计入当期损益。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12.4 </w:t>
      </w:r>
      <w:r>
        <w:rPr>
          <w:rFonts w:ascii="Times New Roman" w:hAnsi="Times New Roman" w:cs="Times New Roman" w:eastAsia="Times New Roman" w:hint="default"/>
          <w:spacing w:val="2"/>
        </w:rPr>
        <w:t> </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pPr>
      <w:r>
        <w:rPr/>
        <w:t>存货的盘存制度为永续盘存制。</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12.5 </w:t>
      </w:r>
      <w:r>
        <w:rPr>
          <w:rFonts w:ascii="Times New Roman" w:hAnsi="Times New Roman" w:cs="Times New Roman" w:eastAsia="Times New Roman" w:hint="default"/>
          <w:spacing w:val="2"/>
        </w:rPr>
        <w:t> </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低值易耗品于领用时按一次摊销法摊销；包装物于领用时按一次摊销法摊销。</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13.1 </w:t>
      </w:r>
      <w:r>
        <w:rPr>
          <w:rFonts w:ascii="Times New Roman" w:hAnsi="Times New Roman" w:cs="Times New Roman" w:eastAsia="Times New Roman" w:hint="default"/>
          <w:spacing w:val="1"/>
        </w:rPr>
        <w:t> </w:t>
      </w:r>
      <w:r>
        <w:rPr/>
        <w:t>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同时满足下列条件的非流动资产应当划分为持有待售：</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①公司已经就处置该非流动资产作出决议；</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②已经与受让方签订了不可撤销的转让协议；</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③该项转让将在一年内完成。</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13.2 </w:t>
      </w:r>
      <w:r>
        <w:rPr>
          <w:rFonts w:ascii="Times New Roman" w:hAnsi="Times New Roman" w:cs="Times New Roman" w:eastAsia="Times New Roman" w:hint="default"/>
          <w:spacing w:val="1"/>
        </w:rPr>
        <w:t> </w:t>
      </w:r>
      <w:r>
        <w:rPr/>
        <w:t>会计处理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20"/>
        <w:jc w:val="left"/>
        <w:rPr>
          <w:rFonts w:ascii="宋体" w:hAnsi="宋体" w:cs="宋体" w:eastAsia="宋体" w:hint="default"/>
        </w:rPr>
      </w:pPr>
      <w:r>
        <w:rPr/>
        <w:t>公司对于持有待售的资产按账面价值与预计可变现净值孰低者计量持有待售的非流动资产，账面价值高于预计可变现 净值之间的差额确认为资产减值损失。</w:t>
      </w:r>
      <w:r>
        <w:rPr>
          <w:rFonts w:ascii="宋体" w:hAnsi="宋体" w:cs="宋体" w:eastAsia="宋体" w:hint="default"/>
        </w:rPr>
        <w:t> </w:t>
      </w:r>
    </w:p>
    <w:p>
      <w:pPr>
        <w:pStyle w:val="BodyText"/>
        <w:spacing w:line="316" w:lineRule="auto" w:before="19"/>
        <w:ind w:right="0" w:firstLine="420"/>
        <w:jc w:val="left"/>
        <w:rPr>
          <w:rFonts w:ascii="宋体" w:hAnsi="宋体" w:cs="宋体" w:eastAsia="宋体" w:hint="default"/>
        </w:rPr>
      </w:pPr>
      <w:r>
        <w:rPr/>
        <w:t>某项资产或处置组被划归为持有待售，但后来不再满足持有待售的固定资产的确认条件，公司停止将其划归为持有待 售，并按照下列两项金额中较低者计量：</w:t>
      </w:r>
      <w:r>
        <w:rPr>
          <w:rFonts w:ascii="宋体" w:hAnsi="宋体" w:cs="宋体" w:eastAsia="宋体" w:hint="default"/>
        </w:rPr>
        <w:t> </w:t>
      </w:r>
    </w:p>
    <w:p>
      <w:pPr>
        <w:pStyle w:val="BodyText"/>
        <w:spacing w:line="316" w:lineRule="auto" w:before="19"/>
        <w:ind w:right="135"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）该资产或处置组被划归为持有待售之前的账面价值，按照其假定在没有被划归为持有待售的情况下原应确认的折</w:t>
      </w:r>
      <w:r>
        <w:rPr/>
        <w:t> 旧、摊销或减值进行调整后的金额；</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w:t>
      </w:r>
      <w:r>
        <w:rPr>
          <w:rFonts w:ascii="宋体" w:hAnsi="宋体" w:cs="宋体" w:eastAsia="宋体" w:hint="default"/>
        </w:rPr>
        <w:t>2</w:t>
      </w:r>
      <w:r>
        <w:rPr/>
        <w:t>）决定不再出售之日的再收回金额。</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符合持有待售条件的无形资产等其他非流动资产，比照上述原则处理。</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长期股权投资主要包括本公司持有的能够对被投资单位实施控制、共同控制或重大影响的权益性投资。</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14.1 </w:t>
      </w:r>
      <w:r>
        <w:rPr>
          <w:rFonts w:ascii="Times New Roman" w:hAnsi="Times New Roman" w:cs="Times New Roman" w:eastAsia="Times New Roman" w:hint="default"/>
          <w:spacing w:val="2"/>
        </w:rPr>
        <w:t> </w:t>
      </w:r>
      <w:r>
        <w:rPr/>
        <w:t>共同控制及重大影响的判断标准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420"/>
        <w:jc w:val="both"/>
        <w:rPr>
          <w:rFonts w:ascii="宋体" w:hAnsi="宋体" w:cs="宋体" w:eastAsia="宋体" w:hint="default"/>
        </w:rPr>
      </w:pPr>
      <w:r>
        <w:rPr>
          <w:spacing w:val="-1"/>
        </w:rPr>
        <w:t>（</w:t>
      </w:r>
      <w:r>
        <w:rPr>
          <w:rFonts w:ascii="宋体" w:hAnsi="宋体" w:cs="宋体" w:eastAsia="宋体" w:hint="default"/>
          <w:spacing w:val="-1"/>
        </w:rPr>
        <w:t>1</w:t>
      </w:r>
      <w:r>
        <w:rPr>
          <w:spacing w:val="-1"/>
        </w:rPr>
        <w:t>）重大影响，是指本公司对被投资单位的财务和经营政策有参与决策的权力，但并不能够控制或者与其他方一起共</w:t>
      </w:r>
      <w:r>
        <w:rPr/>
        <w:t> </w:t>
      </w:r>
      <w:r>
        <w:rPr>
          <w:spacing w:val="-2"/>
        </w:rPr>
        <w:t>同控制这些政策的制定。在确定能否对被投资单位施加重大影响时，考虑本公司和其他方持有的被投资单位当期可转换公司</w:t>
      </w:r>
      <w:r>
        <w:rPr>
          <w:spacing w:val="-64"/>
        </w:rPr>
        <w:t> </w:t>
      </w:r>
      <w:r>
        <w:rPr>
          <w:spacing w:val="-64"/>
        </w:rPr>
      </w:r>
      <w:r>
        <w:rPr/>
        <w:t>债券、当期可执行认股权证等潜在表决权因素。</w:t>
      </w:r>
      <w:r>
        <w:rPr>
          <w:rFonts w:ascii="宋体" w:hAnsi="宋体" w:cs="宋体" w:eastAsia="宋体" w:hint="default"/>
        </w:rPr>
        <w:t> </w:t>
      </w:r>
    </w:p>
    <w:p>
      <w:pPr>
        <w:pStyle w:val="BodyText"/>
        <w:spacing w:line="316" w:lineRule="auto" w:before="19"/>
        <w:ind w:right="135" w:firstLine="420"/>
        <w:jc w:val="left"/>
        <w:rPr>
          <w:rFonts w:ascii="宋体" w:hAnsi="宋体" w:cs="宋体" w:eastAsia="宋体" w:hint="default"/>
        </w:rPr>
      </w:pPr>
      <w:r>
        <w:rPr>
          <w:spacing w:val="-1"/>
        </w:rPr>
        <w:t>（</w:t>
      </w:r>
      <w:r>
        <w:rPr>
          <w:rFonts w:ascii="宋体" w:hAnsi="宋体" w:cs="宋体" w:eastAsia="宋体" w:hint="default"/>
          <w:spacing w:val="-1"/>
        </w:rPr>
        <w:t>2</w:t>
      </w:r>
      <w:r>
        <w:rPr>
          <w:spacing w:val="-1"/>
        </w:rPr>
        <w:t>）共同控制，是指按照相关约定对某项安排所共有的控制，并且该安排的相关活动必须经过分享控制权的参与方一</w:t>
      </w:r>
      <w:r>
        <w:rPr/>
        <w:t> 致同意后才能决策。</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14.2 </w:t>
      </w:r>
      <w:r>
        <w:rPr/>
        <w:t>长期股权投资的初始计量</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0"/>
        <w:jc w:val="left"/>
      </w:pPr>
      <w:r>
        <w:rPr/>
        <w:t>（</w:t>
      </w:r>
      <w:r>
        <w:rPr>
          <w:rFonts w:ascii="宋体" w:hAnsi="宋体" w:cs="宋体" w:eastAsia="宋体" w:hint="default"/>
        </w:rPr>
        <w:t>1</w:t>
      </w:r>
      <w:r>
        <w:rPr/>
        <w:t>）本公司合并形成的长期股权投资，按照下列规定确定其投资成本：</w:t>
      </w:r>
      <w:r>
        <w:rPr>
          <w:rFonts w:ascii="宋体" w:hAnsi="宋体" w:cs="宋体" w:eastAsia="宋体" w:hint="default"/>
        </w:rPr>
        <w:t> </w:t>
      </w:r>
      <w:r>
        <w:rPr/>
        <w:t>本公司同一控制下的企业合并，以支付现金、转让非现金资产或承担债务方式作为合并对价的，应当在合并日按照所</w:t>
      </w:r>
    </w:p>
    <w:p>
      <w:pPr>
        <w:pStyle w:val="BodyText"/>
        <w:spacing w:line="316" w:lineRule="auto" w:before="19"/>
        <w:ind w:right="150"/>
        <w:jc w:val="both"/>
        <w:rPr>
          <w:rFonts w:ascii="宋体" w:hAnsi="宋体" w:cs="宋体" w:eastAsia="宋体" w:hint="default"/>
        </w:rPr>
      </w:pPr>
      <w:r>
        <w:rPr>
          <w:spacing w:val="-2"/>
        </w:rPr>
        <w:t>取得的被合并方在最终控制方合并财务报表中的净资产的账面价值的份额作为长期股权投资的初始投资成本。被合并方在合</w:t>
      </w:r>
      <w:r>
        <w:rPr>
          <w:spacing w:val="-64"/>
        </w:rPr>
        <w:t> </w:t>
      </w:r>
      <w:r>
        <w:rPr>
          <w:spacing w:val="-64"/>
        </w:rPr>
      </w:r>
      <w:r>
        <w:rPr>
          <w:spacing w:val="-2"/>
        </w:rPr>
        <w:t>并日的净资产账面价值为负数的，长期股权投资成本按零确定，同时在备查簿中予以登记。长期股权投资初始投资成本与支</w:t>
      </w:r>
      <w:r>
        <w:rPr>
          <w:spacing w:val="-63"/>
        </w:rPr>
        <w:t> </w:t>
      </w:r>
      <w:r>
        <w:rPr>
          <w:spacing w:val="-63"/>
        </w:rPr>
      </w:r>
      <w:r>
        <w:rPr>
          <w:spacing w:val="-2"/>
        </w:rPr>
        <w:t>付的现金、转让的非现金资产以及所承担债务账面价值之间的差额，调整资本公积（资本溢价或股本溢价）；资本公积（资</w:t>
      </w:r>
      <w:r>
        <w:rPr>
          <w:spacing w:val="-68"/>
        </w:rPr>
        <w:t> </w:t>
      </w:r>
      <w:r>
        <w:rPr>
          <w:spacing w:val="-68"/>
        </w:rPr>
      </w:r>
      <w:r>
        <w:rPr>
          <w:spacing w:val="-2"/>
        </w:rPr>
        <w:t>本溢价或股本溢价）不足冲减的，调整留存收益。以发行权益性证券作为合并对价的，应当在合并日按照所取得的被合并方</w:t>
      </w:r>
      <w:r>
        <w:rPr>
          <w:spacing w:val="-64"/>
        </w:rPr>
        <w:t> </w:t>
      </w:r>
      <w:r>
        <w:rPr>
          <w:spacing w:val="-64"/>
        </w:rPr>
      </w:r>
      <w:r>
        <w:rPr>
          <w:spacing w:val="-2"/>
        </w:rPr>
        <w:t>在最终控制方合并财务报表中的净资产的账面价值的份额作为长期股权投资的初始投资成本。按照发行股份的面值总额作为</w:t>
      </w:r>
      <w:r>
        <w:rPr>
          <w:spacing w:val="-64"/>
        </w:rPr>
        <w:t> </w:t>
      </w:r>
      <w:r>
        <w:rPr>
          <w:spacing w:val="-64"/>
        </w:rPr>
      </w:r>
      <w:r>
        <w:rPr>
          <w:spacing w:val="-2"/>
        </w:rPr>
        <w:t>股本，长期股权初始投资成本与所发行股份面值总额之间的差额，调整资本公积（资本溢价或股本溢价）；资本公积（资本</w:t>
      </w:r>
      <w:r>
        <w:rPr>
          <w:spacing w:val="-68"/>
        </w:rPr>
        <w:t> </w:t>
      </w:r>
      <w:r>
        <w:rPr>
          <w:spacing w:val="-68"/>
        </w:rPr>
      </w:r>
      <w:r>
        <w:rPr/>
        <w:t>溢价或股本溢价）不足冲减的，调整留存收益。</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本公司非同一控制下的企业合并，在购买日按照下列规定确定其投资成本：</w:t>
      </w:r>
      <w:r>
        <w:rPr>
          <w:rFonts w:ascii="宋体" w:hAnsi="宋体" w:cs="宋体" w:eastAsia="宋体" w:hint="default"/>
        </w:rPr>
        <w:t> </w:t>
      </w:r>
    </w:p>
    <w:p>
      <w:pPr>
        <w:pStyle w:val="BodyText"/>
        <w:spacing w:line="316" w:lineRule="auto" w:before="77"/>
        <w:ind w:right="0" w:firstLine="420"/>
        <w:jc w:val="left"/>
        <w:rPr>
          <w:rFonts w:ascii="宋体" w:hAnsi="宋体" w:cs="宋体" w:eastAsia="宋体" w:hint="default"/>
        </w:rPr>
      </w:pPr>
      <w:r>
        <w:rPr/>
        <w:t>①一次交换交易实现的企业合并，合并成本为本公司在购买日为取得对被购买方的控制权而付出的资产、发生或承担 的负债以及发行的权益性证券的公允价值。</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②通过多次交换交易分步实现的企业合并，合并成本为每一单项交易成本之和。</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③本公司为进行企业合并发生的各项直接相关费用计入当期损益。</w:t>
      </w:r>
      <w:r>
        <w:rPr>
          <w:rFonts w:ascii="宋体" w:hAnsi="宋体" w:cs="宋体" w:eastAsia="宋体" w:hint="default"/>
        </w:rPr>
        <w:t> </w:t>
      </w:r>
    </w:p>
    <w:p>
      <w:pPr>
        <w:pStyle w:val="BodyText"/>
        <w:spacing w:line="316" w:lineRule="auto" w:before="76"/>
        <w:ind w:right="0" w:firstLine="420"/>
        <w:jc w:val="left"/>
        <w:rPr>
          <w:rFonts w:ascii="宋体" w:hAnsi="宋体" w:cs="宋体" w:eastAsia="宋体" w:hint="default"/>
        </w:rPr>
      </w:pPr>
      <w:r>
        <w:rPr/>
        <w:t>④在合并合同或协议中对可能影响合并成本的未来事项作出约定的，购买日如果估计未来事项很可能发生并且对合并 成本的影响金额能够可靠计量的，本公司将其计入合并成本。</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w:t>
      </w:r>
      <w:r>
        <w:rPr>
          <w:rFonts w:ascii="宋体" w:hAnsi="宋体" w:cs="宋体" w:eastAsia="宋体" w:hint="default"/>
        </w:rPr>
        <w:t>2</w:t>
      </w:r>
      <w:r>
        <w:rPr/>
        <w:t>）除本公司合并形成的长期股权投资以外，其他方式取得的长期股权投资，按照下列规定确定其投资成本：</w:t>
      </w:r>
      <w:r>
        <w:rPr>
          <w:rFonts w:ascii="宋体" w:hAnsi="宋体" w:cs="宋体" w:eastAsia="宋体" w:hint="default"/>
        </w:rPr>
        <w:t> </w:t>
      </w:r>
    </w:p>
    <w:p>
      <w:pPr>
        <w:pStyle w:val="BodyText"/>
        <w:spacing w:line="316" w:lineRule="auto" w:before="76"/>
        <w:ind w:right="0" w:firstLine="420"/>
        <w:jc w:val="left"/>
        <w:rPr>
          <w:rFonts w:ascii="宋体" w:hAnsi="宋体" w:cs="宋体" w:eastAsia="宋体" w:hint="default"/>
        </w:rPr>
      </w:pPr>
      <w:r>
        <w:rPr/>
        <w:t>①以支付现金取得的长期股权投资，按照实际支付的购买价款作为初始投资成本。初始投资成本包括与取得长期股权 投资直接相关的费用、税金及其他必要支出。</w:t>
      </w:r>
      <w:r>
        <w:rPr>
          <w:rFonts w:ascii="宋体" w:hAnsi="宋体" w:cs="宋体" w:eastAsia="宋体" w:hint="default"/>
        </w:rPr>
        <w:t> </w:t>
      </w:r>
    </w:p>
    <w:p>
      <w:pPr>
        <w:pStyle w:val="BodyText"/>
        <w:spacing w:line="240" w:lineRule="auto" w:before="19"/>
        <w:ind w:left="573" w:right="0"/>
        <w:jc w:val="left"/>
      </w:pPr>
      <w:r>
        <w:rPr/>
        <w:t>②以发行权益性证券取得的长期股权投资，按照发行权益性证券的公允价值作为初始投资成本。与发行权益性证券直</w:t>
      </w:r>
    </w:p>
    <w:p>
      <w:pPr>
        <w:spacing w:after="0" w:line="240" w:lineRule="auto"/>
        <w:jc w:val="left"/>
        <w:sectPr>
          <w:footerReference w:type="default" r:id="rId17"/>
          <w:pgSz w:w="11910" w:h="16840"/>
          <w:pgMar w:footer="979" w:header="745" w:top="1060" w:bottom="1160" w:left="980" w:right="980"/>
          <w:pgNumType w:start="97"/>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rPr>
          <w:rFonts w:ascii="宋体" w:hAnsi="宋体" w:cs="宋体" w:eastAsia="宋体" w:hint="default"/>
        </w:rPr>
      </w:pPr>
      <w:r>
        <w:rPr/>
        <w:t>接相关的费用，应当按照《企业会计准则第</w:t>
      </w:r>
      <w:r>
        <w:rPr>
          <w:rFonts w:ascii="宋体" w:hAnsi="宋体" w:cs="宋体" w:eastAsia="宋体" w:hint="default"/>
        </w:rPr>
        <w:t>37</w:t>
      </w:r>
      <w:r>
        <w:rPr/>
        <w:t>号—金融工具列报》的有关规定确定。</w:t>
      </w:r>
      <w:r>
        <w:rPr>
          <w:rFonts w:ascii="宋体" w:hAnsi="宋体" w:cs="宋体" w:eastAsia="宋体" w:hint="default"/>
        </w:rPr>
        <w:t> </w:t>
      </w:r>
    </w:p>
    <w:p>
      <w:pPr>
        <w:pStyle w:val="BodyText"/>
        <w:spacing w:line="316" w:lineRule="auto" w:before="77"/>
        <w:ind w:right="191" w:firstLine="420"/>
        <w:jc w:val="both"/>
        <w:rPr>
          <w:rFonts w:ascii="宋体" w:hAnsi="宋体" w:cs="宋体" w:eastAsia="宋体" w:hint="default"/>
        </w:rPr>
      </w:pPr>
      <w:r>
        <w:rPr>
          <w:spacing w:val="-1"/>
        </w:rPr>
        <w:t>③通过非货币性资产交换取得的长期股权投资，其初始投资成本按照《企业会计准则第</w:t>
      </w:r>
      <w:r>
        <w:rPr>
          <w:rFonts w:ascii="宋体" w:hAnsi="宋体" w:cs="宋体" w:eastAsia="宋体" w:hint="default"/>
          <w:spacing w:val="-1"/>
        </w:rPr>
        <w:t>7</w:t>
      </w:r>
      <w:r>
        <w:rPr>
          <w:spacing w:val="-1"/>
        </w:rPr>
        <w:t>号——非货币性资产交换》确</w:t>
      </w:r>
      <w:r>
        <w:rPr/>
        <w:t> 定。</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④通过债务重组取得的长期股权投资，其初始投资成本按照《企业会计准则第</w:t>
      </w:r>
      <w:r>
        <w:rPr>
          <w:rFonts w:ascii="宋体" w:hAnsi="宋体" w:cs="宋体" w:eastAsia="宋体" w:hint="default"/>
        </w:rPr>
        <w:t>12</w:t>
      </w:r>
      <w:r>
        <w:rPr/>
        <w:t>号——债务重组》确定。</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14.3 </w:t>
      </w:r>
      <w:r>
        <w:rPr>
          <w:rFonts w:ascii="Times New Roman" w:hAnsi="Times New Roman" w:cs="Times New Roman" w:eastAsia="Times New Roman" w:hint="default"/>
          <w:spacing w:val="1"/>
        </w:rPr>
        <w:t> </w:t>
      </w:r>
      <w:r>
        <w:rPr/>
        <w:t>长期股权投资的后续计量及投资收益确认方法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93"/>
        <w:jc w:val="left"/>
      </w:pPr>
      <w:r>
        <w:rPr/>
        <w:t>（</w:t>
      </w:r>
      <w:r>
        <w:rPr>
          <w:rFonts w:ascii="宋体" w:hAnsi="宋体" w:cs="宋体" w:eastAsia="宋体" w:hint="default"/>
        </w:rPr>
        <w:t>1</w:t>
      </w:r>
      <w:r>
        <w:rPr/>
        <w:t>）本公司能够对被投资单位实施控制的长期股权投资采用成本法核算。</w:t>
      </w:r>
      <w:r>
        <w:rPr>
          <w:rFonts w:ascii="宋体" w:hAnsi="宋体" w:cs="宋体" w:eastAsia="宋体" w:hint="default"/>
        </w:rPr>
        <w:t> </w:t>
      </w:r>
      <w:r>
        <w:rPr/>
        <w:t>采用成本法核算的长期股权投资按照初始投资成本计价。追加或收回投资调整长期股权投资的成本。被投资单位宣告</w:t>
      </w:r>
    </w:p>
    <w:p>
      <w:pPr>
        <w:pStyle w:val="BodyText"/>
        <w:spacing w:line="240" w:lineRule="auto" w:before="19"/>
        <w:ind w:right="93"/>
        <w:jc w:val="left"/>
        <w:rPr>
          <w:rFonts w:ascii="宋体" w:hAnsi="宋体" w:cs="宋体" w:eastAsia="宋体" w:hint="default"/>
        </w:rPr>
      </w:pPr>
      <w:r>
        <w:rPr/>
        <w:t>分派的现金股利或利润，除购买时已宣告发放股利作投资成本收回外，其余确认为当期投资收益。</w:t>
      </w:r>
      <w:r>
        <w:rPr>
          <w:rFonts w:ascii="宋体" w:hAnsi="宋体" w:cs="宋体" w:eastAsia="宋体" w:hint="default"/>
        </w:rPr>
        <w:t> </w:t>
      </w:r>
    </w:p>
    <w:p>
      <w:pPr>
        <w:pStyle w:val="BodyText"/>
        <w:spacing w:line="319" w:lineRule="auto" w:before="76"/>
        <w:ind w:right="191"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）本公司对联营企业和合营企业的投资采用权益法核算。长期股权投资的初始投资成本大于投资时应享有被投资单</w:t>
      </w:r>
      <w:r>
        <w:rPr/>
        <w:t> </w:t>
      </w:r>
      <w:r>
        <w:rPr>
          <w:spacing w:val="-2"/>
        </w:rPr>
        <w:t>位可辨认净资产公允价值份额的，不调整长期股权投资的初始投资成本；长期股权投资的初始投资成本小于投资时应享有被</w:t>
      </w:r>
      <w:r>
        <w:rPr>
          <w:spacing w:val="-63"/>
        </w:rPr>
        <w:t> </w:t>
      </w:r>
      <w:r>
        <w:rPr>
          <w:spacing w:val="-63"/>
        </w:rPr>
      </w:r>
      <w:r>
        <w:rPr/>
        <w:t>投资单位可辨认净资产公允价值份额的，其差额计入当期损益，同时调整长期股权投资的成本。</w:t>
      </w:r>
      <w:r>
        <w:rPr>
          <w:rFonts w:ascii="宋体" w:hAnsi="宋体" w:cs="宋体" w:eastAsia="宋体" w:hint="default"/>
        </w:rPr>
        <w:t> </w:t>
      </w:r>
    </w:p>
    <w:p>
      <w:pPr>
        <w:pStyle w:val="BodyText"/>
        <w:spacing w:line="316" w:lineRule="auto" w:before="17"/>
        <w:ind w:right="100" w:firstLine="420"/>
        <w:jc w:val="both"/>
        <w:rPr>
          <w:rFonts w:ascii="宋体" w:hAnsi="宋体" w:cs="宋体" w:eastAsia="宋体" w:hint="default"/>
        </w:rPr>
      </w:pPr>
      <w:r>
        <w:rPr/>
        <w:t>本公司取得长期股权投资后，按照应享有或应分担的被投资单位实现的净损益的份额，确认投资损益并调整长期股权 </w:t>
      </w:r>
      <w:r>
        <w:rPr>
          <w:spacing w:val="-5"/>
        </w:rPr>
        <w:t>投资的账面价值。本公司按照被投资单位宣告分派的利润或现金股利计算应分得的部分，相应减少长期股权投资的账面价值。</w:t>
      </w:r>
      <w:r>
        <w:rPr>
          <w:rFonts w:ascii="宋体" w:hAnsi="宋体" w:cs="宋体" w:eastAsia="宋体" w:hint="default"/>
        </w:rPr>
        <w:t> </w:t>
      </w:r>
    </w:p>
    <w:p>
      <w:pPr>
        <w:pStyle w:val="BodyText"/>
        <w:spacing w:line="316" w:lineRule="auto" w:before="19"/>
        <w:ind w:right="188" w:firstLine="420"/>
        <w:jc w:val="both"/>
        <w:rPr>
          <w:rFonts w:ascii="宋体" w:hAnsi="宋体" w:cs="宋体" w:eastAsia="宋体" w:hint="default"/>
        </w:rPr>
      </w:pPr>
      <w:r>
        <w:rPr/>
        <w:t>本公司确认被投资单位发生的净亏损，以长期股权投资的账面价值以及其他实质上构成对被投资单位净投资的长期权 </w:t>
      </w:r>
      <w:r>
        <w:rPr>
          <w:spacing w:val="-2"/>
        </w:rPr>
        <w:t>益减记至零为限，本公司负有承担额外损失义务的除外。被投资单位以后实现净利润的，本公司在其收益分享额弥补未确认</w:t>
      </w:r>
      <w:r>
        <w:rPr>
          <w:spacing w:val="-62"/>
        </w:rPr>
        <w:t> </w:t>
      </w:r>
      <w:r>
        <w:rPr>
          <w:spacing w:val="-62"/>
        </w:rPr>
      </w:r>
      <w:r>
        <w:rPr/>
        <w:t>的亏损分担额后，恢复确认收益分享额。</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t>本公司计算确认应享有或应分担被投资单位的净损益时，与联营企业、合营企业之间发生的未实现内部交易损益按照 </w:t>
      </w:r>
      <w:r>
        <w:rPr>
          <w:spacing w:val="-2"/>
        </w:rPr>
        <w:t>应享有的比例计算归属于投资方的部分，应当予以抵销，在此基础上确认投资收益。与联营企业、合营企业之间发生的未实</w:t>
      </w:r>
      <w:r>
        <w:rPr>
          <w:spacing w:val="-64"/>
        </w:rPr>
        <w:t> </w:t>
      </w:r>
      <w:r>
        <w:rPr>
          <w:spacing w:val="-64"/>
        </w:rPr>
      </w:r>
      <w:r>
        <w:rPr>
          <w:spacing w:val="-2"/>
        </w:rPr>
        <w:t>现内部交易损失，按照资产减值准则等规定属于资产减值损失的，应当全额确认。与联营企业、合营企业之间发生投出或出</w:t>
      </w:r>
      <w:r>
        <w:rPr>
          <w:spacing w:val="-64"/>
        </w:rPr>
        <w:t> </w:t>
      </w:r>
      <w:r>
        <w:rPr>
          <w:spacing w:val="-64"/>
        </w:rPr>
      </w:r>
      <w:r>
        <w:rPr>
          <w:spacing w:val="-4"/>
        </w:rPr>
        <w:t>售资产的交易，该资产构成业务的，按照《企业会计准则第</w:t>
      </w:r>
      <w:r>
        <w:rPr>
          <w:rFonts w:ascii="宋体" w:hAnsi="宋体" w:cs="宋体" w:eastAsia="宋体" w:hint="default"/>
          <w:spacing w:val="-4"/>
        </w:rPr>
        <w:t>20</w:t>
      </w:r>
      <w:r>
        <w:rPr>
          <w:spacing w:val="-4"/>
        </w:rPr>
        <w:t>号——企业合并》及《企业会计准则第</w:t>
      </w:r>
      <w:r>
        <w:rPr>
          <w:rFonts w:ascii="宋体" w:hAnsi="宋体" w:cs="宋体" w:eastAsia="宋体" w:hint="default"/>
          <w:spacing w:val="-4"/>
        </w:rPr>
        <w:t>33</w:t>
      </w:r>
      <w:r>
        <w:rPr>
          <w:spacing w:val="-4"/>
        </w:rPr>
        <w:t>号——合并财务报表》</w:t>
      </w:r>
      <w:r>
        <w:rPr>
          <w:spacing w:val="-36"/>
        </w:rPr>
        <w:t> </w:t>
      </w:r>
      <w:r>
        <w:rPr/>
        <w:t>的有关规定进行处理。</w:t>
      </w:r>
      <w:r>
        <w:rPr>
          <w:rFonts w:ascii="宋体" w:hAnsi="宋体" w:cs="宋体" w:eastAsia="宋体" w:hint="default"/>
        </w:rPr>
        <w:t> </w:t>
      </w:r>
    </w:p>
    <w:p>
      <w:pPr>
        <w:pStyle w:val="BodyText"/>
        <w:spacing w:line="316" w:lineRule="auto" w:before="19"/>
        <w:ind w:right="198" w:firstLine="420"/>
        <w:jc w:val="both"/>
        <w:rPr>
          <w:rFonts w:ascii="宋体" w:hAnsi="宋体" w:cs="宋体" w:eastAsia="宋体" w:hint="default"/>
        </w:rPr>
      </w:pPr>
      <w:r>
        <w:rPr/>
        <w:t>本公司在确认应享有被投资单位净损益的份额时，以取得投资时被投资单位各项可辨认资产等的公允价值为基础，对 被投资单位的净利润进行调整后确认。若符合下列条件，本公司以被投资单位的账面净利润为基础，计算确认投资收益：</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①本公司无法合理确定取得投资时被投资单位各项可辨认资产等的公允价值。</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②投资时被投资单位可辨认资产的公允价值与其账面价值相比，两者之间的差额不具有重要性的。</w:t>
      </w:r>
      <w:r>
        <w:rPr>
          <w:rFonts w:ascii="宋体" w:hAnsi="宋体" w:cs="宋体" w:eastAsia="宋体" w:hint="default"/>
        </w:rPr>
        <w:t> </w:t>
      </w:r>
    </w:p>
    <w:p>
      <w:pPr>
        <w:pStyle w:val="BodyText"/>
        <w:spacing w:line="316" w:lineRule="auto" w:before="76"/>
        <w:ind w:left="573" w:right="93"/>
        <w:jc w:val="left"/>
      </w:pPr>
      <w:r>
        <w:rPr/>
        <w:t>③其他原因导致无法取得被投资单位的有关资料，不能按照规定对被投资单位的净损益进行调整的。</w:t>
      </w:r>
      <w:r>
        <w:rPr>
          <w:rFonts w:ascii="宋体" w:hAnsi="宋体" w:cs="宋体" w:eastAsia="宋体" w:hint="default"/>
        </w:rPr>
        <w:t> </w:t>
      </w:r>
      <w:r>
        <w:rPr/>
        <w:t>被投资单位采用的会计政策及会计期间与本公司不一致的，按照本公司的会计政策及会计期间对被投资单位的财务报</w:t>
      </w:r>
    </w:p>
    <w:p>
      <w:pPr>
        <w:pStyle w:val="BodyText"/>
        <w:spacing w:line="316" w:lineRule="auto" w:before="19"/>
        <w:ind w:right="190"/>
        <w:jc w:val="both"/>
        <w:rPr>
          <w:rFonts w:ascii="宋体" w:hAnsi="宋体" w:cs="宋体" w:eastAsia="宋体" w:hint="default"/>
        </w:rPr>
      </w:pPr>
      <w:r>
        <w:rPr>
          <w:spacing w:val="-2"/>
        </w:rPr>
        <w:t>表进行调整，并据以确认投资损益和其他综合收益。本公司对于被投资单位除净损益以外所有者权益的其他变动，调整长期</w:t>
      </w:r>
      <w:r>
        <w:rPr>
          <w:spacing w:val="-63"/>
        </w:rPr>
        <w:t> </w:t>
      </w:r>
      <w:r>
        <w:rPr>
          <w:spacing w:val="-63"/>
        </w:rPr>
      </w:r>
      <w:r>
        <w:rPr>
          <w:spacing w:val="-2"/>
        </w:rPr>
        <w:t>股权投资的账面价值并计入所有者权益，处置该项投资时应当采用与被投资单位直接处置相关资产或负债相同的基础处理并</w:t>
      </w:r>
      <w:r>
        <w:rPr>
          <w:spacing w:val="-64"/>
        </w:rPr>
        <w:t> </w:t>
      </w:r>
      <w:r>
        <w:rPr>
          <w:spacing w:val="-64"/>
        </w:rPr>
      </w:r>
      <w:r>
        <w:rPr>
          <w:spacing w:val="-2"/>
        </w:rPr>
        <w:t>按比例结转，因被投资方除净损益、其他综合收益和利润分配以外的其他所有者权益变动而确认的所有者权益，应当按相应</w:t>
      </w:r>
      <w:r>
        <w:rPr>
          <w:spacing w:val="-63"/>
        </w:rPr>
        <w:t> </w:t>
      </w:r>
      <w:r>
        <w:rPr>
          <w:spacing w:val="-63"/>
        </w:rPr>
      </w:r>
      <w:r>
        <w:rPr/>
        <w:t>比例转入当期投资收益。</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013"/>
        <w:jc w:val="left"/>
      </w:pPr>
      <w:r>
        <w:rPr/>
        <w:t>投资性房地产计量模式 成本法计量 折旧或摊销方法</w:t>
      </w:r>
    </w:p>
    <w:p>
      <w:pPr>
        <w:pStyle w:val="BodyText"/>
        <w:spacing w:line="316" w:lineRule="auto" w:before="29"/>
        <w:ind w:right="197" w:firstLine="420"/>
        <w:jc w:val="both"/>
        <w:rPr>
          <w:rFonts w:ascii="宋体" w:hAnsi="宋体" w:cs="宋体" w:eastAsia="宋体" w:hint="default"/>
        </w:rPr>
      </w:pPr>
      <w:r>
        <w:rPr/>
        <w:t>投资性房地产是指为赚取租金或资本增值，或两者兼有而持有的房地产。本公司投资性房地产包括已出租的土地使用 权、持有并准备增值后转让的土地使用权和已出租的建筑物。</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6753"/>
        <w:jc w:val="left"/>
        <w:rPr>
          <w:b w:val="0"/>
          <w:bCs w:val="0"/>
        </w:rPr>
      </w:pPr>
      <w:r>
        <w:rPr>
          <w:rFonts w:ascii="Times New Roman" w:hAnsi="Times New Roman" w:cs="Times New Roman" w:eastAsia="Times New Roman" w:hint="default"/>
        </w:rPr>
        <w:t>15.1 </w:t>
      </w:r>
      <w:r>
        <w:rPr>
          <w:rFonts w:ascii="Times New Roman" w:hAnsi="Times New Roman" w:cs="Times New Roman" w:eastAsia="Times New Roman" w:hint="default"/>
          <w:spacing w:val="3"/>
        </w:rPr>
        <w:t> </w:t>
      </w:r>
      <w:r>
        <w:rPr/>
        <w:t>投资性房地产的确认</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t>投资性房地产同时满足下列条件，才能确认：</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1</w:t>
      </w:r>
      <w:r>
        <w:rPr/>
        <w:t>）与投资性房地产有关的经济利益很可能流入企业。</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2</w:t>
      </w:r>
      <w:r>
        <w:rPr/>
        <w:t>）该投资性房地产的成本能够可靠计量。</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15.2  </w:t>
      </w:r>
      <w:r>
        <w:rPr/>
        <w:t>投资性房地产初始计量</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t>（</w:t>
      </w:r>
      <w:r>
        <w:rPr>
          <w:rFonts w:ascii="宋体" w:hAnsi="宋体" w:cs="宋体" w:eastAsia="宋体" w:hint="default"/>
        </w:rPr>
        <w:t>1</w:t>
      </w:r>
      <w:r>
        <w:rPr/>
        <w:t>）外购投资性房地产的成本，包括购买价款、相关税费和可直接归属于该资产的其他支出。</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2</w:t>
      </w:r>
      <w:r>
        <w:rPr/>
        <w:t>）自行建造投资性房地产的成本，由建造该项资产达到预定可使用状态前所发生的必要支出构成。</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3</w:t>
      </w:r>
      <w:r>
        <w:rPr/>
        <w:t>）以其他方式取得的投资性房地产的成本，按照相关会计准则的规定确定。</w:t>
      </w:r>
      <w:r>
        <w:rPr>
          <w:rFonts w:ascii="宋体" w:hAnsi="宋体" w:cs="宋体" w:eastAsia="宋体" w:hint="default"/>
        </w:rPr>
        <w:t> </w:t>
      </w:r>
    </w:p>
    <w:p>
      <w:pPr>
        <w:pStyle w:val="BodyText"/>
        <w:spacing w:line="319" w:lineRule="auto" w:before="76"/>
        <w:ind w:right="93" w:firstLine="420"/>
        <w:jc w:val="left"/>
        <w:rPr>
          <w:rFonts w:ascii="宋体" w:hAnsi="宋体" w:cs="宋体" w:eastAsia="宋体" w:hint="default"/>
        </w:rPr>
      </w:pPr>
      <w:r>
        <w:rPr>
          <w:spacing w:val="-2"/>
        </w:rPr>
        <w:t>（</w:t>
      </w:r>
      <w:r>
        <w:rPr>
          <w:rFonts w:ascii="宋体" w:hAnsi="宋体" w:cs="宋体" w:eastAsia="宋体" w:hint="default"/>
          <w:spacing w:val="-2"/>
        </w:rPr>
        <w:t>4</w:t>
      </w:r>
      <w:r>
        <w:rPr>
          <w:spacing w:val="-2"/>
        </w:rPr>
        <w:t>）与投资性房地产有关的后续支出，满足投资性房地产确认条件的，计入投资性房地产成本；不满足确认条件的在</w:t>
      </w:r>
      <w:r>
        <w:rPr/>
        <w:t> 发生时计入当期损益。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15.3 </w:t>
      </w:r>
      <w:r>
        <w:rPr>
          <w:rFonts w:ascii="Times New Roman" w:hAnsi="Times New Roman" w:cs="Times New Roman" w:eastAsia="Times New Roman" w:hint="default"/>
          <w:spacing w:val="1"/>
        </w:rPr>
        <w:t> </w:t>
      </w:r>
      <w:r>
        <w:rPr/>
        <w:t>投资性房地产的后续计量</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75" w:firstLine="420"/>
        <w:jc w:val="left"/>
        <w:rPr>
          <w:rFonts w:ascii="宋体" w:hAnsi="宋体" w:cs="宋体" w:eastAsia="宋体" w:hint="default"/>
        </w:rPr>
      </w:pPr>
      <w:r>
        <w:rPr>
          <w:spacing w:val="-1"/>
        </w:rPr>
        <w:t>本公司在资产负债表日采用成本模式对投资性房地产进行后续计量。根据《企业会计准则第</w:t>
      </w:r>
      <w:r>
        <w:rPr>
          <w:rFonts w:ascii="宋体" w:hAnsi="宋体" w:cs="宋体" w:eastAsia="宋体" w:hint="default"/>
          <w:spacing w:val="-1"/>
        </w:rPr>
        <w:t>4</w:t>
      </w:r>
      <w:r>
        <w:rPr>
          <w:spacing w:val="-1"/>
        </w:rPr>
        <w:t>号——固定资产》和《企</w:t>
      </w:r>
      <w:r>
        <w:rPr/>
        <w:t> 业会计准则第</w:t>
      </w:r>
      <w:r>
        <w:rPr>
          <w:rFonts w:ascii="宋体" w:hAnsi="宋体" w:cs="宋体" w:eastAsia="宋体" w:hint="default"/>
        </w:rPr>
        <w:t>6</w:t>
      </w:r>
      <w:r>
        <w:rPr/>
        <w:t>号——无形资产》的有关规定，对投资性房地产在预计可使用年限内按年限平均法摊销或计提折旧。</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15.4</w:t>
      </w:r>
      <w:r>
        <w:rPr>
          <w:rFonts w:ascii="Times New Roman" w:hAnsi="Times New Roman" w:cs="Times New Roman" w:eastAsia="Times New Roman" w:hint="default"/>
          <w:spacing w:val="-1"/>
        </w:rPr>
        <w:t> </w:t>
      </w:r>
      <w:r>
        <w:rPr/>
        <w:t>投资性房地产减值准备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t>采用成本模式进行后续计量的投资性房地产存在减值迹象，经减值测试后确定发生减值的，应当计提减值准备。</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3" w:firstLine="362"/>
        <w:jc w:val="left"/>
      </w:pPr>
      <w:r>
        <w:rPr>
          <w:rFonts w:ascii="Times New Roman" w:hAnsi="Times New Roman" w:cs="Times New Roman" w:eastAsia="Times New Roman" w:hint="default"/>
        </w:rPr>
        <w:t>A</w:t>
      </w:r>
      <w:r>
        <w:rPr/>
        <w:t>、本公司固定资产指为生产商品、提供劳务、出租或经营管理而持有的、使用寿命超过一个会计年度的有形资产。在 </w:t>
      </w:r>
      <w:r>
        <w:rPr>
          <w:spacing w:val="-4"/>
        </w:rPr>
        <w:t>同时满足下列条件时才能确认固定资产：与该固定资产有关的经济利益很可能流入企业；该固定资产的成本能够可靠地计量。</w:t>
      </w:r>
    </w:p>
    <w:p>
      <w:pPr>
        <w:pStyle w:val="BodyText"/>
        <w:spacing w:line="340" w:lineRule="auto" w:before="72"/>
        <w:ind w:left="513" w:right="6753"/>
        <w:jc w:val="left"/>
      </w:pPr>
      <w:r>
        <w:rPr>
          <w:rFonts w:ascii="Times New Roman" w:hAnsi="Times New Roman" w:cs="Times New Roman" w:eastAsia="Times New Roman" w:hint="default"/>
        </w:rPr>
        <w:t>B</w:t>
      </w:r>
      <w:r>
        <w:rPr/>
        <w:t>、固定资产的初始计量 固定资产按照成本进行初始计量。</w:t>
      </w:r>
    </w:p>
    <w:p>
      <w:pPr>
        <w:pStyle w:val="BodyText"/>
        <w:spacing w:line="316" w:lineRule="auto" w:before="39"/>
        <w:ind w:right="93" w:firstLine="360"/>
        <w:jc w:val="left"/>
      </w:pPr>
      <w:r>
        <w:rPr>
          <w:spacing w:val="-2"/>
        </w:rPr>
        <w:t>外购固定资产的成本，包括购买价款、相关税费、使固定资产达到预定可使用状态前所发生的可归属于该项资产的运输</w:t>
      </w:r>
      <w:r>
        <w:rPr/>
        <w:t> 费、装卸费、安装费和专业人员服务费等。</w:t>
      </w:r>
    </w:p>
    <w:p>
      <w:pPr>
        <w:pStyle w:val="BodyText"/>
        <w:spacing w:line="309" w:lineRule="auto" w:before="59"/>
        <w:ind w:right="192" w:firstLine="360"/>
        <w:jc w:val="both"/>
      </w:pPr>
      <w:r>
        <w:rPr>
          <w:spacing w:val="-2"/>
        </w:rPr>
        <w:t>购买固定资产的价款超过正常信用条件延期支付，实质上具有融资性质的，固定资产的成本以购买价款的现值为基础确</w:t>
      </w:r>
      <w:r>
        <w:rPr/>
        <w:t> 定。实际支付的价款与购买价款的现值之间的差额，除按照《企业会计准则第</w:t>
      </w:r>
      <w:r>
        <w:rPr>
          <w:spacing w:val="-45"/>
        </w:rPr>
        <w:t> </w:t>
      </w:r>
      <w:r>
        <w:rPr>
          <w:rFonts w:ascii="Times New Roman" w:hAnsi="Times New Roman" w:cs="Times New Roman" w:eastAsia="Times New Roman" w:hint="default"/>
        </w:rPr>
        <w:t>17 </w:t>
      </w:r>
      <w:r>
        <w:rPr/>
        <w:t>号</w:t>
      </w:r>
      <w:r>
        <w:rPr>
          <w:rFonts w:ascii="Times New Roman" w:hAnsi="Times New Roman" w:cs="Times New Roman" w:eastAsia="Times New Roman" w:hint="default"/>
        </w:rPr>
        <w:t>——</w:t>
      </w:r>
      <w:r>
        <w:rPr/>
        <w:t>借款费用》可予以资本化的以外， 在信用期间内计入当期损益。</w:t>
      </w:r>
    </w:p>
    <w:p>
      <w:pPr>
        <w:pStyle w:val="BodyText"/>
        <w:spacing w:line="357" w:lineRule="auto" w:before="65"/>
        <w:ind w:left="513" w:right="173"/>
        <w:jc w:val="left"/>
      </w:pPr>
      <w:r>
        <w:rPr/>
        <w:t>自行建造固定资产的成本，由建造该项资产达到预定可使用状态前所发生的必要支出构成。 投资者投入固定资产的成本，按照投资合同或协议约定的价值确定，但合同或协议约定价值不公允的除外。 </w:t>
      </w:r>
      <w:r>
        <w:rPr>
          <w:spacing w:val="-2"/>
        </w:rPr>
        <w:t>非货币性资产交换、债务重组、企业合并和融资租赁取得的固定资产的成本，分别按照《企业会计准则第</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非货</w:t>
      </w:r>
    </w:p>
    <w:p>
      <w:pPr>
        <w:pStyle w:val="BodyText"/>
        <w:spacing w:line="214" w:lineRule="exact"/>
        <w:ind w:right="93"/>
        <w:jc w:val="left"/>
        <w:rPr>
          <w:rFonts w:ascii="Times New Roman" w:hAnsi="Times New Roman" w:cs="Times New Roman" w:eastAsia="Times New Roman" w:hint="default"/>
        </w:rPr>
      </w:pPr>
      <w:r>
        <w:rPr/>
        <w:t>币性资产交换</w:t>
      </w:r>
      <w:r>
        <w:rPr>
          <w:spacing w:val="-92"/>
        </w:rPr>
        <w:t>》</w:t>
      </w:r>
      <w:r>
        <w:rPr>
          <w:spacing w:val="-149"/>
        </w:rPr>
        <w:t>、</w:t>
      </w:r>
      <w:r>
        <w:rPr/>
        <w:t>《企业会计</w:t>
      </w:r>
      <w:r>
        <w:rPr>
          <w:spacing w:val="2"/>
        </w:rPr>
        <w:t>准</w:t>
      </w:r>
      <w:r>
        <w:rPr/>
        <w:t>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债务重组</w:t>
      </w:r>
      <w:r>
        <w:rPr>
          <w:spacing w:val="-92"/>
        </w:rPr>
        <w:t>》</w:t>
      </w:r>
      <w:r>
        <w:rPr>
          <w:spacing w:val="-149"/>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企业</w:t>
      </w:r>
      <w:r>
        <w:rPr>
          <w:spacing w:val="-3"/>
        </w:rPr>
        <w:t>合</w:t>
      </w:r>
      <w:r>
        <w:rPr/>
        <w:t>并</w:t>
      </w:r>
      <w:r>
        <w:rPr>
          <w:spacing w:val="-92"/>
        </w:rPr>
        <w:t>》</w:t>
      </w:r>
      <w:r>
        <w:rPr>
          <w:spacing w:val="-149"/>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p>
    <w:p>
      <w:pPr>
        <w:pStyle w:val="BodyText"/>
        <w:spacing w:line="240" w:lineRule="auto" w:before="63"/>
        <w:ind w:right="6753"/>
        <w:jc w:val="left"/>
      </w:pPr>
      <w:r>
        <w:rPr/>
        <w:t>租赁》的有关规定确定。</w:t>
      </w:r>
    </w:p>
    <w:p>
      <w:pPr>
        <w:pStyle w:val="BodyText"/>
        <w:spacing w:line="338" w:lineRule="auto" w:before="117"/>
        <w:ind w:left="513" w:right="3153"/>
        <w:jc w:val="left"/>
      </w:pPr>
      <w:r>
        <w:rPr>
          <w:rFonts w:ascii="Times New Roman" w:hAnsi="Times New Roman" w:cs="Times New Roman" w:eastAsia="Times New Roman" w:hint="default"/>
        </w:rPr>
        <w:t>C</w:t>
      </w:r>
      <w:r>
        <w:rPr/>
        <w:t>、 固定资产的分类 本公司固定资产分为房屋及建筑物、机器设备、电子设备、运输设备、其他等。</w:t>
      </w:r>
    </w:p>
    <w:p>
      <w:pPr>
        <w:spacing w:after="0" w:line="338"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61" w:firstLine="360"/>
        <w:jc w:val="both"/>
      </w:pPr>
      <w:r>
        <w:rPr>
          <w:rFonts w:ascii="Times New Roman" w:hAnsi="Times New Roman" w:cs="Times New Roman" w:eastAsia="Times New Roman" w:hint="default"/>
        </w:rPr>
        <w:t>D</w:t>
      </w:r>
      <w:r>
        <w:rPr/>
        <w:t>、已计提减值准备的固定资产折旧计提方法：已计提减值准备的固定资产，按该项固定资产的原价扣除预计净残值、 已提折旧及减值准备后的金额和剩余使用寿命，计提折旧。</w:t>
      </w:r>
    </w:p>
    <w:p>
      <w:pPr>
        <w:pStyle w:val="BodyText"/>
        <w:spacing w:line="316" w:lineRule="auto" w:before="72"/>
        <w:ind w:right="111" w:firstLine="360"/>
        <w:jc w:val="both"/>
      </w:pPr>
      <w:r>
        <w:rPr/>
        <w:t>已达到预定可使用状态但尚未办理竣工决算的固定资产，按照估计价值确定其成本，并计提折旧；待办理竣工决算后， 再按实际成本调整原来的暂估价值，但不需要调整原已计提的折旧额。</w:t>
      </w:r>
    </w:p>
    <w:p>
      <w:pPr>
        <w:pStyle w:val="BodyText"/>
        <w:spacing w:line="316" w:lineRule="auto" w:before="57"/>
        <w:ind w:right="190" w:firstLine="360"/>
        <w:jc w:val="both"/>
      </w:pPr>
      <w:r>
        <w:rPr>
          <w:spacing w:val="-2"/>
        </w:rPr>
        <w:t>对固定资产的使用寿命、预计净残值和折旧方法的复核：本公司至少于每年年度终了时，对固定资产的使用寿命、预计</w:t>
      </w:r>
      <w:r>
        <w:rPr/>
        <w:t> </w:t>
      </w:r>
      <w:r>
        <w:rPr>
          <w:spacing w:val="-2"/>
        </w:rPr>
        <w:t>净残值和折旧方法进行复核，如果发现固定资产使用寿命预计数与原先估计数有差异的，调整固定资产使用寿命；预计净残</w:t>
      </w:r>
      <w:r>
        <w:rPr>
          <w:spacing w:val="-63"/>
        </w:rPr>
        <w:t> </w:t>
      </w:r>
      <w:r>
        <w:rPr>
          <w:spacing w:val="-63"/>
        </w:rPr>
      </w:r>
      <w:r>
        <w:rPr>
          <w:spacing w:val="-2"/>
        </w:rPr>
        <w:t>值的预计数与原先估计数有差异的，调整预计净残值；与固定资产有关的经济利益预期实现方式有重大改变的，改变固定资</w:t>
      </w:r>
      <w:r>
        <w:rPr>
          <w:spacing w:val="-66"/>
        </w:rPr>
        <w:t> </w:t>
      </w:r>
      <w:r>
        <w:rPr>
          <w:spacing w:val="-66"/>
        </w:rPr>
      </w:r>
      <w:r>
        <w:rPr/>
        <w:t>产折旧方法。固定资产使用寿命、预计净残值和折旧方法的改变作为会计估计变更处理。</w:t>
      </w:r>
    </w:p>
    <w:p>
      <w:pPr>
        <w:pStyle w:val="BodyText"/>
        <w:spacing w:line="340" w:lineRule="auto" w:before="59"/>
        <w:ind w:left="513" w:right="93"/>
        <w:jc w:val="left"/>
      </w:pPr>
      <w:r>
        <w:rPr>
          <w:rFonts w:ascii="Times New Roman" w:hAnsi="Times New Roman" w:cs="Times New Roman" w:eastAsia="Times New Roman" w:hint="default"/>
        </w:rPr>
        <w:t>E</w:t>
      </w:r>
      <w:r>
        <w:rPr/>
        <w:t>、固定资产后续支出的处理 </w:t>
      </w:r>
      <w:r>
        <w:rPr>
          <w:spacing w:val="-2"/>
        </w:rPr>
        <w:t>固定资产后续支出指固定资产在使用过程中发生的主要包括修理支出、更新改造支出、修理费用、装修支出等。其会计</w:t>
      </w:r>
    </w:p>
    <w:p>
      <w:pPr>
        <w:pStyle w:val="BodyText"/>
        <w:spacing w:line="312" w:lineRule="auto" w:before="1"/>
        <w:ind w:right="190"/>
        <w:jc w:val="both"/>
      </w:pPr>
      <w:r>
        <w:rPr>
          <w:spacing w:val="-2"/>
        </w:rPr>
        <w:t>处理方法为：固定资产的更新改造等后续支出，满足固定资产确认条件的，计入固定资产成本，如有被替换的部分，应扣除</w:t>
      </w:r>
      <w:r>
        <w:rPr>
          <w:spacing w:val="-67"/>
        </w:rPr>
        <w:t> </w:t>
      </w:r>
      <w:r>
        <w:rPr>
          <w:spacing w:val="-67"/>
        </w:rPr>
      </w:r>
      <w:r>
        <w:rPr>
          <w:spacing w:val="-2"/>
        </w:rPr>
        <w:t>其账面价值；不满足固定资产确认条件的固定资产修理费用等，在发生时计入当期损益；固定资产装修费用，在满足固定资</w:t>
      </w:r>
      <w:r>
        <w:rPr>
          <w:spacing w:val="-64"/>
        </w:rPr>
        <w:t> </w:t>
      </w:r>
      <w:r>
        <w:rPr>
          <w:spacing w:val="-64"/>
        </w:rPr>
      </w:r>
      <w:r>
        <w:rPr>
          <w:spacing w:val="-2"/>
        </w:rPr>
        <w:t>产确认条件时，在</w:t>
      </w:r>
      <w:r>
        <w:rPr>
          <w:rFonts w:ascii="Times New Roman" w:hAnsi="Times New Roman" w:cs="Times New Roman" w:eastAsia="Times New Roman" w:hint="default"/>
          <w:spacing w:val="-2"/>
        </w:rPr>
        <w:t>“</w:t>
      </w:r>
      <w:r>
        <w:rPr>
          <w:spacing w:val="-2"/>
        </w:rPr>
        <w:t>固定资产</w:t>
      </w:r>
      <w:r>
        <w:rPr>
          <w:rFonts w:ascii="Times New Roman" w:hAnsi="Times New Roman" w:cs="Times New Roman" w:eastAsia="Times New Roman" w:hint="default"/>
          <w:spacing w:val="-2"/>
        </w:rPr>
        <w:t>”</w:t>
      </w:r>
      <w:r>
        <w:rPr>
          <w:spacing w:val="-2"/>
        </w:rPr>
        <w:t>内单设明细科目核算，并在两次装修期间与固定资产尚可使用年限两者中较短的期间内，采用</w:t>
      </w:r>
      <w:r>
        <w:rPr>
          <w:spacing w:val="-47"/>
        </w:rPr>
        <w:t> </w:t>
      </w:r>
      <w:r>
        <w:rPr>
          <w:spacing w:val="-47"/>
        </w:rPr>
      </w:r>
      <w:r>
        <w:rPr/>
        <w:t>年限平均法单独计提折旧。</w:t>
      </w:r>
    </w:p>
    <w:p>
      <w:pPr>
        <w:pStyle w:val="BodyText"/>
        <w:spacing w:line="240" w:lineRule="auto" w:before="61"/>
        <w:ind w:left="513" w:right="93"/>
        <w:jc w:val="left"/>
      </w:pPr>
      <w:r>
        <w:rPr/>
        <w:t>以经营租赁方式租入的固定资产发生的改良支出予以资本化，作为长期待摊费用，合理进行摊销。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2.25-4.75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7.50-9.50</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675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3"/>
        <w:jc w:val="left"/>
      </w:pPr>
      <w:r>
        <w:rPr/>
        <w:t>公司是否需要遵守特殊行业的披露要求 否</w:t>
      </w:r>
    </w:p>
    <w:p>
      <w:pPr>
        <w:spacing w:line="240" w:lineRule="auto" w:before="6"/>
        <w:rPr>
          <w:rFonts w:ascii="宋体" w:hAnsi="宋体" w:cs="宋体" w:eastAsia="宋体" w:hint="default"/>
          <w:sz w:val="20"/>
          <w:szCs w:val="20"/>
        </w:rPr>
      </w:pPr>
    </w:p>
    <w:p>
      <w:pPr>
        <w:pStyle w:val="Heading3"/>
        <w:spacing w:line="240" w:lineRule="auto"/>
        <w:ind w:right="6753"/>
        <w:jc w:val="left"/>
        <w:rPr>
          <w:b w:val="0"/>
          <w:bCs w:val="0"/>
        </w:rPr>
      </w:pPr>
      <w:r>
        <w:rPr>
          <w:rFonts w:ascii="Times New Roman" w:hAnsi="Times New Roman" w:cs="Times New Roman" w:eastAsia="Times New Roman" w:hint="default"/>
        </w:rPr>
        <w:t>17.1 </w:t>
      </w:r>
      <w:r>
        <w:rPr>
          <w:rFonts w:ascii="Times New Roman" w:hAnsi="Times New Roman" w:cs="Times New Roman" w:eastAsia="Times New Roman" w:hint="default"/>
          <w:spacing w:val="2"/>
        </w:rPr>
        <w:t> </w:t>
      </w:r>
      <w:r>
        <w:rPr/>
        <w:t>在建工程计价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73" w:right="93"/>
        <w:jc w:val="left"/>
      </w:pPr>
      <w:r>
        <w:rPr/>
        <w:t>本公司的在建工程按工程项目分别核算。</w:t>
      </w:r>
      <w:r>
        <w:rPr>
          <w:rFonts w:ascii="宋体" w:hAnsi="宋体" w:cs="宋体" w:eastAsia="宋体" w:hint="default"/>
        </w:rPr>
        <w:t> </w:t>
      </w:r>
      <w:r>
        <w:rPr/>
        <w:t>本公司的在建工程成本按实际工程支出确定，包括在建期间发生的各项工程支出、工程达到预定可使用状态前的资本</w:t>
      </w:r>
    </w:p>
    <w:p>
      <w:pPr>
        <w:pStyle w:val="BodyText"/>
        <w:spacing w:line="240" w:lineRule="auto" w:before="19"/>
        <w:ind w:right="6753"/>
        <w:jc w:val="left"/>
        <w:rPr>
          <w:rFonts w:ascii="宋体" w:hAnsi="宋体" w:cs="宋体" w:eastAsia="宋体" w:hint="default"/>
        </w:rPr>
      </w:pPr>
      <w:r>
        <w:rPr/>
        <w:t>化的借款费用以及其他相关费用等。</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17.2 </w:t>
      </w:r>
      <w:r>
        <w:rPr>
          <w:rFonts w:ascii="Times New Roman" w:hAnsi="Times New Roman" w:cs="Times New Roman" w:eastAsia="Times New Roman" w:hint="default"/>
          <w:spacing w:val="2"/>
        </w:rPr>
        <w:t> </w:t>
      </w:r>
      <w:r>
        <w:rPr/>
        <w:t>在建工程结转为固定资产的时点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在建工程达到预定可使用状态时，按工程实际成本转入固定资产。对已达到预定可使用状态但尚未办理竣工决算手续 的固定资产，按估计价值记账，待确定实际价值后，再进行调整。</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18"/>
          <w:pgSz w:w="11910" w:h="16840"/>
          <w:pgMar w:footer="979" w:header="745"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18.1 </w:t>
      </w:r>
      <w:r>
        <w:rPr>
          <w:rFonts w:ascii="Times New Roman" w:hAnsi="Times New Roman" w:cs="Times New Roman" w:eastAsia="Times New Roman" w:hint="default"/>
          <w:spacing w:val="2"/>
        </w:rPr>
        <w:t> </w:t>
      </w:r>
      <w:r>
        <w:rPr/>
        <w:t>借款费用资本化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18.2 </w:t>
      </w:r>
      <w:r>
        <w:rPr>
          <w:rFonts w:ascii="Times New Roman" w:hAnsi="Times New Roman" w:cs="Times New Roman" w:eastAsia="Times New Roman" w:hint="default"/>
          <w:spacing w:val="1"/>
        </w:rPr>
        <w:t> </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借款费用同时满足下列条件的，才能开始资本化：</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1</w:t>
      </w:r>
      <w:r>
        <w:rPr/>
        <w:t>）资产支出已经发生。</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spacing w:val="1"/>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18.3 </w:t>
      </w:r>
      <w:r>
        <w:rPr>
          <w:rFonts w:ascii="Times New Roman" w:hAnsi="Times New Roman" w:cs="Times New Roman" w:eastAsia="Times New Roman" w:hint="default"/>
          <w:spacing w:val="3"/>
        </w:rPr>
        <w:t> </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0"/>
        <w:jc w:val="left"/>
      </w:pPr>
      <w:r>
        <w:rPr/>
        <w:t>资本化期间，是指从借款费用开始资本化时点到停止资本化时点的期间，借款费用暂停资本化的期间不包括在内。</w:t>
      </w:r>
      <w:r>
        <w:rPr>
          <w:rFonts w:ascii="宋体" w:hAnsi="宋体" w:cs="宋体" w:eastAsia="宋体" w:hint="default"/>
        </w:rPr>
        <w:t> </w:t>
      </w:r>
      <w:r>
        <w:rPr>
          <w:spacing w:val="-3"/>
        </w:rPr>
        <w:t>符合资本化条件的资产在购建或者生产过程中发生非正常中断、且中断时间连续超过</w:t>
      </w:r>
      <w:r>
        <w:rPr>
          <w:rFonts w:ascii="宋体" w:hAnsi="宋体" w:cs="宋体" w:eastAsia="宋体" w:hint="default"/>
          <w:spacing w:val="-3"/>
        </w:rPr>
        <w:t>3</w:t>
      </w:r>
      <w:r>
        <w:rPr>
          <w:spacing w:val="-3"/>
        </w:rPr>
        <w:t>个月的，暂停借款费用的资本化。</w:t>
      </w:r>
    </w:p>
    <w:p>
      <w:pPr>
        <w:pStyle w:val="BodyText"/>
        <w:spacing w:line="316" w:lineRule="auto" w:before="19"/>
        <w:ind w:right="0"/>
        <w:jc w:val="left"/>
        <w:rPr>
          <w:rFonts w:ascii="宋体" w:hAnsi="宋体" w:cs="宋体" w:eastAsia="宋体" w:hint="default"/>
        </w:rPr>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产的符合资本化条件的资产达到预定可使用或者可销售状态必要的程序，借款费用的资本化继续进行。</w:t>
      </w:r>
      <w:r>
        <w:rPr>
          <w:rFonts w:ascii="宋体" w:hAnsi="宋体" w:cs="宋体" w:eastAsia="宋体" w:hint="default"/>
        </w:rPr>
        <w:t> </w:t>
      </w:r>
    </w:p>
    <w:p>
      <w:pPr>
        <w:pStyle w:val="BodyText"/>
        <w:spacing w:line="316" w:lineRule="auto" w:before="19"/>
        <w:ind w:right="0" w:firstLine="420"/>
        <w:jc w:val="left"/>
        <w:rPr>
          <w:rFonts w:ascii="宋体" w:hAnsi="宋体" w:cs="宋体" w:eastAsia="宋体" w:hint="default"/>
        </w:rPr>
      </w:pPr>
      <w:r>
        <w:rPr/>
        <w:t>购建或者生产符合资本化条件的资产达到预定可使用或者可销售状态时，借款费用停止资本化。在符合资本化条件的 资产达到预定可使用或者可销售状态之后所发生的借款费用，在发生时计入当期损益。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18.4 </w:t>
      </w:r>
      <w:r>
        <w:rPr>
          <w:rFonts w:ascii="Times New Roman" w:hAnsi="Times New Roman" w:cs="Times New Roman" w:eastAsia="Times New Roman" w:hint="default"/>
          <w:spacing w:val="2"/>
        </w:rPr>
        <w:t> </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在资本化期间内，每一会计期间的利息（包括折价或溢价的摊销）资本化金额，按照下列规定确定：</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7"/>
        <w:ind w:right="275"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）为购建或者生产符合资本化条件的资产而借入专门借款的，以专门借款当期实际发生的利息费用，减去将尚未动</w:t>
      </w:r>
      <w:r>
        <w:rPr/>
        <w:t> 用的借款资金存入银行取得的利息收入或进行暂时性投资取得的投资收益后的金额确定。</w:t>
      </w:r>
      <w:r>
        <w:rPr>
          <w:rFonts w:ascii="宋体" w:hAnsi="宋体" w:cs="宋体" w:eastAsia="宋体" w:hint="default"/>
        </w:rPr>
        <w:t> </w:t>
      </w:r>
    </w:p>
    <w:p>
      <w:pPr>
        <w:pStyle w:val="BodyText"/>
        <w:spacing w:line="316" w:lineRule="auto" w:before="19"/>
        <w:ind w:right="292"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）为购建或者生产符合资本化条件的资产而占用了一般借款的，本公司根据累计资产支出超过专门借款部分的资产</w:t>
      </w:r>
      <w:r>
        <w:rPr/>
        <w:t> </w:t>
      </w:r>
      <w:r>
        <w:rPr>
          <w:spacing w:val="-2"/>
        </w:rPr>
        <w:t>支出加权平均数乘以所占用一般借款的资本化率，计算确定一般借款应予资本化的利息金额。资本化率根据一般借款加权平</w:t>
      </w:r>
      <w:r>
        <w:rPr>
          <w:spacing w:val="-64"/>
        </w:rPr>
        <w:t> </w:t>
      </w:r>
      <w:r>
        <w:rPr>
          <w:spacing w:val="-64"/>
        </w:rPr>
      </w:r>
      <w:r>
        <w:rPr/>
        <w:t>均利率计算确定。</w:t>
      </w:r>
      <w:r>
        <w:rPr>
          <w:rFonts w:ascii="宋体" w:hAnsi="宋体" w:cs="宋体" w:eastAsia="宋体" w:hint="default"/>
        </w:rPr>
        <w:t> </w:t>
      </w:r>
    </w:p>
    <w:p>
      <w:pPr>
        <w:pStyle w:val="BodyText"/>
        <w:spacing w:line="316" w:lineRule="auto" w:before="19"/>
        <w:ind w:right="0" w:firstLine="420"/>
        <w:jc w:val="left"/>
        <w:rPr>
          <w:rFonts w:ascii="宋体" w:hAnsi="宋体" w:cs="宋体" w:eastAsia="宋体" w:hint="default"/>
        </w:rPr>
      </w:pPr>
      <w:r>
        <w:rPr/>
        <w:t>借款存在折价或者溢价的，按照实际利率法确定每一会计期间应摊销的折价或者溢价金额，调整每期利息金额。在资 本化期间内，每一会计期间的利息资本化金额，不超过当期相关借款实际发生的利息金额。</w:t>
      </w:r>
      <w:r>
        <w:rPr>
          <w:rFonts w:ascii="宋体" w:hAnsi="宋体" w:cs="宋体" w:eastAsia="宋体" w:hint="default"/>
        </w:rPr>
        <w:t> </w:t>
      </w:r>
    </w:p>
    <w:p>
      <w:pPr>
        <w:pStyle w:val="BodyText"/>
        <w:spacing w:line="316" w:lineRule="auto" w:before="19"/>
        <w:ind w:right="290" w:firstLine="420"/>
        <w:jc w:val="both"/>
        <w:rPr>
          <w:rFonts w:ascii="宋体" w:hAnsi="宋体" w:cs="宋体" w:eastAsia="宋体" w:hint="default"/>
        </w:rPr>
      </w:pPr>
      <w:r>
        <w:rPr/>
        <w:t>专门借款发生的辅助费用，在所购建或者生产的符合资本化条件的资产达到预定可使用或者可销售状态之前发生的， </w:t>
      </w:r>
      <w:r>
        <w:rPr>
          <w:spacing w:val="-2"/>
        </w:rPr>
        <w:t>在发生时根据其发生额予以资本化，计入符合资本化条件的资产的成本；在所购建或者生产的符合资本化条件的资产达到预</w:t>
      </w:r>
      <w:r>
        <w:rPr>
          <w:spacing w:val="-64"/>
        </w:rPr>
        <w:t> </w:t>
      </w:r>
      <w:r>
        <w:rPr>
          <w:spacing w:val="-64"/>
        </w:rPr>
      </w:r>
      <w:r>
        <w:rPr>
          <w:spacing w:val="-2"/>
        </w:rPr>
        <w:t>定可使用或者可销售状态之后发生的，在发生时根据其发生额确认为费用，计入当期损益。一般借款发生的辅助费用，在发</w:t>
      </w:r>
      <w:r>
        <w:rPr>
          <w:spacing w:val="-64"/>
        </w:rPr>
        <w:t> </w:t>
      </w:r>
      <w:r>
        <w:rPr>
          <w:spacing w:val="-64"/>
        </w:rPr>
      </w:r>
      <w:r>
        <w:rPr/>
        <w:t>生时根据其发生额确认为费用，计入当期损益。</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A</w:t>
      </w:r>
      <w:r>
        <w:rPr/>
        <w:t>、无形资产的确认标准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无形资产是指本公司拥有或者控制的没有实物形态的可辨认非货币性资产</w:t>
      </w:r>
      <w:r>
        <w:rPr>
          <w:spacing w:val="-53"/>
        </w:rPr>
        <w:t>。</w:t>
      </w:r>
      <w:r>
        <w:rPr/>
        <w:t>在同时满足下列条件时才能确认无形资产</w:t>
      </w:r>
      <w:r>
        <w:rPr>
          <w:spacing w:val="-87"/>
        </w:rPr>
        <w:t>：</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hAnsi="宋体" w:cs="宋体" w:eastAsia="宋体" w:hint="default"/>
          <w:spacing w:val="1"/>
        </w:rPr>
        <w:t> </w:t>
      </w:r>
      <w:r>
        <w:rPr/>
        <w:t>符合无形资产的定义。</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hAnsi="宋体" w:cs="宋体" w:eastAsia="宋体" w:hint="default"/>
          <w:spacing w:val="1"/>
        </w:rPr>
        <w:t> </w:t>
      </w:r>
      <w:r>
        <w:rPr/>
        <w:t>与该资产相关的预计未来经济利益很可能流入公司。</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rFonts w:ascii="宋体" w:hAnsi="宋体" w:cs="宋体" w:eastAsia="宋体" w:hint="default"/>
          <w:spacing w:val="1"/>
        </w:rPr>
        <w:t> </w:t>
      </w:r>
      <w:r>
        <w:rPr/>
        <w:t>该资产的成本能够可靠计量。</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9"/>
          <w:pgSz w:w="11910" w:h="16840"/>
          <w:pgMar w:footer="979" w:header="745" w:top="1060" w:bottom="1160" w:left="980" w:right="84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B</w:t>
      </w:r>
      <w:r>
        <w:rPr/>
        <w:t>、无形资产的初始计量</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73" w:right="0"/>
        <w:jc w:val="left"/>
      </w:pPr>
      <w:r>
        <w:rPr/>
        <w:t>无形资产按照成本进行初始计量。实际成本按以下原则确定：</w:t>
      </w:r>
      <w:r>
        <w:rPr>
          <w:rFonts w:ascii="宋体" w:hAnsi="宋体" w:cs="宋体" w:eastAsia="宋体" w:hint="default"/>
        </w:rPr>
        <w:t> </w:t>
      </w:r>
      <w:r>
        <w:rPr/>
        <w:t>外购无形资产的成本，包括购买价款、相关税费以及直接归属于使该项资产达到预定用途所发生的其他支出。购买无</w:t>
      </w:r>
    </w:p>
    <w:p>
      <w:pPr>
        <w:pStyle w:val="BodyText"/>
        <w:spacing w:line="316" w:lineRule="auto" w:before="19"/>
        <w:ind w:right="149"/>
        <w:jc w:val="both"/>
        <w:rPr>
          <w:rFonts w:ascii="宋体" w:hAnsi="宋体" w:cs="宋体" w:eastAsia="宋体" w:hint="default"/>
        </w:rPr>
      </w:pPr>
      <w:r>
        <w:rPr>
          <w:spacing w:val="-2"/>
        </w:rPr>
        <w:t>形资产的价款超过正常信用条件延期支付，实质上具有融资性质的，无形资产的成本以购买价款的现值为基础确定。实际支</w:t>
      </w:r>
      <w:r>
        <w:rPr>
          <w:spacing w:val="-63"/>
        </w:rPr>
        <w:t> </w:t>
      </w:r>
      <w:r>
        <w:rPr>
          <w:spacing w:val="-63"/>
        </w:rPr>
      </w:r>
      <w:r>
        <w:rPr>
          <w:spacing w:val="-2"/>
        </w:rPr>
        <w:t>付的价款与购买价款的现值之间的差额，除按照《企业会计准则第</w:t>
      </w:r>
      <w:r>
        <w:rPr>
          <w:rFonts w:ascii="宋体" w:hAnsi="宋体" w:cs="宋体" w:eastAsia="宋体" w:hint="default"/>
          <w:spacing w:val="-2"/>
        </w:rPr>
        <w:t>17</w:t>
      </w:r>
      <w:r>
        <w:rPr>
          <w:spacing w:val="-2"/>
        </w:rPr>
        <w:t>号——借款费用》可予以资本化的以外，在信用期间内</w:t>
      </w:r>
      <w:r>
        <w:rPr>
          <w:spacing w:val="-61"/>
        </w:rPr>
        <w:t> </w:t>
      </w:r>
      <w:r>
        <w:rPr>
          <w:spacing w:val="-61"/>
        </w:rPr>
      </w:r>
      <w:r>
        <w:rPr/>
        <w:t>计入当期损益。</w:t>
      </w:r>
      <w:r>
        <w:rPr>
          <w:rFonts w:ascii="宋体" w:hAnsi="宋体" w:cs="宋体" w:eastAsia="宋体" w:hint="default"/>
        </w:rPr>
        <w:t> </w:t>
      </w:r>
    </w:p>
    <w:p>
      <w:pPr>
        <w:pStyle w:val="BodyText"/>
        <w:spacing w:line="316" w:lineRule="auto" w:before="19"/>
        <w:ind w:left="573" w:right="0"/>
        <w:jc w:val="left"/>
      </w:pPr>
      <w:r>
        <w:rPr/>
        <w:t>投资者投入无形资产的成本，按照投资合同或协议约定的价值确定，但合同或协议约定价值不公允的除外。</w:t>
      </w:r>
      <w:r>
        <w:rPr>
          <w:rFonts w:ascii="宋体" w:hAnsi="宋体" w:cs="宋体" w:eastAsia="宋体" w:hint="default"/>
        </w:rPr>
        <w:t> </w:t>
      </w:r>
      <w:r>
        <w:rPr/>
        <w:t>自行开发的无形资产</w:t>
      </w:r>
      <w:r>
        <w:rPr>
          <w:rFonts w:ascii="宋体" w:hAnsi="宋体" w:cs="宋体" w:eastAsia="宋体" w:hint="default"/>
        </w:rPr>
        <w:t> </w:t>
      </w:r>
      <w:r>
        <w:rPr/>
        <w:t>本公司内部研究开发项目的支出，区分研究阶段支出与开发阶段支出。内部研究开发项目研究阶段的支出，于发生时</w:t>
      </w:r>
    </w:p>
    <w:p>
      <w:pPr>
        <w:pStyle w:val="BodyText"/>
        <w:spacing w:line="319" w:lineRule="auto" w:before="19"/>
        <w:ind w:left="573" w:right="1133" w:hanging="420"/>
        <w:jc w:val="left"/>
        <w:rPr>
          <w:rFonts w:ascii="宋体" w:hAnsi="宋体" w:cs="宋体" w:eastAsia="宋体" w:hint="default"/>
        </w:rPr>
      </w:pPr>
      <w:r>
        <w:rPr/>
        <w:t>计入当期损益。内部研究开发项目开发阶段的支出，同时满足下列条件的，确认为无形资产：</w:t>
      </w:r>
      <w:r>
        <w:rPr>
          <w:rFonts w:ascii="宋体" w:hAnsi="宋体" w:cs="宋体" w:eastAsia="宋体" w:hint="default"/>
        </w:rPr>
        <w:t> </w:t>
      </w:r>
      <w:r>
        <w:rPr/>
        <w:t>完成该无形资产以使其能够使用或出售在技术上具有可行性。</w:t>
      </w:r>
      <w:r>
        <w:rPr>
          <w:rFonts w:ascii="宋体" w:hAnsi="宋体" w:cs="宋体" w:eastAsia="宋体" w:hint="default"/>
        </w:rPr>
        <w:t> </w:t>
      </w:r>
      <w:r>
        <w:rPr/>
        <w:t>具有完成该无形资产并使用或出售的意图。</w:t>
      </w:r>
      <w:r>
        <w:rPr>
          <w:rFonts w:ascii="宋体" w:hAnsi="宋体" w:cs="宋体" w:eastAsia="宋体" w:hint="default"/>
        </w:rPr>
        <w:t> </w:t>
      </w:r>
    </w:p>
    <w:p>
      <w:pPr>
        <w:pStyle w:val="BodyText"/>
        <w:spacing w:line="316" w:lineRule="auto" w:before="17"/>
        <w:ind w:right="158" w:firstLine="420"/>
        <w:jc w:val="both"/>
        <w:rPr>
          <w:rFonts w:ascii="宋体" w:hAnsi="宋体" w:cs="宋体" w:eastAsia="宋体" w:hint="default"/>
        </w:rPr>
      </w:pPr>
      <w:r>
        <w:rPr/>
        <w:t>无形资产产生经济利益的方式，包括能够证明运用该无形资产生产的产品存在市场或无形资产自身存在市场，无形资 产将在内部使用的，证明其有用性。</w:t>
      </w:r>
      <w:r>
        <w:rPr>
          <w:rFonts w:ascii="宋体" w:hAnsi="宋体" w:cs="宋体" w:eastAsia="宋体" w:hint="default"/>
        </w:rPr>
        <w:t> </w:t>
      </w:r>
    </w:p>
    <w:p>
      <w:pPr>
        <w:pStyle w:val="BodyText"/>
        <w:spacing w:line="316" w:lineRule="auto" w:before="19"/>
        <w:ind w:left="573" w:right="0"/>
        <w:jc w:val="left"/>
      </w:pPr>
      <w:r>
        <w:rPr/>
        <w:t>有足够的技术、财务资源和其他资源支持，以完成该无形资产的开发，并有能力使用或出售该无形资产。</w:t>
      </w:r>
      <w:r>
        <w:rPr>
          <w:rFonts w:ascii="宋体" w:hAnsi="宋体" w:cs="宋体" w:eastAsia="宋体" w:hint="default"/>
        </w:rPr>
        <w:t> </w:t>
      </w:r>
      <w:r>
        <w:rPr/>
        <w:t>归属于该无形资产开发阶段的支出能够可靠地计量。</w:t>
      </w:r>
      <w:r>
        <w:rPr>
          <w:rFonts w:ascii="宋体" w:hAnsi="宋体" w:cs="宋体" w:eastAsia="宋体" w:hint="default"/>
        </w:rPr>
        <w:t> </w:t>
      </w:r>
      <w:r>
        <w:rPr/>
        <w:t>自行开发的无形资产，其成本包括自满足无形资产确认规定后至达到预定用途前所发生的支出总额。以前期间已经费</w:t>
      </w:r>
    </w:p>
    <w:p>
      <w:pPr>
        <w:pStyle w:val="BodyText"/>
        <w:spacing w:line="316" w:lineRule="auto" w:before="19"/>
        <w:ind w:left="573" w:right="135" w:hanging="420"/>
        <w:jc w:val="left"/>
      </w:pPr>
      <w:r>
        <w:rPr/>
        <w:t>用化的支出不再调整。</w:t>
      </w:r>
      <w:r>
        <w:rPr>
          <w:rFonts w:ascii="宋体" w:hAnsi="宋体" w:cs="宋体" w:eastAsia="宋体" w:hint="default"/>
        </w:rPr>
        <w:t> </w:t>
      </w:r>
      <w:r>
        <w:rPr>
          <w:spacing w:val="-1"/>
        </w:rPr>
        <w:t>非货币性资产交换、债务重组、政府补助和企业合并取得的无形资产的成本，分别按照《企业会计准则第</w:t>
      </w:r>
      <w:r>
        <w:rPr>
          <w:rFonts w:ascii="宋体" w:hAnsi="宋体" w:cs="宋体" w:eastAsia="宋体" w:hint="default"/>
          <w:spacing w:val="-1"/>
        </w:rPr>
        <w:t>7</w:t>
      </w:r>
      <w:r>
        <w:rPr>
          <w:spacing w:val="-1"/>
        </w:rPr>
        <w:t>号——非货</w:t>
      </w:r>
    </w:p>
    <w:p>
      <w:pPr>
        <w:pStyle w:val="BodyText"/>
        <w:spacing w:line="316" w:lineRule="auto" w:before="19"/>
        <w:ind w:right="150"/>
        <w:jc w:val="both"/>
        <w:rPr>
          <w:rFonts w:ascii="宋体" w:hAnsi="宋体" w:cs="宋体" w:eastAsia="宋体" w:hint="default"/>
        </w:rPr>
      </w:pPr>
      <w:r>
        <w:rPr/>
        <w:t>币性资产交换》、《企业会计准则第</w:t>
      </w:r>
      <w:r>
        <w:rPr>
          <w:rFonts w:ascii="宋体" w:hAnsi="宋体" w:cs="宋体" w:eastAsia="宋体" w:hint="default"/>
        </w:rPr>
        <w:t>12</w:t>
      </w:r>
      <w:r>
        <w:rPr/>
        <w:t>号——债务重组》、《企业会计准则第</w:t>
      </w:r>
      <w:r>
        <w:rPr>
          <w:rFonts w:ascii="宋体" w:hAnsi="宋体" w:cs="宋体" w:eastAsia="宋体" w:hint="default"/>
        </w:rPr>
        <w:t>16</w:t>
      </w:r>
      <w:r>
        <w:rPr/>
        <w:t>号——政府补助》、《企业会计准则第</w:t>
      </w:r>
      <w:r>
        <w:rPr>
          <w:rFonts w:ascii="宋体" w:hAnsi="宋体" w:cs="宋体" w:eastAsia="宋体" w:hint="default"/>
        </w:rPr>
        <w:t>20</w:t>
      </w:r>
      <w:r>
        <w:rPr>
          <w:rFonts w:ascii="宋体" w:hAnsi="宋体" w:cs="宋体" w:eastAsia="宋体" w:hint="default"/>
          <w:spacing w:val="-6"/>
        </w:rPr>
        <w:t> </w:t>
      </w:r>
      <w:r>
        <w:rPr/>
        <w:t>号——企业合并》的有关规定确定。</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C</w:t>
      </w:r>
      <w:r>
        <w:rPr/>
        <w:t>、无形资产的后续计量</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8" w:firstLine="420"/>
        <w:jc w:val="both"/>
        <w:rPr>
          <w:rFonts w:ascii="宋体" w:hAnsi="宋体" w:cs="宋体" w:eastAsia="宋体" w:hint="default"/>
        </w:rPr>
      </w:pPr>
      <w:r>
        <w:rPr/>
        <w:t>本公司于取得无形资产时分析判断其使用寿命。无形资产的使用寿命为有限的，估计该使用寿命的年限或者构成使用 寿命的产量等类似计量单位数量；无法预见无形资产为本公司带来经济利益期限的，视为使用寿命不确定的无形资产。</w:t>
      </w:r>
      <w:r>
        <w:rPr>
          <w:rFonts w:ascii="宋体" w:hAnsi="宋体" w:cs="宋体" w:eastAsia="宋体" w:hint="default"/>
        </w:rPr>
        <w:t> </w:t>
      </w:r>
    </w:p>
    <w:p>
      <w:pPr>
        <w:pStyle w:val="BodyText"/>
        <w:spacing w:line="316" w:lineRule="auto" w:before="19"/>
        <w:ind w:right="148" w:firstLine="420"/>
        <w:jc w:val="both"/>
        <w:rPr>
          <w:rFonts w:ascii="宋体" w:hAnsi="宋体" w:cs="宋体" w:eastAsia="宋体" w:hint="default"/>
        </w:rPr>
      </w:pPr>
      <w:r>
        <w:rPr/>
        <w:t>使用寿命有限的无形资产，其应摊销金额在使用寿命内系统合理摊销。本公司采用直线法摊销。</w:t>
      </w:r>
      <w:r>
        <w:rPr>
          <w:spacing w:val="-45"/>
        </w:rPr>
        <w:t> </w:t>
      </w:r>
      <w:r>
        <w:rPr>
          <w:rFonts w:ascii="宋体" w:hAnsi="宋体" w:cs="宋体" w:eastAsia="宋体" w:hint="default"/>
          <w:spacing w:val="-45"/>
        </w:rPr>
      </w:r>
      <w:r>
        <w:rPr/>
        <w:t>无形资产的应摊销金 </w:t>
      </w:r>
      <w:r>
        <w:rPr>
          <w:spacing w:val="-2"/>
        </w:rPr>
        <w:t>额为其成本扣除预计残值后的金额。已计提减值准备的无形资产，还应扣除已计提的无形资产减值准备累计金额。无形资产</w:t>
      </w:r>
      <w:r>
        <w:rPr>
          <w:spacing w:val="-63"/>
        </w:rPr>
        <w:t> </w:t>
      </w:r>
      <w:r>
        <w:rPr>
          <w:spacing w:val="-63"/>
        </w:rPr>
      </w:r>
      <w:r>
        <w:rPr/>
        <w:t>的摊销金额计入当期损益，使用寿命不确定的无形资产不摊销，期末进行减值测试。</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506" w:lineRule="auto"/>
        <w:ind w:right="6731"/>
        <w:jc w:val="left"/>
        <w:rPr>
          <w:b w:val="0"/>
          <w:bCs w:val="0"/>
        </w:rPr>
      </w:pPr>
      <w:r>
        <w:rPr>
          <w:spacing w:val="-1"/>
        </w:rPr>
        <w:t>（</w:t>
      </w:r>
      <w:r>
        <w:rPr>
          <w:rFonts w:ascii="Times New Roman" w:hAnsi="Times New Roman" w:cs="Times New Roman" w:eastAsia="Times New Roman" w:hint="default"/>
          <w:spacing w:val="-1"/>
        </w:rPr>
        <w:t>2</w:t>
      </w:r>
      <w:r>
        <w:rPr>
          <w:spacing w:val="-1"/>
        </w:rPr>
        <w:t>）内部研究开发支出会计政策</w:t>
      </w:r>
      <w:r>
        <w:rPr>
          <w:spacing w:val="-92"/>
        </w:rPr>
        <w:t> </w:t>
      </w:r>
      <w:r>
        <w:rPr>
          <w:spacing w:val="-92"/>
        </w:rPr>
      </w:r>
      <w:r>
        <w:rPr/>
        <w:t>研究开发支出</w:t>
      </w:r>
      <w:r>
        <w:rPr>
          <w:b w:val="0"/>
          <w:bCs w:val="0"/>
        </w:rPr>
      </w:r>
    </w:p>
    <w:p>
      <w:pPr>
        <w:pStyle w:val="BodyText"/>
        <w:spacing w:line="316" w:lineRule="auto" w:before="125"/>
        <w:ind w:left="573" w:right="138"/>
        <w:jc w:val="left"/>
      </w:pPr>
      <w:r>
        <w:rPr/>
        <w:t>本公司将内部研究开发项目的支出，区分为研究阶段支出和开发阶段支出。</w:t>
      </w:r>
      <w:r>
        <w:rPr>
          <w:rFonts w:ascii="宋体" w:hAnsi="宋体" w:cs="宋体" w:eastAsia="宋体" w:hint="default"/>
        </w:rPr>
        <w:t> </w:t>
      </w:r>
      <w:r>
        <w:rPr/>
        <w:t>研究阶段的支出，于发生时计入当期损益。</w:t>
      </w:r>
      <w:r>
        <w:rPr>
          <w:rFonts w:ascii="宋体" w:hAnsi="宋体" w:cs="宋体" w:eastAsia="宋体" w:hint="default"/>
        </w:rPr>
        <w:t> </w:t>
      </w:r>
      <w:r>
        <w:rPr/>
        <w:t>开发阶段的支出，同时满足下列条件的，才能予以资本化，即：完成该无形资产以使其能够使用或出售在技术上具有</w:t>
      </w:r>
    </w:p>
    <w:p>
      <w:pPr>
        <w:pStyle w:val="BodyText"/>
        <w:spacing w:line="316" w:lineRule="auto" w:before="19"/>
        <w:ind w:right="150"/>
        <w:jc w:val="both"/>
        <w:rPr>
          <w:rFonts w:ascii="宋体" w:hAnsi="宋体" w:cs="宋体" w:eastAsia="宋体" w:hint="default"/>
        </w:rPr>
      </w:pPr>
      <w:r>
        <w:rPr>
          <w:spacing w:val="-2"/>
        </w:rPr>
        <w:t>可行性；具有完成该无形资产并使用或出售的意图；无形资产产生经济利益的方式，包括能够证明运用该无形资产生产的产</w:t>
      </w:r>
      <w:r>
        <w:rPr>
          <w:spacing w:val="-63"/>
        </w:rPr>
        <w:t> </w:t>
      </w:r>
      <w:r>
        <w:rPr>
          <w:spacing w:val="-63"/>
        </w:rPr>
      </w:r>
      <w:r>
        <w:rPr>
          <w:spacing w:val="-2"/>
        </w:rPr>
        <w:t>品存在市场或无形资产自身存在市场，无形资产将在内部使用的，能够证明其有用性；有足够的技术、财务资源和其他资源</w:t>
      </w:r>
      <w:r>
        <w:rPr>
          <w:spacing w:val="-64"/>
        </w:rPr>
        <w:t> </w:t>
      </w:r>
      <w:r>
        <w:rPr>
          <w:spacing w:val="-64"/>
        </w:rPr>
      </w:r>
      <w:r>
        <w:rPr>
          <w:spacing w:val="-2"/>
        </w:rPr>
        <w:t>支持，以完成该无形资产的开发，并有能力使用或出售该无形资产；归属于该无形资产开发阶段的支出能够可靠地计量。不</w:t>
      </w:r>
      <w:r>
        <w:rPr>
          <w:spacing w:val="-64"/>
        </w:rPr>
        <w:t> </w:t>
      </w:r>
      <w:r>
        <w:rPr>
          <w:spacing w:val="-64"/>
        </w:rPr>
      </w:r>
      <w:r>
        <w:rPr/>
        <w:t>满足上述条件的开发支出计入当期损益。</w:t>
      </w:r>
      <w:r>
        <w:rPr>
          <w:rFonts w:ascii="宋体" w:hAnsi="宋体" w:cs="宋体" w:eastAsia="宋体" w:hint="default"/>
        </w:rPr>
        <w:t> </w:t>
      </w:r>
    </w:p>
    <w:p>
      <w:pPr>
        <w:pStyle w:val="BodyText"/>
        <w:spacing w:line="316" w:lineRule="auto" w:before="19"/>
        <w:ind w:left="573" w:right="0"/>
        <w:jc w:val="left"/>
      </w:pPr>
      <w:r>
        <w:rPr/>
        <w:t>已资本化的开发阶段的支出在资产负债表上列示为开发支出，自该项目达到预定可使用状态之日转为无形资产。</w:t>
      </w:r>
      <w:r>
        <w:rPr>
          <w:rFonts w:ascii="宋体" w:hAnsi="宋体" w:cs="宋体" w:eastAsia="宋体" w:hint="default"/>
        </w:rPr>
        <w:t> </w:t>
      </w:r>
      <w:r>
        <w:rPr/>
        <w:t>本公司在具体界定研发支出资本化在满足上述条件时，还需研发项目获取对应的著作权、专利权、非专利权等权属登</w:t>
      </w:r>
    </w:p>
    <w:p>
      <w:pPr>
        <w:pStyle w:val="BodyText"/>
        <w:spacing w:line="240" w:lineRule="auto" w:before="19"/>
        <w:ind w:right="0"/>
        <w:jc w:val="both"/>
        <w:rPr>
          <w:rFonts w:ascii="宋体" w:hAnsi="宋体" w:cs="宋体" w:eastAsia="宋体" w:hint="default"/>
        </w:rPr>
      </w:pPr>
      <w:r>
        <w:rPr/>
        <w:t>记。</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6753"/>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93"/>
        <w:jc w:val="left"/>
        <w:rPr>
          <w:rFonts w:ascii="宋体" w:hAnsi="宋体" w:cs="宋体" w:eastAsia="宋体" w:hint="default"/>
        </w:rPr>
      </w:pPr>
      <w:r>
        <w:rPr>
          <w:rFonts w:ascii="宋体" w:hAnsi="宋体" w:cs="宋体" w:eastAsia="宋体" w:hint="default"/>
        </w:rPr>
        <w:t>20.1</w:t>
      </w:r>
      <w:r>
        <w:rPr>
          <w:rFonts w:ascii="宋体" w:hAnsi="宋体" w:cs="宋体" w:eastAsia="宋体" w:hint="default"/>
          <w:spacing w:val="-1"/>
        </w:rPr>
        <w:t> </w:t>
      </w:r>
      <w:r>
        <w:rPr/>
        <w:t>除存货及金融资产外，其他主要类别资产的资产减值准备确定方法</w:t>
      </w:r>
      <w:r>
        <w:rPr>
          <w:rFonts w:ascii="宋体" w:hAnsi="宋体" w:cs="宋体" w:eastAsia="宋体" w:hint="default"/>
        </w:rPr>
        <w:t> </w:t>
      </w:r>
    </w:p>
    <w:p>
      <w:pPr>
        <w:pStyle w:val="BodyText"/>
        <w:spacing w:line="316" w:lineRule="auto" w:before="76"/>
        <w:ind w:right="93" w:firstLine="420"/>
        <w:jc w:val="left"/>
        <w:rPr>
          <w:rFonts w:ascii="宋体" w:hAnsi="宋体" w:cs="宋体" w:eastAsia="宋体" w:hint="default"/>
        </w:rPr>
      </w:pPr>
      <w:r>
        <w:rPr/>
        <w:t>（</w:t>
      </w:r>
      <w:r>
        <w:rPr>
          <w:rFonts w:ascii="宋体" w:hAnsi="宋体" w:cs="宋体" w:eastAsia="宋体" w:hint="default"/>
        </w:rPr>
        <w:t>1</w:t>
      </w:r>
      <w:r>
        <w:rPr/>
        <w:t>）公司在资产负债表日按照单项资产是否存在可能发生减值的迹象。存在减值迹象的，进行减值测试，估计资产的 </w:t>
      </w:r>
      <w:r>
        <w:rPr>
          <w:spacing w:val="-4"/>
        </w:rPr>
        <w:t>可收回金额。资产的可收回金额低于其账面价值的，将资产的账面价值减记至可收回金额，减记的金额确认为资产减值损失，</w:t>
      </w:r>
      <w:r>
        <w:rPr>
          <w:spacing w:val="-45"/>
        </w:rPr>
        <w:t> </w:t>
      </w:r>
      <w:r>
        <w:rPr>
          <w:spacing w:val="-45"/>
        </w:rPr>
      </w:r>
      <w:r>
        <w:rPr>
          <w:spacing w:val="-2"/>
        </w:rPr>
        <w:t>计入当期损益，同时计提相应的资产减值准备。资产减值损失确认后，减值资产的折旧或者摊销费用应当在未来期间作相应</w:t>
      </w:r>
      <w:r>
        <w:rPr>
          <w:spacing w:val="-63"/>
        </w:rPr>
        <w:t> </w:t>
      </w:r>
      <w:r>
        <w:rPr>
          <w:spacing w:val="-63"/>
        </w:rPr>
      </w:r>
      <w:r>
        <w:rPr>
          <w:spacing w:val="-2"/>
        </w:rPr>
        <w:t>调整，以使该资产在剩余使用寿命内，系统地分摊调整后的资产账面价值（扣除预计净残值）。资产减值损失一经确认，在</w:t>
      </w:r>
      <w:r>
        <w:rPr>
          <w:spacing w:val="-70"/>
        </w:rPr>
        <w:t> </w:t>
      </w:r>
      <w:r>
        <w:rPr>
          <w:spacing w:val="-70"/>
        </w:rPr>
      </w:r>
      <w:r>
        <w:rPr/>
        <w:t>以后会计期间不得转回。</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2</w:t>
      </w:r>
      <w:r>
        <w:rPr/>
        <w:t>）存在下列迹象的，表明资产可能发生了减值：</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①资产的市价当期大幅度下跌，其跌幅明显高于因时间的推移或者正常使用而预计的下跌。</w:t>
      </w:r>
      <w:r>
        <w:rPr>
          <w:rFonts w:ascii="宋体" w:hAnsi="宋体" w:cs="宋体" w:eastAsia="宋体" w:hint="default"/>
        </w:rPr>
        <w:t> </w:t>
      </w:r>
    </w:p>
    <w:p>
      <w:pPr>
        <w:pStyle w:val="BodyText"/>
        <w:spacing w:line="316" w:lineRule="auto" w:before="76"/>
        <w:ind w:right="93" w:firstLine="420"/>
        <w:jc w:val="left"/>
        <w:rPr>
          <w:rFonts w:ascii="宋体" w:hAnsi="宋体" w:cs="宋体" w:eastAsia="宋体" w:hint="default"/>
        </w:rPr>
      </w:pPr>
      <w:r>
        <w:rPr/>
        <w:t>②公司经营所处的经济、技术或者法律等环境以及资产所处的市场在当期或者将在近期发生重大变化，从而对公司产 生不利影响。</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t>③市场利率或者其他市场投资报酬率在当期已经提高，从而影响公司计算资产预计未来现金流量现值的折现率，导致 资产可收回金额大幅度降低。</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④有证据表明资产已经陈旧过时或者其实体已经损坏。</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⑤资产已经或者将被闲置、终止使用或者计划提前处置。</w:t>
      </w:r>
      <w:r>
        <w:rPr>
          <w:rFonts w:ascii="宋体" w:hAnsi="宋体" w:cs="宋体" w:eastAsia="宋体" w:hint="default"/>
        </w:rPr>
        <w:t> </w:t>
      </w:r>
    </w:p>
    <w:p>
      <w:pPr>
        <w:pStyle w:val="BodyText"/>
        <w:spacing w:line="316" w:lineRule="auto" w:before="76"/>
        <w:ind w:right="93" w:firstLine="420"/>
        <w:jc w:val="left"/>
        <w:rPr>
          <w:rFonts w:ascii="宋体" w:hAnsi="宋体" w:cs="宋体" w:eastAsia="宋体" w:hint="default"/>
        </w:rPr>
      </w:pPr>
      <w:r>
        <w:rPr/>
        <w:t>⑥公司内部报告的证据表明资产的经济绩效已经低于或者将低于预期，如资产所创造的净现金流量或者实现的营业利 润（或者亏损）远远低于（或者高于）预计金额等。</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⑦其他表明资产可能已经发生减值的迹象。</w:t>
      </w:r>
      <w:r>
        <w:rPr>
          <w:rFonts w:ascii="宋体" w:hAnsi="宋体" w:cs="宋体" w:eastAsia="宋体" w:hint="default"/>
        </w:rPr>
        <w:t> </w:t>
      </w:r>
    </w:p>
    <w:p>
      <w:pPr>
        <w:pStyle w:val="BodyText"/>
        <w:spacing w:line="316" w:lineRule="auto" w:before="76"/>
        <w:ind w:right="173" w:firstLine="420"/>
        <w:jc w:val="left"/>
        <w:rPr>
          <w:rFonts w:ascii="宋体" w:hAnsi="宋体" w:cs="宋体" w:eastAsia="宋体" w:hint="default"/>
        </w:rPr>
      </w:pPr>
      <w:r>
        <w:rPr>
          <w:rFonts w:ascii="宋体" w:hAnsi="宋体" w:cs="宋体" w:eastAsia="宋体" w:hint="default"/>
        </w:rPr>
        <w:t>20.2</w:t>
      </w:r>
      <w:r>
        <w:rPr>
          <w:rFonts w:ascii="宋体" w:hAnsi="宋体" w:cs="宋体" w:eastAsia="宋体" w:hint="default"/>
          <w:spacing w:val="-50"/>
        </w:rPr>
        <w:t> </w:t>
      </w:r>
      <w:r>
        <w:rPr/>
        <w:t>有迹象表明一项资产可能发生减值的，公司应当以单项资产为基础估计其可收回金额。公司难以对单项资产的可 收回金额进行估计的，应当以该资产所属的资产组为基础确定资产组的可收回金额。</w:t>
      </w:r>
      <w:r>
        <w:rPr>
          <w:rFonts w:ascii="宋体" w:hAnsi="宋体" w:cs="宋体" w:eastAsia="宋体" w:hint="default"/>
        </w:rPr>
        <w:t> </w:t>
      </w:r>
    </w:p>
    <w:p>
      <w:pPr>
        <w:pStyle w:val="BodyText"/>
        <w:spacing w:line="319" w:lineRule="auto" w:before="19"/>
        <w:ind w:right="191" w:firstLine="420"/>
        <w:jc w:val="both"/>
        <w:rPr>
          <w:rFonts w:ascii="宋体" w:hAnsi="宋体" w:cs="宋体" w:eastAsia="宋体" w:hint="default"/>
        </w:rPr>
      </w:pPr>
      <w:r>
        <w:rPr/>
        <w:t>资产组的认定，以资产组产生的主要现金流入是否独立于其他资产或者资产组的现金流入为依据。同时，在认定资产 </w:t>
      </w:r>
      <w:r>
        <w:rPr>
          <w:spacing w:val="-2"/>
        </w:rPr>
        <w:t>组时，考虑公司管理层管理生产经营活动的方式（如是按照生产线、业务种类还是按照地区或者区域等）和对资产的持续使</w:t>
      </w:r>
      <w:r>
        <w:rPr>
          <w:spacing w:val="-65"/>
        </w:rPr>
        <w:t> </w:t>
      </w:r>
      <w:r>
        <w:rPr>
          <w:spacing w:val="-65"/>
        </w:rPr>
      </w:r>
      <w:r>
        <w:rPr/>
        <w:t>用或者处置的决策方式等。资产组一经确定，各个会计期间应当保持一致，不得随意变更。</w:t>
      </w:r>
      <w:r>
        <w:rPr>
          <w:rFonts w:ascii="宋体" w:hAnsi="宋体" w:cs="宋体" w:eastAsia="宋体" w:hint="default"/>
        </w:rPr>
        <w:t> </w:t>
      </w:r>
    </w:p>
    <w:p>
      <w:pPr>
        <w:pStyle w:val="BodyText"/>
        <w:spacing w:line="316" w:lineRule="auto" w:before="17"/>
        <w:ind w:right="172" w:firstLine="420"/>
        <w:jc w:val="left"/>
        <w:rPr>
          <w:rFonts w:ascii="宋体" w:hAnsi="宋体" w:cs="宋体" w:eastAsia="宋体" w:hint="default"/>
        </w:rPr>
      </w:pPr>
      <w:r>
        <w:rPr>
          <w:rFonts w:ascii="宋体" w:hAnsi="宋体" w:cs="宋体" w:eastAsia="宋体" w:hint="default"/>
        </w:rPr>
        <w:t>20.3</w:t>
      </w:r>
      <w:r>
        <w:rPr>
          <w:rFonts w:ascii="宋体" w:hAnsi="宋体" w:cs="宋体" w:eastAsia="宋体" w:hint="default"/>
          <w:spacing w:val="-49"/>
        </w:rPr>
        <w:t> </w:t>
      </w:r>
      <w:r>
        <w:rPr/>
        <w:t>因企业合并所形成的商誉和使用寿命不确定的无形资产以及未探明矿区权益，无论是否存在减值迹象，每年都应 当进行减值测试。</w:t>
      </w:r>
      <w:r>
        <w:rPr>
          <w:rFonts w:ascii="宋体" w:hAnsi="宋体" w:cs="宋体" w:eastAsia="宋体" w:hint="default"/>
        </w:rPr>
        <w:t> </w:t>
      </w:r>
    </w:p>
    <w:p>
      <w:pPr>
        <w:pStyle w:val="BodyText"/>
        <w:spacing w:line="316" w:lineRule="auto" w:before="19"/>
        <w:ind w:right="89" w:firstLine="420"/>
        <w:jc w:val="left"/>
      </w:pPr>
      <w:r>
        <w:rPr>
          <w:rFonts w:ascii="宋体" w:hAnsi="宋体" w:cs="宋体" w:eastAsia="宋体" w:hint="default"/>
        </w:rPr>
        <w:t>20.4</w:t>
      </w:r>
      <w:r>
        <w:rPr>
          <w:rFonts w:ascii="宋体" w:hAnsi="宋体" w:cs="宋体" w:eastAsia="宋体" w:hint="default"/>
          <w:spacing w:val="4"/>
        </w:rPr>
        <w:t> </w:t>
      </w:r>
      <w:r>
        <w:rPr>
          <w:spacing w:val="-3"/>
        </w:rPr>
        <w:t>资产减值损失确认后，减值资产的折旧或者摊销费用应当在未来期间作相应调整，以使该资产在剩余使用寿命内，</w:t>
      </w:r>
      <w:r>
        <w:rPr/>
        <w:t> 系统地分摊调整后的资产账面价值（扣除预计净残值）。</w:t>
      </w:r>
    </w:p>
    <w:p>
      <w:pPr>
        <w:spacing w:line="240" w:lineRule="auto" w:before="10"/>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长期待摊费用是指公司已经发生但应由本期和以后各期分担的分摊期限在一年以上（不含一年）的各项费用，包括以 经营租赁方式租入的固定资产改良支出等。</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长期待摊费用按实际支出入账，在项目受益期内平均摊销。</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1"/>
        <w:ind w:right="6753"/>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93"/>
        <w:jc w:val="left"/>
        <w:rPr>
          <w:rFonts w:ascii="宋体" w:hAnsi="宋体" w:cs="宋体" w:eastAsia="宋体" w:hint="default"/>
        </w:rPr>
      </w:pPr>
      <w:r>
        <w:rPr/>
        <w:t>职工薪酬包括短期薪酬、离职后福利、辞退福利和其他长期职工福利。</w:t>
      </w:r>
      <w:r>
        <w:rPr>
          <w:rFonts w:ascii="宋体" w:hAnsi="宋体" w:cs="宋体" w:eastAsia="宋体" w:hint="default"/>
        </w:rPr>
        <w:t> </w:t>
      </w:r>
      <w:r>
        <w:rPr/>
        <w:t>本公司在职工提供服务的会计期间，将实际发生的短期薪酬确认为负债，并计入当期损益或相关资产成本。</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93"/>
        <w:jc w:val="left"/>
      </w:pPr>
      <w:r>
        <w:rPr/>
        <w:t>本公司将离职后福利计划分类为设定提存计划和设定受益计划。本公司在职工提供服务的会计期间，将根据设定提存</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rPr>
          <w:rFonts w:ascii="宋体" w:hAnsi="宋体" w:cs="宋体" w:eastAsia="宋体" w:hint="default"/>
        </w:rPr>
      </w:pPr>
      <w:r>
        <w:rPr>
          <w:spacing w:val="-2"/>
        </w:rPr>
        <w:t>计划计算的应缴存金额确认为负债，并计入当期损益或相关资产成本；根据预期累计福利单位法确定的公式将设定受益计划</w:t>
      </w:r>
      <w:r>
        <w:rPr>
          <w:spacing w:val="-64"/>
        </w:rPr>
        <w:t> </w:t>
      </w:r>
      <w:r>
        <w:rPr>
          <w:spacing w:val="-64"/>
        </w:rPr>
      </w:r>
      <w:r>
        <w:rPr/>
        <w:t>产生的福利义务归属于职工提供服务的期间，并计入当期损益或相关资产成本。</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675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93"/>
        <w:jc w:val="left"/>
        <w:rPr>
          <w:rFonts w:ascii="宋体" w:hAnsi="宋体" w:cs="宋体" w:eastAsia="宋体" w:hint="default"/>
        </w:rPr>
      </w:pPr>
      <w:r>
        <w:rPr/>
        <w:t>本公司向职工提供的辞退福利，在下列两者孰早日确认辞退福利产生的职工薪酬负债，并计入当期损益：</w:t>
      </w:r>
      <w:r>
        <w:rPr>
          <w:rFonts w:ascii="宋体" w:hAnsi="宋体" w:cs="宋体" w:eastAsia="宋体" w:hint="default"/>
        </w:rPr>
        <w:t> </w:t>
      </w:r>
      <w:r>
        <w:rPr/>
        <w:t>企业不能单方面撤回因解除劳动关系计划或裁减建议所提供的辞退福利时。</w:t>
      </w:r>
      <w:r>
        <w:rPr>
          <w:rFonts w:ascii="宋体" w:hAnsi="宋体" w:cs="宋体" w:eastAsia="宋体" w:hint="default"/>
        </w:rPr>
        <w:t> </w:t>
      </w:r>
      <w:r>
        <w:rPr/>
        <w:t>企业确认与涉及支付辞退福利的重组相关的成本或费用时。</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企业向职工提供的其他长期职工福利，符合设定提存计划条件的，适用设定提存计划的有关规定进行处理；否则，</w:t>
      </w:r>
      <w:r>
        <w:rPr/>
        <w:t> 适用关于设定受益计划的有关规定。</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rFonts w:ascii="Times New Roman" w:hAnsi="Times New Roman" w:cs="Times New Roman" w:eastAsia="Times New Roman" w:hint="default"/>
        </w:rPr>
        <w:t>23.1</w:t>
      </w:r>
      <w:r>
        <w:rPr>
          <w:rFonts w:ascii="Times New Roman" w:hAnsi="Times New Roman" w:cs="Times New Roman" w:eastAsia="Times New Roman" w:hint="default"/>
          <w:spacing w:val="2"/>
        </w:rPr>
        <w:t> </w:t>
      </w:r>
      <w:r>
        <w:rPr/>
        <w:t>预计负债的确认原则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当与对外担保、未决诉讼或仲裁、产品质量保证、裁员计划、亏损合同、重组义务、固定资产弃置义务等或有事项相 关的业务同时符合以下条件时，确认为负债：</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2</w:t>
      </w:r>
      <w:r>
        <w:rPr/>
        <w:t>）该义务的履行很可能导致经济利益流出企业。</w:t>
      </w:r>
      <w:r>
        <w:rPr>
          <w:rFonts w:ascii="宋体" w:hAnsi="宋体" w:cs="宋体" w:eastAsia="宋体" w:hint="default"/>
        </w:rPr>
        <w:t> </w:t>
      </w:r>
    </w:p>
    <w:p>
      <w:pPr>
        <w:pStyle w:val="BodyText"/>
        <w:spacing w:line="240" w:lineRule="auto" w:before="76"/>
        <w:ind w:left="573" w:right="93"/>
        <w:jc w:val="left"/>
        <w:rPr>
          <w:rFonts w:ascii="宋体" w:hAnsi="宋体" w:cs="宋体" w:eastAsia="宋体" w:hint="default"/>
        </w:rPr>
      </w:pPr>
      <w:r>
        <w:rPr/>
        <w:t>（</w:t>
      </w:r>
      <w:r>
        <w:rPr>
          <w:rFonts w:ascii="宋体" w:hAnsi="宋体" w:cs="宋体" w:eastAsia="宋体" w:hint="default"/>
        </w:rPr>
        <w:t>3</w:t>
      </w:r>
      <w:r>
        <w:rPr/>
        <w:t>）该义务的金额能够可靠地计量。</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23.2 </w:t>
      </w:r>
      <w:r>
        <w:rPr>
          <w:rFonts w:ascii="Times New Roman" w:hAnsi="Times New Roman" w:cs="Times New Roman" w:eastAsia="Times New Roman" w:hint="default"/>
          <w:spacing w:val="3"/>
        </w:rPr>
        <w:t> </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420"/>
        <w:jc w:val="left"/>
        <w:rPr>
          <w:rFonts w:ascii="宋体" w:hAnsi="宋体" w:cs="宋体" w:eastAsia="宋体" w:hint="default"/>
        </w:rPr>
      </w:pPr>
      <w:r>
        <w:rPr/>
        <w:t>预计负债按照履行现时义务所需支出的最佳估计数进行初始计量。所需支出存在一个连续范围，且该范围内各种结果 发生的可能性相同的最佳估计数按该范围的中间值确定</w:t>
      </w:r>
      <w:r>
        <w:rPr>
          <w:rFonts w:ascii="宋体" w:hAnsi="宋体" w:cs="宋体" w:eastAsia="宋体" w:hint="default"/>
        </w:rPr>
        <w:t>;</w:t>
      </w:r>
      <w:r>
        <w:rPr/>
        <w:t>在其他情况下，最佳估计数按如下方法确定：</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1</w:t>
      </w:r>
      <w:r>
        <w:rPr/>
        <w:t>）或有事项涉及单个项目时，最佳估计数按最可能发生金额确定。</w:t>
      </w:r>
      <w:r>
        <w:rPr>
          <w:rFonts w:ascii="宋体" w:hAnsi="宋体" w:cs="宋体" w:eastAsia="宋体" w:hint="default"/>
        </w:rPr>
        <w:t> </w:t>
      </w:r>
    </w:p>
    <w:p>
      <w:pPr>
        <w:pStyle w:val="BodyText"/>
        <w:spacing w:line="316" w:lineRule="auto" w:before="76"/>
        <w:ind w:left="573" w:right="93"/>
        <w:jc w:val="left"/>
      </w:pPr>
      <w:r>
        <w:rPr/>
        <w:t>（</w:t>
      </w:r>
      <w:r>
        <w:rPr>
          <w:rFonts w:ascii="宋体" w:hAnsi="宋体" w:cs="宋体" w:eastAsia="宋体" w:hint="default"/>
        </w:rPr>
        <w:t>2</w:t>
      </w:r>
      <w:r>
        <w:rPr/>
        <w:t>）或有事项涉及多个项目时，最佳估计数按各种可能发生额及其发生概率计算确定。</w:t>
      </w:r>
      <w:r>
        <w:rPr>
          <w:rFonts w:ascii="宋体" w:hAnsi="宋体" w:cs="宋体" w:eastAsia="宋体" w:hint="default"/>
        </w:rPr>
        <w:t> </w:t>
      </w:r>
      <w:r>
        <w:rPr/>
        <w:t>公司清偿预计负债所需支出全部或部分预期由第三方或其他方补偿的，则补偿金额在基本确定能收到时，作为资产单</w:t>
      </w:r>
    </w:p>
    <w:p>
      <w:pPr>
        <w:pStyle w:val="BodyText"/>
        <w:spacing w:line="240" w:lineRule="auto" w:before="19"/>
        <w:ind w:right="93"/>
        <w:jc w:val="left"/>
        <w:rPr>
          <w:rFonts w:ascii="宋体" w:hAnsi="宋体" w:cs="宋体" w:eastAsia="宋体" w:hint="default"/>
        </w:rPr>
      </w:pPr>
      <w:r>
        <w:rPr/>
        <w:t>独确认。确认的补偿金额不超过所确认预计负债的账面价值。</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3"/>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3" w:firstLine="420"/>
        <w:jc w:val="left"/>
        <w:rPr>
          <w:rFonts w:ascii="宋体" w:hAnsi="宋体" w:cs="宋体" w:eastAsia="宋体" w:hint="default"/>
        </w:rPr>
      </w:pPr>
      <w:r>
        <w:rPr/>
        <w:t>股份支付是指本公司为获取职工和其他方提供服务而授予权益工具或者承担以权益工具为基础确定的负债的交易，包 括以权益结算和以现金结算两种方式。</w:t>
      </w:r>
      <w:r>
        <w:rPr>
          <w:rFonts w:ascii="宋体" w:hAnsi="宋体" w:cs="宋体" w:eastAsia="宋体" w:hint="default"/>
        </w:rPr>
        <w:t> </w:t>
      </w:r>
    </w:p>
    <w:p>
      <w:pPr>
        <w:pStyle w:val="BodyText"/>
        <w:spacing w:line="316" w:lineRule="auto" w:before="17"/>
        <w:ind w:right="93" w:firstLine="420"/>
        <w:jc w:val="left"/>
        <w:rPr>
          <w:rFonts w:ascii="宋体" w:hAnsi="宋体" w:cs="宋体" w:eastAsia="宋体" w:hint="default"/>
        </w:rPr>
      </w:pPr>
      <w:r>
        <w:rPr/>
        <w:t>以权益结算的股份支付，是指本公司为获取服务以股份或其他权益工具作为对价进行结算的交易；以现金结算的股份 支付，是指本公司为获取服务承担以股份或其他权益工具为基础计算确定的交付现金或其他资产义务的交易。</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rFonts w:ascii="宋体" w:hAnsi="宋体" w:cs="宋体" w:eastAsia="宋体" w:hint="default"/>
        </w:rPr>
        <w:t>24.1 </w:t>
      </w:r>
      <w:r>
        <w:rPr/>
        <w:t>本公司为换取职工提供的服务而提供的以权益结算的股份支付，以授予职工权益工具的公允价值计量。</w:t>
      </w:r>
      <w:r>
        <w:rPr>
          <w:rFonts w:ascii="宋体" w:hAnsi="宋体" w:cs="宋体" w:eastAsia="宋体" w:hint="default"/>
        </w:rPr>
        <w:t> </w:t>
      </w:r>
    </w:p>
    <w:p>
      <w:pPr>
        <w:pStyle w:val="BodyText"/>
        <w:spacing w:line="316" w:lineRule="auto" w:before="76"/>
        <w:ind w:right="175"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）授予后立即可行权的换取职工服务的以权益结算的股份支付，在授予日按照权益工具的公允价值计入相关成本或</w:t>
      </w:r>
      <w:r>
        <w:rPr/>
        <w:t> 费用，相应增加资本公积；</w:t>
      </w:r>
      <w:r>
        <w:rPr>
          <w:rFonts w:ascii="宋体" w:hAnsi="宋体" w:cs="宋体" w:eastAsia="宋体" w:hint="default"/>
        </w:rPr>
        <w:t> </w:t>
      </w:r>
    </w:p>
    <w:p>
      <w:pPr>
        <w:pStyle w:val="BodyText"/>
        <w:spacing w:line="316" w:lineRule="auto" w:before="19"/>
        <w:ind w:right="190"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）完成可行权条件得到满足的期间（等待期）内的服务或达到规定业绩条件才可行权的换取职工服务的以权益结算</w:t>
      </w:r>
      <w:r>
        <w:rPr/>
        <w:t> </w:t>
      </w:r>
      <w:r>
        <w:rPr>
          <w:spacing w:val="-2"/>
        </w:rPr>
        <w:t>的股份支付，在等待期内的每个资产负债表日，以对可行权权益工具数量的最佳估计为基础，按照权益工具授予日的公允价</w:t>
      </w:r>
      <w:r>
        <w:rPr>
          <w:spacing w:val="-63"/>
        </w:rPr>
        <w:t> </w:t>
      </w:r>
      <w:r>
        <w:rPr>
          <w:spacing w:val="-63"/>
        </w:rPr>
      </w:r>
      <w:r>
        <w:rPr/>
        <w:t>值，将当期取得的服务计入相关成本或费用和资本公积。</w:t>
      </w:r>
      <w:r>
        <w:rPr>
          <w:rFonts w:ascii="宋体" w:hAnsi="宋体" w:cs="宋体" w:eastAsia="宋体" w:hint="default"/>
        </w:rPr>
        <w:t> </w:t>
      </w:r>
    </w:p>
    <w:p>
      <w:pPr>
        <w:pStyle w:val="BodyText"/>
        <w:spacing w:line="240" w:lineRule="auto" w:before="19"/>
        <w:ind w:left="573" w:right="93"/>
        <w:jc w:val="left"/>
      </w:pPr>
      <w:r>
        <w:rPr/>
        <w:t>（</w:t>
      </w:r>
      <w:r>
        <w:rPr>
          <w:rFonts w:ascii="宋体" w:hAnsi="宋体" w:cs="宋体" w:eastAsia="宋体" w:hint="default"/>
        </w:rPr>
        <w:t>3</w:t>
      </w:r>
      <w:r>
        <w:rPr/>
        <w:t>）在资产负债表日，后续信息表明可行权权益工具的数量与以前估计不同的，应当进行调整，并在可行权日调整至</w:t>
      </w:r>
    </w:p>
    <w:p>
      <w:pPr>
        <w:spacing w:after="0" w:line="240" w:lineRule="auto"/>
        <w:jc w:val="left"/>
        <w:sectPr>
          <w:footerReference w:type="default" r:id="rId20"/>
          <w:pgSz w:w="11910" w:h="16840"/>
          <w:pgMar w:footer="979" w:header="745" w:top="1060" w:bottom="1160" w:left="980" w:right="940"/>
          <w:pgNumType w:start="104"/>
        </w:sectPr>
      </w:pPr>
    </w:p>
    <w:p>
      <w:pPr>
        <w:spacing w:line="240" w:lineRule="auto" w:before="9"/>
        <w:rPr>
          <w:rFonts w:ascii="宋体" w:hAnsi="宋体" w:cs="宋体" w:eastAsia="宋体" w:hint="default"/>
          <w:sz w:val="25"/>
          <w:szCs w:val="25"/>
        </w:rPr>
      </w:pPr>
    </w:p>
    <w:p>
      <w:pPr>
        <w:pStyle w:val="BodyText"/>
        <w:spacing w:line="240" w:lineRule="auto" w:before="44"/>
        <w:ind w:right="6753"/>
        <w:jc w:val="left"/>
        <w:rPr>
          <w:rFonts w:ascii="宋体" w:hAnsi="宋体" w:cs="宋体" w:eastAsia="宋体" w:hint="default"/>
        </w:rPr>
      </w:pPr>
      <w:r>
        <w:rPr/>
        <w:t>实际可行权的权益工具数量。</w:t>
      </w:r>
      <w:r>
        <w:rPr>
          <w:rFonts w:ascii="宋体" w:hAnsi="宋体" w:cs="宋体" w:eastAsia="宋体" w:hint="default"/>
        </w:rPr>
        <w:t> </w:t>
      </w:r>
    </w:p>
    <w:p>
      <w:pPr>
        <w:pStyle w:val="BodyText"/>
        <w:spacing w:line="240" w:lineRule="auto" w:before="77"/>
        <w:ind w:left="573" w:right="93"/>
        <w:jc w:val="left"/>
        <w:rPr>
          <w:rFonts w:ascii="宋体" w:hAnsi="宋体" w:cs="宋体" w:eastAsia="宋体" w:hint="default"/>
        </w:rPr>
      </w:pPr>
      <w:r>
        <w:rPr/>
        <w:t>（</w:t>
      </w:r>
      <w:r>
        <w:rPr>
          <w:rFonts w:ascii="宋体" w:hAnsi="宋体" w:cs="宋体" w:eastAsia="宋体" w:hint="default"/>
        </w:rPr>
        <w:t>4</w:t>
      </w:r>
      <w:r>
        <w:rPr/>
        <w:t>）本公司在可行权日之后不再对已确认的相关成本或费用和所有者权益总额进行调整。</w:t>
      </w:r>
      <w:r>
        <w:rPr>
          <w:rFonts w:ascii="宋体" w:hAnsi="宋体" w:cs="宋体" w:eastAsia="宋体" w:hint="default"/>
        </w:rPr>
        <w:t> </w:t>
      </w:r>
    </w:p>
    <w:p>
      <w:pPr>
        <w:pStyle w:val="BodyText"/>
        <w:spacing w:line="316" w:lineRule="auto" w:before="76"/>
        <w:ind w:right="192" w:firstLine="420"/>
        <w:jc w:val="both"/>
        <w:rPr>
          <w:rFonts w:ascii="宋体" w:hAnsi="宋体" w:cs="宋体" w:eastAsia="宋体" w:hint="default"/>
        </w:rPr>
      </w:pPr>
      <w:r>
        <w:rPr>
          <w:rFonts w:ascii="宋体" w:hAnsi="宋体" w:cs="宋体" w:eastAsia="宋体" w:hint="default"/>
        </w:rPr>
        <w:t>24.2</w:t>
      </w:r>
      <w:r>
        <w:rPr>
          <w:rFonts w:ascii="宋体" w:hAnsi="宋体" w:cs="宋体" w:eastAsia="宋体" w:hint="default"/>
          <w:spacing w:val="-50"/>
        </w:rPr>
        <w:t> </w:t>
      </w:r>
      <w:r>
        <w:rPr/>
        <w:t>本公司提供的以现金结算的股份支付，按照本公司承担的以股份或其他权益工具为基础计算确定的负债的公允价 值计量。</w:t>
      </w:r>
      <w:r>
        <w:rPr>
          <w:rFonts w:ascii="宋体" w:hAnsi="宋体" w:cs="宋体" w:eastAsia="宋体" w:hint="default"/>
        </w:rPr>
        <w:t> </w:t>
      </w:r>
    </w:p>
    <w:p>
      <w:pPr>
        <w:pStyle w:val="BodyText"/>
        <w:spacing w:line="316" w:lineRule="auto" w:before="19"/>
        <w:ind w:right="192" w:firstLine="420"/>
        <w:jc w:val="both"/>
        <w:rPr>
          <w:rFonts w:ascii="宋体" w:hAnsi="宋体" w:cs="宋体" w:eastAsia="宋体" w:hint="default"/>
        </w:rPr>
      </w:pPr>
      <w:r>
        <w:rPr>
          <w:spacing w:val="-1"/>
        </w:rPr>
        <w:t>（</w:t>
      </w:r>
      <w:r>
        <w:rPr>
          <w:rFonts w:ascii="宋体" w:hAnsi="宋体" w:cs="宋体" w:eastAsia="宋体" w:hint="default"/>
          <w:spacing w:val="-1"/>
        </w:rPr>
        <w:t>1</w:t>
      </w:r>
      <w:r>
        <w:rPr>
          <w:spacing w:val="-1"/>
        </w:rPr>
        <w:t>）授予后立即可行权的以现金结算的股份支付，在授予日以企业承担负债的公允价值计入相关成本或费用，相应增</w:t>
      </w:r>
      <w:r>
        <w:rPr/>
        <w:t> 加负债；</w:t>
      </w:r>
      <w:r>
        <w:rPr>
          <w:rFonts w:ascii="宋体" w:hAnsi="宋体" w:cs="宋体" w:eastAsia="宋体" w:hint="default"/>
        </w:rPr>
        <w:t> </w:t>
      </w:r>
    </w:p>
    <w:p>
      <w:pPr>
        <w:pStyle w:val="BodyText"/>
        <w:spacing w:line="316" w:lineRule="auto" w:before="19"/>
        <w:ind w:right="190"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）完成等待期内的服务或达到规定业绩条件以后才可行权的以现金结算的股份支付，在等待期内的每个资产负债表</w:t>
      </w:r>
      <w:r>
        <w:rPr/>
        <w:t> </w:t>
      </w:r>
      <w:r>
        <w:rPr>
          <w:spacing w:val="-2"/>
        </w:rPr>
        <w:t>日，以对可行权情况的最佳估计为基础，按照本公司承担负债的公允价值金额，将当期取得的服务计入成本或费用和相应的</w:t>
      </w:r>
      <w:r>
        <w:rPr>
          <w:spacing w:val="-63"/>
        </w:rPr>
        <w:t> </w:t>
      </w:r>
      <w:r>
        <w:rPr>
          <w:spacing w:val="-63"/>
        </w:rPr>
      </w:r>
      <w:r>
        <w:rPr/>
        <w:t>负债。</w:t>
      </w:r>
      <w:r>
        <w:rPr>
          <w:rFonts w:ascii="宋体" w:hAnsi="宋体" w:cs="宋体" w:eastAsia="宋体" w:hint="default"/>
        </w:rPr>
        <w:t> </w:t>
      </w:r>
    </w:p>
    <w:p>
      <w:pPr>
        <w:pStyle w:val="BodyText"/>
        <w:spacing w:line="316" w:lineRule="auto" w:before="19"/>
        <w:ind w:right="190" w:firstLine="420"/>
        <w:jc w:val="both"/>
        <w:rPr>
          <w:rFonts w:ascii="宋体" w:hAnsi="宋体" w:cs="宋体" w:eastAsia="宋体" w:hint="default"/>
        </w:rPr>
      </w:pPr>
      <w:r>
        <w:rPr>
          <w:spacing w:val="-2"/>
        </w:rPr>
        <w:t>（</w:t>
      </w:r>
      <w:r>
        <w:rPr>
          <w:rFonts w:ascii="宋体" w:hAnsi="宋体" w:cs="宋体" w:eastAsia="宋体" w:hint="default"/>
          <w:spacing w:val="-2"/>
        </w:rPr>
        <w:t>3</w:t>
      </w:r>
      <w:r>
        <w:rPr>
          <w:spacing w:val="-2"/>
        </w:rPr>
        <w:t>）在资产负债表日，后续信息表明本公司当期承担债务的公允价值与以前估计不同的，应当进行调整，并在可行权</w:t>
      </w:r>
      <w:r>
        <w:rPr/>
        <w:t> 日调整至实际可行权水平。</w:t>
      </w:r>
      <w:r>
        <w:rPr>
          <w:rFonts w:ascii="宋体" w:hAnsi="宋体" w:cs="宋体" w:eastAsia="宋体" w:hint="default"/>
        </w:rPr>
        <w:t> </w:t>
      </w:r>
    </w:p>
    <w:p>
      <w:pPr>
        <w:pStyle w:val="BodyText"/>
        <w:spacing w:line="319" w:lineRule="auto" w:before="19"/>
        <w:ind w:left="573" w:right="93"/>
        <w:jc w:val="left"/>
        <w:rPr>
          <w:rFonts w:ascii="宋体" w:hAnsi="宋体" w:cs="宋体" w:eastAsia="宋体" w:hint="default"/>
        </w:rPr>
      </w:pPr>
      <w:r>
        <w:rPr/>
        <w:t>（</w:t>
      </w:r>
      <w:r>
        <w:rPr>
          <w:rFonts w:ascii="宋体" w:hAnsi="宋体" w:cs="宋体" w:eastAsia="宋体" w:hint="default"/>
        </w:rPr>
        <w:t>4</w:t>
      </w:r>
      <w:r>
        <w:rPr/>
        <w:t>）本公司在相关负债结算前的每个资产负债表日以及结算日，对负债的公允价值重新计量，其变动计入当期损益。</w:t>
      </w:r>
      <w:r>
        <w:rPr>
          <w:rFonts w:ascii="宋体" w:hAnsi="宋体" w:cs="宋体" w:eastAsia="宋体" w:hint="default"/>
        </w:rPr>
        <w:t> 24.3 </w:t>
      </w:r>
      <w:r>
        <w:rPr/>
        <w:t>根据最新取得可行权职工数变动等后续信息进行估计确定可行权权益工具最佳估计数。</w:t>
      </w:r>
      <w:r>
        <w:rPr>
          <w:rFonts w:ascii="宋体" w:hAnsi="宋体" w:cs="宋体" w:eastAsia="宋体" w:hint="default"/>
        </w:rPr>
        <w:t> </w:t>
      </w:r>
    </w:p>
    <w:p>
      <w:pPr>
        <w:pStyle w:val="BodyText"/>
        <w:spacing w:line="240" w:lineRule="auto" w:before="17"/>
        <w:ind w:left="573" w:right="6753"/>
        <w:jc w:val="left"/>
        <w:rPr>
          <w:rFonts w:ascii="宋体" w:hAnsi="宋体" w:cs="宋体" w:eastAsia="宋体" w:hint="default"/>
        </w:rPr>
      </w:pPr>
      <w:r>
        <w:rPr>
          <w:rFonts w:ascii="宋体" w:hAnsi="宋体" w:cs="宋体" w:eastAsia="宋体" w:hint="default"/>
        </w:rPr>
        <w:t>24.4</w:t>
      </w:r>
      <w:r>
        <w:rPr>
          <w:rFonts w:ascii="宋体" w:hAnsi="宋体" w:cs="宋体" w:eastAsia="宋体" w:hint="default"/>
          <w:spacing w:val="-1"/>
        </w:rPr>
        <w:t> </w:t>
      </w:r>
      <w:r>
        <w:rPr/>
        <w:t>修改计划的处理</w:t>
      </w:r>
      <w:r>
        <w:rPr>
          <w:rFonts w:ascii="宋体" w:hAnsi="宋体" w:cs="宋体" w:eastAsia="宋体" w:hint="default"/>
        </w:rPr>
        <w:t> </w:t>
      </w:r>
    </w:p>
    <w:p>
      <w:pPr>
        <w:pStyle w:val="BodyText"/>
        <w:spacing w:line="316" w:lineRule="auto" w:before="76"/>
        <w:ind w:right="102" w:firstLine="420"/>
        <w:jc w:val="left"/>
        <w:rPr>
          <w:rFonts w:ascii="宋体" w:hAnsi="宋体" w:cs="宋体" w:eastAsia="宋体" w:hint="default"/>
        </w:rPr>
      </w:pPr>
      <w:r>
        <w:rPr>
          <w:spacing w:val="-3"/>
        </w:rPr>
        <w:t>（</w:t>
      </w:r>
      <w:r>
        <w:rPr>
          <w:rFonts w:ascii="宋体" w:hAnsi="宋体" w:cs="宋体" w:eastAsia="宋体" w:hint="default"/>
          <w:spacing w:val="-3"/>
        </w:rPr>
        <w:t>1</w:t>
      </w:r>
      <w:r>
        <w:rPr>
          <w:spacing w:val="-3"/>
        </w:rPr>
        <w:t>）如果修改增加了所授予的权益工具的公允价值，本公司按照权益工具公允价值的增加相应地确认取得服务的增加。</w:t>
      </w:r>
      <w:r>
        <w:rPr/>
        <w:t> </w:t>
      </w:r>
      <w:r>
        <w:rPr>
          <w:spacing w:val="-2"/>
        </w:rPr>
        <w:t>如果修改增加了所授予的权益工具的数量，本公司将增加的权益工具的公允价值相应地确认为取得服务的增加。如果按照有</w:t>
      </w:r>
      <w:r>
        <w:rPr>
          <w:spacing w:val="-64"/>
        </w:rPr>
        <w:t> </w:t>
      </w:r>
      <w:r>
        <w:rPr>
          <w:spacing w:val="-64"/>
        </w:rPr>
      </w:r>
      <w:r>
        <w:rPr>
          <w:spacing w:val="-2"/>
        </w:rPr>
        <w:t>利于职工的方式修改可行权条件，如缩短等待期、变更或取消业绩条件（而非市场条件），在处理可行权条件时，应当考虑</w:t>
      </w:r>
      <w:r>
        <w:rPr>
          <w:spacing w:val="-66"/>
        </w:rPr>
        <w:t> </w:t>
      </w:r>
      <w:r>
        <w:rPr>
          <w:spacing w:val="-66"/>
        </w:rPr>
      </w:r>
      <w:r>
        <w:rPr/>
        <w:t>修改后的可行权条件。</w:t>
      </w:r>
      <w:r>
        <w:rPr>
          <w:rFonts w:ascii="宋体" w:hAnsi="宋体" w:cs="宋体" w:eastAsia="宋体" w:hint="default"/>
        </w:rPr>
        <w:t> </w:t>
      </w:r>
    </w:p>
    <w:p>
      <w:pPr>
        <w:pStyle w:val="BodyText"/>
        <w:spacing w:line="316" w:lineRule="auto" w:before="19"/>
        <w:ind w:right="192"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）如果企业以减少股份支付公允价值总额的方式或其他不利于职工的方式修改条款和条件，企业仍应继续对取得的</w:t>
      </w:r>
      <w:r>
        <w:rPr/>
        <w:t> 服务进行会计处理，如同该变更从未发生，除非企业取消了部分或全部已授予的权益工具。</w:t>
      </w:r>
      <w:r>
        <w:rPr>
          <w:rFonts w:ascii="宋体" w:hAnsi="宋体" w:cs="宋体" w:eastAsia="宋体" w:hint="default"/>
        </w:rPr>
        <w:t> </w:t>
      </w:r>
    </w:p>
    <w:p>
      <w:pPr>
        <w:pStyle w:val="BodyText"/>
        <w:spacing w:line="316" w:lineRule="auto" w:before="19"/>
        <w:ind w:left="573" w:right="93"/>
        <w:jc w:val="left"/>
        <w:rPr>
          <w:rFonts w:ascii="宋体" w:hAnsi="宋体" w:cs="宋体" w:eastAsia="宋体" w:hint="default"/>
        </w:rPr>
      </w:pPr>
      <w:r>
        <w:rPr>
          <w:rFonts w:ascii="宋体" w:hAnsi="宋体" w:cs="宋体" w:eastAsia="宋体" w:hint="default"/>
        </w:rPr>
        <w:t>24.5 </w:t>
      </w:r>
      <w:r>
        <w:rPr/>
        <w:t>终止计划的处理</w:t>
      </w:r>
      <w:r>
        <w:rPr>
          <w:rFonts w:ascii="宋体" w:hAnsi="宋体" w:cs="宋体" w:eastAsia="宋体" w:hint="default"/>
        </w:rPr>
        <w:t> </w:t>
      </w:r>
      <w:r>
        <w:rPr/>
        <w:t>如果在等待期内取消了所授予的权益工具或结算了所授予的权益工具（因未满足可行权条件而被取消的除外）：</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w:t>
      </w:r>
      <w:r>
        <w:rPr>
          <w:rFonts w:ascii="宋体" w:hAnsi="宋体" w:cs="宋体" w:eastAsia="宋体" w:hint="default"/>
        </w:rPr>
        <w:t>1</w:t>
      </w:r>
      <w:r>
        <w:rPr/>
        <w:t>）将取消或结算作为加速可行权处理，立即确认原本应在剩余等待期内确认的金额。</w:t>
      </w:r>
      <w:r>
        <w:rPr>
          <w:rFonts w:ascii="宋体" w:hAnsi="宋体" w:cs="宋体" w:eastAsia="宋体" w:hint="default"/>
        </w:rPr>
        <w:t> </w:t>
      </w:r>
    </w:p>
    <w:p>
      <w:pPr>
        <w:pStyle w:val="BodyText"/>
        <w:spacing w:line="316" w:lineRule="auto" w:before="77"/>
        <w:ind w:right="192"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）在取消或结算时支付给职工的所有款项均应作为权益的回购处理，回购支付的金额高于该权益工具在回购日公允</w:t>
      </w:r>
      <w:r>
        <w:rPr/>
        <w:t> 价值的部分，计入当期费用。</w:t>
      </w:r>
      <w:r>
        <w:rPr>
          <w:rFonts w:ascii="宋体" w:hAnsi="宋体" w:cs="宋体" w:eastAsia="宋体" w:hint="default"/>
        </w:rPr>
        <w:t> </w:t>
      </w:r>
    </w:p>
    <w:p>
      <w:pPr>
        <w:pStyle w:val="BodyText"/>
        <w:spacing w:line="316" w:lineRule="auto" w:before="19"/>
        <w:ind w:right="103" w:firstLine="420"/>
        <w:jc w:val="both"/>
        <w:rPr>
          <w:rFonts w:ascii="宋体" w:hAnsi="宋体" w:cs="宋体" w:eastAsia="宋体" w:hint="default"/>
        </w:rPr>
      </w:pPr>
      <w:r>
        <w:rPr>
          <w:spacing w:val="-3"/>
        </w:rPr>
        <w:t>（</w:t>
      </w:r>
      <w:r>
        <w:rPr>
          <w:rFonts w:ascii="宋体" w:hAnsi="宋体" w:cs="宋体" w:eastAsia="宋体" w:hint="default"/>
          <w:spacing w:val="-3"/>
        </w:rPr>
        <w:t>3</w:t>
      </w:r>
      <w:r>
        <w:rPr>
          <w:spacing w:val="-3"/>
        </w:rPr>
        <w:t>）如果向职工授予新的权益工具，并在新权益工具授予日认定所授予的新权益工具是用于替代被取消的权益工具的，</w:t>
      </w:r>
      <w:r>
        <w:rPr/>
        <w:t> 以处理原权益工具条款和条件修改相同的方式，对所授予的替代权益工具进行处理。</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420"/>
        <w:jc w:val="both"/>
        <w:rPr>
          <w:rFonts w:ascii="宋体" w:hAnsi="宋体" w:cs="宋体" w:eastAsia="宋体" w:hint="default"/>
        </w:rPr>
      </w:pPr>
      <w:r>
        <w:rPr/>
        <w:t>本公司发行的金融工具按照金融工具准则和相关规定进行初始确认和计量；其后，于每个资产负债表日计提利息或分 </w:t>
      </w:r>
      <w:r>
        <w:rPr>
          <w:spacing w:val="-2"/>
        </w:rPr>
        <w:t>派股利，按照相关具体企业会计准则进行处理。即以所发行金融工具的分类为基础，确定该工具利息支出或股利分配等的会</w:t>
      </w:r>
      <w:r>
        <w:rPr>
          <w:spacing w:val="-63"/>
        </w:rPr>
        <w:t> </w:t>
      </w:r>
      <w:r>
        <w:rPr>
          <w:spacing w:val="-63"/>
        </w:rPr>
      </w:r>
      <w:r>
        <w:rPr>
          <w:spacing w:val="-2"/>
        </w:rPr>
        <w:t>计处理。对于归类为权益工具的金融工具，其利息支出或股利分配都应当作为发行企业的利润分配，其回购、注销等作为权</w:t>
      </w:r>
      <w:r>
        <w:rPr>
          <w:spacing w:val="-64"/>
        </w:rPr>
        <w:t> </w:t>
      </w:r>
      <w:r>
        <w:rPr>
          <w:spacing w:val="-64"/>
        </w:rPr>
      </w:r>
      <w:r>
        <w:rPr>
          <w:spacing w:val="-2"/>
        </w:rPr>
        <w:t>益的变动处理；对于归类为金融负债的金融工具，其利息支出或股利分配原则上按照借款费用进行处理，其回购或赎回产生</w:t>
      </w:r>
      <w:r>
        <w:rPr>
          <w:spacing w:val="-63"/>
        </w:rPr>
        <w:t> </w:t>
      </w:r>
      <w:r>
        <w:rPr>
          <w:spacing w:val="-63"/>
        </w:rPr>
      </w:r>
      <w:r>
        <w:rPr/>
        <w:t>的利得或损失等计入当期损益。</w:t>
      </w:r>
      <w:r>
        <w:rPr>
          <w:rFonts w:ascii="宋体" w:hAnsi="宋体" w:cs="宋体" w:eastAsia="宋体" w:hint="default"/>
        </w:rPr>
        <w:t> </w:t>
      </w:r>
    </w:p>
    <w:p>
      <w:pPr>
        <w:pStyle w:val="BodyText"/>
        <w:spacing w:line="314" w:lineRule="auto" w:before="19"/>
        <w:ind w:right="198" w:firstLine="420"/>
        <w:jc w:val="both"/>
        <w:rPr>
          <w:rFonts w:ascii="宋体" w:hAnsi="宋体" w:cs="宋体" w:eastAsia="宋体" w:hint="default"/>
        </w:rPr>
      </w:pPr>
      <w:r>
        <w:rPr/>
        <w:t>发行金融工具发生的手续费、佣金等交易费用，如分类为债务工具且以摊余成本计量的，应当计入所发行工具的初始 计量金额；如分类为权益工具的，应当从权益中扣除。</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3"/>
        <w:jc w:val="left"/>
      </w:pPr>
      <w:r>
        <w:rPr/>
        <w:t>公司是否需要遵守特殊行业的披露要求 否</w:t>
      </w:r>
    </w:p>
    <w:p>
      <w:pPr>
        <w:spacing w:after="0" w:line="36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26.1 </w:t>
      </w:r>
      <w:r>
        <w:rPr>
          <w:rFonts w:ascii="Times New Roman" w:hAnsi="Times New Roman" w:cs="Times New Roman" w:eastAsia="Times New Roman" w:hint="default"/>
          <w:spacing w:val="3"/>
        </w:rPr>
        <w:t> </w:t>
      </w:r>
      <w:r>
        <w:rPr/>
        <w:t>销售商品的收入确认</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①企业已将商品所有权上的主要风险和报酬转移给购货方；</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②企业既没有保留通常与所有权相联系的继续管理权，也没有对已售出的商品实施控制；</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③收入的金额能够可靠的计量；</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④与交易相关的经济利益能够流入企业；</w:t>
      </w:r>
      <w:r>
        <w:rPr>
          <w:rFonts w:ascii="宋体" w:hAnsi="宋体" w:cs="宋体" w:eastAsia="宋体" w:hint="default"/>
        </w:rPr>
        <w:t> </w:t>
      </w:r>
    </w:p>
    <w:p>
      <w:pPr>
        <w:pStyle w:val="BodyText"/>
        <w:spacing w:line="316" w:lineRule="auto" w:before="76"/>
        <w:ind w:left="573" w:right="133"/>
        <w:jc w:val="left"/>
      </w:pPr>
      <w:r>
        <w:rPr/>
        <w:t>⑤相关的收入和成本能够可靠地计量。</w:t>
      </w:r>
      <w:r>
        <w:rPr>
          <w:rFonts w:ascii="宋体" w:hAnsi="宋体" w:cs="宋体" w:eastAsia="宋体" w:hint="default"/>
        </w:rPr>
        <w:t> </w:t>
      </w:r>
      <w:r>
        <w:rPr/>
        <w:t>金融硬件产品销售：公司与客户签订销售合同后，公司组织生产并发货，于客户开箱验收后（此时与产品</w:t>
      </w:r>
      <w:r>
        <w:rPr>
          <w:spacing w:val="-50"/>
        </w:rPr>
        <w:t> </w:t>
      </w:r>
      <w:r>
        <w:rPr>
          <w:rFonts w:ascii="宋体" w:hAnsi="宋体" w:cs="宋体" w:eastAsia="宋体" w:hint="default"/>
          <w:spacing w:val="-50"/>
        </w:rPr>
      </w:r>
      <w:r>
        <w:rPr/>
        <w:t>所有权相关</w:t>
      </w:r>
    </w:p>
    <w:p>
      <w:pPr>
        <w:pStyle w:val="BodyText"/>
        <w:spacing w:line="316" w:lineRule="auto" w:before="19"/>
        <w:ind w:left="573" w:right="135" w:hanging="420"/>
        <w:jc w:val="left"/>
      </w:pPr>
      <w:r>
        <w:rPr/>
        <w:t>的风险已经转移客户）确认收入。</w:t>
      </w:r>
      <w:r>
        <w:rPr>
          <w:rFonts w:ascii="宋体" w:hAnsi="宋体" w:cs="宋体" w:eastAsia="宋体" w:hint="default"/>
        </w:rPr>
        <w:t> </w:t>
      </w:r>
      <w:r>
        <w:rPr>
          <w:spacing w:val="-1"/>
        </w:rPr>
        <w:t>系统集成销售</w:t>
      </w:r>
      <w:r>
        <w:rPr>
          <w:rFonts w:ascii="宋体" w:hAnsi="宋体" w:cs="宋体" w:eastAsia="宋体" w:hint="default"/>
          <w:spacing w:val="-1"/>
        </w:rPr>
        <w:t>:</w:t>
      </w:r>
      <w:r>
        <w:rPr>
          <w:spacing w:val="-1"/>
        </w:rPr>
        <w:t>按照项目采购系统设备，硬件设备直接由厂商发送到客户，由客户验货并签收，公司集成人员按照合同</w:t>
      </w:r>
    </w:p>
    <w:p>
      <w:pPr>
        <w:pStyle w:val="BodyText"/>
        <w:spacing w:line="240" w:lineRule="auto" w:before="19"/>
        <w:ind w:right="0"/>
        <w:jc w:val="left"/>
        <w:rPr>
          <w:rFonts w:ascii="宋体" w:hAnsi="宋体" w:cs="宋体" w:eastAsia="宋体" w:hint="default"/>
        </w:rPr>
      </w:pPr>
      <w:r>
        <w:rPr/>
        <w:t>要求调试安装设备，客户验收后，与设备所有权相关的风险已经转移给客户，并确认收入。</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26.2 </w:t>
      </w:r>
      <w:r>
        <w:rPr>
          <w:rFonts w:ascii="Times New Roman" w:hAnsi="Times New Roman" w:cs="Times New Roman" w:eastAsia="Times New Roman" w:hint="default"/>
          <w:spacing w:val="3"/>
        </w:rPr>
        <w:t> </w:t>
      </w:r>
      <w:r>
        <w:rPr/>
        <w:t>提供劳务的收入确认</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w:t>
      </w:r>
      <w:r>
        <w:rPr>
          <w:rFonts w:ascii="宋体" w:hAnsi="宋体" w:cs="宋体" w:eastAsia="宋体" w:hint="default"/>
        </w:rPr>
        <w:t>1</w:t>
      </w:r>
      <w:r>
        <w:rPr/>
        <w:t>）在同一会计年度内开始并完成的劳务，在完成劳务时确认收入。</w:t>
      </w:r>
      <w:r>
        <w:rPr>
          <w:rFonts w:ascii="宋体" w:hAnsi="宋体" w:cs="宋体" w:eastAsia="宋体" w:hint="default"/>
        </w:rPr>
        <w:t> </w:t>
      </w:r>
    </w:p>
    <w:p>
      <w:pPr>
        <w:pStyle w:val="BodyText"/>
        <w:spacing w:line="316" w:lineRule="auto" w:before="76"/>
        <w:ind w:right="152" w:firstLine="420"/>
        <w:jc w:val="both"/>
        <w:rPr>
          <w:rFonts w:ascii="宋体" w:hAnsi="宋体" w:cs="宋体" w:eastAsia="宋体" w:hint="default"/>
        </w:rPr>
      </w:pPr>
      <w:r>
        <w:rPr>
          <w:spacing w:val="-1"/>
        </w:rPr>
        <w:t>（</w:t>
      </w:r>
      <w:r>
        <w:rPr>
          <w:rFonts w:ascii="宋体" w:hAnsi="宋体" w:cs="宋体" w:eastAsia="宋体" w:hint="default"/>
          <w:spacing w:val="-1"/>
        </w:rPr>
        <w:t>2</w:t>
      </w:r>
      <w:r>
        <w:rPr>
          <w:spacing w:val="-1"/>
        </w:rPr>
        <w:t>）如劳务的开始和完成分属不同的会计年度，在提供劳务交易的结果能够可靠估计的情况下，在资产负债表日按完</w:t>
      </w:r>
      <w:r>
        <w:rPr/>
        <w:t> </w:t>
      </w:r>
      <w:r>
        <w:rPr>
          <w:spacing w:val="-2"/>
        </w:rPr>
        <w:t>工百分比法确认相关劳务收入。在提供劳务交易的结果不能可靠估计的情况下，在资产负债表日按已经发生并预计能够补偿</w:t>
      </w:r>
      <w:r>
        <w:rPr>
          <w:spacing w:val="-65"/>
        </w:rPr>
        <w:t> </w:t>
      </w:r>
      <w:r>
        <w:rPr>
          <w:spacing w:val="-65"/>
        </w:rPr>
      </w:r>
      <w:r>
        <w:rPr/>
        <w:t>的劳务成本金额确认收入。</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在同时满足下列条件的情况下，表明其结果能够可靠估计：</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①与合同相关的经济利益很可能流入企业；</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②实际发生的合同成本能够清楚地区分和可靠地计量；</w:t>
      </w:r>
      <w:r>
        <w:rPr>
          <w:rFonts w:ascii="宋体" w:hAnsi="宋体" w:cs="宋体" w:eastAsia="宋体" w:hint="default"/>
        </w:rPr>
        <w:t> </w:t>
      </w:r>
    </w:p>
    <w:p>
      <w:pPr>
        <w:pStyle w:val="BodyText"/>
        <w:spacing w:line="316" w:lineRule="auto" w:before="76"/>
        <w:ind w:right="0" w:firstLine="420"/>
        <w:jc w:val="left"/>
        <w:rPr>
          <w:rFonts w:ascii="宋体" w:hAnsi="宋体" w:cs="宋体" w:eastAsia="宋体" w:hint="default"/>
        </w:rPr>
      </w:pPr>
      <w:r>
        <w:rPr/>
        <w:t>③固定造价合同还必须同时满足合同总收入能够可靠计量及合同完工进度和为完成合同尚需发生的成本能够可靠地确 定。</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w:t>
      </w:r>
      <w:r>
        <w:rPr>
          <w:rFonts w:ascii="宋体" w:hAnsi="宋体" w:cs="宋体" w:eastAsia="宋体" w:hint="default"/>
        </w:rPr>
        <w:t>3</w:t>
      </w:r>
      <w:r>
        <w:rPr/>
        <w:t>）合同完工进度的确认方法：本公司按累计实际发生的合同成本占合同预计总成本的比例确定合同完工进度。</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26.3 </w:t>
      </w:r>
      <w:r>
        <w:rPr/>
        <w:t>让渡资产使用权收入确认</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rPr>
          <w:rFonts w:ascii="宋体" w:hAnsi="宋体" w:cs="宋体" w:eastAsia="宋体" w:hint="default"/>
        </w:rPr>
      </w:pPr>
      <w:r>
        <w:rPr/>
        <w:t>在满足相关的经济利益很可能流入企业和收入的金额能够可靠地计量等两个条件时，本公司分别以下情况确认收入：</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1</w:t>
      </w:r>
      <w:r>
        <w:rPr/>
        <w:t>）利息收入按照他人使用本公司货币资金的时间和实际利率计算确定。</w:t>
      </w:r>
      <w:r>
        <w:rPr>
          <w:rFonts w:ascii="宋体" w:hAnsi="宋体" w:cs="宋体" w:eastAsia="宋体" w:hint="default"/>
        </w:rPr>
        <w:t> </w:t>
      </w:r>
    </w:p>
    <w:p>
      <w:pPr>
        <w:pStyle w:val="BodyText"/>
        <w:spacing w:line="240" w:lineRule="auto" w:before="76"/>
        <w:ind w:left="573" w:right="0"/>
        <w:jc w:val="left"/>
      </w:pPr>
      <w:r>
        <w:rPr/>
        <w:t>（</w:t>
      </w:r>
      <w:r>
        <w:rPr>
          <w:rFonts w:ascii="宋体" w:hAnsi="宋体" w:cs="宋体" w:eastAsia="宋体" w:hint="default"/>
        </w:rPr>
        <w:t>2</w:t>
      </w:r>
      <w:r>
        <w:rPr/>
        <w:t>）使用费收入按照有关合同或协议约定的收费时间和方法计算确定。</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20"/>
        <w:jc w:val="left"/>
        <w:rPr>
          <w:rFonts w:ascii="宋体" w:hAnsi="宋体" w:cs="宋体" w:eastAsia="宋体" w:hint="default"/>
        </w:rPr>
      </w:pPr>
      <w:r>
        <w:rPr/>
        <w:t>政府补助，是指本公司从政府无偿取得货币性资产或非货币性资产，但不包括政府作为所有者投入的资本。政府补助 分为与资产相关的政府补助和与收益相关的政府补助。</w:t>
      </w:r>
      <w:r>
        <w:rPr>
          <w:rFonts w:ascii="宋体" w:hAnsi="宋体" w:cs="宋体" w:eastAsia="宋体" w:hint="default"/>
        </w:rPr>
        <w:t> </w:t>
      </w:r>
    </w:p>
    <w:p>
      <w:pPr>
        <w:pStyle w:val="BodyText"/>
        <w:spacing w:line="316" w:lineRule="auto" w:before="19"/>
        <w:ind w:right="150" w:firstLine="420"/>
        <w:jc w:val="both"/>
        <w:rPr>
          <w:rFonts w:ascii="宋体" w:hAnsi="宋体" w:cs="宋体" w:eastAsia="宋体" w:hint="default"/>
        </w:rPr>
      </w:pPr>
      <w:r>
        <w:rPr/>
        <w:t>与资产相关的政府补助，是指本公司取得的、用于购建或以其他方式形成长期资产的政府补助；与收益相关的政府补 </w:t>
      </w:r>
      <w:r>
        <w:rPr>
          <w:spacing w:val="-2"/>
        </w:rPr>
        <w:t>助，是指除与资产相关的政府补助之外的政府补助。如果政府补助文件未明确确定补助对象，以取得该补助必须具备的基本</w:t>
      </w:r>
      <w:r>
        <w:rPr>
          <w:spacing w:val="-63"/>
        </w:rPr>
        <w:t> </w:t>
      </w:r>
      <w:r>
        <w:rPr>
          <w:spacing w:val="-63"/>
        </w:rPr>
      </w:r>
      <w:r>
        <w:rPr>
          <w:spacing w:val="-2"/>
        </w:rPr>
        <w:t>条件为基础进行判断，以购建或其他方式形成长期资产为基本条件的作为与资产相关的政府补助，除此之外的划分为与收益</w:t>
      </w:r>
      <w:r>
        <w:rPr>
          <w:spacing w:val="-64"/>
        </w:rPr>
        <w:t> </w:t>
      </w:r>
      <w:r>
        <w:rPr>
          <w:spacing w:val="-64"/>
        </w:rPr>
      </w:r>
      <w:r>
        <w:rPr/>
        <w:t>相关的政府补助。</w:t>
      </w:r>
      <w:r>
        <w:rPr>
          <w:rFonts w:ascii="宋体" w:hAnsi="宋体" w:cs="宋体" w:eastAsia="宋体" w:hint="default"/>
        </w:rPr>
        <w:t> </w:t>
      </w:r>
    </w:p>
    <w:p>
      <w:pPr>
        <w:pStyle w:val="BodyText"/>
        <w:spacing w:line="316" w:lineRule="auto" w:before="19"/>
        <w:ind w:left="573" w:right="5813"/>
        <w:jc w:val="left"/>
        <w:rPr>
          <w:rFonts w:ascii="宋体" w:hAnsi="宋体" w:cs="宋体" w:eastAsia="宋体" w:hint="default"/>
        </w:rPr>
      </w:pPr>
      <w:r>
        <w:rPr/>
        <w:t>①政府补助的确认</w:t>
      </w:r>
      <w:r>
        <w:rPr>
          <w:rFonts w:ascii="宋体" w:hAnsi="宋体" w:cs="宋体" w:eastAsia="宋体" w:hint="default"/>
        </w:rPr>
        <w:t> </w:t>
      </w:r>
      <w:r>
        <w:rPr/>
        <w:t>政府补助同时满足下列条件时，予以确认：</w:t>
      </w:r>
      <w:r>
        <w:rPr>
          <w:rFonts w:ascii="宋体" w:hAnsi="宋体" w:cs="宋体" w:eastAsia="宋体" w:hint="default"/>
        </w:rPr>
        <w:t> A.</w:t>
      </w:r>
      <w:r>
        <w:rPr/>
        <w:t>能够满足政府补助所附条件；</w:t>
      </w:r>
      <w:r>
        <w:rPr>
          <w:rFonts w:ascii="宋体" w:hAnsi="宋体" w:cs="宋体" w:eastAsia="宋体" w:hint="default"/>
        </w:rPr>
        <w:t> B.</w:t>
      </w:r>
      <w:r>
        <w:rPr/>
        <w:t>能够收到政府补助。</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73" w:right="135"/>
        <w:jc w:val="left"/>
      </w:pPr>
      <w:r>
        <w:rPr/>
        <w:t>②政府补助的计量：</w:t>
      </w:r>
      <w:r>
        <w:rPr>
          <w:rFonts w:ascii="宋体" w:hAnsi="宋体" w:cs="宋体" w:eastAsia="宋体" w:hint="default"/>
        </w:rPr>
        <w:t> </w:t>
      </w:r>
      <w:r>
        <w:rPr>
          <w:rFonts w:ascii="宋体" w:hAnsi="宋体" w:cs="宋体" w:eastAsia="宋体" w:hint="default"/>
          <w:spacing w:val="-1"/>
        </w:rPr>
        <w:t>A</w:t>
      </w:r>
      <w:r>
        <w:rPr>
          <w:spacing w:val="-1"/>
        </w:rPr>
        <w:t>、政府补助为货币性资产的，按照收到或应收的金额计量。政府补助为非货币性资产的，按照公允价值计量；公允价</w:t>
      </w:r>
    </w:p>
    <w:p>
      <w:pPr>
        <w:pStyle w:val="BodyText"/>
        <w:spacing w:line="316" w:lineRule="auto" w:before="17"/>
        <w:ind w:left="573" w:right="0" w:hanging="420"/>
        <w:jc w:val="left"/>
      </w:pPr>
      <w:r>
        <w:rPr/>
        <w:t>值不能可靠取得的，按照名义金额计量。</w:t>
      </w:r>
      <w:r>
        <w:rPr>
          <w:rFonts w:ascii="宋体" w:hAnsi="宋体" w:cs="宋体" w:eastAsia="宋体" w:hint="default"/>
        </w:rPr>
        <w:t> </w:t>
      </w:r>
      <w:r>
        <w:rPr>
          <w:rFonts w:ascii="宋体" w:hAnsi="宋体" w:cs="宋体" w:eastAsia="宋体" w:hint="default"/>
          <w:spacing w:val="-2"/>
        </w:rPr>
        <w:t>B</w:t>
      </w:r>
      <w:r>
        <w:rPr>
          <w:spacing w:val="-2"/>
        </w:rPr>
        <w:t>、与资产相关的政府补助，取得时确认为递延收益，自相关资产达到预定可使用状态时，在该资产使用寿命内按照合</w:t>
      </w:r>
    </w:p>
    <w:p>
      <w:pPr>
        <w:pStyle w:val="BodyText"/>
        <w:spacing w:line="316" w:lineRule="auto" w:before="19"/>
        <w:ind w:right="154"/>
        <w:jc w:val="both"/>
        <w:rPr>
          <w:rFonts w:ascii="宋体" w:hAnsi="宋体" w:cs="宋体" w:eastAsia="宋体" w:hint="default"/>
        </w:rPr>
      </w:pPr>
      <w:r>
        <w:rPr>
          <w:spacing w:val="-2"/>
        </w:rPr>
        <w:t>理、系统的方法分期计入损益。相关资产在使用寿命结束前被出售、转让、报废或发生毁损的，将尚未分配的相关递延收益</w:t>
      </w:r>
      <w:r>
        <w:rPr>
          <w:spacing w:val="-67"/>
        </w:rPr>
        <w:t> </w:t>
      </w:r>
      <w:r>
        <w:rPr>
          <w:spacing w:val="-67"/>
        </w:rPr>
      </w:r>
      <w:r>
        <w:rPr/>
        <w:t>余额转入资产处置当期的损益。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20"/>
        <w:jc w:val="left"/>
        <w:rPr>
          <w:rFonts w:ascii="宋体" w:hAnsi="宋体" w:cs="宋体" w:eastAsia="宋体" w:hint="default"/>
        </w:rPr>
      </w:pPr>
      <w:r>
        <w:rPr/>
        <w:t>与收益相关的政府补助，用于补偿以后期间的相关成本费用或损失的，取得时确认为递延收益，在确认相关成本费用 或损失的期间计入当期损益；用于补偿已发生的相关成本费用或损失的，取得时直接计入当期损益。</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与日常活动相关的政府补助，计入其他收益；与日常活动无关的政府补助，计入营业外收支。</w:t>
      </w:r>
      <w:r>
        <w:rPr>
          <w:rFonts w:ascii="宋体" w:hAnsi="宋体" w:cs="宋体" w:eastAsia="宋体" w:hint="default"/>
        </w:rPr>
        <w:t> </w:t>
      </w:r>
    </w:p>
    <w:p>
      <w:pPr>
        <w:pStyle w:val="BodyText"/>
        <w:spacing w:line="316" w:lineRule="auto" w:before="77"/>
        <w:ind w:left="573" w:right="135"/>
        <w:jc w:val="left"/>
      </w:pPr>
      <w:r>
        <w:rPr/>
        <w:t>①取得政策性优惠贷款贴息，区分以下两种取得方式进行会计处理：</w:t>
      </w:r>
      <w:r>
        <w:rPr>
          <w:rFonts w:ascii="宋体" w:hAnsi="宋体" w:cs="宋体" w:eastAsia="宋体" w:hint="default"/>
        </w:rPr>
        <w:t> </w:t>
      </w:r>
      <w:r>
        <w:rPr>
          <w:rFonts w:ascii="宋体" w:hAnsi="宋体" w:cs="宋体" w:eastAsia="宋体" w:hint="default"/>
          <w:spacing w:val="-1"/>
        </w:rPr>
        <w:t>A</w:t>
      </w:r>
      <w:r>
        <w:rPr>
          <w:spacing w:val="-1"/>
        </w:rPr>
        <w:t>、财政将贴息资金拨付给贷款银行，由贷款银行以政策性优惠利率向本集团提供贷款的，以借款的公允价值作为借款</w:t>
      </w:r>
    </w:p>
    <w:p>
      <w:pPr>
        <w:pStyle w:val="BodyText"/>
        <w:spacing w:line="316" w:lineRule="auto" w:before="19"/>
        <w:ind w:right="152"/>
        <w:jc w:val="both"/>
        <w:rPr>
          <w:rFonts w:ascii="宋体" w:hAnsi="宋体" w:cs="宋体" w:eastAsia="宋体" w:hint="default"/>
        </w:rPr>
      </w:pPr>
      <w:r>
        <w:rPr>
          <w:spacing w:val="-2"/>
        </w:rPr>
        <w:t>的入账价值并按照实际利率法计算借款费用，实际收到的金额与借款公允价值之间的差额确认为递延收益。递延收益在借款</w:t>
      </w:r>
      <w:r>
        <w:rPr>
          <w:spacing w:val="-64"/>
        </w:rPr>
        <w:t> </w:t>
      </w:r>
      <w:r>
        <w:rPr>
          <w:spacing w:val="-64"/>
        </w:rPr>
      </w:r>
      <w:r>
        <w:rPr/>
        <w:t>存续期内采用实际利率法摊销，冲减相关借款费用。</w:t>
      </w:r>
      <w:r>
        <w:rPr>
          <w:rFonts w:ascii="宋体" w:hAnsi="宋体" w:cs="宋体" w:eastAsia="宋体" w:hint="default"/>
        </w:rPr>
        <w:t>[</w:t>
      </w:r>
      <w:r>
        <w:rPr/>
        <w:t>或：以实际收到的借款金额作为借款的入账价值，按照借款本金和该</w:t>
      </w:r>
      <w:r>
        <w:rPr>
          <w:spacing w:val="-84"/>
        </w:rPr>
        <w:t> </w:t>
      </w:r>
      <w:r>
        <w:rPr>
          <w:spacing w:val="-84"/>
        </w:rPr>
      </w:r>
      <w:r>
        <w:rPr/>
        <w:t>政策性优惠利率计算相关借款费用。</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hAnsi="宋体" w:cs="宋体" w:eastAsia="宋体" w:hint="default"/>
        </w:rPr>
        <w:t>B</w:t>
      </w:r>
      <w:r>
        <w:rPr/>
        <w:t>、财政将贴息资金直接拨付给本集团的，将对应的贴息冲减相关借款费用。</w:t>
      </w:r>
      <w:r>
        <w:rPr>
          <w:rFonts w:ascii="宋体" w:hAnsi="宋体" w:cs="宋体" w:eastAsia="宋体" w:hint="default"/>
        </w:rPr>
        <w:t> </w:t>
      </w:r>
    </w:p>
    <w:p>
      <w:pPr>
        <w:pStyle w:val="BodyText"/>
        <w:spacing w:line="316" w:lineRule="auto" w:before="76"/>
        <w:ind w:left="573" w:right="0"/>
        <w:jc w:val="left"/>
        <w:rPr>
          <w:rFonts w:ascii="宋体" w:hAnsi="宋体" w:cs="宋体" w:eastAsia="宋体" w:hint="default"/>
        </w:rPr>
      </w:pPr>
      <w:r>
        <w:rPr/>
        <w:t>②</w:t>
      </w:r>
      <w:r>
        <w:rPr>
          <w:spacing w:val="1"/>
        </w:rPr>
        <w:t> </w:t>
      </w:r>
      <w:r>
        <w:rPr>
          <w:rFonts w:ascii="宋体" w:hAnsi="宋体" w:cs="宋体" w:eastAsia="宋体" w:hint="default"/>
          <w:spacing w:val="1"/>
        </w:rPr>
      </w:r>
      <w:r>
        <w:rPr/>
        <w:t>已确认的政府补助需要返还的，分别下列情况处理：</w:t>
      </w:r>
      <w:r>
        <w:rPr>
          <w:rFonts w:ascii="宋体" w:hAnsi="宋体" w:cs="宋体" w:eastAsia="宋体" w:hint="default"/>
        </w:rPr>
        <w:t> A</w:t>
      </w:r>
      <w:r>
        <w:rPr/>
        <w:t>、存在相关递延收益的，冲减相关递延收益账面余额，超出部分计入当期损益。</w:t>
      </w:r>
      <w:r>
        <w:rPr>
          <w:spacing w:val="-85"/>
        </w:rPr>
        <w:t> </w:t>
      </w:r>
      <w:r>
        <w:rPr>
          <w:rFonts w:ascii="宋体" w:hAnsi="宋体" w:cs="宋体" w:eastAsia="宋体" w:hint="default"/>
          <w:spacing w:val="-85"/>
        </w:rPr>
      </w:r>
      <w:r>
        <w:rPr>
          <w:rFonts w:ascii="宋体" w:hAnsi="宋体" w:cs="宋体" w:eastAsia="宋体" w:hint="default"/>
        </w:rPr>
        <w:t>B</w:t>
      </w:r>
      <w:r>
        <w:rPr/>
        <w:t>、属于其他情况的，直接计入当期损益。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0"/>
        <w:jc w:val="left"/>
      </w:pPr>
      <w:r>
        <w:rPr/>
        <w:t>本公司采用资产负债表债务法核算所得税。</w:t>
      </w:r>
      <w:r>
        <w:rPr>
          <w:rFonts w:ascii="宋体" w:hAnsi="宋体" w:cs="宋体" w:eastAsia="宋体" w:hint="default"/>
        </w:rPr>
        <w:t> </w:t>
      </w:r>
      <w:r>
        <w:rPr/>
        <w:t>在取得资产、承担负债时，本公司按照国家税法规定确定相关资产、负债的计税基础。如果资产的账面价值大于其计</w:t>
      </w:r>
    </w:p>
    <w:p>
      <w:pPr>
        <w:pStyle w:val="BodyText"/>
        <w:spacing w:line="316" w:lineRule="auto" w:before="19"/>
        <w:ind w:right="152"/>
        <w:jc w:val="both"/>
        <w:rPr>
          <w:rFonts w:ascii="宋体" w:hAnsi="宋体" w:cs="宋体" w:eastAsia="宋体" w:hint="default"/>
        </w:rPr>
      </w:pPr>
      <w:r>
        <w:rPr>
          <w:spacing w:val="-2"/>
        </w:rPr>
        <w:t>税基础或者负债的账面价值小于其计税基础，则将此差异作为应纳税暂时性差异；如果资产的账面价值小于其计税基础或者</w:t>
      </w:r>
      <w:r>
        <w:rPr>
          <w:spacing w:val="-64"/>
        </w:rPr>
        <w:t> </w:t>
      </w:r>
      <w:r>
        <w:rPr>
          <w:spacing w:val="-64"/>
        </w:rPr>
      </w:r>
      <w:r>
        <w:rPr/>
        <w:t>负债的账面价值大于其计税基础，则将此差异作为可抵扣暂时性差异。</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rFonts w:ascii="宋体" w:hAnsi="宋体" w:cs="宋体" w:eastAsia="宋体" w:hint="default"/>
        </w:rPr>
        <w:t>28.1 </w:t>
      </w:r>
      <w:r>
        <w:rPr/>
        <w:t>除下列交易中产生的递延所得税负债以外，本公司确认所有应纳税暂时性差异产生的递延所得税负债：</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1</w:t>
      </w:r>
      <w:r>
        <w:rPr/>
        <w:t>）商誉的初始确认；</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2</w:t>
      </w:r>
      <w:r>
        <w:rPr/>
        <w:t>）同时具有下列特征的交易中产生的资产或负债的初始确认：</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①该项交易不是企业合并；</w:t>
      </w:r>
      <w:r>
        <w:rPr>
          <w:rFonts w:ascii="宋体" w:hAnsi="宋体" w:cs="宋体" w:eastAsia="宋体" w:hint="default"/>
        </w:rPr>
        <w:t> </w:t>
      </w:r>
    </w:p>
    <w:p>
      <w:pPr>
        <w:pStyle w:val="BodyText"/>
        <w:spacing w:line="316" w:lineRule="auto" w:before="76"/>
        <w:ind w:left="573" w:right="0"/>
        <w:jc w:val="left"/>
      </w:pPr>
      <w:r>
        <w:rPr/>
        <w:t>②交易发生时既不影响会计利润也不影响应纳税所得额（或可抵扣亏损）。</w:t>
      </w:r>
      <w:r>
        <w:rPr>
          <w:rFonts w:ascii="宋体" w:hAnsi="宋体" w:cs="宋体" w:eastAsia="宋体" w:hint="default"/>
        </w:rPr>
        <w:t> </w:t>
      </w:r>
      <w:r>
        <w:rPr/>
        <w:t>除非本公司能够控制与子公司、联营企业及合营企业的投资相关的应纳税暂时性差异转回的时间以及该暂时性差异在</w:t>
      </w:r>
    </w:p>
    <w:p>
      <w:pPr>
        <w:pStyle w:val="BodyText"/>
        <w:spacing w:line="240" w:lineRule="auto" w:before="19"/>
        <w:ind w:right="0"/>
        <w:jc w:val="both"/>
        <w:rPr>
          <w:rFonts w:ascii="宋体" w:hAnsi="宋体" w:cs="宋体" w:eastAsia="宋体" w:hint="default"/>
        </w:rPr>
      </w:pPr>
      <w:r>
        <w:rPr/>
        <w:t>可预见的未来很可能不会转回，本公司将确认其产生的递延所得税负债。</w:t>
      </w:r>
      <w:r>
        <w:rPr>
          <w:rFonts w:ascii="宋体" w:hAnsi="宋体" w:cs="宋体" w:eastAsia="宋体" w:hint="default"/>
        </w:rPr>
        <w:t> </w:t>
      </w:r>
    </w:p>
    <w:p>
      <w:pPr>
        <w:pStyle w:val="BodyText"/>
        <w:spacing w:line="316" w:lineRule="auto" w:before="77"/>
        <w:ind w:right="133" w:firstLine="420"/>
        <w:jc w:val="left"/>
        <w:rPr>
          <w:rFonts w:ascii="宋体" w:hAnsi="宋体" w:cs="宋体" w:eastAsia="宋体" w:hint="default"/>
        </w:rPr>
      </w:pPr>
      <w:r>
        <w:rPr>
          <w:rFonts w:ascii="宋体" w:hAnsi="宋体" w:cs="宋体" w:eastAsia="宋体" w:hint="default"/>
        </w:rPr>
        <w:t>28.2</w:t>
      </w:r>
      <w:r>
        <w:rPr>
          <w:rFonts w:ascii="宋体" w:hAnsi="宋体" w:cs="宋体" w:eastAsia="宋体" w:hint="default"/>
          <w:spacing w:val="-50"/>
        </w:rPr>
        <w:t> </w:t>
      </w:r>
      <w:r>
        <w:rPr/>
        <w:t>本公司以很可能取得用来抵扣可抵扣暂时性差异的应纳税所得额为限，确认由可抵扣暂时性差异产生的递延所得 税资产，但不确认同时具有下列特征的交易中因资产或负债的初始确认所产生的递延所得税资产：</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w:t>
      </w:r>
      <w:r>
        <w:rPr>
          <w:rFonts w:ascii="宋体" w:hAnsi="宋体" w:cs="宋体" w:eastAsia="宋体" w:hint="default"/>
        </w:rPr>
        <w:t>1</w:t>
      </w:r>
      <w:r>
        <w:rPr/>
        <w:t>）该项交易不是企业合并；</w:t>
      </w:r>
      <w:r>
        <w:rPr>
          <w:rFonts w:ascii="宋体" w:hAnsi="宋体" w:cs="宋体" w:eastAsia="宋体" w:hint="default"/>
        </w:rPr>
        <w:t> </w:t>
      </w:r>
    </w:p>
    <w:p>
      <w:pPr>
        <w:pStyle w:val="BodyText"/>
        <w:spacing w:line="316" w:lineRule="auto" w:before="76"/>
        <w:ind w:left="573" w:right="0"/>
        <w:jc w:val="left"/>
      </w:pPr>
      <w:r>
        <w:rPr/>
        <w:t>（</w:t>
      </w:r>
      <w:r>
        <w:rPr>
          <w:rFonts w:ascii="宋体" w:hAnsi="宋体" w:cs="宋体" w:eastAsia="宋体" w:hint="default"/>
        </w:rPr>
        <w:t>2</w:t>
      </w:r>
      <w:r>
        <w:rPr/>
        <w:t>）交易发生时既不影响会计利润也不影响应纳税所得额（或可抵扣亏损）。</w:t>
      </w:r>
      <w:r>
        <w:rPr>
          <w:rFonts w:ascii="宋体" w:hAnsi="宋体" w:cs="宋体" w:eastAsia="宋体" w:hint="default"/>
        </w:rPr>
        <w:t> </w:t>
      </w:r>
      <w:r>
        <w:rPr/>
        <w:t>资产负债表日，有确凿证据表明未来期间很可能获得足够的应纳税所得额用来抵扣可抵扣暂时性差异的，本公司将确</w:t>
      </w:r>
    </w:p>
    <w:p>
      <w:pPr>
        <w:pStyle w:val="BodyText"/>
        <w:spacing w:line="316" w:lineRule="auto" w:before="19"/>
        <w:ind w:right="152"/>
        <w:jc w:val="both"/>
        <w:rPr>
          <w:rFonts w:ascii="宋体" w:hAnsi="宋体" w:cs="宋体" w:eastAsia="宋体" w:hint="default"/>
        </w:rPr>
      </w:pPr>
      <w:r>
        <w:rPr>
          <w:spacing w:val="-2"/>
        </w:rPr>
        <w:t>认以前期间未确认的递延所得税资产。若与子公司、联营企业及合营企业投资相关的可抵扣暂时性差异在可预见的未来很可</w:t>
      </w:r>
      <w:r>
        <w:rPr>
          <w:spacing w:val="-64"/>
        </w:rPr>
        <w:t> </w:t>
      </w:r>
      <w:r>
        <w:rPr>
          <w:spacing w:val="-64"/>
        </w:rPr>
      </w:r>
      <w:r>
        <w:rPr/>
        <w:t>能转回且未来很可能获得用来抵扣可抵扣暂时性差异的应纳税所得额，本公司将确认与此差异相应的递延所得税资产。</w:t>
      </w:r>
      <w:r>
        <w:rPr>
          <w:rFonts w:ascii="宋体" w:hAnsi="宋体" w:cs="宋体" w:eastAsia="宋体" w:hint="default"/>
        </w:rPr>
        <w:t> </w:t>
      </w:r>
    </w:p>
    <w:p>
      <w:pPr>
        <w:pStyle w:val="BodyText"/>
        <w:spacing w:line="316" w:lineRule="auto" w:before="19"/>
        <w:ind w:right="133" w:firstLine="420"/>
        <w:jc w:val="left"/>
        <w:rPr>
          <w:rFonts w:ascii="宋体" w:hAnsi="宋体" w:cs="宋体" w:eastAsia="宋体" w:hint="default"/>
        </w:rPr>
      </w:pPr>
      <w:r>
        <w:rPr>
          <w:rFonts w:ascii="宋体" w:hAnsi="宋体" w:cs="宋体" w:eastAsia="宋体" w:hint="default"/>
        </w:rPr>
        <w:t>28.3</w:t>
      </w:r>
      <w:r>
        <w:rPr>
          <w:rFonts w:ascii="宋体" w:hAnsi="宋体" w:cs="宋体" w:eastAsia="宋体" w:hint="default"/>
          <w:spacing w:val="-50"/>
        </w:rPr>
        <w:t> </w:t>
      </w:r>
      <w:r>
        <w:rPr/>
        <w:t>资产负债表日，本公司按照税法规定计算的预期应交纳（或返还）的所得税金额计量当期和以前期间形成的当期 所得税负债（或资产）；按照预期收回该资产或清偿该负债期间的适用税率计量递延所得税资产和递延所得税负债。</w:t>
      </w:r>
      <w:r>
        <w:rPr>
          <w:rFonts w:ascii="宋体" w:hAnsi="宋体" w:cs="宋体" w:eastAsia="宋体" w:hint="default"/>
        </w:rPr>
        <w:t> </w:t>
      </w:r>
    </w:p>
    <w:p>
      <w:pPr>
        <w:pStyle w:val="BodyText"/>
        <w:spacing w:line="240" w:lineRule="auto" w:before="19"/>
        <w:ind w:left="573" w:right="0"/>
        <w:jc w:val="left"/>
      </w:pPr>
      <w:r>
        <w:rPr/>
        <w:t>如果适用税率发生变化，本公司对已确认的递延所得税资产和递延所得税负债将进行重新计量。除直接在所有者权益</w:t>
      </w:r>
    </w:p>
    <w:p>
      <w:pPr>
        <w:spacing w:after="0" w:line="240" w:lineRule="auto"/>
        <w:jc w:val="left"/>
        <w:sectPr>
          <w:footerReference w:type="default" r:id="rId21"/>
          <w:pgSz w:w="11910" w:h="16840"/>
          <w:pgMar w:footer="979" w:header="745" w:top="1060" w:bottom="1160" w:left="980" w:right="980"/>
          <w:pgNumType w:start="107"/>
        </w:sectPr>
      </w:pPr>
    </w:p>
    <w:p>
      <w:pPr>
        <w:spacing w:line="240" w:lineRule="auto" w:before="9"/>
        <w:rPr>
          <w:rFonts w:ascii="宋体" w:hAnsi="宋体" w:cs="宋体" w:eastAsia="宋体" w:hint="default"/>
          <w:sz w:val="25"/>
          <w:szCs w:val="25"/>
        </w:rPr>
      </w:pPr>
    </w:p>
    <w:p>
      <w:pPr>
        <w:pStyle w:val="BodyText"/>
        <w:spacing w:line="319" w:lineRule="auto" w:before="44"/>
        <w:ind w:right="0"/>
        <w:jc w:val="left"/>
        <w:rPr>
          <w:rFonts w:ascii="宋体" w:hAnsi="宋体" w:cs="宋体" w:eastAsia="宋体" w:hint="default"/>
        </w:rPr>
      </w:pPr>
      <w:r>
        <w:rPr>
          <w:spacing w:val="-2"/>
        </w:rPr>
        <w:t>中确认的交易或者事项产生的递延所得税资产和递延所得税负债以外，本公司将税率变化产生的影响数计入变化当期的所得</w:t>
      </w:r>
      <w:r>
        <w:rPr>
          <w:spacing w:val="-63"/>
        </w:rPr>
        <w:t> </w:t>
      </w:r>
      <w:r>
        <w:rPr>
          <w:spacing w:val="-63"/>
        </w:rPr>
      </w:r>
      <w:r>
        <w:rPr/>
        <w:t>税费用。</w:t>
      </w:r>
      <w:r>
        <w:rPr>
          <w:rFonts w:ascii="宋体" w:hAnsi="宋体" w:cs="宋体" w:eastAsia="宋体" w:hint="default"/>
        </w:rPr>
        <w:t> </w:t>
      </w:r>
    </w:p>
    <w:p>
      <w:pPr>
        <w:pStyle w:val="BodyText"/>
        <w:spacing w:line="316" w:lineRule="auto" w:before="17"/>
        <w:ind w:right="150" w:firstLine="420"/>
        <w:jc w:val="both"/>
        <w:rPr>
          <w:rFonts w:ascii="宋体" w:hAnsi="宋体" w:cs="宋体" w:eastAsia="宋体" w:hint="default"/>
        </w:rPr>
      </w:pPr>
      <w:r>
        <w:rPr/>
        <w:t>在每个资产负债表日，本公司将对递延所得税资产的账面价值进行复核。如果未来期间很可能无法获得足够的应纳税 </w:t>
      </w:r>
      <w:r>
        <w:rPr>
          <w:spacing w:val="-2"/>
        </w:rPr>
        <w:t>所得额用以抵扣递延所得税资产的利益，则减记递延所得税资产的账面价值。在很可能获得足够的应纳税所得额时，减记的</w:t>
      </w:r>
      <w:r>
        <w:rPr>
          <w:spacing w:val="-63"/>
        </w:rPr>
        <w:t> </w:t>
      </w:r>
      <w:r>
        <w:rPr>
          <w:spacing w:val="-63"/>
        </w:rPr>
      </w:r>
      <w:r>
        <w:rPr/>
        <w:t>金额应当转回。</w:t>
      </w:r>
      <w:r>
        <w:rPr>
          <w:rFonts w:ascii="宋体" w:hAnsi="宋体" w:cs="宋体" w:eastAsia="宋体" w:hint="default"/>
        </w:rPr>
        <w:t> </w:t>
      </w:r>
    </w:p>
    <w:p>
      <w:pPr>
        <w:pStyle w:val="BodyText"/>
        <w:spacing w:line="316" w:lineRule="auto" w:before="19"/>
        <w:ind w:right="158" w:firstLine="420"/>
        <w:jc w:val="both"/>
      </w:pPr>
      <w:r>
        <w:rPr/>
        <w:t>本公司将除企业合并及直接在所有者权益中确认的交易或者事项外的当期所得税和递延所得税作为计入利润表的所得 税费用或收益。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8" w:firstLine="420"/>
        <w:jc w:val="both"/>
        <w:rPr>
          <w:rFonts w:ascii="宋体" w:hAnsi="宋体" w:cs="宋体" w:eastAsia="宋体" w:hint="default"/>
        </w:rPr>
      </w:pPr>
      <w:r>
        <w:rPr/>
        <w:t>租赁是指在约定的期间内，出租人将资产使用权让与承租人以获取租金的协议，包括经营性租赁与融资性租赁两种方 式。</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53"/>
        <w:jc w:val="left"/>
      </w:pPr>
      <w:r>
        <w:rPr>
          <w:rFonts w:ascii="宋体" w:hAnsi="宋体" w:cs="宋体" w:eastAsia="宋体" w:hint="default"/>
        </w:rPr>
        <w:t> </w:t>
      </w:r>
      <w:r>
        <w:rPr/>
        <w:t>作为承</w:t>
      </w:r>
      <w:r>
        <w:rPr>
          <w:spacing w:val="2"/>
        </w:rPr>
        <w:t>租</w:t>
      </w:r>
      <w:r>
        <w:rPr/>
        <w:t>人支</w:t>
      </w:r>
      <w:r>
        <w:rPr>
          <w:spacing w:val="2"/>
        </w:rPr>
        <w:t>付</w:t>
      </w:r>
      <w:r>
        <w:rPr/>
        <w:t>的租</w:t>
      </w:r>
      <w:r>
        <w:rPr>
          <w:spacing w:val="2"/>
        </w:rPr>
        <w:t>金</w:t>
      </w:r>
      <w:r>
        <w:rPr/>
        <w:t>，公</w:t>
      </w:r>
      <w:r>
        <w:rPr>
          <w:spacing w:val="2"/>
        </w:rPr>
        <w:t>司</w:t>
      </w:r>
      <w:r>
        <w:rPr/>
        <w:t>在租赁</w:t>
      </w:r>
      <w:r>
        <w:rPr>
          <w:spacing w:val="2"/>
        </w:rPr>
        <w:t>期</w:t>
      </w:r>
      <w:r>
        <w:rPr/>
        <w:t>内各</w:t>
      </w:r>
      <w:r>
        <w:rPr>
          <w:spacing w:val="2"/>
        </w:rPr>
        <w:t>个</w:t>
      </w:r>
      <w:r>
        <w:rPr/>
        <w:t>期间</w:t>
      </w:r>
      <w:r>
        <w:rPr>
          <w:spacing w:val="2"/>
        </w:rPr>
        <w:t>按</w:t>
      </w:r>
      <w:r>
        <w:rPr/>
        <w:t>照直</w:t>
      </w:r>
      <w:r>
        <w:rPr>
          <w:spacing w:val="2"/>
        </w:rPr>
        <w:t>线</w:t>
      </w:r>
      <w:r>
        <w:rPr/>
        <w:t>法计入</w:t>
      </w:r>
      <w:r>
        <w:rPr>
          <w:spacing w:val="2"/>
        </w:rPr>
        <w:t>相</w:t>
      </w:r>
      <w:r>
        <w:rPr/>
        <w:t>关资</w:t>
      </w:r>
      <w:r>
        <w:rPr>
          <w:spacing w:val="2"/>
        </w:rPr>
        <w:t>产</w:t>
      </w:r>
      <w:r>
        <w:rPr/>
        <w:t>成本</w:t>
      </w:r>
      <w:r>
        <w:rPr>
          <w:spacing w:val="2"/>
        </w:rPr>
        <w:t>或</w:t>
      </w:r>
      <w:r>
        <w:rPr/>
        <w:t>当期</w:t>
      </w:r>
      <w:r>
        <w:rPr>
          <w:spacing w:val="2"/>
        </w:rPr>
        <w:t>损</w:t>
      </w:r>
      <w:r>
        <w:rPr/>
        <w:t>益。公</w:t>
      </w:r>
      <w:r>
        <w:rPr>
          <w:spacing w:val="2"/>
        </w:rPr>
        <w:t>司</w:t>
      </w:r>
      <w:r>
        <w:rPr/>
        <w:t>从事</w:t>
      </w:r>
      <w:r>
        <w:rPr>
          <w:spacing w:val="2"/>
        </w:rPr>
        <w:t>经</w:t>
      </w:r>
      <w:r>
        <w:rPr/>
        <w:t>营租</w:t>
      </w:r>
      <w:r>
        <w:rPr>
          <w:spacing w:val="2"/>
        </w:rPr>
        <w:t>赁</w:t>
      </w:r>
      <w:r>
        <w:rPr/>
        <w:t>业务</w:t>
      </w:r>
    </w:p>
    <w:p>
      <w:pPr>
        <w:pStyle w:val="BodyText"/>
        <w:spacing w:line="240" w:lineRule="auto" w:before="19"/>
        <w:ind w:right="0"/>
        <w:jc w:val="left"/>
        <w:rPr>
          <w:rFonts w:ascii="宋体" w:hAnsi="宋体" w:cs="宋体" w:eastAsia="宋体" w:hint="default"/>
        </w:rPr>
      </w:pPr>
      <w:r>
        <w:rPr/>
        <w:t>发生的初始直接费用，直接计入当期损益。经营租赁协议涉及的或有租金在实际发生时计入当期损益。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1133"/>
        <w:jc w:val="left"/>
        <w:rPr>
          <w:rFonts w:ascii="宋体" w:hAnsi="宋体" w:cs="宋体" w:eastAsia="宋体" w:hint="default"/>
        </w:rPr>
      </w:pPr>
      <w:r>
        <w:rPr/>
        <w:t>①符合下列一项或数项标准的，认定为融资租赁：</w:t>
      </w:r>
      <w:r>
        <w:rPr>
          <w:rFonts w:ascii="宋体" w:hAnsi="宋体" w:cs="宋体" w:eastAsia="宋体" w:hint="default"/>
        </w:rPr>
        <w:t> A</w:t>
      </w:r>
      <w:r>
        <w:rPr/>
        <w:t>、在租赁期届满时，租赁资产的所有权转移给承租人；</w:t>
      </w:r>
      <w:r>
        <w:rPr>
          <w:rFonts w:ascii="宋体" w:hAnsi="宋体" w:cs="宋体" w:eastAsia="宋体" w:hint="default"/>
        </w:rPr>
        <w:t> </w:t>
      </w:r>
    </w:p>
    <w:p>
      <w:pPr>
        <w:pStyle w:val="BodyText"/>
        <w:spacing w:line="316" w:lineRule="auto" w:before="19"/>
        <w:ind w:right="152" w:firstLine="420"/>
        <w:jc w:val="both"/>
        <w:rPr>
          <w:rFonts w:ascii="宋体" w:hAnsi="宋体" w:cs="宋体" w:eastAsia="宋体" w:hint="default"/>
        </w:rPr>
      </w:pPr>
      <w:r>
        <w:rPr>
          <w:rFonts w:ascii="宋体" w:hAnsi="宋体" w:cs="宋体" w:eastAsia="宋体" w:hint="default"/>
          <w:spacing w:val="-1"/>
        </w:rPr>
        <w:t>B</w:t>
      </w:r>
      <w:r>
        <w:rPr>
          <w:spacing w:val="-1"/>
        </w:rPr>
        <w:t>、承租人有购买租赁资产的选择权，所订立的购买价款预计将远低于行使选择权时租赁资产的公允价值，因而在租赁</w:t>
      </w:r>
      <w:r>
        <w:rPr/>
        <w:t> 开始日就可以合理确定承租人将会行使这种选择权；</w:t>
      </w:r>
      <w:r>
        <w:rPr>
          <w:rFonts w:ascii="宋体" w:hAnsi="宋体" w:cs="宋体" w:eastAsia="宋体" w:hint="default"/>
        </w:rPr>
        <w:t> </w:t>
      </w:r>
    </w:p>
    <w:p>
      <w:pPr>
        <w:pStyle w:val="BodyText"/>
        <w:spacing w:line="316" w:lineRule="auto" w:before="19"/>
        <w:ind w:left="573" w:right="0"/>
        <w:jc w:val="left"/>
      </w:pPr>
      <w:r>
        <w:rPr>
          <w:rFonts w:ascii="宋体" w:hAnsi="宋体" w:cs="宋体" w:eastAsia="宋体" w:hint="default"/>
        </w:rPr>
        <w:t>C</w:t>
      </w:r>
      <w:r>
        <w:rPr/>
        <w:t>、即使资产的所有权不转移，但租赁期占租赁资产使用寿命的大部分（</w:t>
      </w:r>
      <w:r>
        <w:rPr>
          <w:rFonts w:ascii="宋体" w:hAnsi="宋体" w:cs="宋体" w:eastAsia="宋体" w:hint="default"/>
        </w:rPr>
        <w:t>75%</w:t>
      </w:r>
      <w:r>
        <w:rPr/>
        <w:t>（含）以上）；</w:t>
      </w:r>
      <w:r>
        <w:rPr>
          <w:rFonts w:ascii="宋体" w:hAnsi="宋体" w:cs="宋体" w:eastAsia="宋体" w:hint="default"/>
        </w:rPr>
        <w:t> D</w:t>
      </w:r>
      <w:r>
        <w:rPr/>
        <w:t>、承租人在租赁开始日的最低租赁付款额现值，几乎相当于租赁开始日租赁资产公允价值（</w:t>
      </w:r>
      <w:r>
        <w:rPr>
          <w:rFonts w:ascii="宋体" w:hAnsi="宋体" w:cs="宋体" w:eastAsia="宋体" w:hint="default"/>
        </w:rPr>
        <w:t>90%</w:t>
      </w:r>
      <w:r>
        <w:rPr/>
        <w:t>（含）以上）；出租</w:t>
      </w:r>
    </w:p>
    <w:p>
      <w:pPr>
        <w:pStyle w:val="BodyText"/>
        <w:spacing w:line="316" w:lineRule="auto" w:before="19"/>
        <w:ind w:left="573" w:right="1495" w:hanging="420"/>
        <w:jc w:val="left"/>
        <w:rPr>
          <w:rFonts w:ascii="宋体" w:hAnsi="宋体" w:cs="宋体" w:eastAsia="宋体" w:hint="default"/>
        </w:rPr>
      </w:pPr>
      <w:r>
        <w:rPr/>
        <w:t>人在租赁开始日的最低租赁收款额现值，几乎相当于租赁开始日租赁资产公允价值（</w:t>
      </w:r>
      <w:r>
        <w:rPr>
          <w:rFonts w:ascii="宋体" w:hAnsi="宋体" w:cs="宋体" w:eastAsia="宋体" w:hint="default"/>
        </w:rPr>
        <w:t>90%</w:t>
      </w:r>
      <w:r>
        <w:rPr/>
        <w:t>（含）以上）；</w:t>
      </w:r>
      <w:r>
        <w:rPr>
          <w:rFonts w:ascii="宋体" w:hAnsi="宋体" w:cs="宋体" w:eastAsia="宋体" w:hint="default"/>
        </w:rPr>
        <w:t> E</w:t>
      </w:r>
      <w:r>
        <w:rPr/>
        <w:t>、租赁资产性质特殊，如果不作较大改造，只有承租人才能使用。</w:t>
      </w:r>
      <w:r>
        <w:rPr>
          <w:rFonts w:ascii="宋体" w:hAnsi="宋体" w:cs="宋体" w:eastAsia="宋体" w:hint="default"/>
        </w:rPr>
        <w:t> </w:t>
      </w:r>
      <w:r>
        <w:rPr/>
        <w:t>不满足上述条件的，认定经营租赁。</w:t>
      </w:r>
      <w:r>
        <w:rPr>
          <w:rFonts w:ascii="宋体" w:hAnsi="宋体" w:cs="宋体" w:eastAsia="宋体" w:hint="default"/>
        </w:rPr>
        <w:t> </w:t>
      </w:r>
    </w:p>
    <w:p>
      <w:pPr>
        <w:pStyle w:val="BodyText"/>
        <w:spacing w:line="316" w:lineRule="auto" w:before="19"/>
        <w:ind w:right="158" w:firstLine="420"/>
        <w:jc w:val="both"/>
        <w:rPr>
          <w:rFonts w:ascii="宋体" w:hAnsi="宋体" w:cs="宋体" w:eastAsia="宋体" w:hint="default"/>
        </w:rPr>
      </w:pPr>
      <w:r>
        <w:rPr/>
        <w:t>②融资租入的固定资产，按租赁开始日租赁资产的公允价值与最低租赁付款额的现值中较低者入账，按自有固定资产 的折旧政策计提折旧。</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30.1 </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420"/>
        <w:jc w:val="both"/>
        <w:rPr>
          <w:rFonts w:ascii="宋体" w:hAnsi="宋体" w:cs="宋体" w:eastAsia="宋体" w:hint="default"/>
        </w:rPr>
      </w:pPr>
      <w:r>
        <w:rPr/>
        <w:t>本公司发行的非可转换公司债券，按照实际收到的金额（扣除相关交易费用），作为负债处理；债券发行实际收到的 </w:t>
      </w:r>
      <w:r>
        <w:rPr>
          <w:spacing w:val="-2"/>
        </w:rPr>
        <w:t>金额与债券面值总额的差额，作为债券溢价或折价，在债券的存续期间内按票面利率于计提利息时摊销，并按借款费用的处</w:t>
      </w:r>
      <w:r>
        <w:rPr>
          <w:spacing w:val="-63"/>
        </w:rPr>
        <w:t> </w:t>
      </w:r>
      <w:r>
        <w:rPr>
          <w:spacing w:val="-63"/>
        </w:rPr>
      </w:r>
      <w:r>
        <w:rPr/>
        <w:t>理原则处理。</w:t>
      </w:r>
      <w:r>
        <w:rPr>
          <w:rFonts w:ascii="宋体" w:hAnsi="宋体" w:cs="宋体" w:eastAsia="宋体" w:hint="default"/>
        </w:rPr>
        <w:t> </w:t>
      </w:r>
    </w:p>
    <w:p>
      <w:pPr>
        <w:pStyle w:val="BodyText"/>
        <w:spacing w:line="316" w:lineRule="auto" w:before="19"/>
        <w:ind w:right="150" w:firstLine="420"/>
        <w:jc w:val="both"/>
        <w:rPr>
          <w:rFonts w:ascii="宋体" w:hAnsi="宋体" w:cs="宋体" w:eastAsia="宋体" w:hint="default"/>
        </w:rPr>
      </w:pPr>
      <w:r>
        <w:rPr/>
        <w:t>本公司发行的可转换公司债券，在初始确认时将负债和权益成份进行分拆，分别进行处理。首先确认负债成份的公允 </w:t>
      </w:r>
      <w:r>
        <w:rPr>
          <w:spacing w:val="-2"/>
        </w:rPr>
        <w:t>价值并以此作为其初始确认金额，其次按照该可转换公司债券整体发行价格（扣除相关交易费用）扣除负债成份初始确认金</w:t>
      </w:r>
      <w:r>
        <w:rPr>
          <w:spacing w:val="-63"/>
        </w:rPr>
        <w:t> </w:t>
      </w:r>
      <w:r>
        <w:rPr>
          <w:spacing w:val="-63"/>
        </w:rPr>
      </w:r>
      <w:r>
        <w:rPr/>
        <w:t>额后的金额确定权益成份的初始确认金额。</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6753"/>
        <w:jc w:val="left"/>
        <w:rPr>
          <w:b w:val="0"/>
          <w:bCs w:val="0"/>
        </w:rPr>
      </w:pPr>
      <w:r>
        <w:rPr>
          <w:rFonts w:ascii="Times New Roman" w:hAnsi="Times New Roman" w:cs="Times New Roman" w:eastAsia="Times New Roman" w:hint="default"/>
        </w:rPr>
        <w:t>30.2 </w:t>
      </w:r>
      <w:r>
        <w:rPr>
          <w:rFonts w:ascii="Times New Roman" w:hAnsi="Times New Roman" w:cs="Times New Roman" w:eastAsia="Times New Roman" w:hint="default"/>
          <w:spacing w:val="1"/>
        </w:rPr>
        <w:t> </w:t>
      </w:r>
      <w:r>
        <w:rPr/>
        <w:t>股份回购</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5" w:firstLine="420"/>
        <w:jc w:val="both"/>
        <w:rPr>
          <w:rFonts w:ascii="宋体" w:hAnsi="宋体" w:cs="宋体" w:eastAsia="宋体" w:hint="default"/>
        </w:rPr>
      </w:pPr>
      <w:r>
        <w:rPr/>
        <w:t>公司按法定程序报经批准采用收购本公司股票方式减资的，按注销股票面值总额减少股本，购回股票支付的价款（含 </w:t>
      </w:r>
      <w:r>
        <w:rPr>
          <w:spacing w:val="-2"/>
        </w:rPr>
        <w:t>交易费用）与股票面值的差额调整所有者权益，超过面值总额的部分，应依次冲减资本公积（股本溢价）、盈余公积和未分</w:t>
      </w:r>
      <w:r>
        <w:rPr>
          <w:spacing w:val="-70"/>
        </w:rPr>
        <w:t> </w:t>
      </w:r>
      <w:r>
        <w:rPr>
          <w:spacing w:val="-70"/>
        </w:rPr>
      </w:r>
      <w:r>
        <w:rPr/>
        <w:t>配利润</w:t>
      </w:r>
      <w:r>
        <w:rPr>
          <w:rFonts w:ascii="宋体" w:hAnsi="宋体" w:cs="宋体" w:eastAsia="宋体" w:hint="default"/>
        </w:rPr>
        <w:t>;</w:t>
      </w:r>
      <w:r>
        <w:rPr/>
        <w:t>低于面值总额的，低于面值总额的部分增加资本公积（股本溢价）。</w:t>
      </w:r>
      <w:r>
        <w:rPr>
          <w:rFonts w:ascii="宋体" w:hAnsi="宋体" w:cs="宋体" w:eastAsia="宋体" w:hint="default"/>
        </w:rPr>
        <w:t> </w:t>
      </w:r>
    </w:p>
    <w:p>
      <w:pPr>
        <w:pStyle w:val="BodyText"/>
        <w:spacing w:line="316" w:lineRule="auto" w:before="19"/>
        <w:ind w:right="100" w:firstLine="420"/>
        <w:jc w:val="both"/>
        <w:rPr>
          <w:rFonts w:ascii="宋体" w:hAnsi="宋体" w:cs="宋体" w:eastAsia="宋体" w:hint="default"/>
        </w:rPr>
      </w:pPr>
      <w:r>
        <w:rPr/>
        <w:t>公司回购的股份在注销或者转让之前，作为库存股管理，回购股份的全部支出转作库存股成本。库存股转让时，转让 收入高于库存股成本的部分，增加资本公积（股本溢价）</w:t>
      </w:r>
      <w:r>
        <w:rPr>
          <w:rFonts w:ascii="宋体" w:hAnsi="宋体" w:cs="宋体" w:eastAsia="宋体" w:hint="default"/>
        </w:rPr>
        <w:t>;</w:t>
      </w:r>
      <w:r>
        <w:rPr/>
        <w:t>低于库存股成本的部分，依次冲减资本公积（股本溢价）、盈余</w:t>
      </w:r>
      <w:r>
        <w:rPr>
          <w:spacing w:val="-83"/>
        </w:rPr>
        <w:t> </w:t>
      </w:r>
      <w:r>
        <w:rPr>
          <w:spacing w:val="-83"/>
        </w:rPr>
      </w:r>
      <w:r>
        <w:rPr>
          <w:spacing w:val="-2"/>
        </w:rPr>
        <w:t>公积、未分配利润。公司回购其普通股形成的库存股不得参与公司利润分配，在资产负债表中所有者权益的备抵项目列示。</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30.3  </w:t>
      </w:r>
      <w:r>
        <w:rPr/>
        <w:t>金融资产转移和非金融资产证券化业务的会计处理方法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8" w:firstLine="420"/>
        <w:jc w:val="both"/>
        <w:rPr>
          <w:rFonts w:ascii="宋体" w:hAnsi="宋体" w:cs="宋体" w:eastAsia="宋体" w:hint="default"/>
        </w:rPr>
      </w:pPr>
      <w:r>
        <w:rPr/>
        <w:t>金融资产整体转移满足终止确认条件的，应当将因转移而收到的对价与原直接计入所有者权益的公允价值变动累计额 之和、所转移金融资产的账面价值两项金额的差额计入当期损益。</w:t>
      </w:r>
      <w:r>
        <w:rPr>
          <w:rFonts w:ascii="宋体" w:hAnsi="宋体" w:cs="宋体" w:eastAsia="宋体" w:hint="default"/>
        </w:rPr>
        <w:t> </w:t>
      </w:r>
    </w:p>
    <w:p>
      <w:pPr>
        <w:pStyle w:val="BodyText"/>
        <w:spacing w:line="316" w:lineRule="auto" w:before="17"/>
        <w:ind w:right="190" w:firstLine="420"/>
        <w:jc w:val="both"/>
        <w:rPr>
          <w:rFonts w:ascii="宋体" w:hAnsi="宋体" w:cs="宋体" w:eastAsia="宋体" w:hint="default"/>
        </w:rPr>
      </w:pPr>
      <w:r>
        <w:rPr/>
        <w:t>金融资产部分转移满足终止确认条件的，应当将所转移金融资产整体的账面价值，在终止确认部分和未终止确认部分 </w:t>
      </w:r>
      <w:r>
        <w:rPr>
          <w:spacing w:val="-2"/>
        </w:rPr>
        <w:t>之间，按照各自的相对公允价值进行分摊，并将终止确认部分的对价与原直接计入所有者权益的公允价值变动累计额中对应</w:t>
      </w:r>
      <w:r>
        <w:rPr>
          <w:spacing w:val="-62"/>
        </w:rPr>
        <w:t> </w:t>
      </w:r>
      <w:r>
        <w:rPr>
          <w:spacing w:val="-62"/>
        </w:rPr>
      </w:r>
      <w:r>
        <w:rPr/>
        <w:t>终止确认部分的金额之和、终止确认部分的账面价值两项金额的差额计入当期损益。</w:t>
      </w:r>
      <w:r>
        <w:rPr>
          <w:rFonts w:ascii="宋体" w:hAnsi="宋体" w:cs="宋体" w:eastAsia="宋体" w:hint="default"/>
        </w:rPr>
        <w:t> </w:t>
      </w:r>
    </w:p>
    <w:p>
      <w:pPr>
        <w:pStyle w:val="BodyText"/>
        <w:spacing w:line="316" w:lineRule="auto" w:before="19"/>
        <w:ind w:right="198" w:firstLine="420"/>
        <w:jc w:val="both"/>
        <w:rPr>
          <w:rFonts w:ascii="宋体" w:hAnsi="宋体" w:cs="宋体" w:eastAsia="宋体" w:hint="default"/>
        </w:rPr>
      </w:pPr>
      <w:r>
        <w:rPr/>
        <w:t>金融资产不满足终止确认的条件，则继续确认所转移的金融资产整体，因资产转移而收到的对价，视同企业的融资借 款，在收到时确认为一项金融负债。</w:t>
      </w:r>
      <w:r>
        <w:rPr>
          <w:rFonts w:ascii="宋体" w:hAnsi="宋体" w:cs="宋体" w:eastAsia="宋体" w:hint="default"/>
        </w:rPr>
        <w:t> </w:t>
      </w:r>
    </w:p>
    <w:p>
      <w:pPr>
        <w:pStyle w:val="BodyText"/>
        <w:spacing w:line="316" w:lineRule="auto" w:before="19"/>
        <w:ind w:right="93" w:firstLine="420"/>
        <w:jc w:val="left"/>
        <w:rPr>
          <w:rFonts w:ascii="宋体" w:hAnsi="宋体" w:cs="宋体" w:eastAsia="宋体" w:hint="default"/>
        </w:rPr>
      </w:pPr>
      <w:r>
        <w:rPr/>
        <w:t>公司既没有转移也没有保留金融资产所有权上几乎所有的风险和报酬，且未放弃对该金融资产控制的，应当根据其继 续涉入所转移金融资产的程度确认有关金融资产和金融负债。对因继续涉入所转移金融资产形成的有关资产确认相关收入， 对继续涉入形成的有关负债确认相关费用。</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30.4</w:t>
      </w:r>
      <w:r>
        <w:rPr>
          <w:rFonts w:ascii="Times New Roman" w:hAnsi="Times New Roman" w:cs="Times New Roman" w:eastAsia="Times New Roman" w:hint="default"/>
          <w:spacing w:val="2"/>
        </w:rPr>
        <w:t> </w:t>
      </w:r>
      <w:r>
        <w:rPr/>
        <w:t>终止经营的确认标准和会计处理方法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420"/>
        <w:jc w:val="both"/>
        <w:rPr>
          <w:rFonts w:ascii="宋体" w:hAnsi="宋体" w:cs="宋体" w:eastAsia="宋体" w:hint="default"/>
        </w:rPr>
      </w:pPr>
      <w:r>
        <w:rPr/>
        <w:t>终止经营，是指满足下列条件之一的已被企业处置或被企业划归为持有待售的、在经营和编制财务报表时能够单独区 </w:t>
      </w:r>
      <w:r>
        <w:rPr>
          <w:spacing w:val="-2"/>
        </w:rPr>
        <w:t>分的组成部分：①该组成部分代表一项独立的主要业务或一个主要经营地区；②该组成部分是拟对一项独立的主要业务或一</w:t>
      </w:r>
      <w:r>
        <w:rPr>
          <w:spacing w:val="-64"/>
        </w:rPr>
        <w:t> </w:t>
      </w:r>
      <w:r>
        <w:rPr>
          <w:spacing w:val="-64"/>
        </w:rPr>
      </w:r>
      <w:r>
        <w:rPr/>
        <w:t>个主要经营地区进行处置计划的一部分；③该组成部分仅仅是为了再出售而取得的子公司。</w:t>
      </w:r>
      <w:r>
        <w:rPr>
          <w:rFonts w:ascii="宋体" w:hAnsi="宋体" w:cs="宋体" w:eastAsia="宋体" w:hint="default"/>
        </w:rPr>
        <w:t> </w:t>
      </w:r>
    </w:p>
    <w:p>
      <w:pPr>
        <w:pStyle w:val="BodyText"/>
        <w:spacing w:line="240" w:lineRule="auto" w:before="19"/>
        <w:ind w:left="573" w:right="93"/>
        <w:jc w:val="left"/>
        <w:rPr>
          <w:rFonts w:ascii="宋体" w:hAnsi="宋体" w:cs="宋体" w:eastAsia="宋体" w:hint="default"/>
        </w:rPr>
      </w:pPr>
      <w:r>
        <w:rPr/>
        <w:t>本公司将披露终止经营的收入、费用、利润总额、所得税费用和净利润，以及归属于母公司所有者的终止经营利润。</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30.5</w:t>
      </w:r>
      <w:r>
        <w:rPr>
          <w:rFonts w:ascii="Times New Roman" w:hAnsi="Times New Roman" w:cs="Times New Roman" w:eastAsia="Times New Roman" w:hint="default"/>
          <w:spacing w:val="2"/>
        </w:rPr>
        <w:t> </w:t>
      </w:r>
      <w:r>
        <w:rPr/>
        <w:t>与回购公司股份相关的会计处理方法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4" w:firstLine="420"/>
        <w:jc w:val="both"/>
        <w:rPr>
          <w:rFonts w:ascii="宋体" w:hAnsi="宋体" w:cs="宋体" w:eastAsia="宋体" w:hint="default"/>
        </w:rPr>
      </w:pPr>
      <w:r>
        <w:rPr/>
        <w:t>公司按法定程序报经批准采用收购本公司股票方式减资的，按注销股票面值总额减少股本，购回股票支付的价款（含 </w:t>
      </w:r>
      <w:r>
        <w:rPr>
          <w:spacing w:val="-2"/>
        </w:rPr>
        <w:t>交易费用）与股票面值的差额调整所有者权益，超过面值总额的部分，应依次冲减资本公积（股本溢价）、盈余公积和未分</w:t>
      </w:r>
      <w:r>
        <w:rPr>
          <w:spacing w:val="-70"/>
        </w:rPr>
        <w:t> </w:t>
      </w:r>
      <w:r>
        <w:rPr>
          <w:spacing w:val="-70"/>
        </w:rPr>
      </w:r>
      <w:r>
        <w:rPr/>
        <w:t>配利润</w:t>
      </w:r>
      <w:r>
        <w:rPr>
          <w:rFonts w:ascii="宋体" w:hAnsi="宋体" w:cs="宋体" w:eastAsia="宋体" w:hint="default"/>
        </w:rPr>
        <w:t>;</w:t>
      </w:r>
      <w:r>
        <w:rPr/>
        <w:t>低于面值总额的，低于面值总额的部分增加资本公积（股本溢价）。</w:t>
      </w:r>
      <w:r>
        <w:rPr>
          <w:rFonts w:ascii="宋体" w:hAnsi="宋体" w:cs="宋体" w:eastAsia="宋体" w:hint="default"/>
        </w:rPr>
        <w:t> </w:t>
      </w:r>
    </w:p>
    <w:p>
      <w:pPr>
        <w:pStyle w:val="BodyText"/>
        <w:spacing w:line="319" w:lineRule="auto" w:before="19"/>
        <w:ind w:right="100" w:firstLine="420"/>
        <w:jc w:val="both"/>
        <w:rPr>
          <w:rFonts w:ascii="宋体" w:hAnsi="宋体" w:cs="宋体" w:eastAsia="宋体" w:hint="default"/>
        </w:rPr>
      </w:pPr>
      <w:r>
        <w:rPr/>
        <w:t>公司回购的股份在注销或者转让之前，作为库存股管理，回购股份的全部支出转作库存股成本。库存股转让时，转让 收入高于库存股成本的部分，增加资本公积（股本溢价）</w:t>
      </w:r>
      <w:r>
        <w:rPr>
          <w:rFonts w:ascii="宋体" w:hAnsi="宋体" w:cs="宋体" w:eastAsia="宋体" w:hint="default"/>
        </w:rPr>
        <w:t>;</w:t>
      </w:r>
      <w:r>
        <w:rPr/>
        <w:t>低于库存股成本的部分，依次冲减资本公积（股本溢价）、盈余</w:t>
      </w:r>
      <w:r>
        <w:rPr>
          <w:spacing w:val="-83"/>
        </w:rPr>
        <w:t> </w:t>
      </w:r>
      <w:r>
        <w:rPr>
          <w:spacing w:val="-83"/>
        </w:rPr>
      </w:r>
      <w:r>
        <w:rPr>
          <w:spacing w:val="-2"/>
        </w:rPr>
        <w:t>公积、未分配利润。公司回购其普通股形成的库存股不得参与公司利润分配，在资产负债表中所有者权益的备抵项目列示。</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30.6</w:t>
      </w:r>
      <w:r>
        <w:rPr>
          <w:rFonts w:ascii="Times New Roman" w:hAnsi="Times New Roman" w:cs="Times New Roman" w:eastAsia="Times New Roman" w:hint="default"/>
          <w:spacing w:val="1"/>
        </w:rPr>
        <w:t> </w:t>
      </w:r>
      <w:r>
        <w:rPr/>
        <w:t>资产证券化业务的会计处理方法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8" w:firstLine="420"/>
        <w:jc w:val="both"/>
        <w:rPr>
          <w:rFonts w:ascii="宋体" w:hAnsi="宋体" w:cs="宋体" w:eastAsia="宋体" w:hint="default"/>
        </w:rPr>
      </w:pPr>
      <w:r>
        <w:rPr/>
        <w:t>金融资产整体转移满足终止确认条件的，应当将因转移而收到的对价与原直接计入所有者权益的公允价值变动累计额 之和、所转移金融资产的账面价值两项金额的差额计入当期损益。</w:t>
      </w:r>
      <w:r>
        <w:rPr>
          <w:rFonts w:ascii="宋体" w:hAnsi="宋体" w:cs="宋体" w:eastAsia="宋体" w:hint="default"/>
        </w:rPr>
        <w:t> </w:t>
      </w:r>
    </w:p>
    <w:p>
      <w:pPr>
        <w:pStyle w:val="BodyText"/>
        <w:spacing w:line="316" w:lineRule="auto" w:before="19"/>
        <w:ind w:right="192" w:firstLine="420"/>
        <w:jc w:val="both"/>
        <w:rPr>
          <w:rFonts w:ascii="宋体" w:hAnsi="宋体" w:cs="宋体" w:eastAsia="宋体" w:hint="default"/>
        </w:rPr>
      </w:pPr>
      <w:r>
        <w:rPr/>
        <w:t>金融资产部分转移满足终止确认条件的，应当将所转移金融资产整体的账面价值，在终止确认部分和未终止确认部分 </w:t>
      </w:r>
      <w:r>
        <w:rPr>
          <w:spacing w:val="-2"/>
        </w:rPr>
        <w:t>之间，按照各自的相对公允价值进行分摊，并将终止确认部分的对价与原值直接计入所有者权益的公允价值变动累计额中对</w:t>
      </w:r>
      <w:r>
        <w:rPr>
          <w:spacing w:val="-64"/>
        </w:rPr>
        <w:t> </w:t>
      </w:r>
      <w:r>
        <w:rPr>
          <w:spacing w:val="-64"/>
        </w:rPr>
      </w:r>
      <w:r>
        <w:rPr/>
        <w:t>应终止确认部分的金额之和、终止确认部分的账面价值两项金额的差额计入当期损益。</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firstLine="420"/>
        <w:jc w:val="left"/>
        <w:rPr>
          <w:rFonts w:ascii="宋体" w:hAnsi="宋体" w:cs="宋体" w:eastAsia="宋体" w:hint="default"/>
        </w:rPr>
      </w:pPr>
      <w:r>
        <w:rPr/>
        <w:t>金融资产不满足终止确认的条件，则继续确认所转移的金融资产整体，因资产转移而收到的对价，视同企业的融资借 款，在收到时确认为一项金融负债。</w:t>
      </w:r>
      <w:r>
        <w:rPr>
          <w:rFonts w:ascii="宋体" w:hAnsi="宋体" w:cs="宋体" w:eastAsia="宋体" w:hint="default"/>
        </w:rPr>
        <w:t> </w:t>
      </w:r>
    </w:p>
    <w:p>
      <w:pPr>
        <w:pStyle w:val="BodyText"/>
        <w:spacing w:line="316" w:lineRule="auto" w:before="17"/>
        <w:ind w:right="93" w:firstLine="420"/>
        <w:jc w:val="left"/>
        <w:rPr>
          <w:rFonts w:ascii="宋体" w:hAnsi="宋体" w:cs="宋体" w:eastAsia="宋体" w:hint="default"/>
        </w:rPr>
      </w:pPr>
      <w:r>
        <w:rPr/>
        <w:t>公司既没有转移也没有保留金融资产所有权上几乎所有的风险和报酬，且未放弃对该金融资产控制的，应当根据其继 续涉入所转移金融资产的程度确认有关金融资产和金融负债。对因继续涉入所转移金融资产形成的有关资产确认相关收入， 对继续涉入形成的有关负债确认相关费用。</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日，财政部颁发了财会</w:t>
            </w:r>
          </w:p>
          <w:p>
            <w:pPr>
              <w:pStyle w:val="TableParagraph"/>
              <w:spacing w:line="300" w:lineRule="auto" w:before="63"/>
              <w:ind w:left="24"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号文，发布了《企业会计准 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w:t>
            </w:r>
          </w:p>
          <w:p>
            <w:pPr>
              <w:pStyle w:val="TableParagraph"/>
              <w:spacing w:line="314" w:lineRule="auto" w:before="13"/>
              <w:ind w:left="24" w:right="17"/>
              <w:jc w:val="left"/>
              <w:rPr>
                <w:rFonts w:ascii="宋体" w:hAnsi="宋体" w:cs="宋体" w:eastAsia="宋体" w:hint="default"/>
                <w:sz w:val="18"/>
                <w:szCs w:val="18"/>
              </w:rPr>
            </w:pPr>
            <w:r>
              <w:rPr>
                <w:rFonts w:ascii="宋体" w:hAnsi="宋体" w:cs="宋体" w:eastAsia="宋体" w:hint="default"/>
                <w:spacing w:val="-11"/>
                <w:sz w:val="18"/>
                <w:szCs w:val="18"/>
              </w:rPr>
              <w:t>置组和终止经营》，自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起在所有执行企业会计准则的企业范围 内执行。此前发布的有关持有待售的非 流动资产、处置组和终止经营的会计处 理规定与该准则不一致的，以该准则为 准。对于该准则施行日存在的持有待售 的非流动资产、处置组和终止经营，应 当采用未来适用法处理。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第七届董事会第九次会议</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日，财政部颁发了财会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号文，对《企业会计准则第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政府补助》进行了修订，自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日起施行，同时要求对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日存在的政府补助采用未来适</w:t>
            </w:r>
          </w:p>
          <w:p>
            <w:pPr>
              <w:pStyle w:val="TableParagraph"/>
              <w:spacing w:line="309" w:lineRule="auto" w:before="63"/>
              <w:ind w:left="24" w:right="21"/>
              <w:jc w:val="left"/>
              <w:rPr>
                <w:rFonts w:ascii="宋体" w:hAnsi="宋体" w:cs="宋体" w:eastAsia="宋体" w:hint="default"/>
                <w:sz w:val="18"/>
                <w:szCs w:val="18"/>
              </w:rPr>
            </w:pPr>
            <w:r>
              <w:rPr>
                <w:rFonts w:ascii="宋体" w:hAnsi="宋体" w:cs="宋体" w:eastAsia="宋体" w:hint="default"/>
                <w:spacing w:val="-3"/>
                <w:sz w:val="18"/>
                <w:szCs w:val="18"/>
              </w:rPr>
              <w:t>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 施行日之间新增的政府补助根据该准则 进行调整。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第七届董事会第九次会议</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日，财政部颁发了财会</w:t>
            </w:r>
          </w:p>
          <w:p>
            <w:pPr>
              <w:pStyle w:val="TableParagraph"/>
              <w:spacing w:line="309"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号文，对一般企业财务报表 格式进行了修订，执行企业会计准则的 非金融企业应当按照企业会计准则和本 通知要求编制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年度及以后期间的财 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第七届董事会第九次会议</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67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2"/>
          <w:pgSz w:w="11910" w:h="16840"/>
          <w:pgMar w:footer="979" w:header="745" w:top="1060" w:bottom="1160" w:left="980" w:right="940"/>
          <w:pgNumType w:start="110"/>
        </w:sectPr>
      </w:pPr>
    </w:p>
    <w:p>
      <w:pPr>
        <w:spacing w:line="240" w:lineRule="auto" w:before="10"/>
        <w:rPr>
          <w:rFonts w:ascii="宋体" w:hAnsi="宋体" w:cs="宋体" w:eastAsia="宋体" w:hint="default"/>
          <w:sz w:val="24"/>
          <w:szCs w:val="24"/>
        </w:rPr>
      </w:pPr>
    </w:p>
    <w:p>
      <w:pPr>
        <w:spacing w:line="487" w:lineRule="auto" w:before="36"/>
        <w:ind w:left="153" w:right="79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应税收入，并按扣除当期允许抵扣的进 项税额后的差额计缴增值税。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按自用房产余值、或出租房产租金收入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按自用房产余值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计缴或出租房产租 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15%-25%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根据转让房地产所取得的增值额按超率 累进税率计缴</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）云南南天电子信息产业股份有限公司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）北京南天软件有限公司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）北京南天信息工程有限公司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）上海南天电脑系统有限公司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）广州南天电脑系统有限公司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）昆明南天电脑系统有限公司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）云南南天信息设备有限公司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）深圳南天东华科技有限公司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）成都南天佳信信息工程有限公司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8" w:right="0"/>
        <w:jc w:val="left"/>
      </w:pPr>
      <w:r>
        <w:rPr/>
        <w:t>税收优惠及批文</w:t>
      </w:r>
    </w:p>
    <w:p>
      <w:pPr>
        <w:pStyle w:val="BodyText"/>
        <w:spacing w:line="300" w:lineRule="auto" w:before="76"/>
        <w:ind w:left="573" w:right="143"/>
        <w:jc w:val="left"/>
      </w:pPr>
      <w:r>
        <w:rPr/>
        <w:t>（</w:t>
      </w:r>
      <w:r>
        <w:rPr>
          <w:rFonts w:ascii="Times New Roman" w:hAnsi="Times New Roman" w:cs="Times New Roman" w:eastAsia="Times New Roman" w:hint="default"/>
        </w:rPr>
        <w:t>1</w:t>
      </w:r>
      <w:r>
        <w:rPr/>
        <w:t>）云南南天电子信息产业股份有限公司 云南南天电子信息产业股份有限公司根据云发改办西部</w:t>
      </w:r>
      <w:r>
        <w:rPr>
          <w:rFonts w:ascii="Times New Roman" w:hAnsi="Times New Roman" w:cs="Times New Roman" w:eastAsia="Times New Roman" w:hint="default"/>
        </w:rPr>
        <w:t>[2013]397</w:t>
      </w:r>
      <w:r>
        <w:rPr/>
        <w:t>号文件，云南省发展和改革委员会确认本公司符合国</w:t>
      </w:r>
    </w:p>
    <w:p>
      <w:pPr>
        <w:pStyle w:val="BodyText"/>
        <w:spacing w:line="300" w:lineRule="auto" w:before="13"/>
        <w:ind w:right="143"/>
        <w:jc w:val="left"/>
      </w:pPr>
      <w:r>
        <w:rPr/>
        <w:t>家发展改革委第</w:t>
      </w:r>
      <w:r>
        <w:rPr>
          <w:rFonts w:ascii="Times New Roman" w:hAnsi="Times New Roman" w:cs="Times New Roman" w:eastAsia="Times New Roman" w:hint="default"/>
        </w:rPr>
        <w:t>9</w:t>
      </w:r>
      <w:r>
        <w:rPr/>
        <w:t>号令《产业结构调整指导目录（</w:t>
      </w:r>
      <w:r>
        <w:rPr>
          <w:rFonts w:ascii="Times New Roman" w:hAnsi="Times New Roman" w:cs="Times New Roman" w:eastAsia="Times New Roman" w:hint="default"/>
        </w:rPr>
        <w:t>2011</w:t>
      </w:r>
      <w:r>
        <w:rPr/>
        <w:t>年本）（修正）》鼓励类有关条款，是国家鼓励类产业，报告期内公</w:t>
      </w:r>
      <w:r>
        <w:rPr>
          <w:spacing w:val="-85"/>
        </w:rPr>
        <w:t> </w:t>
      </w:r>
      <w:r>
        <w:rPr>
          <w:spacing w:val="-85"/>
        </w:rPr>
      </w:r>
      <w:r>
        <w:rPr/>
        <w:t>司享受西部大开发企业所得税优惠政策，执行</w:t>
      </w:r>
      <w:r>
        <w:rPr>
          <w:rFonts w:ascii="Times New Roman" w:hAnsi="Times New Roman" w:cs="Times New Roman" w:eastAsia="Times New Roman" w:hint="default"/>
        </w:rPr>
        <w:t>15%</w:t>
      </w:r>
      <w:r>
        <w:rPr/>
        <w:t>所得税税率优惠政策。</w:t>
      </w:r>
    </w:p>
    <w:p>
      <w:pPr>
        <w:pStyle w:val="BodyText"/>
        <w:spacing w:line="300" w:lineRule="auto" w:before="13"/>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）北京南天软件有限公司 北京南天软件有限公司获得高新技术企业认证，根据《中华人民共和国企业所得税法》（中华人民共和国主席令第</w:t>
      </w:r>
      <w:r>
        <w:rPr>
          <w:rFonts w:ascii="Times New Roman" w:hAnsi="Times New Roman" w:cs="Times New Roman" w:eastAsia="Times New Roman" w:hint="default"/>
        </w:rPr>
        <w:t>63</w:t>
      </w:r>
    </w:p>
    <w:p>
      <w:pPr>
        <w:pStyle w:val="BodyText"/>
        <w:spacing w:line="240" w:lineRule="auto" w:before="13"/>
        <w:ind w:right="0"/>
        <w:jc w:val="left"/>
        <w:rPr>
          <w:rFonts w:ascii="Times New Roman" w:hAnsi="Times New Roman" w:cs="Times New Roman" w:eastAsia="Times New Roman" w:hint="default"/>
        </w:rPr>
      </w:pPr>
      <w:r>
        <w:rPr>
          <w:spacing w:val="-4"/>
        </w:rPr>
        <w:t>号）文件第二十八条的规定：</w:t>
      </w:r>
      <w:r>
        <w:rPr>
          <w:rFonts w:ascii="Times New Roman" w:hAnsi="Times New Roman" w:cs="Times New Roman" w:eastAsia="Times New Roman" w:hint="default"/>
          <w:spacing w:val="-4"/>
        </w:rPr>
        <w:t>“</w:t>
      </w:r>
      <w:r>
        <w:rPr>
          <w:spacing w:val="-4"/>
        </w:rPr>
        <w:t>国家需要重点扶持的高新技术企业，减按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。报告期该公司执行</w:t>
      </w:r>
      <w:r>
        <w:rPr>
          <w:rFonts w:ascii="Times New Roman" w:hAnsi="Times New Roman" w:cs="Times New Roman" w:eastAsia="Times New Roman" w:hint="default"/>
          <w:spacing w:val="-4"/>
        </w:rPr>
        <w:t>15%</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t>所得税税率优惠政策。</w:t>
      </w:r>
    </w:p>
    <w:p>
      <w:pPr>
        <w:pStyle w:val="BodyText"/>
        <w:spacing w:line="300" w:lineRule="auto" w:before="77"/>
        <w:ind w:left="573" w:right="0"/>
        <w:jc w:val="left"/>
      </w:pPr>
      <w:r>
        <w:rPr/>
        <w:t>（</w:t>
      </w:r>
      <w:r>
        <w:rPr>
          <w:rFonts w:ascii="Times New Roman" w:hAnsi="Times New Roman" w:cs="Times New Roman" w:eastAsia="Times New Roman" w:hint="default"/>
        </w:rPr>
        <w:t>3</w:t>
      </w:r>
      <w:r>
        <w:rPr/>
        <w:t>）北京南天信息工程有限公司 北京南天信息工程有限公司获得高新技术企业认证，根据《中华人民共和国企业所得税法》（中华人民共和国主席令</w:t>
      </w:r>
    </w:p>
    <w:p>
      <w:pPr>
        <w:pStyle w:val="BodyText"/>
        <w:spacing w:line="300" w:lineRule="auto" w:before="31"/>
        <w:ind w:right="0"/>
        <w:jc w:val="left"/>
      </w:pPr>
      <w:r>
        <w:rPr>
          <w:spacing w:val="-1"/>
        </w:rPr>
        <w:t>第</w:t>
      </w:r>
      <w:r>
        <w:rPr>
          <w:rFonts w:ascii="Times New Roman" w:hAnsi="Times New Roman" w:cs="Times New Roman" w:eastAsia="Times New Roman" w:hint="default"/>
          <w:spacing w:val="-1"/>
        </w:rPr>
        <w:t>63</w:t>
      </w:r>
      <w:r>
        <w:rPr>
          <w:spacing w:val="-1"/>
        </w:rPr>
        <w:t>号）文件第二十八条的规定：</w:t>
      </w:r>
      <w:r>
        <w:rPr>
          <w:rFonts w:ascii="Times New Roman" w:hAnsi="Times New Roman" w:cs="Times New Roman" w:eastAsia="Times New Roman" w:hint="default"/>
          <w:spacing w:val="-1"/>
        </w:rPr>
        <w:t>“</w:t>
      </w:r>
      <w:r>
        <w:rPr>
          <w:spacing w:val="-1"/>
        </w:rPr>
        <w:t>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。报告期该公司执</w:t>
      </w:r>
      <w:r>
        <w:rPr>
          <w:spacing w:val="-70"/>
        </w:rPr>
        <w:t> </w:t>
      </w:r>
      <w:r>
        <w:rPr>
          <w:spacing w:val="-70"/>
        </w:rPr>
      </w:r>
      <w:r>
        <w:rPr/>
        <w:t>行</w:t>
      </w:r>
      <w:r>
        <w:rPr>
          <w:rFonts w:ascii="Times New Roman" w:hAnsi="Times New Roman" w:cs="Times New Roman" w:eastAsia="Times New Roman" w:hint="default"/>
        </w:rPr>
        <w:t>15%</w:t>
      </w:r>
      <w:r>
        <w:rPr/>
        <w:t>所得税税率优惠政策。</w:t>
      </w:r>
    </w:p>
    <w:p>
      <w:pPr>
        <w:pStyle w:val="BodyText"/>
        <w:spacing w:line="300" w:lineRule="auto" w:before="13"/>
        <w:ind w:left="573" w:right="0"/>
        <w:jc w:val="left"/>
      </w:pPr>
      <w:r>
        <w:rPr/>
        <w:t>（</w:t>
      </w:r>
      <w:r>
        <w:rPr>
          <w:rFonts w:ascii="Times New Roman" w:hAnsi="Times New Roman" w:cs="Times New Roman" w:eastAsia="Times New Roman" w:hint="default"/>
        </w:rPr>
        <w:t>4</w:t>
      </w:r>
      <w:r>
        <w:rPr/>
        <w:t>）上海南天电脑系统有限公司 上海南天电脑系统有限公司获得高新技术企业认证，根据《中华人民共和国企业所得税法》（中华人民共和国主席令</w:t>
      </w:r>
    </w:p>
    <w:p>
      <w:pPr>
        <w:pStyle w:val="BodyText"/>
        <w:spacing w:line="300" w:lineRule="auto" w:before="31"/>
        <w:ind w:right="0"/>
        <w:jc w:val="left"/>
      </w:pPr>
      <w:r>
        <w:rPr>
          <w:spacing w:val="-1"/>
        </w:rPr>
        <w:t>第</w:t>
      </w:r>
      <w:r>
        <w:rPr>
          <w:rFonts w:ascii="Times New Roman" w:hAnsi="Times New Roman" w:cs="Times New Roman" w:eastAsia="Times New Roman" w:hint="default"/>
          <w:spacing w:val="-1"/>
        </w:rPr>
        <w:t>63</w:t>
      </w:r>
      <w:r>
        <w:rPr>
          <w:spacing w:val="-1"/>
        </w:rPr>
        <w:t>号）文件第二十八条的规定：</w:t>
      </w:r>
      <w:r>
        <w:rPr>
          <w:rFonts w:ascii="Times New Roman" w:hAnsi="Times New Roman" w:cs="Times New Roman" w:eastAsia="Times New Roman" w:hint="default"/>
          <w:spacing w:val="-1"/>
        </w:rPr>
        <w:t>“</w:t>
      </w:r>
      <w:r>
        <w:rPr>
          <w:spacing w:val="-1"/>
        </w:rPr>
        <w:t>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。报告期该公司执</w:t>
      </w:r>
      <w:r>
        <w:rPr>
          <w:spacing w:val="-70"/>
        </w:rPr>
        <w:t> </w:t>
      </w:r>
      <w:r>
        <w:rPr>
          <w:spacing w:val="-70"/>
        </w:rPr>
      </w:r>
      <w:r>
        <w:rPr/>
        <w:t>行</w:t>
      </w:r>
      <w:r>
        <w:rPr>
          <w:rFonts w:ascii="Times New Roman" w:hAnsi="Times New Roman" w:cs="Times New Roman" w:eastAsia="Times New Roman" w:hint="default"/>
        </w:rPr>
        <w:t>15%</w:t>
      </w:r>
      <w:r>
        <w:rPr/>
        <w:t>所得税税率优惠政策。</w:t>
      </w:r>
    </w:p>
    <w:p>
      <w:pPr>
        <w:pStyle w:val="BodyText"/>
        <w:spacing w:line="300" w:lineRule="auto" w:before="13"/>
        <w:ind w:left="573" w:right="0"/>
        <w:jc w:val="left"/>
      </w:pPr>
      <w:r>
        <w:rPr/>
        <w:t>（</w:t>
      </w:r>
      <w:r>
        <w:rPr>
          <w:rFonts w:ascii="Times New Roman" w:hAnsi="Times New Roman" w:cs="Times New Roman" w:eastAsia="Times New Roman" w:hint="default"/>
        </w:rPr>
        <w:t>5</w:t>
      </w:r>
      <w:r>
        <w:rPr/>
        <w:t>）广州南天电脑系统有限公司 广州南天电脑系统有限公司获得高新技术企业认证，根据《中华人民共和国企业所得税法》（中华人民共和国主席令</w:t>
      </w:r>
    </w:p>
    <w:p>
      <w:pPr>
        <w:pStyle w:val="BodyText"/>
        <w:spacing w:line="300" w:lineRule="auto" w:before="31"/>
        <w:ind w:right="0"/>
        <w:jc w:val="left"/>
      </w:pPr>
      <w:r>
        <w:rPr>
          <w:spacing w:val="-1"/>
        </w:rPr>
        <w:t>第</w:t>
      </w:r>
      <w:r>
        <w:rPr>
          <w:rFonts w:ascii="Times New Roman" w:hAnsi="Times New Roman" w:cs="Times New Roman" w:eastAsia="Times New Roman" w:hint="default"/>
          <w:spacing w:val="-1"/>
        </w:rPr>
        <w:t>63</w:t>
      </w:r>
      <w:r>
        <w:rPr>
          <w:spacing w:val="-1"/>
        </w:rPr>
        <w:t>号）文件第二十八条的规定：</w:t>
      </w:r>
      <w:r>
        <w:rPr>
          <w:rFonts w:ascii="Times New Roman" w:hAnsi="Times New Roman" w:cs="Times New Roman" w:eastAsia="Times New Roman" w:hint="default"/>
          <w:spacing w:val="-1"/>
        </w:rPr>
        <w:t>“</w:t>
      </w:r>
      <w:r>
        <w:rPr>
          <w:spacing w:val="-1"/>
        </w:rPr>
        <w:t>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。报告期该公司执</w:t>
      </w:r>
      <w:r>
        <w:rPr>
          <w:spacing w:val="-70"/>
        </w:rPr>
        <w:t> </w:t>
      </w:r>
      <w:r>
        <w:rPr>
          <w:spacing w:val="-70"/>
        </w:rPr>
      </w:r>
      <w:r>
        <w:rPr/>
        <w:t>行</w:t>
      </w:r>
      <w:r>
        <w:rPr>
          <w:rFonts w:ascii="Times New Roman" w:hAnsi="Times New Roman" w:cs="Times New Roman" w:eastAsia="Times New Roman" w:hint="default"/>
        </w:rPr>
        <w:t>15%</w:t>
      </w:r>
      <w:r>
        <w:rPr/>
        <w:t>所得税税率优惠政策。</w:t>
      </w:r>
    </w:p>
    <w:p>
      <w:pPr>
        <w:pStyle w:val="BodyText"/>
        <w:spacing w:line="300" w:lineRule="auto" w:before="13"/>
        <w:ind w:left="573" w:right="143"/>
        <w:jc w:val="left"/>
      </w:pPr>
      <w:r>
        <w:rPr/>
        <w:t>（</w:t>
      </w:r>
      <w:r>
        <w:rPr>
          <w:rFonts w:ascii="Times New Roman" w:hAnsi="Times New Roman" w:cs="Times New Roman" w:eastAsia="Times New Roman" w:hint="default"/>
        </w:rPr>
        <w:t>6</w:t>
      </w:r>
      <w:r>
        <w:rPr/>
        <w:t>）昆明南天电脑系统有限公司 昆明南天电脑系统有限公司根据云发改办西部</w:t>
      </w:r>
      <w:r>
        <w:rPr>
          <w:rFonts w:ascii="Times New Roman" w:hAnsi="Times New Roman" w:cs="Times New Roman" w:eastAsia="Times New Roman" w:hint="default"/>
        </w:rPr>
        <w:t>[2013]397</w:t>
      </w:r>
      <w:r>
        <w:rPr/>
        <w:t>号文件，云南省发展和改革委员会确认该公司符合国家发展改</w:t>
      </w:r>
    </w:p>
    <w:p>
      <w:pPr>
        <w:pStyle w:val="BodyText"/>
        <w:spacing w:line="300" w:lineRule="auto" w:before="13"/>
        <w:ind w:right="143"/>
        <w:jc w:val="left"/>
      </w:pPr>
      <w:r>
        <w:rPr/>
        <w:t>革委第</w:t>
      </w:r>
      <w:r>
        <w:rPr>
          <w:rFonts w:ascii="Times New Roman" w:hAnsi="Times New Roman" w:cs="Times New Roman" w:eastAsia="Times New Roman" w:hint="default"/>
        </w:rPr>
        <w:t>9</w:t>
      </w:r>
      <w:r>
        <w:rPr/>
        <w:t>号令《产业结构调整指导目录（</w:t>
      </w:r>
      <w:r>
        <w:rPr>
          <w:rFonts w:ascii="Times New Roman" w:hAnsi="Times New Roman" w:cs="Times New Roman" w:eastAsia="Times New Roman" w:hint="default"/>
        </w:rPr>
        <w:t>2011</w:t>
      </w:r>
      <w:r>
        <w:rPr/>
        <w:t>年本）（修正）》鼓励类有关条款，是国家鼓励类产业，报告期内该公司享受</w:t>
      </w:r>
      <w:r>
        <w:rPr>
          <w:spacing w:val="-85"/>
        </w:rPr>
        <w:t> </w:t>
      </w:r>
      <w:r>
        <w:rPr>
          <w:spacing w:val="-85"/>
        </w:rPr>
      </w:r>
      <w:r>
        <w:rPr/>
        <w:t>西部大开发企业所得税优惠政策，执行</w:t>
      </w:r>
      <w:r>
        <w:rPr>
          <w:rFonts w:ascii="Times New Roman" w:hAnsi="Times New Roman" w:cs="Times New Roman" w:eastAsia="Times New Roman" w:hint="default"/>
        </w:rPr>
        <w:t>15%</w:t>
      </w:r>
      <w:r>
        <w:rPr/>
        <w:t>所得税税率优惠政策。</w:t>
      </w:r>
    </w:p>
    <w:p>
      <w:pPr>
        <w:pStyle w:val="BodyText"/>
        <w:spacing w:line="300" w:lineRule="auto" w:before="13"/>
        <w:ind w:left="573" w:right="143"/>
        <w:jc w:val="left"/>
      </w:pPr>
      <w:r>
        <w:rPr/>
        <w:t>（</w:t>
      </w:r>
      <w:r>
        <w:rPr>
          <w:rFonts w:ascii="Times New Roman" w:hAnsi="Times New Roman" w:cs="Times New Roman" w:eastAsia="Times New Roman" w:hint="default"/>
        </w:rPr>
        <w:t>7</w:t>
      </w:r>
      <w:r>
        <w:rPr/>
        <w:t>）云南南天信息设备有限公司 云南南天信息设备有限公司根据云发改办西部</w:t>
      </w:r>
      <w:r>
        <w:rPr>
          <w:rFonts w:ascii="Times New Roman" w:hAnsi="Times New Roman" w:cs="Times New Roman" w:eastAsia="Times New Roman" w:hint="default"/>
        </w:rPr>
        <w:t>[2013]397</w:t>
      </w:r>
      <w:r>
        <w:rPr/>
        <w:t>号文件，云南省发展和改革委员会确认该公司符合国家发展改</w:t>
      </w:r>
    </w:p>
    <w:p>
      <w:pPr>
        <w:pStyle w:val="BodyText"/>
        <w:spacing w:line="300" w:lineRule="auto" w:before="13"/>
        <w:ind w:right="143"/>
        <w:jc w:val="left"/>
      </w:pPr>
      <w:r>
        <w:rPr/>
        <w:t>革委第</w:t>
      </w:r>
      <w:r>
        <w:rPr>
          <w:rFonts w:ascii="Times New Roman" w:hAnsi="Times New Roman" w:cs="Times New Roman" w:eastAsia="Times New Roman" w:hint="default"/>
        </w:rPr>
        <w:t>9</w:t>
      </w:r>
      <w:r>
        <w:rPr/>
        <w:t>号令《产业结构调整指导目录（</w:t>
      </w:r>
      <w:r>
        <w:rPr>
          <w:rFonts w:ascii="Times New Roman" w:hAnsi="Times New Roman" w:cs="Times New Roman" w:eastAsia="Times New Roman" w:hint="default"/>
        </w:rPr>
        <w:t>2011</w:t>
      </w:r>
      <w:r>
        <w:rPr/>
        <w:t>年本）（修正）》鼓励类有关条款，是国家鼓励类产业，报告期内该公司享受</w:t>
      </w:r>
      <w:r>
        <w:rPr>
          <w:spacing w:val="-85"/>
        </w:rPr>
        <w:t> </w:t>
      </w:r>
      <w:r>
        <w:rPr>
          <w:spacing w:val="-85"/>
        </w:rPr>
      </w:r>
      <w:r>
        <w:rPr/>
        <w:t>西部大开发企业所得税优惠政策，执行</w:t>
      </w:r>
      <w:r>
        <w:rPr>
          <w:rFonts w:ascii="Times New Roman" w:hAnsi="Times New Roman" w:cs="Times New Roman" w:eastAsia="Times New Roman" w:hint="default"/>
        </w:rPr>
        <w:t>15%</w:t>
      </w:r>
      <w:r>
        <w:rPr/>
        <w:t>所得税税率优惠政策。</w:t>
      </w:r>
    </w:p>
    <w:p>
      <w:pPr>
        <w:pStyle w:val="BodyText"/>
        <w:spacing w:line="300" w:lineRule="auto" w:before="13"/>
        <w:ind w:left="573" w:right="173"/>
        <w:jc w:val="left"/>
      </w:pPr>
      <w:r>
        <w:rPr/>
        <w:t>（</w:t>
      </w:r>
      <w:r>
        <w:rPr>
          <w:rFonts w:ascii="Times New Roman" w:hAnsi="Times New Roman" w:cs="Times New Roman" w:eastAsia="Times New Roman" w:hint="default"/>
        </w:rPr>
        <w:t>8</w:t>
      </w:r>
      <w:r>
        <w:rPr/>
        <w:t>）深圳南天东华科技有限公司 深圳南天东华科技有限公司获得高新技术企业认证，根据《中华人民共和国企业所得税法》（中华人民共和国主席令</w:t>
      </w:r>
    </w:p>
    <w:p>
      <w:pPr>
        <w:pStyle w:val="BodyText"/>
        <w:spacing w:line="300" w:lineRule="auto" w:before="32"/>
        <w:ind w:right="0"/>
        <w:jc w:val="left"/>
      </w:pPr>
      <w:r>
        <w:rPr>
          <w:spacing w:val="-1"/>
        </w:rPr>
        <w:t>第</w:t>
      </w:r>
      <w:r>
        <w:rPr>
          <w:rFonts w:ascii="Times New Roman" w:hAnsi="Times New Roman" w:cs="Times New Roman" w:eastAsia="Times New Roman" w:hint="default"/>
          <w:spacing w:val="-1"/>
        </w:rPr>
        <w:t>63</w:t>
      </w:r>
      <w:r>
        <w:rPr>
          <w:spacing w:val="-1"/>
        </w:rPr>
        <w:t>号）文件第二十八条的规定：</w:t>
      </w:r>
      <w:r>
        <w:rPr>
          <w:rFonts w:ascii="Times New Roman" w:hAnsi="Times New Roman" w:cs="Times New Roman" w:eastAsia="Times New Roman" w:hint="default"/>
          <w:spacing w:val="-1"/>
        </w:rPr>
        <w:t>“</w:t>
      </w:r>
      <w:r>
        <w:rPr>
          <w:spacing w:val="-1"/>
        </w:rPr>
        <w:t>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。报告期该公司执</w:t>
      </w:r>
      <w:r>
        <w:rPr>
          <w:spacing w:val="-70"/>
        </w:rPr>
        <w:t> </w:t>
      </w:r>
      <w:r>
        <w:rPr>
          <w:spacing w:val="-70"/>
        </w:rPr>
      </w:r>
      <w:r>
        <w:rPr/>
        <w:t>行</w:t>
      </w:r>
      <w:r>
        <w:rPr>
          <w:rFonts w:ascii="Times New Roman" w:hAnsi="Times New Roman" w:cs="Times New Roman" w:eastAsia="Times New Roman" w:hint="default"/>
        </w:rPr>
        <w:t>15%</w:t>
      </w:r>
      <w:r>
        <w:rPr/>
        <w:t>所得税税率优惠政策。</w:t>
      </w:r>
    </w:p>
    <w:p>
      <w:pPr>
        <w:pStyle w:val="BodyText"/>
        <w:spacing w:line="309" w:lineRule="auto" w:before="13"/>
        <w:ind w:right="0" w:firstLine="420"/>
        <w:jc w:val="left"/>
      </w:pPr>
      <w:r>
        <w:rPr/>
        <w:t>（</w:t>
      </w:r>
      <w:r>
        <w:rPr>
          <w:rFonts w:ascii="Times New Roman" w:hAnsi="Times New Roman" w:cs="Times New Roman" w:eastAsia="Times New Roman" w:hint="default"/>
        </w:rPr>
        <w:t>9</w:t>
      </w:r>
      <w:r>
        <w:rPr/>
        <w:t>）成都南天佳信信息工程有限公司 </w:t>
      </w:r>
      <w:r>
        <w:rPr>
          <w:spacing w:val="-2"/>
        </w:rPr>
        <w:t>成都南天佳信信息工程有限公司获得高新技术企业认证，根据《中华人民共和国企业所得税法》（中华人民共和国主席令第</w:t>
      </w:r>
      <w:r>
        <w:rPr>
          <w:spacing w:val="-64"/>
        </w:rPr>
        <w:t> </w:t>
      </w:r>
      <w:r>
        <w:rPr>
          <w:spacing w:val="-64"/>
        </w:rPr>
      </w:r>
      <w:r>
        <w:rPr>
          <w:rFonts w:ascii="Times New Roman" w:hAnsi="Times New Roman" w:cs="Times New Roman" w:eastAsia="Times New Roman" w:hint="default"/>
          <w:spacing w:val="-1"/>
        </w:rPr>
        <w:t>63</w:t>
      </w:r>
      <w:r>
        <w:rPr>
          <w:spacing w:val="-1"/>
        </w:rPr>
        <w:t>号）文件第二十八条的规定：</w:t>
      </w:r>
      <w:r>
        <w:rPr>
          <w:rFonts w:ascii="Times New Roman" w:hAnsi="Times New Roman" w:cs="Times New Roman" w:eastAsia="Times New Roman" w:hint="default"/>
          <w:spacing w:val="-1"/>
        </w:rPr>
        <w:t>“</w:t>
      </w:r>
      <w:r>
        <w:rPr>
          <w:spacing w:val="-1"/>
        </w:rPr>
        <w:t>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。报告期该公司执行</w:t>
      </w:r>
    </w:p>
    <w:p>
      <w:pPr>
        <w:pStyle w:val="BodyText"/>
        <w:spacing w:line="240" w:lineRule="auto" w:before="5"/>
        <w:ind w:right="0"/>
        <w:jc w:val="left"/>
      </w:pPr>
      <w:r>
        <w:rPr>
          <w:rFonts w:ascii="Times New Roman" w:hAnsi="Times New Roman" w:cs="Times New Roman" w:eastAsia="Times New Roman" w:hint="default"/>
        </w:rPr>
        <w:t>15%</w:t>
      </w:r>
      <w:r>
        <w:rPr/>
        <w:t>所得税税率优惠政策。</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8" w:firstLine="525"/>
        <w:jc w:val="both"/>
      </w:pPr>
      <w:r>
        <w:rPr>
          <w:color w:val="343434"/>
        </w:rPr>
        <w:t>根据</w:t>
      </w:r>
      <w:r>
        <w:rPr>
          <w:rFonts w:ascii="Times New Roman" w:hAnsi="Times New Roman" w:cs="Times New Roman" w:eastAsia="Times New Roman" w:hint="default"/>
          <w:color w:val="343434"/>
        </w:rPr>
        <w:t>“</w:t>
      </w:r>
      <w:r>
        <w:rPr>
          <w:color w:val="343434"/>
        </w:rPr>
        <w:t>关于印发《增值税会计处理规定》的通知</w:t>
      </w:r>
      <w:r>
        <w:rPr>
          <w:rFonts w:ascii="Times New Roman" w:hAnsi="Times New Roman" w:cs="Times New Roman" w:eastAsia="Times New Roman" w:hint="default"/>
          <w:color w:val="343434"/>
        </w:rPr>
        <w:t>”</w:t>
      </w:r>
      <w:r>
        <w:rPr>
          <w:color w:val="343434"/>
        </w:rPr>
        <w:t>（财会</w:t>
      </w:r>
      <w:r>
        <w:rPr>
          <w:rFonts w:ascii="Times New Roman" w:hAnsi="Times New Roman" w:cs="Times New Roman" w:eastAsia="Times New Roman" w:hint="default"/>
          <w:color w:val="343434"/>
        </w:rPr>
        <w:t>[2016]22</w:t>
      </w:r>
      <w:r>
        <w:rPr>
          <w:color w:val="343434"/>
        </w:rPr>
        <w:t>号）的规定</w:t>
      </w:r>
      <w:r>
        <w:rPr/>
        <w:t>，自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日起营业税改征增值税。 </w:t>
      </w:r>
      <w:r>
        <w:rPr>
          <w:spacing w:val="-3"/>
        </w:rPr>
        <w:t>根据</w:t>
      </w:r>
      <w:r>
        <w:rPr>
          <w:rFonts w:ascii="Times New Roman" w:hAnsi="Times New Roman" w:cs="Times New Roman" w:eastAsia="Times New Roman" w:hint="default"/>
          <w:spacing w:val="-3"/>
        </w:rPr>
        <w:t>“</w:t>
      </w:r>
      <w:r>
        <w:rPr>
          <w:spacing w:val="-3"/>
        </w:rPr>
        <w:t>关于简并增值税税率有关政策的通知（财会</w:t>
      </w:r>
      <w:r>
        <w:rPr>
          <w:rFonts w:ascii="Times New Roman" w:hAnsi="Times New Roman" w:cs="Times New Roman" w:eastAsia="Times New Roman" w:hint="default"/>
          <w:spacing w:val="-3"/>
        </w:rPr>
        <w:t>[2017]37</w:t>
      </w:r>
      <w:r>
        <w:rPr>
          <w:spacing w:val="-3"/>
        </w:rPr>
        <w:t>号）</w:t>
      </w:r>
      <w:r>
        <w:rPr>
          <w:rFonts w:ascii="Times New Roman" w:hAnsi="Times New Roman" w:cs="Times New Roman" w:eastAsia="Times New Roman" w:hint="default"/>
          <w:spacing w:val="-3"/>
        </w:rPr>
        <w:t>” </w:t>
      </w:r>
      <w:r>
        <w:rPr>
          <w:spacing w:val="-5"/>
        </w:rPr>
        <w:t>的规定，自</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w:t>
      </w:r>
      <w:r>
        <w:rPr>
          <w:spacing w:val="-5"/>
        </w:rPr>
        <w:t>日起，简并增值税税率结构，取消</w:t>
      </w:r>
      <w:r>
        <w:rPr>
          <w:rFonts w:ascii="Times New Roman" w:hAnsi="Times New Roman" w:cs="Times New Roman" w:eastAsia="Times New Roman" w:hint="default"/>
          <w:spacing w:val="-5"/>
        </w:rPr>
        <w:t>13%</w:t>
      </w:r>
      <w:r>
        <w:rPr>
          <w:rFonts w:ascii="Times New Roman" w:hAnsi="Times New Roman" w:cs="Times New Roman" w:eastAsia="Times New Roman" w:hint="default"/>
          <w:spacing w:val="-33"/>
        </w:rPr>
        <w:t> </w:t>
      </w:r>
      <w:r>
        <w:rPr/>
        <w:t>的增值税税率。</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66,277.16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662,879,623.21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762,554,219.31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55,635,759.69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69,024,766.74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718,563,011.24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831,645,263.21</w:t>
            </w:r>
          </w:p>
        </w:tc>
      </w:tr>
    </w:tbl>
    <w:p>
      <w:pPr>
        <w:pStyle w:val="BodyText"/>
        <w:spacing w:line="357" w:lineRule="auto" w:before="49"/>
        <w:ind w:right="7793"/>
        <w:jc w:val="left"/>
      </w:pPr>
      <w:r>
        <w:rPr/>
        <w:t>其他说明 受限制的货币资金情况：</w:t>
      </w:r>
    </w:p>
    <w:tbl>
      <w:tblPr>
        <w:tblW w:w="0" w:type="auto"/>
        <w:jc w:val="left"/>
        <w:tblInd w:w="148" w:type="dxa"/>
        <w:tblLayout w:type="fixed"/>
        <w:tblCellMar>
          <w:top w:w="0" w:type="dxa"/>
          <w:left w:w="0" w:type="dxa"/>
          <w:bottom w:w="0" w:type="dxa"/>
          <w:right w:w="0" w:type="dxa"/>
        </w:tblCellMar>
        <w:tblLook w:val="01E0"/>
      </w:tblPr>
      <w:tblGrid>
        <w:gridCol w:w="2501"/>
        <w:gridCol w:w="1899"/>
        <w:gridCol w:w="1901"/>
        <w:gridCol w:w="2802"/>
      </w:tblGrid>
      <w:tr>
        <w:trPr>
          <w:trHeight w:val="34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5"/>
                <w:szCs w:val="15"/>
              </w:rPr>
            </w:pPr>
            <w:r>
              <w:rPr>
                <w:rFonts w:ascii="宋体" w:hAnsi="宋体" w:cs="宋体" w:eastAsia="宋体" w:hint="default"/>
                <w:sz w:val="15"/>
                <w:szCs w:val="15"/>
              </w:rPr>
              <w:t>受限制的原因</w:t>
            </w:r>
          </w:p>
        </w:tc>
      </w:tr>
      <w:tr>
        <w:trPr>
          <w:trHeight w:val="34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保函保证金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53,940,712.59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47,706,880.21</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5"/>
                <w:szCs w:val="15"/>
              </w:rPr>
            </w:pPr>
            <w:r>
              <w:rPr>
                <w:rFonts w:ascii="宋体" w:hAnsi="宋体" w:cs="宋体" w:eastAsia="宋体" w:hint="default"/>
                <w:sz w:val="15"/>
                <w:szCs w:val="15"/>
              </w:rPr>
              <w:t>保函保证金</w:t>
            </w:r>
          </w:p>
        </w:tc>
      </w:tr>
      <w:tr>
        <w:trPr>
          <w:trHeight w:val="34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银行承兑汇票保证金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Times New Roman" w:hAnsi="Times New Roman" w:cs="Times New Roman" w:eastAsia="Times New Roman" w:hint="default"/>
                <w:sz w:val="15"/>
                <w:szCs w:val="15"/>
              </w:rPr>
            </w:pPr>
            <w:r>
              <w:rPr>
                <w:rFonts w:ascii="Times New Roman"/>
                <w:spacing w:val="-1"/>
                <w:sz w:val="15"/>
              </w:rPr>
              <w:t>1,695,047.10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Times New Roman" w:hAnsi="Times New Roman" w:cs="Times New Roman" w:eastAsia="Times New Roman" w:hint="default"/>
                <w:sz w:val="15"/>
                <w:szCs w:val="15"/>
              </w:rPr>
            </w:pPr>
            <w:r>
              <w:rPr>
                <w:rFonts w:ascii="Times New Roman"/>
                <w:spacing w:val="-1"/>
                <w:sz w:val="15"/>
              </w:rPr>
              <w:t>21,317,886.53</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5"/>
                <w:szCs w:val="15"/>
              </w:rPr>
            </w:pPr>
            <w:r>
              <w:rPr>
                <w:rFonts w:ascii="宋体" w:hAnsi="宋体" w:cs="宋体" w:eastAsia="宋体" w:hint="default"/>
                <w:sz w:val="15"/>
                <w:szCs w:val="15"/>
              </w:rPr>
              <w:t>银行承兑汇票保证金</w:t>
            </w:r>
          </w:p>
        </w:tc>
      </w:tr>
      <w:tr>
        <w:trPr>
          <w:trHeight w:val="34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2"/>
                <w:sz w:val="15"/>
                <w:szCs w:val="15"/>
              </w:rPr>
              <w:t> </w:t>
            </w:r>
            <w:r>
              <w:rPr>
                <w:rFonts w:ascii="宋体" w:hAnsi="宋体" w:cs="宋体" w:eastAsia="宋体" w:hint="default"/>
                <w:sz w:val="15"/>
                <w:szCs w:val="15"/>
              </w:rPr>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55,635,759.69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69,024,766.74</w:t>
            </w:r>
          </w:p>
        </w:tc>
        <w:tc>
          <w:tcPr>
            <w:tcW w:w="2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506" w:lineRule="auto"/>
        <w:ind w:right="8086"/>
        <w:jc w:val="left"/>
        <w:rPr>
          <w:b w:val="0"/>
          <w:bCs w:val="0"/>
        </w:rPr>
      </w:pPr>
      <w:r>
        <w:rPr>
          <w:rFonts w:ascii="Times New Roman" w:hAnsi="Times New Roman" w:cs="Times New Roman" w:eastAsia="Times New Roman" w:hint="default"/>
        </w:rPr>
        <w:t>3</w:t>
      </w:r>
      <w:r>
        <w:rPr/>
        <w:t>、应收票据</w:t>
      </w:r>
      <w:r>
        <w:rPr>
          <w:spacing w:val="-104"/>
        </w:rPr>
        <w:t> </w:t>
      </w:r>
      <w:r>
        <w:rPr/>
        <w:t>应收票据分类列示</w:t>
      </w:r>
      <w:r>
        <w:rPr>
          <w:b w:val="0"/>
          <w:bCs w:val="0"/>
        </w:rPr>
      </w:r>
    </w:p>
    <w:p>
      <w:pPr>
        <w:pStyle w:val="BodyText"/>
        <w:spacing w:line="240" w:lineRule="auto" w:before="12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10,394,307.00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150,575.00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10,394,307.00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469,541,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596.56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63,095,4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13.44%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406,446,1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448,532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,664.35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47,797,38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400,735,28</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1.60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3,330,83</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3,330,83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3,330,8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31.00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3,330,831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472,872,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66,426,2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center"/>
              <w:rPr>
                <w:rFonts w:ascii="Times New Roman" w:hAnsi="Times New Roman" w:cs="Times New Roman" w:eastAsia="Times New Roman" w:hint="default"/>
                <w:sz w:val="18"/>
                <w:szCs w:val="18"/>
              </w:rPr>
            </w:pPr>
            <w:r>
              <w:rPr>
                <w:rFonts w:ascii="Times New Roman"/>
                <w:sz w:val="18"/>
              </w:rPr>
              <w:t>14.05%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406,446,1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451,863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51,128,21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400,735,28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4"/>
      </w:tblGrid>
      <w:tr>
        <w:trPr>
          <w:trHeight w:val="36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427.56</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86.94</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40.62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,495.35</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7" w:right="0"/>
              <w:jc w:val="left"/>
              <w:rPr>
                <w:rFonts w:ascii="Times New Roman" w:hAnsi="Times New Roman" w:cs="Times New Roman" w:eastAsia="Times New Roman" w:hint="default"/>
                <w:sz w:val="18"/>
                <w:szCs w:val="18"/>
              </w:rPr>
            </w:pPr>
            <w:r>
              <w:rPr>
                <w:rFonts w:ascii="Times New Roman"/>
                <w:sz w:val="18"/>
              </w:rPr>
              <w:t>3.75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6" w:right="0"/>
              <w:jc w:val="left"/>
              <w:rPr>
                <w:rFonts w:ascii="Times New Roman" w:hAnsi="Times New Roman" w:cs="Times New Roman" w:eastAsia="Times New Roman" w:hint="default"/>
                <w:sz w:val="18"/>
                <w:szCs w:val="18"/>
              </w:rPr>
            </w:pPr>
            <w:r>
              <w:rPr>
                <w:rFonts w:ascii="Times New Roman"/>
                <w:sz w:val="18"/>
              </w:rPr>
              <w:t>1.60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880" w:right="880"/>
        </w:sectPr>
      </w:pPr>
    </w:p>
    <w:p>
      <w:pPr>
        <w:pStyle w:val="BodyText"/>
        <w:spacing w:line="240" w:lineRule="auto" w:before="49"/>
        <w:ind w:left="253" w:right="-20"/>
        <w:jc w:val="left"/>
      </w:pPr>
      <w:r>
        <w:rPr/>
        <w:t>期末单项金额重大并单项计提坏账准备的应收账款：</w:t>
      </w:r>
    </w:p>
    <w:p>
      <w:pPr>
        <w:pStyle w:val="BodyText"/>
        <w:spacing w:line="340" w:lineRule="auto" w:before="115"/>
        <w:ind w:left="253"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left="2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53" w:right="0"/>
        <w:jc w:val="left"/>
      </w:pPr>
      <w:r>
        <w:rPr/>
        <w:t>单位：</w:t>
      </w:r>
      <w:r>
        <w:rPr>
          <w:spacing w:val="1"/>
        </w:rPr>
        <w:t> </w:t>
      </w:r>
      <w:r>
        <w:rPr/>
        <w:t>元</w:t>
      </w:r>
    </w:p>
    <w:p>
      <w:pPr>
        <w:spacing w:after="0" w:line="240" w:lineRule="auto"/>
        <w:jc w:val="left"/>
        <w:sectPr>
          <w:type w:val="continuous"/>
          <w:pgSz w:w="11910" w:h="16840"/>
          <w:pgMar w:top="1060" w:bottom="1160" w:left="880" w:right="880"/>
          <w:cols w:num="2" w:equalWidth="0">
            <w:col w:w="4394" w:space="4435"/>
            <w:col w:w="1321"/>
          </w:cols>
        </w:sectPr>
      </w:pPr>
    </w:p>
    <w:p>
      <w:pPr>
        <w:spacing w:line="240" w:lineRule="auto" w:before="4"/>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2342"/>
        <w:gridCol w:w="2392"/>
        <w:gridCol w:w="2392"/>
        <w:gridCol w:w="2342"/>
      </w:tblGrid>
      <w:tr>
        <w:trPr>
          <w:trHeight w:val="402" w:hRule="exact"/>
        </w:trPr>
        <w:tc>
          <w:tcPr>
            <w:tcW w:w="2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账龄</w:t>
            </w:r>
          </w:p>
        </w:tc>
        <w:tc>
          <w:tcPr>
            <w:tcW w:w="71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4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468" w:type="dxa"/>
            <w:gridSpan w:val="4"/>
            <w:tcBorders>
              <w:top w:val="single" w:sz="4" w:space="0" w:color="000000"/>
              <w:left w:val="single" w:sz="4" w:space="0" w:color="000000"/>
              <w:bottom w:val="single" w:sz="9"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13" w:hRule="exact"/>
        </w:trPr>
        <w:tc>
          <w:tcPr>
            <w:tcW w:w="2342" w:type="dxa"/>
            <w:tcBorders>
              <w:top w:val="single" w:sz="9" w:space="0" w:color="000000"/>
              <w:left w:val="single" w:sz="45" w:space="0" w:color="FFFFFF"/>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143,015,580.92</w:t>
            </w:r>
          </w:p>
        </w:tc>
        <w:tc>
          <w:tcPr>
            <w:tcW w:w="2392" w:type="dxa"/>
            <w:tcBorders>
              <w:top w:val="single" w:sz="9" w:space="0" w:color="000000"/>
              <w:left w:val="single" w:sz="4" w:space="0" w:color="000000"/>
              <w:bottom w:val="single" w:sz="4" w:space="0" w:color="000000"/>
              <w:right w:val="single" w:sz="4" w:space="0" w:color="000000"/>
            </w:tcBorders>
          </w:tcPr>
          <w:p>
            <w:pPr/>
          </w:p>
        </w:tc>
        <w:tc>
          <w:tcPr>
            <w:tcW w:w="2342" w:type="dxa"/>
            <w:tcBorders>
              <w:top w:val="single" w:sz="9" w:space="0" w:color="000000"/>
              <w:left w:val="single" w:sz="4" w:space="0" w:color="000000"/>
              <w:bottom w:val="single" w:sz="4" w:space="0" w:color="000000"/>
              <w:right w:val="single" w:sz="45" w:space="0" w:color="FFFFFF"/>
            </w:tcBorders>
          </w:tcPr>
          <w:p>
            <w:pPr/>
          </w:p>
        </w:tc>
      </w:tr>
      <w:tr>
        <w:trPr>
          <w:trHeight w:val="404"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113,985,137.62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1,191,619.67</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20,057,246.64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401,144.93</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3"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13,158,106.00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394,743.19</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1"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43,640,821.03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2,182,041.05</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22,979,517.59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1,838,361.39</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1"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6,135,795.44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613,579.54</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32,126,266.62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6,465,630.92</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24,380,796.47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7,314,238.95</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12,280,386.56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4,912,154.63</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342"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37,781,941.67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37,781,941.67</w:t>
            </w:r>
          </w:p>
        </w:tc>
        <w:tc>
          <w:tcPr>
            <w:tcW w:w="2342" w:type="dxa"/>
            <w:tcBorders>
              <w:top w:val="single" w:sz="4" w:space="0" w:color="000000"/>
              <w:left w:val="single" w:sz="4" w:space="0" w:color="000000"/>
              <w:bottom w:val="single" w:sz="4" w:space="0" w:color="000000"/>
              <w:right w:val="single" w:sz="45" w:space="0" w:color="FFFFFF"/>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13" w:hRule="exact"/>
        </w:trPr>
        <w:tc>
          <w:tcPr>
            <w:tcW w:w="2342" w:type="dxa"/>
            <w:tcBorders>
              <w:top w:val="single" w:sz="4" w:space="0" w:color="000000"/>
              <w:left w:val="single" w:sz="45" w:space="0" w:color="FFFFFF"/>
              <w:bottom w:val="single" w:sz="8"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469,541,596.56</w:t>
            </w:r>
          </w:p>
        </w:tc>
        <w:tc>
          <w:tcPr>
            <w:tcW w:w="23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63,095,455.94</w:t>
            </w:r>
          </w:p>
        </w:tc>
        <w:tc>
          <w:tcPr>
            <w:tcW w:w="2342" w:type="dxa"/>
            <w:tcBorders>
              <w:top w:val="single" w:sz="4" w:space="0" w:color="000000"/>
              <w:left w:val="single" w:sz="4" w:space="0" w:color="000000"/>
              <w:bottom w:val="single" w:sz="8" w:space="0" w:color="000000"/>
              <w:right w:val="single" w:sz="45" w:space="0" w:color="FFFFFF"/>
            </w:tcBorders>
          </w:tcPr>
          <w:p>
            <w:pPr/>
          </w:p>
        </w:tc>
      </w:tr>
    </w:tbl>
    <w:p>
      <w:pPr>
        <w:pStyle w:val="BodyText"/>
        <w:spacing w:line="357" w:lineRule="auto" w:before="44"/>
        <w:ind w:left="253" w:right="5553"/>
        <w:jc w:val="left"/>
      </w:pPr>
      <w:r>
        <w:rPr/>
        <w:t>确定该组合依据的说明： 按账龄估计坏账的比例，按账龄分析计提坏账准备。 组合中，采用余额百分比法计提坏账准备的应收账款：</w:t>
      </w:r>
    </w:p>
    <w:p>
      <w:pPr>
        <w:pStyle w:val="BodyText"/>
        <w:spacing w:line="338" w:lineRule="auto" w:before="29"/>
        <w:ind w:left="253" w:right="5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122"/>
        <w:ind w:left="613" w:right="239"/>
        <w:jc w:val="left"/>
      </w:pPr>
      <w:r>
        <w:rPr/>
        <w:t>期末单项金额虽不重大但单项计提坏账准备的应收账款</w:t>
      </w:r>
    </w:p>
    <w:p>
      <w:pPr>
        <w:spacing w:line="240" w:lineRule="auto" w:before="12"/>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25"/>
        <w:gridCol w:w="1304"/>
        <w:gridCol w:w="1303"/>
        <w:gridCol w:w="982"/>
        <w:gridCol w:w="1322"/>
        <w:gridCol w:w="3335"/>
      </w:tblGrid>
      <w:tr>
        <w:trPr>
          <w:trHeight w:val="413" w:hRule="exact"/>
        </w:trPr>
        <w:tc>
          <w:tcPr>
            <w:tcW w:w="16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82" w:right="0"/>
              <w:jc w:val="left"/>
              <w:rPr>
                <w:rFonts w:ascii="Arial Narrow" w:hAnsi="Arial Narrow" w:cs="Arial Narrow" w:eastAsia="Arial Narrow"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p>
        </w:tc>
        <w:tc>
          <w:tcPr>
            <w:tcW w:w="33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XJHF</w:t>
            </w:r>
            <w:r>
              <w:rPr>
                <w:rFonts w:ascii="Arial Narrow" w:hAnsi="Arial Narrow" w:cs="Arial Narrow" w:eastAsia="Arial Narrow" w:hint="default"/>
                <w:spacing w:val="4"/>
                <w:sz w:val="18"/>
                <w:szCs w:val="18"/>
              </w:rPr>
              <w:t> </w:t>
            </w:r>
            <w:r>
              <w:rPr>
                <w:rFonts w:ascii="宋体" w:hAnsi="宋体" w:cs="宋体" w:eastAsia="宋体" w:hint="default"/>
                <w:sz w:val="18"/>
                <w:szCs w:val="18"/>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8" w:right="0"/>
              <w:jc w:val="left"/>
              <w:rPr>
                <w:rFonts w:ascii="Arial Narrow" w:hAnsi="Arial Narrow" w:cs="Arial Narrow" w:eastAsia="Arial Narrow" w:hint="default"/>
                <w:sz w:val="18"/>
                <w:szCs w:val="18"/>
              </w:rPr>
            </w:pPr>
            <w:r>
              <w:rPr>
                <w:rFonts w:ascii="Arial Narrow"/>
                <w:sz w:val="18"/>
              </w:rPr>
              <w:t>3,330,831.00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8" w:right="0"/>
              <w:jc w:val="left"/>
              <w:rPr>
                <w:rFonts w:ascii="Arial Narrow" w:hAnsi="Arial Narrow" w:cs="Arial Narrow" w:eastAsia="Arial Narrow" w:hint="default"/>
                <w:sz w:val="18"/>
                <w:szCs w:val="18"/>
              </w:rPr>
            </w:pPr>
            <w:r>
              <w:rPr>
                <w:rFonts w:ascii="Arial Narrow"/>
                <w:sz w:val="18"/>
              </w:rPr>
              <w:t>3,330,831.00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年以上</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100.00</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123" w:right="133" w:hanging="990"/>
              <w:jc w:val="left"/>
              <w:rPr>
                <w:rFonts w:ascii="宋体" w:hAnsi="宋体" w:cs="宋体" w:eastAsia="宋体" w:hint="default"/>
                <w:sz w:val="18"/>
                <w:szCs w:val="18"/>
              </w:rPr>
            </w:pPr>
            <w:r>
              <w:rPr>
                <w:rFonts w:ascii="宋体" w:hAnsi="宋体" w:cs="宋体" w:eastAsia="宋体" w:hint="default"/>
                <w:sz w:val="18"/>
                <w:szCs w:val="18"/>
              </w:rPr>
              <w:t>该公司经营不善，现已处于停业状态， 预计不可收回</w:t>
            </w:r>
          </w:p>
        </w:tc>
      </w:tr>
      <w:tr>
        <w:trPr>
          <w:trHeight w:val="413" w:hRule="exact"/>
        </w:trPr>
        <w:tc>
          <w:tcPr>
            <w:tcW w:w="16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328" w:right="0"/>
              <w:jc w:val="left"/>
              <w:rPr>
                <w:rFonts w:ascii="Arial Narrow" w:hAnsi="Arial Narrow" w:cs="Arial Narrow" w:eastAsia="Arial Narrow" w:hint="default"/>
                <w:sz w:val="18"/>
                <w:szCs w:val="18"/>
              </w:rPr>
            </w:pPr>
            <w:r>
              <w:rPr>
                <w:rFonts w:ascii="Arial Narrow"/>
                <w:sz w:val="18"/>
              </w:rPr>
              <w:t>3,330,831.00</w:t>
            </w:r>
          </w:p>
        </w:tc>
        <w:tc>
          <w:tcPr>
            <w:tcW w:w="1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328" w:right="0"/>
              <w:jc w:val="left"/>
              <w:rPr>
                <w:rFonts w:ascii="Arial Narrow" w:hAnsi="Arial Narrow" w:cs="Arial Narrow" w:eastAsia="Arial Narrow" w:hint="default"/>
                <w:sz w:val="18"/>
                <w:szCs w:val="18"/>
              </w:rPr>
            </w:pPr>
            <w:r>
              <w:rPr>
                <w:rFonts w:ascii="Arial Narrow"/>
                <w:sz w:val="18"/>
              </w:rPr>
              <w:t>3,330,831.00</w:t>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 </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33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 </w:t>
            </w:r>
          </w:p>
        </w:tc>
      </w:tr>
    </w:tbl>
    <w:p>
      <w:pPr>
        <w:pStyle w:val="BodyText"/>
        <w:spacing w:line="302" w:lineRule="auto" w:before="49"/>
        <w:ind w:left="253" w:right="239"/>
        <w:jc w:val="left"/>
      </w:pPr>
      <w:r>
        <w:rPr/>
        <w:t>注：期末单项计提坏账准备原因主要是</w:t>
      </w:r>
      <w:r>
        <w:rPr>
          <w:spacing w:val="-45"/>
        </w:rPr>
        <w:t> </w:t>
      </w:r>
      <w:r>
        <w:rPr>
          <w:rFonts w:ascii="Arial Narrow" w:hAnsi="Arial Narrow" w:cs="Arial Narrow" w:eastAsia="Arial Narrow" w:hint="default"/>
        </w:rPr>
        <w:t>XJHF</w:t>
      </w:r>
      <w:r>
        <w:rPr>
          <w:rFonts w:ascii="Arial Narrow" w:hAnsi="Arial Narrow" w:cs="Arial Narrow" w:eastAsia="Arial Narrow" w:hint="default"/>
          <w:spacing w:val="4"/>
        </w:rPr>
        <w:t> </w:t>
      </w:r>
      <w:r>
        <w:rPr/>
        <w:t>科技有限公司由于</w:t>
      </w:r>
      <w:r>
        <w:rPr>
          <w:spacing w:val="-46"/>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年开始出现大额拖欠货款现象，从</w:t>
      </w:r>
      <w:r>
        <w:rPr>
          <w:spacing w:val="-45"/>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年开始本公司 </w:t>
      </w:r>
      <w:r>
        <w:rPr>
          <w:spacing w:val="-3"/>
        </w:rPr>
        <w:t>控制发货，并且加大催收货款，但</w:t>
      </w:r>
      <w:r>
        <w:rPr>
          <w:spacing w:val="-47"/>
        </w:rPr>
        <w:t> </w:t>
      </w:r>
      <w:r>
        <w:rPr>
          <w:rFonts w:ascii="Arial Narrow" w:hAnsi="Arial Narrow" w:cs="Arial Narrow" w:eastAsia="Arial Narrow" w:hint="default"/>
        </w:rPr>
        <w:t>XJHF</w:t>
      </w:r>
      <w:r>
        <w:rPr>
          <w:rFonts w:ascii="Arial Narrow" w:hAnsi="Arial Narrow" w:cs="Arial Narrow" w:eastAsia="Arial Narrow" w:hint="default"/>
          <w:spacing w:val="2"/>
        </w:rPr>
        <w:t> </w:t>
      </w:r>
      <w:r>
        <w:rPr/>
        <w:t>科技有限公司以无款和售后服务结算有异议等理由拒绝付款，自</w:t>
      </w:r>
      <w:r>
        <w:rPr>
          <w:spacing w:val="-47"/>
        </w:rPr>
        <w:t> </w:t>
      </w:r>
      <w:r>
        <w:rPr>
          <w:rFonts w:ascii="Arial Narrow" w:hAnsi="Arial Narrow" w:cs="Arial Narrow" w:eastAsia="Arial Narrow" w:hint="default"/>
        </w:rPr>
        <w:t>2012</w:t>
      </w:r>
      <w:r>
        <w:rPr>
          <w:rFonts w:ascii="Arial Narrow" w:hAnsi="Arial Narrow" w:cs="Arial Narrow" w:eastAsia="Arial Narrow" w:hint="default"/>
          <w:spacing w:val="1"/>
        </w:rPr>
        <w:t> </w:t>
      </w:r>
      <w:r>
        <w:rPr/>
        <w:t>年</w:t>
      </w:r>
      <w:r>
        <w:rPr>
          <w:spacing w:val="-47"/>
        </w:rPr>
        <w:t> </w:t>
      </w:r>
      <w:r>
        <w:rPr>
          <w:rFonts w:ascii="Arial Narrow" w:hAnsi="Arial Narrow" w:cs="Arial Narrow" w:eastAsia="Arial Narrow" w:hint="default"/>
        </w:rPr>
        <w:t>6</w:t>
      </w:r>
      <w:r>
        <w:rPr>
          <w:rFonts w:ascii="Arial Narrow" w:hAnsi="Arial Narrow" w:cs="Arial Narrow" w:eastAsia="Arial Narrow" w:hint="default"/>
          <w:spacing w:val="1"/>
        </w:rPr>
        <w:t> </w:t>
      </w:r>
      <w:r>
        <w:rPr/>
        <w:t>月后再无 回款，与对方发询证函无任何回应，本公司派业务负责人多次到</w:t>
      </w:r>
      <w:r>
        <w:rPr>
          <w:spacing w:val="-47"/>
        </w:rPr>
        <w:t> </w:t>
      </w:r>
      <w:r>
        <w:rPr>
          <w:rFonts w:ascii="Arial Narrow" w:hAnsi="Arial Narrow" w:cs="Arial Narrow" w:eastAsia="Arial Narrow" w:hint="default"/>
        </w:rPr>
        <w:t>XJHF</w:t>
      </w:r>
      <w:r>
        <w:rPr>
          <w:rFonts w:ascii="Arial Narrow" w:hAnsi="Arial Narrow" w:cs="Arial Narrow" w:eastAsia="Arial Narrow" w:hint="default"/>
          <w:spacing w:val="2"/>
        </w:rPr>
        <w:t> </w:t>
      </w:r>
      <w:r>
        <w:rPr/>
        <w:t>科技有限公司公司催收无任何结果。</w:t>
      </w:r>
      <w:r>
        <w:rPr>
          <w:rFonts w:ascii="Arial Narrow" w:hAnsi="Arial Narrow" w:cs="Arial Narrow" w:eastAsia="Arial Narrow" w:hint="default"/>
        </w:rPr>
        <w:t>2014</w:t>
      </w:r>
      <w:r>
        <w:rPr>
          <w:rFonts w:ascii="Arial Narrow" w:hAnsi="Arial Narrow" w:cs="Arial Narrow" w:eastAsia="Arial Narrow" w:hint="default"/>
          <w:spacing w:val="1"/>
        </w:rPr>
        <w:t> </w:t>
      </w:r>
      <w:r>
        <w:rPr/>
        <w:t>年</w:t>
      </w:r>
      <w:r>
        <w:rPr>
          <w:spacing w:val="-47"/>
        </w:rPr>
        <w:t> </w:t>
      </w:r>
      <w:r>
        <w:rPr>
          <w:rFonts w:ascii="Arial Narrow" w:hAnsi="Arial Narrow" w:cs="Arial Narrow" w:eastAsia="Arial Narrow" w:hint="default"/>
        </w:rPr>
        <w:t>6</w:t>
      </w:r>
      <w:r>
        <w:rPr>
          <w:rFonts w:ascii="Arial Narrow" w:hAnsi="Arial Narrow" w:cs="Arial Narrow" w:eastAsia="Arial Narrow" w:hint="default"/>
          <w:spacing w:val="1"/>
        </w:rPr>
        <w:t> </w:t>
      </w:r>
      <w:r>
        <w:rPr/>
        <w:t>月份经 本公司业务负责人调查，</w:t>
      </w:r>
      <w:r>
        <w:rPr>
          <w:rFonts w:ascii="Arial Narrow" w:hAnsi="Arial Narrow" w:cs="Arial Narrow" w:eastAsia="Arial Narrow" w:hint="default"/>
        </w:rPr>
        <w:t>XJHF</w:t>
      </w:r>
      <w:r>
        <w:rPr>
          <w:rFonts w:ascii="Arial Narrow" w:hAnsi="Arial Narrow" w:cs="Arial Narrow" w:eastAsia="Arial Narrow" w:hint="default"/>
          <w:spacing w:val="-1"/>
        </w:rPr>
        <w:t> </w:t>
      </w:r>
      <w:r>
        <w:rPr/>
        <w:t>科技有限公司由于经营不善，现在已处在半关闭停业状态，</w:t>
      </w:r>
      <w:r>
        <w:rPr>
          <w:rFonts w:ascii="Arial Narrow" w:hAnsi="Arial Narrow" w:cs="Arial Narrow" w:eastAsia="Arial Narrow" w:hint="default"/>
        </w:rPr>
        <w:t>2014</w:t>
      </w:r>
      <w:r>
        <w:rPr>
          <w:rFonts w:ascii="Arial Narrow" w:hAnsi="Arial Narrow" w:cs="Arial Narrow" w:eastAsia="Arial Narrow" w:hint="default"/>
          <w:spacing w:val="-3"/>
        </w:rPr>
        <w:t> </w:t>
      </w:r>
      <w:r>
        <w:rPr/>
        <w:t>年</w:t>
      </w:r>
      <w:r>
        <w:rPr>
          <w:spacing w:val="-52"/>
        </w:rPr>
        <w:t> </w:t>
      </w:r>
      <w:r>
        <w:rPr>
          <w:rFonts w:ascii="Arial Narrow" w:hAnsi="Arial Narrow" w:cs="Arial Narrow" w:eastAsia="Arial Narrow" w:hint="default"/>
        </w:rPr>
        <w:t>6</w:t>
      </w:r>
      <w:r>
        <w:rPr>
          <w:rFonts w:ascii="Arial Narrow" w:hAnsi="Arial Narrow" w:cs="Arial Narrow" w:eastAsia="Arial Narrow" w:hint="default"/>
          <w:spacing w:val="-3"/>
        </w:rPr>
        <w:t> </w:t>
      </w:r>
      <w:r>
        <w:rPr/>
        <w:t>月</w:t>
      </w:r>
      <w:r>
        <w:rPr>
          <w:spacing w:val="-52"/>
        </w:rPr>
        <w:t> </w:t>
      </w:r>
      <w:r>
        <w:rPr>
          <w:rFonts w:ascii="Arial Narrow" w:hAnsi="Arial Narrow" w:cs="Arial Narrow" w:eastAsia="Arial Narrow" w:hint="default"/>
        </w:rPr>
        <w:t>24</w:t>
      </w:r>
      <w:r>
        <w:rPr>
          <w:rFonts w:ascii="Arial Narrow" w:hAnsi="Arial Narrow" w:cs="Arial Narrow" w:eastAsia="Arial Narrow" w:hint="default"/>
          <w:spacing w:val="-3"/>
        </w:rPr>
        <w:t> </w:t>
      </w:r>
      <w:r>
        <w:rPr/>
        <w:t>日经公司财务提出 单项计提坏账准备申请，</w:t>
      </w:r>
      <w:r>
        <w:rPr>
          <w:rFonts w:ascii="Arial Narrow" w:hAnsi="Arial Narrow" w:cs="Arial Narrow" w:eastAsia="Arial Narrow" w:hint="default"/>
        </w:rPr>
        <w:t>2014</w:t>
      </w:r>
      <w:r>
        <w:rPr>
          <w:rFonts w:ascii="Arial Narrow" w:hAnsi="Arial Narrow" w:cs="Arial Narrow" w:eastAsia="Arial Narrow" w:hint="default"/>
          <w:spacing w:val="5"/>
        </w:rPr>
        <w:t> </w:t>
      </w:r>
      <w:r>
        <w:rPr/>
        <w:t>年</w:t>
      </w:r>
      <w:r>
        <w:rPr>
          <w:spacing w:val="-46"/>
        </w:rPr>
        <w:t> </w:t>
      </w:r>
      <w:r>
        <w:rPr>
          <w:rFonts w:ascii="Arial Narrow" w:hAnsi="Arial Narrow" w:cs="Arial Narrow" w:eastAsia="Arial Narrow" w:hint="default"/>
        </w:rPr>
        <w:t>6</w:t>
      </w:r>
      <w:r>
        <w:rPr>
          <w:rFonts w:ascii="Arial Narrow" w:hAnsi="Arial Narrow" w:cs="Arial Narrow" w:eastAsia="Arial Narrow" w:hint="default"/>
          <w:spacing w:val="3"/>
        </w:rPr>
        <w:t> </w:t>
      </w:r>
      <w:r>
        <w:rPr/>
        <w:t>月</w:t>
      </w:r>
      <w:r>
        <w:rPr>
          <w:spacing w:val="-46"/>
        </w:rPr>
        <w:t> </w:t>
      </w:r>
      <w:r>
        <w:rPr>
          <w:rFonts w:ascii="Arial Narrow" w:hAnsi="Arial Narrow" w:cs="Arial Narrow" w:eastAsia="Arial Narrow" w:hint="default"/>
        </w:rPr>
        <w:t>27</w:t>
      </w:r>
      <w:r>
        <w:rPr>
          <w:rFonts w:ascii="Arial Narrow" w:hAnsi="Arial Narrow" w:cs="Arial Narrow" w:eastAsia="Arial Narrow" w:hint="default"/>
          <w:spacing w:val="3"/>
        </w:rPr>
        <w:t> </w:t>
      </w:r>
      <w:r>
        <w:rPr/>
        <w:t>日经公司董事会决议同意按单项计提坏账准备。</w:t>
      </w:r>
    </w:p>
    <w:p>
      <w:pPr>
        <w:spacing w:after="0" w:line="302" w:lineRule="auto"/>
        <w:jc w:val="left"/>
        <w:sectPr>
          <w:type w:val="continuous"/>
          <w:pgSz w:w="11910" w:h="16840"/>
          <w:pgMar w:top="1060" w:bottom="1160" w:left="880" w:right="8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50"/>
        </w:rPr>
        <w:t> </w:t>
      </w:r>
      <w:r>
        <w:rPr>
          <w:rFonts w:ascii="Times New Roman" w:hAnsi="Times New Roman" w:cs="Times New Roman" w:eastAsia="Times New Roman" w:hint="default"/>
        </w:rPr>
        <w:t>15,409,051.94</w:t>
      </w:r>
      <w:r>
        <w:rPr>
          <w:rFonts w:ascii="Times New Roman" w:hAnsi="Times New Roman" w:cs="Times New Roman" w:eastAsia="Times New Roman" w:hint="default"/>
          <w:spacing w:val="-2"/>
        </w:rPr>
        <w:t> </w:t>
      </w:r>
      <w:r>
        <w:rPr/>
        <w:t>元；本期收回或转回坏账准备金额</w:t>
      </w:r>
      <w:r>
        <w:rPr>
          <w:spacing w:val="-50"/>
        </w:rPr>
        <w:t> </w:t>
      </w:r>
      <w:r>
        <w:rPr>
          <w:rFonts w:ascii="Times New Roman" w:hAnsi="Times New Roman" w:cs="Times New Roman" w:eastAsia="Times New Roman" w:hint="default"/>
        </w:rPr>
        <w:t>110,978.75</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381" w:type="dxa"/>
        <w:tblLayout w:type="fixed"/>
        <w:tblCellMar>
          <w:top w:w="0" w:type="dxa"/>
          <w:left w:w="0" w:type="dxa"/>
          <w:bottom w:w="0" w:type="dxa"/>
          <w:right w:w="0" w:type="dxa"/>
        </w:tblCellMar>
        <w:tblLook w:val="01E0"/>
      </w:tblPr>
      <w:tblGrid>
        <w:gridCol w:w="2093"/>
        <w:gridCol w:w="1277"/>
        <w:gridCol w:w="1294"/>
        <w:gridCol w:w="1394"/>
        <w:gridCol w:w="860"/>
        <w:gridCol w:w="2254"/>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16"/>
                <w:szCs w:val="16"/>
              </w:rPr>
            </w:pPr>
            <w:r>
              <w:rPr>
                <w:rFonts w:ascii="宋体" w:hAnsi="宋体" w:cs="宋体" w:eastAsia="宋体" w:hint="default"/>
                <w:sz w:val="16"/>
                <w:szCs w:val="16"/>
              </w:rPr>
              <w:t>与本公司关系</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6" w:right="0"/>
              <w:jc w:val="left"/>
              <w:rPr>
                <w:rFonts w:ascii="宋体" w:hAnsi="宋体" w:cs="宋体" w:eastAsia="宋体" w:hint="default"/>
                <w:sz w:val="16"/>
                <w:szCs w:val="16"/>
              </w:rPr>
            </w:pPr>
            <w:r>
              <w:rPr>
                <w:rFonts w:ascii="宋体" w:hAnsi="宋体" w:cs="宋体" w:eastAsia="宋体" w:hint="default"/>
                <w:sz w:val="16"/>
                <w:szCs w:val="16"/>
              </w:rPr>
              <w:t>年限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占应收账款总额的比例</w:t>
            </w:r>
            <w:r>
              <w:rPr>
                <w:rFonts w:ascii="Times New Roman" w:hAnsi="Times New Roman" w:cs="Times New Roman" w:eastAsia="Times New Roman" w:hint="default"/>
                <w:sz w:val="16"/>
                <w:szCs w:val="16"/>
              </w:rPr>
              <w: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JTJT</w:t>
            </w:r>
            <w:r>
              <w:rPr>
                <w:rFonts w:ascii="宋体" w:hAnsi="宋体" w:cs="宋体" w:eastAsia="宋体" w:hint="default"/>
                <w:sz w:val="16"/>
                <w:szCs w:val="16"/>
              </w:rPr>
              <w:t>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6"/>
                <w:szCs w:val="16"/>
              </w:rPr>
            </w:pPr>
            <w:r>
              <w:rPr>
                <w:rFonts w:ascii="Times New Roman"/>
                <w:sz w:val="16"/>
              </w:rPr>
              <w:t>21,609,955.27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6"/>
                <w:szCs w:val="16"/>
              </w:rPr>
            </w:pPr>
            <w:r>
              <w:rPr>
                <w:rFonts w:ascii="Times New Roman"/>
                <w:sz w:val="16"/>
              </w:rPr>
              <w:t>800,240.58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0"/>
              <w:jc w:val="right"/>
              <w:rPr>
                <w:rFonts w:ascii="宋体" w:hAnsi="宋体" w:cs="宋体" w:eastAsia="宋体" w:hint="default"/>
                <w:sz w:val="16"/>
                <w:szCs w:val="16"/>
              </w:rPr>
            </w:pPr>
            <w:r>
              <w:rPr>
                <w:rFonts w:ascii="Times New Roman" w:hAnsi="Times New Roman" w:cs="Times New Roman" w:eastAsia="Times New Roman" w:hint="default"/>
                <w:sz w:val="16"/>
                <w:szCs w:val="16"/>
              </w:rPr>
              <w:t>0-3</w:t>
            </w:r>
            <w:r>
              <w:rPr>
                <w:rFonts w:ascii="宋体" w:hAnsi="宋体" w:cs="宋体" w:eastAsia="宋体" w:hint="default"/>
                <w:sz w:val="16"/>
                <w:szCs w:val="16"/>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4.57</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ZHH</w:t>
            </w:r>
            <w:r>
              <w:rPr>
                <w:rFonts w:ascii="宋体" w:hAnsi="宋体" w:cs="宋体" w:eastAsia="宋体" w:hint="default"/>
                <w:sz w:val="16"/>
                <w:szCs w:val="16"/>
              </w:rPr>
              <w:t>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6"/>
                <w:szCs w:val="16"/>
              </w:rPr>
            </w:pPr>
            <w:r>
              <w:rPr>
                <w:rFonts w:ascii="Times New Roman"/>
                <w:sz w:val="16"/>
              </w:rPr>
              <w:t>19,016,911.00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6"/>
                <w:szCs w:val="16"/>
              </w:rPr>
            </w:pPr>
            <w:r>
              <w:rPr>
                <w:rFonts w:ascii="Times New Roman"/>
                <w:sz w:val="16"/>
              </w:rPr>
              <w:t>3,161,204.21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0"/>
              <w:jc w:val="right"/>
              <w:rPr>
                <w:rFonts w:ascii="宋体" w:hAnsi="宋体" w:cs="宋体" w:eastAsia="宋体" w:hint="default"/>
                <w:sz w:val="16"/>
                <w:szCs w:val="16"/>
              </w:rPr>
            </w:pPr>
            <w:r>
              <w:rPr>
                <w:rFonts w:ascii="Times New Roman" w:hAnsi="Times New Roman" w:cs="Times New Roman" w:eastAsia="Times New Roman" w:hint="default"/>
                <w:sz w:val="16"/>
                <w:szCs w:val="16"/>
              </w:rPr>
              <w:t>0-5</w:t>
            </w:r>
            <w:r>
              <w:rPr>
                <w:rFonts w:ascii="宋体" w:hAnsi="宋体" w:cs="宋体" w:eastAsia="宋体" w:hint="default"/>
                <w:sz w:val="16"/>
                <w:szCs w:val="16"/>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6"/>
                <w:szCs w:val="16"/>
              </w:rPr>
            </w:pPr>
            <w:r>
              <w:rPr>
                <w:rFonts w:ascii="Times New Roman"/>
                <w:sz w:val="16"/>
              </w:rPr>
              <w:t>4.02</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ZTYJ</w:t>
            </w:r>
            <w:r>
              <w:rPr>
                <w:rFonts w:ascii="宋体" w:hAnsi="宋体" w:cs="宋体" w:eastAsia="宋体" w:hint="default"/>
                <w:sz w:val="16"/>
                <w:szCs w:val="16"/>
              </w:rPr>
              <w:t>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6"/>
                <w:szCs w:val="16"/>
              </w:rPr>
            </w:pPr>
            <w:r>
              <w:rPr>
                <w:rFonts w:ascii="Times New Roman"/>
                <w:sz w:val="16"/>
              </w:rPr>
              <w:t>16,317,061.70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6"/>
                <w:szCs w:val="16"/>
              </w:rPr>
            </w:pPr>
            <w:r>
              <w:rPr>
                <w:rFonts w:ascii="Times New Roman"/>
                <w:sz w:val="16"/>
              </w:rPr>
              <w:t>863,092.19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0"/>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0-1.5</w:t>
            </w:r>
            <w:r>
              <w:rPr>
                <w:rFonts w:ascii="宋体" w:hAnsi="宋体" w:cs="宋体" w:eastAsia="宋体" w:hint="default"/>
                <w:spacing w:val="-1"/>
                <w:sz w:val="16"/>
                <w:szCs w:val="16"/>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3.45</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SHYK</w:t>
            </w:r>
            <w:r>
              <w:rPr>
                <w:rFonts w:ascii="宋体" w:hAnsi="宋体" w:cs="宋体" w:eastAsia="宋体" w:hint="default"/>
                <w:sz w:val="16"/>
                <w:szCs w:val="16"/>
              </w:rPr>
              <w:t>技术有限责任公司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9,768,721.85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6"/>
                <w:szCs w:val="16"/>
              </w:rPr>
            </w:pPr>
            <w:r>
              <w:rPr>
                <w:rFonts w:ascii="Times New Roman"/>
                <w:sz w:val="16"/>
              </w:rPr>
              <w:t>164,411.24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0"/>
              <w:jc w:val="right"/>
              <w:rPr>
                <w:rFonts w:ascii="宋体" w:hAnsi="宋体" w:cs="宋体" w:eastAsia="宋体" w:hint="default"/>
                <w:sz w:val="16"/>
                <w:szCs w:val="16"/>
              </w:rPr>
            </w:pPr>
            <w:r>
              <w:rPr>
                <w:rFonts w:ascii="Times New Roman" w:hAnsi="Times New Roman" w:cs="Times New Roman" w:eastAsia="Times New Roman" w:hint="default"/>
                <w:sz w:val="16"/>
                <w:szCs w:val="16"/>
              </w:rPr>
              <w:t>0-1</w:t>
            </w:r>
            <w:r>
              <w:rPr>
                <w:rFonts w:ascii="宋体" w:hAnsi="宋体" w:cs="宋体" w:eastAsia="宋体" w:hint="default"/>
                <w:sz w:val="16"/>
                <w:szCs w:val="16"/>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2.07</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HKNSH</w:t>
            </w:r>
            <w:r>
              <w:rPr>
                <w:rFonts w:ascii="宋体" w:hAnsi="宋体" w:cs="宋体" w:eastAsia="宋体" w:hint="default"/>
                <w:sz w:val="16"/>
                <w:szCs w:val="16"/>
              </w:rPr>
              <w:t>银行股份有限公司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9,115,239.00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6"/>
                <w:szCs w:val="16"/>
              </w:rPr>
            </w:pPr>
            <w:r>
              <w:rPr>
                <w:rFonts w:ascii="Times New Roman"/>
                <w:sz w:val="16"/>
              </w:rPr>
              <w:t>168,480.39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0"/>
              <w:jc w:val="right"/>
              <w:rPr>
                <w:rFonts w:ascii="宋体" w:hAnsi="宋体" w:cs="宋体" w:eastAsia="宋体" w:hint="default"/>
                <w:sz w:val="16"/>
                <w:szCs w:val="16"/>
              </w:rPr>
            </w:pPr>
            <w:r>
              <w:rPr>
                <w:rFonts w:ascii="Times New Roman" w:hAnsi="Times New Roman" w:cs="Times New Roman" w:eastAsia="Times New Roman" w:hint="default"/>
                <w:sz w:val="16"/>
                <w:szCs w:val="16"/>
              </w:rPr>
              <w:t>0-2</w:t>
            </w:r>
            <w:r>
              <w:rPr>
                <w:rFonts w:ascii="宋体" w:hAnsi="宋体" w:cs="宋体" w:eastAsia="宋体" w:hint="default"/>
                <w:sz w:val="16"/>
                <w:szCs w:val="16"/>
              </w:rPr>
              <w:t>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1.93</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6"/>
                <w:szCs w:val="16"/>
              </w:rPr>
            </w:pPr>
            <w:r>
              <w:rPr>
                <w:rFonts w:ascii="Times New Roman"/>
                <w:sz w:val="16"/>
              </w:rPr>
              <w:t>75,827,888.82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5,157,428.61</w:t>
            </w:r>
          </w:p>
        </w:tc>
        <w:tc>
          <w:tcPr>
            <w:tcW w:w="86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16.04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截至期末，本公司无因金融资产转移而终止确认的应收账款情况。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89" w:right="0"/>
        <w:jc w:val="left"/>
      </w:pPr>
      <w:r>
        <w:rPr/>
        <w:t>截至期末，本公司未发生以应收账款为标的进行证券化的情况。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55,629,886.06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51,764,644.88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90.62%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2,448,082.25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1,643,922.33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732,095.47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1,727,250.20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1,985,226.30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60,077,627.78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57,121,043.71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304" w:type="dxa"/>
        <w:tblLayout w:type="fixed"/>
        <w:tblCellMar>
          <w:top w:w="0" w:type="dxa"/>
          <w:left w:w="0" w:type="dxa"/>
          <w:bottom w:w="0" w:type="dxa"/>
          <w:right w:w="0" w:type="dxa"/>
        </w:tblCellMar>
        <w:tblLook w:val="01E0"/>
      </w:tblPr>
      <w:tblGrid>
        <w:gridCol w:w="2804"/>
        <w:gridCol w:w="2979"/>
        <w:gridCol w:w="1419"/>
        <w:gridCol w:w="850"/>
        <w:gridCol w:w="1275"/>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宋体" w:hAnsi="宋体" w:cs="宋体" w:eastAsia="宋体" w:hint="default"/>
                <w:sz w:val="15"/>
                <w:szCs w:val="15"/>
              </w:rPr>
            </w:pPr>
            <w:r>
              <w:rPr>
                <w:rFonts w:ascii="宋体" w:hAnsi="宋体" w:cs="宋体" w:eastAsia="宋体" w:hint="default"/>
                <w:sz w:val="15"/>
                <w:szCs w:val="15"/>
              </w:rPr>
              <w:t>债务单位</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债权单位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8" w:right="0"/>
              <w:jc w:val="left"/>
              <w:rPr>
                <w:rFonts w:ascii="宋体" w:hAnsi="宋体" w:cs="宋体" w:eastAsia="宋体" w:hint="default"/>
                <w:sz w:val="15"/>
                <w:szCs w:val="15"/>
              </w:rPr>
            </w:pPr>
            <w:r>
              <w:rPr>
                <w:rFonts w:ascii="宋体" w:hAnsi="宋体" w:cs="宋体" w:eastAsia="宋体" w:hint="default"/>
                <w:sz w:val="15"/>
                <w:szCs w:val="15"/>
              </w:rPr>
              <w:t>账龄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2" w:right="0"/>
              <w:jc w:val="left"/>
              <w:rPr>
                <w:rFonts w:ascii="宋体" w:hAnsi="宋体" w:cs="宋体" w:eastAsia="宋体" w:hint="default"/>
                <w:sz w:val="15"/>
                <w:szCs w:val="15"/>
              </w:rPr>
            </w:pPr>
            <w:r>
              <w:rPr>
                <w:rFonts w:ascii="宋体" w:hAnsi="宋体" w:cs="宋体" w:eastAsia="宋体" w:hint="default"/>
                <w:sz w:val="15"/>
                <w:szCs w:val="15"/>
              </w:rPr>
              <w:t>未结算的原因</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QZTHZN</w:t>
            </w:r>
            <w:r>
              <w:rPr>
                <w:rFonts w:ascii="宋体" w:hAnsi="宋体" w:cs="宋体" w:eastAsia="宋体" w:hint="default"/>
                <w:sz w:val="15"/>
                <w:szCs w:val="15"/>
              </w:rPr>
              <w:t>电子科技有限公司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0" w:right="0"/>
              <w:jc w:val="left"/>
              <w:rPr>
                <w:rFonts w:ascii="宋体" w:hAnsi="宋体" w:cs="宋体" w:eastAsia="宋体" w:hint="default"/>
                <w:sz w:val="15"/>
                <w:szCs w:val="15"/>
              </w:rPr>
            </w:pPr>
            <w:r>
              <w:rPr>
                <w:rFonts w:ascii="宋体" w:hAnsi="宋体" w:cs="宋体" w:eastAsia="宋体" w:hint="default"/>
                <w:sz w:val="15"/>
                <w:szCs w:val="15"/>
              </w:rPr>
              <w:t>重庆南天数据资讯服务有限公司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5"/>
                <w:szCs w:val="15"/>
              </w:rPr>
            </w:pPr>
            <w:r>
              <w:rPr>
                <w:rFonts w:ascii="Times New Roman"/>
                <w:spacing w:val="-1"/>
                <w:sz w:val="15"/>
              </w:rPr>
              <w:t>2,032,750.00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5</w:t>
            </w:r>
            <w:r>
              <w:rPr>
                <w:rFonts w:ascii="宋体" w:hAnsi="宋体" w:cs="宋体" w:eastAsia="宋体" w:hint="default"/>
                <w:spacing w:val="-1"/>
                <w:sz w:val="15"/>
                <w:szCs w:val="15"/>
              </w:rPr>
              <w:t>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31" w:right="0"/>
              <w:jc w:val="left"/>
              <w:rPr>
                <w:rFonts w:ascii="宋体" w:hAnsi="宋体" w:cs="宋体" w:eastAsia="宋体" w:hint="default"/>
                <w:sz w:val="15"/>
                <w:szCs w:val="15"/>
              </w:rPr>
            </w:pPr>
            <w:r>
              <w:rPr>
                <w:rFonts w:ascii="宋体" w:hAnsi="宋体" w:cs="宋体" w:eastAsia="宋体" w:hint="default"/>
                <w:sz w:val="15"/>
                <w:szCs w:val="15"/>
              </w:rPr>
              <w:t>尚未结算</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KMJCJM</w:t>
            </w:r>
            <w:r>
              <w:rPr>
                <w:rFonts w:ascii="宋体" w:hAnsi="宋体" w:cs="宋体" w:eastAsia="宋体" w:hint="default"/>
                <w:sz w:val="15"/>
                <w:szCs w:val="15"/>
              </w:rPr>
              <w:t>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云南南天电子信息产业股份有限公司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1,039,397.00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5</w:t>
            </w:r>
            <w:r>
              <w:rPr>
                <w:rFonts w:ascii="宋体" w:hAnsi="宋体" w:cs="宋体" w:eastAsia="宋体" w:hint="default"/>
                <w:spacing w:val="-1"/>
                <w:sz w:val="15"/>
                <w:szCs w:val="15"/>
              </w:rPr>
              <w:t>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1" w:right="0"/>
              <w:jc w:val="left"/>
              <w:rPr>
                <w:rFonts w:ascii="宋体" w:hAnsi="宋体" w:cs="宋体" w:eastAsia="宋体" w:hint="default"/>
                <w:sz w:val="15"/>
                <w:szCs w:val="15"/>
              </w:rPr>
            </w:pPr>
            <w:r>
              <w:rPr>
                <w:rFonts w:ascii="宋体" w:hAnsi="宋体" w:cs="宋体" w:eastAsia="宋体" w:hint="default"/>
                <w:sz w:val="15"/>
                <w:szCs w:val="15"/>
              </w:rPr>
              <w:t>尚未结算</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3,072,147.00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w w:val="100"/>
                <w:sz w:val="15"/>
              </w:rPr>
              <w:t> </w:t>
            </w:r>
          </w:p>
        </w:tc>
      </w:tr>
    </w:tbl>
    <w:p>
      <w:pPr>
        <w:pStyle w:val="BodyText"/>
        <w:spacing w:line="240" w:lineRule="auto" w:before="8"/>
        <w:ind w:right="0"/>
        <w:jc w:val="left"/>
      </w:pPr>
      <w:r>
        <w:rPr/>
        <w:t>上述单位已经停止经营，公司对这些预付款项已经计提了</w:t>
      </w:r>
      <w:r>
        <w:rPr>
          <w:rFonts w:ascii="Times New Roman" w:hAnsi="Times New Roman" w:cs="Times New Roman" w:eastAsia="Times New Roman" w:hint="default"/>
        </w:rPr>
        <w:t>100%</w:t>
      </w:r>
      <w:r>
        <w:rPr/>
        <w:t>坏账准备。</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3" w:right="20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5089"/>
        <w:gridCol w:w="2125"/>
        <w:gridCol w:w="1882"/>
      </w:tblGrid>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占预付款项比例</w:t>
            </w:r>
            <w:r>
              <w:rPr>
                <w:rFonts w:ascii="Times New Roman" w:hAnsi="Times New Roman" w:cs="Times New Roman" w:eastAsia="Times New Roman" w:hint="default"/>
                <w:sz w:val="15"/>
                <w:szCs w:val="15"/>
              </w:rPr>
              <w:t>(%)</w:t>
            </w:r>
          </w:p>
        </w:tc>
      </w:tr>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第一名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10,779,710.52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5"/>
                <w:szCs w:val="15"/>
              </w:rPr>
            </w:pPr>
            <w:r>
              <w:rPr>
                <w:rFonts w:ascii="Times New Roman"/>
                <w:sz w:val="15"/>
              </w:rPr>
              <w:t>16.09</w:t>
            </w:r>
          </w:p>
        </w:tc>
      </w:tr>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第二名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7,600,000.00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5"/>
                <w:szCs w:val="15"/>
              </w:rPr>
            </w:pPr>
            <w:r>
              <w:rPr>
                <w:rFonts w:ascii="Times New Roman"/>
                <w:sz w:val="15"/>
              </w:rPr>
              <w:t>11.34</w:t>
            </w:r>
          </w:p>
        </w:tc>
      </w:tr>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第三名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5"/>
                <w:szCs w:val="15"/>
              </w:rPr>
            </w:pPr>
            <w:r>
              <w:rPr>
                <w:rFonts w:ascii="Times New Roman"/>
                <w:spacing w:val="-1"/>
                <w:sz w:val="15"/>
              </w:rPr>
              <w:t>3,450,878.00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5.15</w:t>
            </w:r>
          </w:p>
        </w:tc>
      </w:tr>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第四名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4.48</w:t>
            </w:r>
          </w:p>
        </w:tc>
      </w:tr>
      <w:tr>
        <w:trPr>
          <w:trHeight w:val="324"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第五名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2,400,000.00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sz w:val="15"/>
              </w:rPr>
              <w:t>3.58</w:t>
            </w:r>
          </w:p>
        </w:tc>
      </w:tr>
      <w:tr>
        <w:trPr>
          <w:trHeight w:val="322"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27,230,588.52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5"/>
                <w:szCs w:val="15"/>
              </w:rPr>
            </w:pPr>
            <w:r>
              <w:rPr>
                <w:rFonts w:ascii="Times New Roman"/>
                <w:sz w:val="15"/>
              </w:rPr>
              <w:t>40.64</w:t>
            </w:r>
          </w:p>
        </w:tc>
      </w:tr>
    </w:tbl>
    <w:p>
      <w:pPr>
        <w:pStyle w:val="BodyText"/>
        <w:spacing w:line="357" w:lineRule="auto" w:before="49"/>
        <w:ind w:left="213" w:right="7253"/>
        <w:jc w:val="left"/>
      </w:pPr>
      <w:r>
        <w:rPr/>
        <w:t>其他说明： 上述预付款为预付定金及预付款</w:t>
      </w:r>
    </w:p>
    <w:p>
      <w:pPr>
        <w:pStyle w:val="BodyText"/>
        <w:spacing w:line="237" w:lineRule="exact"/>
        <w:ind w:left="213" w:right="203"/>
        <w:jc w:val="left"/>
        <w:rPr>
          <w:rFonts w:ascii="宋体" w:hAnsi="宋体" w:cs="宋体" w:eastAsia="宋体" w:hint="default"/>
        </w:rPr>
      </w:pPr>
      <w:r>
        <w:rPr/>
        <w:t>预付账款已经计提坏账准备</w:t>
      </w:r>
      <w:r>
        <w:rPr>
          <w:rFonts w:ascii="Times New Roman" w:hAnsi="Times New Roman" w:cs="Times New Roman" w:eastAsia="Times New Roman" w:hint="default"/>
        </w:rPr>
        <w:t>909,604.97</w:t>
      </w:r>
      <w:r>
        <w:rPr>
          <w:rFonts w:ascii="Times New Roman" w:hAnsi="Times New Roman" w:cs="Times New Roman" w:eastAsia="Times New Roman" w:hint="default"/>
          <w:spacing w:val="23"/>
        </w:rPr>
        <w:t> </w:t>
      </w:r>
      <w:r>
        <w:rPr/>
        <w:t>元，按账龄列示的数据为扣除坏账准备后的净额</w:t>
      </w:r>
      <w:r>
        <w:rPr>
          <w:rFonts w:ascii="宋体" w:hAnsi="宋体" w:cs="宋体" w:eastAsia="宋体" w:hint="default"/>
        </w:rPr>
        <w:t>.</w:t>
      </w:r>
    </w:p>
    <w:p>
      <w:pPr>
        <w:spacing w:line="240" w:lineRule="auto" w:before="3"/>
        <w:rPr>
          <w:rFonts w:ascii="宋体" w:hAnsi="宋体" w:cs="宋体" w:eastAsia="宋体" w:hint="default"/>
          <w:sz w:val="26"/>
          <w:szCs w:val="26"/>
        </w:rPr>
      </w:pPr>
    </w:p>
    <w:p>
      <w:pPr>
        <w:pStyle w:val="Heading3"/>
        <w:spacing w:line="240" w:lineRule="auto"/>
        <w:ind w:left="213" w:right="20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3" w:right="20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1624"/>
        <w:gridCol w:w="775"/>
        <w:gridCol w:w="761"/>
        <w:gridCol w:w="763"/>
        <w:gridCol w:w="764"/>
        <w:gridCol w:w="787"/>
        <w:gridCol w:w="655"/>
        <w:gridCol w:w="761"/>
        <w:gridCol w:w="814"/>
        <w:gridCol w:w="934"/>
        <w:gridCol w:w="932"/>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16,992,7</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92.52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1,843,55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15,149,23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098.55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1,825,517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13,869,580.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16,992,7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92.52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1,843,55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10.85%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15,149,23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4.08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098.55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1,825,517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13,869,580.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980"/>
        </w:sectPr>
      </w:pPr>
    </w:p>
    <w:p>
      <w:pPr>
        <w:pStyle w:val="BodyText"/>
        <w:spacing w:line="240" w:lineRule="auto" w:before="49"/>
        <w:ind w:left="213" w:right="-20"/>
        <w:jc w:val="left"/>
      </w:pPr>
      <w:r>
        <w:rPr/>
        <w:t>期末单项金额重大并单项计提坏账准备的其他应收款：</w:t>
      </w:r>
    </w:p>
    <w:p>
      <w:pPr>
        <w:pStyle w:val="BodyText"/>
        <w:spacing w:line="340" w:lineRule="auto" w:before="115"/>
        <w:ind w:left="213"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left="21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13" w:right="0"/>
        <w:jc w:val="left"/>
      </w:pPr>
      <w:r>
        <w:rPr/>
        <w:t>单位：</w:t>
      </w:r>
      <w:r>
        <w:rPr>
          <w:spacing w:val="1"/>
        </w:rPr>
        <w:t> </w:t>
      </w:r>
      <w:r>
        <w:rPr/>
        <w:t>元</w:t>
      </w:r>
    </w:p>
    <w:p>
      <w:pPr>
        <w:spacing w:after="0" w:line="240" w:lineRule="auto"/>
        <w:jc w:val="left"/>
        <w:sectPr>
          <w:type w:val="continuous"/>
          <w:pgSz w:w="11910" w:h="16840"/>
          <w:pgMar w:top="1060" w:bottom="1160" w:left="920" w:right="980"/>
          <w:cols w:num="2" w:equalWidth="0">
            <w:col w:w="4534" w:space="4295"/>
            <w:col w:w="1181"/>
          </w:cols>
        </w:sectPr>
      </w:pPr>
    </w:p>
    <w:p>
      <w:pPr>
        <w:spacing w:line="240" w:lineRule="auto" w:before="5"/>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5,837,319.25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2,225,839.75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2,067,805.99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1,869,889.79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55,676.69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1,452,970.88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1,057,311.87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83,500.95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133,543.20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439,928.40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375,121.60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112,536.48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216,179.48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86,471.80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1,316,882.31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1,316,882.31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16,992,792.52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1,843,558.44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按账龄估计坏账的比例，按账龄分析计提坏账准备。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18,040.81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793"/>
        <w:jc w:val="left"/>
      </w:pPr>
      <w:r>
        <w:rPr/>
        <w:t>其他应收款核销说明： 本期未核销其他应收款。</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13,056,482.03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11,792,675.21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未及时结算的往来款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3,936,310.49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3,902,423.34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16,992,792.52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15,695,098.55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房租、电费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1,527,105.00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50,893.57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720,894.00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24,029.80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434,210.70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58,039.61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3,793,135.70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132,962.98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截至期末，本公司无因金融资产转移而终止确认的其他应收款情况。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截至期末，本公司无转移其他应收款且继续涉入形成的资产和负债金额。</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3"/>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46,387,620.62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Narrow" w:hAnsi="Arial Narrow" w:cs="Arial Narrow" w:eastAsia="Arial Narrow" w:hint="default"/>
                <w:sz w:val="18"/>
                <w:szCs w:val="18"/>
              </w:rPr>
            </w:pPr>
            <w:r>
              <w:rPr>
                <w:rFonts w:ascii="Arial Narrow"/>
                <w:spacing w:val="-1"/>
                <w:sz w:val="18"/>
              </w:rPr>
              <w:t>4,960,223.95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43,122,744.71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77,690,395.90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4,610,447.58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73,079,948.32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436,525,552.58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Narrow" w:hAnsi="Arial Narrow" w:cs="Arial Narrow" w:eastAsia="Arial Narrow" w:hint="default"/>
                <w:sz w:val="18"/>
                <w:szCs w:val="18"/>
              </w:rPr>
            </w:pPr>
            <w:r>
              <w:rPr>
                <w:rFonts w:ascii="Arial Narrow"/>
                <w:spacing w:val="-1"/>
                <w:sz w:val="18"/>
              </w:rPr>
              <w:t>2,953,961.13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433,571,591.45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199,104,232.56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2,892,161.74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196,212,070.82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91,956,806.00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2"/>
                <w:sz w:val="18"/>
              </w:rPr>
              <w:t>4,281,811.33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85,979,646.63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84,482,570.44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4,198,696.31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80,283,874.13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574,869,979.20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12,195,996.41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562,673,982.79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361,277,198.90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11,701,305.63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349,575,893.27</w:t>
            </w:r>
          </w:p>
        </w:tc>
      </w:tr>
    </w:tbl>
    <w:p>
      <w:pPr>
        <w:pStyle w:val="BodyText"/>
        <w:spacing w:line="340" w:lineRule="auto" w:before="49"/>
        <w:ind w:right="1495"/>
        <w:jc w:val="left"/>
      </w:pPr>
      <w:r>
        <w:rPr/>
        <w:t>公司是否需遵守《深圳证券交易所行业信息披露指引第</w:t>
      </w:r>
      <w:r>
        <w:rPr>
          <w:spacing w:val="-47"/>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 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4,610,447.58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7" w:right="0"/>
              <w:jc w:val="left"/>
              <w:rPr>
                <w:rFonts w:ascii="Arial Narrow" w:hAnsi="Arial Narrow" w:cs="Arial Narrow" w:eastAsia="Arial Narrow" w:hint="default"/>
                <w:sz w:val="18"/>
                <w:szCs w:val="18"/>
              </w:rPr>
            </w:pPr>
            <w:r>
              <w:rPr>
                <w:rFonts w:ascii="Arial Narrow"/>
                <w:sz w:val="18"/>
              </w:rPr>
              <w:t>399,653.94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49,877.57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2" w:right="0"/>
              <w:jc w:val="left"/>
              <w:rPr>
                <w:rFonts w:ascii="Arial Narrow" w:hAnsi="Arial Narrow" w:cs="Arial Narrow" w:eastAsia="Arial Narrow" w:hint="default"/>
                <w:sz w:val="18"/>
                <w:szCs w:val="18"/>
              </w:rPr>
            </w:pPr>
            <w:r>
              <w:rPr>
                <w:rFonts w:ascii="Arial Narrow"/>
                <w:sz w:val="18"/>
              </w:rPr>
              <w:t>4,960,223.95</w:t>
            </w:r>
          </w:p>
        </w:tc>
      </w:tr>
    </w:tbl>
    <w:p>
      <w:pPr>
        <w:spacing w:after="0" w:line="240" w:lineRule="auto"/>
        <w:jc w:val="left"/>
        <w:rPr>
          <w:rFonts w:ascii="Arial Narrow" w:hAnsi="Arial Narrow" w:cs="Arial Narrow" w:eastAsia="Arial Narrow"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2,892,161.74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61,799.39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2,953,961.13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4,198,696.31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2"/>
                <w:sz w:val="18"/>
              </w:rPr>
              <w:t>107,119.48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24,004.46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Arial Narrow" w:hAnsi="Arial Narrow" w:cs="Arial Narrow" w:eastAsia="Arial Narrow" w:hint="default"/>
                <w:sz w:val="18"/>
                <w:szCs w:val="18"/>
              </w:rPr>
            </w:pPr>
            <w:r>
              <w:rPr>
                <w:rFonts w:ascii="Arial Narrow"/>
                <w:spacing w:val="-2"/>
                <w:sz w:val="18"/>
              </w:rPr>
              <w:t>4,281,811.33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11,701,305.63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568,572.81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73,882.03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12,195,996.41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rPr>
          <w:rFonts w:ascii="宋体" w:hAnsi="宋体" w:cs="宋体" w:eastAsia="宋体" w:hint="default"/>
        </w:rPr>
      </w:pPr>
      <w:r>
        <w:rPr/>
        <w:t>存货期末没有资本化金额。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4,313,505.39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3,154,167.71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1,113,838.62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1,143,167.39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155,427,344.01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164,297,335.10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5"/>
        <w:gridCol w:w="1198"/>
        <w:gridCol w:w="1195"/>
        <w:gridCol w:w="1249"/>
        <w:gridCol w:w="1368"/>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122,283,696.72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120,783,696.72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92,283,696.72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90,783,696.72</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122,283,696.72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120,783,696.72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92,283,696.72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90,783,696.72</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122,283,696.72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120,783,696.72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92,283,696.72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90,783,696.72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8"/>
              <w:jc w:val="left"/>
              <w:rPr>
                <w:rFonts w:ascii="宋体" w:hAnsi="宋体" w:cs="宋体" w:eastAsia="宋体" w:hint="default"/>
                <w:sz w:val="18"/>
                <w:szCs w:val="18"/>
              </w:rPr>
            </w:pPr>
            <w:r>
              <w:rPr>
                <w:rFonts w:ascii="宋体" w:hAnsi="宋体" w:cs="宋体" w:eastAsia="宋体" w:hint="default"/>
                <w:sz w:val="18"/>
                <w:szCs w:val="18"/>
              </w:rPr>
              <w:t>盈富泰克 创业投资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14,783,696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495.700012pt;margin-top:725.139954pt;width:39.550pt;height:35.2pt;mso-position-horizontal-relative:page;mso-position-vertical-relative:page;z-index:-1056352" coordorigin="9914,14503" coordsize="791,704">
            <v:group style="position:absolute;left:9914;top:14503;width:791;height:156" coordorigin="9914,14503" coordsize="791,156">
              <v:shape style="position:absolute;left:9914;top:14503;width:791;height:156" coordorigin="9914,14503" coordsize="791,156" path="m9914,14659l10704,14659,10704,14503,9914,14503,9914,14659xe" filled="true" fillcolor="#ffffff" stroked="false">
                <v:path arrowok="t"/>
                <v:fill type="solid"/>
              </v:shape>
            </v:group>
            <v:group style="position:absolute;left:10601;top:14659;width:104;height:392" coordorigin="10601,14659" coordsize="104,392">
              <v:shape style="position:absolute;left:10601;top:14659;width:104;height:392" coordorigin="10601,14659" coordsize="104,392" path="m10601,15050l10704,15050,10704,14659,10601,14659,10601,15050xe" filled="true" fillcolor="#ffffff" stroked="false">
                <v:path arrowok="t"/>
                <v:fill type="solid"/>
              </v:shape>
            </v:group>
            <v:group style="position:absolute;left:9914;top:15050;width:791;height:156" coordorigin="9914,15050" coordsize="791,156">
              <v:shape style="position:absolute;left:9914;top:15050;width:791;height:156" coordorigin="9914,15050" coordsize="791,156" path="m9914,15206l10704,15206,10704,15050,9914,15050,9914,15206xe" filled="true" fillcolor="#ffffff" stroked="false">
                <v:path arrowok="t"/>
                <v:fill type="solid"/>
              </v:shape>
            </v:group>
            <w10:wrap type="none"/>
          </v:group>
        </w:pict>
      </w:r>
    </w:p>
    <w:tbl>
      <w:tblPr>
        <w:tblW w:w="0" w:type="auto"/>
        <w:jc w:val="left"/>
        <w:tblInd w:w="20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3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富滇银行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22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上海汇付 互联网金 融信息服 务创业股 权投资中 心（有限 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9.68%</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北京人大 金仓信息 技术股份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11.72%</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深圳市帕 纳投资有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92,283,696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122,283,69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240" w:lineRule="auto" w:before="36"/>
        <w:ind w:left="213" w:right="203"/>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860" w:right="141"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3"/>
        <w:rPr>
          <w:rFonts w:ascii="宋体" w:hAnsi="宋体" w:cs="宋体" w:eastAsia="宋体" w:hint="default"/>
          <w:sz w:val="19"/>
          <w:szCs w:val="19"/>
        </w:rPr>
      </w:pPr>
    </w:p>
    <w:p>
      <w:pPr>
        <w:pStyle w:val="Heading3"/>
        <w:spacing w:line="240" w:lineRule="auto" w:before="36"/>
        <w:ind w:left="213" w:right="20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9"/>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71" w:hRule="exact"/>
        </w:trPr>
        <w:tc>
          <w:tcPr>
            <w:tcW w:w="796" w:type="dxa"/>
            <w:tcBorders>
              <w:top w:val="single" w:sz="8" w:space="0" w:color="000000"/>
              <w:left w:val="single" w:sz="45" w:space="0" w:color="FFFFFF"/>
              <w:bottom w:val="nil" w:sz="6" w:space="0" w:color="auto"/>
              <w:right w:val="single" w:sz="4" w:space="0" w:color="000000"/>
            </w:tcBorders>
          </w:tcPr>
          <w:p>
            <w:pPr>
              <w:pStyle w:val="TableParagraph"/>
              <w:spacing w:line="240" w:lineRule="auto" w:before="53"/>
              <w:ind w:right="91"/>
              <w:jc w:val="center"/>
              <w:rPr>
                <w:rFonts w:ascii="宋体" w:hAnsi="宋体" w:cs="宋体" w:eastAsia="宋体" w:hint="default"/>
                <w:sz w:val="18"/>
                <w:szCs w:val="18"/>
              </w:rPr>
            </w:pPr>
            <w:r>
              <w:rPr>
                <w:rFonts w:ascii="宋体" w:hAnsi="宋体" w:cs="宋体" w:eastAsia="宋体" w:hint="default"/>
                <w:sz w:val="18"/>
                <w:szCs w:val="18"/>
              </w:rPr>
              <w:t>云南医</w:t>
            </w:r>
          </w:p>
        </w:tc>
        <w:tc>
          <w:tcPr>
            <w:tcW w:w="79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0"/>
              <w:ind w:right="102"/>
              <w:jc w:val="right"/>
              <w:rPr>
                <w:rFonts w:ascii="Arial Narrow" w:hAnsi="Arial Narrow" w:cs="Arial Narrow" w:eastAsia="Arial Narrow" w:hint="default"/>
                <w:sz w:val="18"/>
                <w:szCs w:val="18"/>
              </w:rPr>
            </w:pPr>
            <w:r>
              <w:rPr>
                <w:rFonts w:ascii="Arial Narrow"/>
                <w:spacing w:val="-1"/>
                <w:sz w:val="18"/>
              </w:rPr>
              <w:t>266,749,</w:t>
            </w:r>
          </w:p>
        </w:tc>
        <w:tc>
          <w:tcPr>
            <w:tcW w:w="797" w:type="dxa"/>
            <w:vMerge w:val="restart"/>
            <w:tcBorders>
              <w:top w:val="single" w:sz="8" w:space="0" w:color="000000"/>
              <w:left w:val="single" w:sz="4" w:space="0" w:color="000000"/>
              <w:right w:val="single" w:sz="4" w:space="0" w:color="000000"/>
            </w:tcBorders>
          </w:tcPr>
          <w:p>
            <w:pPr/>
          </w:p>
        </w:tc>
        <w:tc>
          <w:tcPr>
            <w:tcW w:w="798" w:type="dxa"/>
            <w:vMerge w:val="restart"/>
            <w:tcBorders>
              <w:top w:val="single" w:sz="8" w:space="0" w:color="000000"/>
              <w:left w:val="single" w:sz="4" w:space="0" w:color="000000"/>
              <w:right w:val="single" w:sz="4" w:space="0" w:color="000000"/>
            </w:tcBorders>
          </w:tcPr>
          <w:p>
            <w:pPr/>
          </w:p>
        </w:tc>
        <w:tc>
          <w:tcPr>
            <w:tcW w:w="79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0"/>
              <w:ind w:right="100"/>
              <w:jc w:val="right"/>
              <w:rPr>
                <w:rFonts w:ascii="Arial Narrow" w:hAnsi="Arial Narrow" w:cs="Arial Narrow" w:eastAsia="Arial Narrow" w:hint="default"/>
                <w:sz w:val="18"/>
                <w:szCs w:val="18"/>
              </w:rPr>
            </w:pPr>
            <w:r>
              <w:rPr>
                <w:rFonts w:ascii="Arial Narrow"/>
                <w:spacing w:val="-1"/>
                <w:sz w:val="18"/>
              </w:rPr>
              <w:t>-2,379,4</w:t>
            </w:r>
          </w:p>
        </w:tc>
        <w:tc>
          <w:tcPr>
            <w:tcW w:w="79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0"/>
              <w:ind w:right="101"/>
              <w:jc w:val="right"/>
              <w:rPr>
                <w:rFonts w:ascii="Arial Narrow" w:hAnsi="Arial Narrow" w:cs="Arial Narrow" w:eastAsia="Arial Narrow" w:hint="default"/>
                <w:sz w:val="18"/>
                <w:szCs w:val="18"/>
              </w:rPr>
            </w:pPr>
            <w:r>
              <w:rPr>
                <w:rFonts w:ascii="Arial Narrow"/>
                <w:spacing w:val="-1"/>
                <w:sz w:val="18"/>
              </w:rPr>
              <w:t>34,289.5</w:t>
            </w:r>
          </w:p>
        </w:tc>
        <w:tc>
          <w:tcPr>
            <w:tcW w:w="79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0"/>
              <w:ind w:right="100"/>
              <w:jc w:val="right"/>
              <w:rPr>
                <w:rFonts w:ascii="Arial Narrow" w:hAnsi="Arial Narrow" w:cs="Arial Narrow" w:eastAsia="Arial Narrow" w:hint="default"/>
                <w:sz w:val="18"/>
                <w:szCs w:val="18"/>
              </w:rPr>
            </w:pPr>
            <w:r>
              <w:rPr>
                <w:rFonts w:ascii="Arial Narrow"/>
                <w:spacing w:val="-2"/>
                <w:sz w:val="18"/>
              </w:rPr>
              <w:t>11,420.1</w:t>
            </w:r>
          </w:p>
        </w:tc>
        <w:tc>
          <w:tcPr>
            <w:tcW w:w="798" w:type="dxa"/>
            <w:vMerge w:val="restart"/>
            <w:tcBorders>
              <w:top w:val="single" w:sz="8" w:space="0" w:color="000000"/>
              <w:left w:val="single" w:sz="4" w:space="0" w:color="000000"/>
              <w:right w:val="single" w:sz="4" w:space="0" w:color="000000"/>
            </w:tcBorders>
          </w:tcPr>
          <w:p>
            <w:pPr/>
          </w:p>
        </w:tc>
        <w:tc>
          <w:tcPr>
            <w:tcW w:w="799" w:type="dxa"/>
            <w:vMerge w:val="restart"/>
            <w:tcBorders>
              <w:top w:val="single" w:sz="8" w:space="0" w:color="000000"/>
              <w:left w:val="single" w:sz="4" w:space="0" w:color="000000"/>
              <w:right w:val="single" w:sz="4" w:space="0" w:color="000000"/>
            </w:tcBorders>
          </w:tcPr>
          <w:p>
            <w:pPr/>
          </w:p>
        </w:tc>
        <w:tc>
          <w:tcPr>
            <w:tcW w:w="798" w:type="dxa"/>
            <w:vMerge w:val="restart"/>
            <w:tcBorders>
              <w:top w:val="single" w:sz="8" w:space="0" w:color="000000"/>
              <w:left w:val="single" w:sz="4" w:space="0" w:color="000000"/>
              <w:right w:val="single" w:sz="4" w:space="0" w:color="000000"/>
            </w:tcBorders>
          </w:tcPr>
          <w:p>
            <w:pPr/>
          </w:p>
        </w:tc>
        <w:tc>
          <w:tcPr>
            <w:tcW w:w="79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0"/>
              <w:ind w:right="100"/>
              <w:jc w:val="right"/>
              <w:rPr>
                <w:rFonts w:ascii="Arial Narrow" w:hAnsi="Arial Narrow" w:cs="Arial Narrow" w:eastAsia="Arial Narrow" w:hint="default"/>
                <w:sz w:val="18"/>
                <w:szCs w:val="18"/>
              </w:rPr>
            </w:pPr>
            <w:r>
              <w:rPr>
                <w:rFonts w:ascii="Arial Narrow"/>
                <w:spacing w:val="-1"/>
                <w:sz w:val="18"/>
              </w:rPr>
              <w:t>264,416,</w:t>
            </w:r>
          </w:p>
        </w:tc>
        <w:tc>
          <w:tcPr>
            <w:tcW w:w="797" w:type="dxa"/>
            <w:vMerge w:val="restart"/>
            <w:tcBorders>
              <w:top w:val="single" w:sz="8"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tc>
      </w:tr>
      <w:tr>
        <w:trPr>
          <w:trHeight w:val="363" w:hRule="exact"/>
        </w:trPr>
        <w:tc>
          <w:tcPr>
            <w:tcW w:w="796" w:type="dxa"/>
            <w:tcBorders>
              <w:top w:val="nil" w:sz="6" w:space="0" w:color="auto"/>
              <w:left w:val="single" w:sz="45" w:space="0" w:color="FFFFFF"/>
              <w:bottom w:val="single" w:sz="15" w:space="0" w:color="FFFFFF"/>
              <w:right w:val="single" w:sz="4" w:space="0" w:color="000000"/>
            </w:tcBorders>
          </w:tcPr>
          <w:p>
            <w:pPr>
              <w:pStyle w:val="TableParagraph"/>
              <w:spacing w:line="240" w:lineRule="auto" w:before="4"/>
              <w:ind w:right="91"/>
              <w:jc w:val="center"/>
              <w:rPr>
                <w:rFonts w:ascii="宋体" w:hAnsi="宋体" w:cs="宋体" w:eastAsia="宋体" w:hint="default"/>
                <w:sz w:val="18"/>
                <w:szCs w:val="18"/>
              </w:rPr>
            </w:pPr>
            <w:r>
              <w:rPr>
                <w:rFonts w:ascii="宋体" w:hAnsi="宋体" w:cs="宋体" w:eastAsia="宋体" w:hint="default"/>
                <w:sz w:val="18"/>
                <w:szCs w:val="18"/>
              </w:rPr>
              <w:t>药工业</w:t>
            </w:r>
          </w:p>
        </w:tc>
        <w:tc>
          <w:tcPr>
            <w:tcW w:w="797" w:type="dxa"/>
            <w:tcBorders>
              <w:top w:val="nil" w:sz="6" w:space="0" w:color="auto"/>
              <w:left w:val="single" w:sz="4" w:space="0" w:color="000000"/>
              <w:bottom w:val="single" w:sz="9" w:space="0" w:color="000000"/>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pacing w:val="-1"/>
                <w:sz w:val="18"/>
              </w:rPr>
              <w:t>834.36</w:t>
            </w:r>
          </w:p>
        </w:tc>
        <w:tc>
          <w:tcPr>
            <w:tcW w:w="797" w:type="dxa"/>
            <w:vMerge/>
            <w:tcBorders>
              <w:left w:val="single" w:sz="4" w:space="0" w:color="000000"/>
              <w:bottom w:val="single" w:sz="9" w:space="0" w:color="000000"/>
              <w:right w:val="single" w:sz="4" w:space="0" w:color="000000"/>
            </w:tcBorders>
          </w:tcPr>
          <w:p>
            <w:pPr/>
          </w:p>
        </w:tc>
        <w:tc>
          <w:tcPr>
            <w:tcW w:w="798" w:type="dxa"/>
            <w:vMerge/>
            <w:tcBorders>
              <w:left w:val="single" w:sz="4" w:space="0" w:color="000000"/>
              <w:bottom w:val="single" w:sz="9" w:space="0" w:color="000000"/>
              <w:right w:val="single" w:sz="4" w:space="0" w:color="000000"/>
            </w:tcBorders>
          </w:tcPr>
          <w:p>
            <w:pPr/>
          </w:p>
        </w:tc>
        <w:tc>
          <w:tcPr>
            <w:tcW w:w="798" w:type="dxa"/>
            <w:tcBorders>
              <w:top w:val="nil" w:sz="6" w:space="0" w:color="auto"/>
              <w:left w:val="single" w:sz="4" w:space="0" w:color="000000"/>
              <w:bottom w:val="single" w:sz="9" w:space="0" w:color="000000"/>
              <w:right w:val="single" w:sz="4" w:space="0" w:color="000000"/>
            </w:tcBorders>
          </w:tcPr>
          <w:p>
            <w:pPr>
              <w:pStyle w:val="TableParagraph"/>
              <w:spacing w:line="240" w:lineRule="auto" w:before="50"/>
              <w:ind w:right="98"/>
              <w:jc w:val="right"/>
              <w:rPr>
                <w:rFonts w:ascii="Arial Narrow" w:hAnsi="Arial Narrow" w:cs="Arial Narrow" w:eastAsia="Arial Narrow" w:hint="default"/>
                <w:sz w:val="18"/>
                <w:szCs w:val="18"/>
              </w:rPr>
            </w:pPr>
            <w:r>
              <w:rPr>
                <w:rFonts w:ascii="Arial Narrow"/>
                <w:spacing w:val="-1"/>
                <w:sz w:val="18"/>
              </w:rPr>
              <w:t>87.40</w:t>
            </w:r>
          </w:p>
        </w:tc>
        <w:tc>
          <w:tcPr>
            <w:tcW w:w="798" w:type="dxa"/>
            <w:tcBorders>
              <w:top w:val="nil" w:sz="6" w:space="0" w:color="auto"/>
              <w:left w:val="single" w:sz="4" w:space="0" w:color="000000"/>
              <w:bottom w:val="single" w:sz="9" w:space="0" w:color="000000"/>
              <w:right w:val="single" w:sz="4" w:space="0" w:color="000000"/>
            </w:tcBorders>
          </w:tcPr>
          <w:p>
            <w:pPr>
              <w:pStyle w:val="TableParagraph"/>
              <w:spacing w:line="240" w:lineRule="auto" w:before="50"/>
              <w:ind w:right="99"/>
              <w:jc w:val="right"/>
              <w:rPr>
                <w:rFonts w:ascii="Arial Narrow" w:hAnsi="Arial Narrow" w:cs="Arial Narrow" w:eastAsia="Arial Narrow" w:hint="default"/>
                <w:sz w:val="18"/>
                <w:szCs w:val="18"/>
              </w:rPr>
            </w:pPr>
            <w:r>
              <w:rPr>
                <w:rFonts w:ascii="Arial Narrow"/>
                <w:sz w:val="18"/>
              </w:rPr>
              <w:t>6</w:t>
            </w:r>
          </w:p>
        </w:tc>
        <w:tc>
          <w:tcPr>
            <w:tcW w:w="798" w:type="dxa"/>
            <w:tcBorders>
              <w:top w:val="nil" w:sz="6" w:space="0" w:color="auto"/>
              <w:left w:val="single" w:sz="4" w:space="0" w:color="000000"/>
              <w:bottom w:val="single" w:sz="9" w:space="0" w:color="000000"/>
              <w:right w:val="single" w:sz="4" w:space="0" w:color="000000"/>
            </w:tcBorders>
          </w:tcPr>
          <w:p>
            <w:pPr>
              <w:pStyle w:val="TableParagraph"/>
              <w:spacing w:line="240" w:lineRule="auto" w:before="50"/>
              <w:ind w:right="98"/>
              <w:jc w:val="right"/>
              <w:rPr>
                <w:rFonts w:ascii="Arial Narrow" w:hAnsi="Arial Narrow" w:cs="Arial Narrow" w:eastAsia="Arial Narrow" w:hint="default"/>
                <w:sz w:val="18"/>
                <w:szCs w:val="18"/>
              </w:rPr>
            </w:pPr>
            <w:r>
              <w:rPr>
                <w:rFonts w:ascii="Arial Narrow"/>
                <w:sz w:val="18"/>
              </w:rPr>
              <w:t>9</w:t>
            </w:r>
          </w:p>
        </w:tc>
        <w:tc>
          <w:tcPr>
            <w:tcW w:w="798" w:type="dxa"/>
            <w:vMerge/>
            <w:tcBorders>
              <w:left w:val="single" w:sz="4" w:space="0" w:color="000000"/>
              <w:bottom w:val="single" w:sz="9" w:space="0" w:color="000000"/>
              <w:right w:val="single" w:sz="4" w:space="0" w:color="000000"/>
            </w:tcBorders>
          </w:tcPr>
          <w:p>
            <w:pPr/>
          </w:p>
        </w:tc>
        <w:tc>
          <w:tcPr>
            <w:tcW w:w="799" w:type="dxa"/>
            <w:vMerge/>
            <w:tcBorders>
              <w:left w:val="single" w:sz="4" w:space="0" w:color="000000"/>
              <w:bottom w:val="single" w:sz="9" w:space="0" w:color="000000"/>
              <w:right w:val="single" w:sz="4" w:space="0" w:color="000000"/>
            </w:tcBorders>
          </w:tcPr>
          <w:p>
            <w:pPr/>
          </w:p>
        </w:tc>
        <w:tc>
          <w:tcPr>
            <w:tcW w:w="798" w:type="dxa"/>
            <w:vMerge/>
            <w:tcBorders>
              <w:left w:val="single" w:sz="4" w:space="0" w:color="000000"/>
              <w:bottom w:val="single" w:sz="9" w:space="0" w:color="000000"/>
              <w:right w:val="single" w:sz="4" w:space="0" w:color="000000"/>
            </w:tcBorders>
          </w:tcPr>
          <w:p>
            <w:pPr/>
          </w:p>
        </w:tc>
        <w:tc>
          <w:tcPr>
            <w:tcW w:w="798" w:type="dxa"/>
            <w:tcBorders>
              <w:top w:val="nil" w:sz="6" w:space="0" w:color="auto"/>
              <w:left w:val="single" w:sz="4" w:space="0" w:color="000000"/>
              <w:bottom w:val="single" w:sz="9"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18"/>
                <w:szCs w:val="18"/>
              </w:rPr>
            </w:pPr>
            <w:r>
              <w:rPr>
                <w:rFonts w:ascii="Arial Narrow"/>
                <w:spacing w:val="-1"/>
                <w:sz w:val="18"/>
              </w:rPr>
              <w:t>056.71</w:t>
            </w:r>
          </w:p>
        </w:tc>
        <w:tc>
          <w:tcPr>
            <w:tcW w:w="797" w:type="dxa"/>
            <w:vMerge/>
            <w:tcBorders>
              <w:left w:val="single" w:sz="4" w:space="0" w:color="000000"/>
              <w:bottom w:val="single" w:sz="9" w:space="0" w:color="000000"/>
              <w:right w:val="single" w:sz="10" w:space="0" w:color="D2D2D2"/>
            </w:tcBorders>
          </w:tcPr>
          <w:p>
            <w:pPr/>
          </w:p>
        </w:tc>
      </w:tr>
    </w:tbl>
    <w:p>
      <w:pPr>
        <w:spacing w:after="0"/>
        <w:sectPr>
          <w:footerReference w:type="default" r:id="rId23"/>
          <w:pgSz w:w="11910" w:h="16840"/>
          <w:pgMar w:footer="979" w:header="745" w:top="1060" w:bottom="1160" w:left="920" w:right="980"/>
          <w:pgNumType w:start="120"/>
        </w:sectPr>
      </w:pPr>
    </w:p>
    <w:p>
      <w:pPr>
        <w:spacing w:line="240" w:lineRule="auto" w:before="0"/>
        <w:rPr>
          <w:rFonts w:ascii="Times New Roman" w:hAnsi="Times New Roman" w:cs="Times New Roman" w:eastAsia="Times New Roman" w:hint="default"/>
          <w:sz w:val="20"/>
          <w:szCs w:val="20"/>
        </w:rPr>
      </w:pPr>
      <w:r>
        <w:rPr/>
        <w:pict>
          <v:group style="position:absolute;margin-left:495.700012pt;margin-top:72.955986pt;width:39.550pt;height:64.95pt;mso-position-horizontal-relative:page;mso-position-vertical-relative:page;z-index:-1056328" coordorigin="9914,1459" coordsize="791,1299">
            <v:group style="position:absolute;left:9914;top:1459;width:791;height:666" coordorigin="9914,1459" coordsize="791,666">
              <v:shape style="position:absolute;left:9914;top:1459;width:791;height:666" coordorigin="9914,1459" coordsize="791,666" path="m9914,2124l10704,2124,10704,1459,9914,1459,9914,2124xe" filled="true" fillcolor="#ffffff" stroked="false">
                <v:path arrowok="t"/>
                <v:fill type="solid"/>
              </v:shape>
            </v:group>
            <v:group style="position:absolute;left:9914;top:2134;width:791;height:624" coordorigin="9914,2134" coordsize="791,624">
              <v:shape style="position:absolute;left:9914;top:2134;width:791;height:624" coordorigin="9914,2134" coordsize="791,624" path="m9914,2758l10704,2758,10704,2134,9914,2134,9914,2758xe" filled="true" fillcolor="#ffffff" stroked="false">
                <v:path arrowok="t"/>
                <v:fill type="solid"/>
              </v:shape>
            </v:group>
            <w10:wrap type="none"/>
          </v:group>
        </w:pict>
      </w:r>
      <w:r>
        <w:rPr/>
        <w:pict>
          <v:group style="position:absolute;margin-left:495.700012pt;margin-top:157.459976pt;width:39.550pt;height:63pt;mso-position-horizontal-relative:page;mso-position-vertical-relative:page;z-index:-1056304" coordorigin="9914,3149" coordsize="791,1260">
            <v:group style="position:absolute;left:9914;top:3149;width:791;height:624" coordorigin="9914,3149" coordsize="791,624">
              <v:shape style="position:absolute;left:9914;top:3149;width:791;height:624" coordorigin="9914,3149" coordsize="791,624" path="m9914,3773l10704,3773,10704,3149,9914,3149,9914,3773xe" filled="true" fillcolor="#ffffff" stroked="false">
                <v:path arrowok="t"/>
                <v:fill type="solid"/>
              </v:shape>
            </v:group>
            <v:group style="position:absolute;left:9914;top:3785;width:791;height:624" coordorigin="9914,3785" coordsize="791,624">
              <v:shape style="position:absolute;left:9914;top:3785;width:791;height:624" coordorigin="9914,3785" coordsize="791,624" path="m9914,4409l10704,4409,10704,3785,9914,3785,9914,4409xe" filled="true" fillcolor="#ffffff" stroked="false">
                <v:path arrowok="t"/>
                <v:fill type="solid"/>
              </v:shape>
            </v:group>
            <w10:wrap type="none"/>
          </v:group>
        </w:pict>
      </w:r>
      <w:r>
        <w:rPr/>
        <w:pict>
          <v:group style="position:absolute;margin-left:495.700012pt;margin-top:240.025986pt;width:39.550pt;height:47.35pt;mso-position-horizontal-relative:page;mso-position-vertical-relative:page;z-index:-1056280" coordorigin="9914,4801" coordsize="791,947">
            <v:group style="position:absolute;left:9914;top:4801;width:791;height:625" coordorigin="9914,4801" coordsize="791,625">
              <v:shape style="position:absolute;left:9914;top:4801;width:791;height:625" coordorigin="9914,4801" coordsize="791,625" path="m9914,5425l10704,5425,10704,4801,9914,4801,9914,5425xe" filled="true" fillcolor="#ffffff" stroked="false">
                <v:path arrowok="t"/>
                <v:fill type="solid"/>
              </v:shape>
            </v:group>
            <v:group style="position:absolute;left:9914;top:5435;width:791;height:312" coordorigin="9914,5435" coordsize="791,312">
              <v:shape style="position:absolute;left:9914;top:5435;width:791;height:312" coordorigin="9914,5435" coordsize="791,312" path="m9914,5747l10704,5747,10704,5435,9914,5435,9914,5747xe" filled="true" fillcolor="#ffffff" stroked="false">
                <v:path arrowok="t"/>
                <v:fill type="solid"/>
              </v:shape>
            </v:group>
            <w10:wrap type="none"/>
          </v:group>
        </w:pict>
      </w:r>
      <w:r>
        <w:rPr/>
        <w:pict>
          <v:group style="position:absolute;margin-left:495.700012pt;margin-top:322.489990pt;width:39.550pt;height:39.6pt;mso-position-horizontal-relative:page;mso-position-vertical-relative:page;z-index:-1056256" coordorigin="9914,6450" coordsize="791,792">
            <v:group style="position:absolute;left:9914;top:6450;width:791;height:312" coordorigin="9914,6450" coordsize="791,312">
              <v:shape style="position:absolute;left:9914;top:6450;width:791;height:312" coordorigin="9914,6450" coordsize="791,312" path="m9914,6762l10704,6762,10704,6450,9914,6450,9914,6762xe" filled="true" fillcolor="#ffffff" stroked="false">
                <v:path arrowok="t"/>
                <v:fill type="solid"/>
              </v:shape>
            </v:group>
            <v:group style="position:absolute;left:9914;top:6774;width:791;height:468" coordorigin="9914,6774" coordsize="791,468">
              <v:shape style="position:absolute;left:9914;top:6774;width:791;height:468" coordorigin="9914,6774" coordsize="791,468" path="m9914,7242l10704,7242,10704,6774,9914,6774,9914,7242xe" filled="true" fillcolor="#ffffff" stroked="false">
                <v:path arrowok="t"/>
                <v:fill type="solid"/>
              </v:shape>
            </v:group>
            <w10:wrap type="none"/>
          </v:group>
        </w:pict>
      </w:r>
      <w:r>
        <w:rPr/>
        <w:pict>
          <v:group style="position:absolute;margin-left:495.700012pt;margin-top:381.649994pt;width:39.550pt;height:47.3pt;mso-position-horizontal-relative:page;mso-position-vertical-relative:page;z-index:-1056232" coordorigin="9914,7633" coordsize="791,946">
            <v:group style="position:absolute;left:9914;top:7633;width:791;height:468" coordorigin="9914,7633" coordsize="791,468">
              <v:shape style="position:absolute;left:9914;top:7633;width:791;height:468" coordorigin="9914,7633" coordsize="791,468" path="m9914,8101l10704,8101,10704,7633,9914,7633,9914,8101xe" filled="true" fillcolor="#ffffff" stroked="false">
                <v:path arrowok="t"/>
                <v:fill type="solid"/>
              </v:shape>
            </v:group>
            <v:group style="position:absolute;left:9914;top:8111;width:791;height:468" coordorigin="9914,8111" coordsize="791,468">
              <v:shape style="position:absolute;left:9914;top:8111;width:791;height:468" coordorigin="9914,8111" coordsize="791,468" path="m9914,8579l10704,8579,10704,8111,9914,8111,9914,8579xe" filled="true" fillcolor="#ffffff" stroked="false">
                <v:path arrowok="t"/>
                <v:fill type="solid"/>
              </v:shape>
            </v:group>
            <w10:wrap type="none"/>
          </v:group>
        </w:pict>
      </w:r>
      <w:r>
        <w:rPr/>
        <w:pict>
          <v:group style="position:absolute;margin-left:495.700012pt;margin-top:448.509979pt;width:39.550pt;height:55.2pt;mso-position-horizontal-relative:page;mso-position-vertical-relative:page;z-index:-1056208" coordorigin="9914,8970" coordsize="791,1104">
            <v:group style="position:absolute;left:9914;top:8970;width:791;height:468" coordorigin="9914,8970" coordsize="791,468">
              <v:shape style="position:absolute;left:9914;top:8970;width:791;height:468" coordorigin="9914,8970" coordsize="791,468" path="m9914,9438l10704,9438,10704,8970,9914,8970,9914,9438xe" filled="true" fillcolor="#ffffff" stroked="false">
                <v:path arrowok="t"/>
                <v:fill type="solid"/>
              </v:shape>
            </v:group>
            <v:group style="position:absolute;left:9914;top:9450;width:791;height:624" coordorigin="9914,9450" coordsize="791,624">
              <v:shape style="position:absolute;left:9914;top:9450;width:791;height:624" coordorigin="9914,9450" coordsize="791,624" path="m9914,10074l10704,10074,10704,9450,9914,9450,9914,10074xe" filled="true" fillcolor="#ffffff" stroked="false">
                <v:path arrowok="t"/>
                <v:fill type="solid"/>
              </v:shape>
            </v:group>
            <w10:wrap type="none"/>
          </v:group>
        </w:pict>
      </w:r>
      <w:r>
        <w:rPr/>
        <w:pict>
          <v:group style="position:absolute;margin-left:495.700012pt;margin-top:523.269958pt;width:39.550pt;height:47.3pt;mso-position-horizontal-relative:page;mso-position-vertical-relative:page;z-index:-1056184" coordorigin="9914,10465" coordsize="791,946">
            <v:group style="position:absolute;left:9914;top:10465;width:791;height:624" coordorigin="9914,10465" coordsize="791,624">
              <v:shape style="position:absolute;left:9914;top:10465;width:791;height:624" coordorigin="9914,10465" coordsize="791,624" path="m9914,11089l10704,11089,10704,10465,9914,10465,9914,11089xe" filled="true" fillcolor="#ffffff" stroked="false">
                <v:path arrowok="t"/>
                <v:fill type="solid"/>
              </v:shape>
            </v:group>
            <v:group style="position:absolute;left:9914;top:11099;width:791;height:312" coordorigin="9914,11099" coordsize="791,312">
              <v:shape style="position:absolute;left:9914;top:11099;width:791;height:312" coordorigin="9914,11099" coordsize="791,312" path="m9914,11411l10704,11411,10704,11099,9914,11099,9914,11411xe" filled="true" fillcolor="#ffffff" stroked="false">
                <v:path arrowok="t"/>
                <v:fill type="solid"/>
              </v:shape>
            </v:group>
            <w10:wrap type="none"/>
          </v:group>
        </w:pict>
      </w:r>
      <w:r>
        <w:rPr/>
        <w:pict>
          <v:group style="position:absolute;margin-left:495.700012pt;margin-top:605.716003pt;width:39.550pt;height:47.45pt;mso-position-horizontal-relative:page;mso-position-vertical-relative:page;z-index:-1056160" coordorigin="9914,12114" coordsize="791,949">
            <v:group style="position:absolute;left:9914;top:12114;width:791;height:313" coordorigin="9914,12114" coordsize="791,313">
              <v:shape style="position:absolute;left:9914;top:12114;width:791;height:313" coordorigin="9914,12114" coordsize="791,313" path="m9914,12427l10704,12427,10704,12114,9914,12114,9914,12427xe" filled="true" fillcolor="#ffffff" stroked="false">
                <v:path arrowok="t"/>
                <v:fill type="solid"/>
              </v:shape>
            </v:group>
            <v:group style="position:absolute;left:9914;top:12439;width:791;height:624" coordorigin="9914,12439" coordsize="791,624">
              <v:shape style="position:absolute;left:9914;top:12439;width:791;height:624" coordorigin="9914,12439" coordsize="791,624" path="m9914,13063l10704,13063,10704,12439,9914,12439,9914,13063xe" filled="true" fillcolor="#ffffff" stroked="false">
                <v:path arrowok="t"/>
                <v:fill type="solid"/>
              </v:shape>
            </v:group>
            <w10:wrap type="none"/>
          </v:group>
        </w:pict>
      </w:r>
      <w:r>
        <w:rPr/>
        <w:pict>
          <v:group style="position:absolute;margin-left:495.700012pt;margin-top:672.700012pt;width:39.550pt;height:54.15pt;mso-position-horizontal-relative:page;mso-position-vertical-relative:page;z-index:-1056136" coordorigin="9914,13454" coordsize="791,1083">
            <v:group style="position:absolute;left:9914;top:13454;width:791;height:624" coordorigin="9914,13454" coordsize="791,624">
              <v:shape style="position:absolute;left:9914;top:13454;width:791;height:624" coordorigin="9914,13454" coordsize="791,624" path="m9914,14078l10704,14078,10704,13454,9914,13454,9914,14078xe" filled="true" fillcolor="#ffffff" stroked="false">
                <v:path arrowok="t"/>
                <v:fill type="solid"/>
              </v:shape>
            </v:group>
            <v:group style="position:absolute;left:9914;top:14088;width:791;height:449" coordorigin="9914,14088" coordsize="791,449">
              <v:shape style="position:absolute;left:9914;top:14088;width:791;height:449" coordorigin="9914,14088" coordsize="791,449" path="m9914,14536l10704,14536,10704,14088,9914,14088,9914,14536xe" filled="true" fillcolor="#ffffff" stroked="false">
                <v:path arrowok="t"/>
                <v:fill type="solid"/>
              </v:shape>
            </v:group>
            <w10:wrap type="none"/>
          </v:group>
        </w:pict>
      </w:r>
      <w:r>
        <w:rPr/>
        <w:pict>
          <v:group style="position:absolute;margin-left:495.700012pt;margin-top:746.375977pt;width:39.550pt;height:22.45pt;mso-position-horizontal-relative:page;mso-position-vertical-relative:page;z-index:-1056112" coordorigin="9914,14928" coordsize="791,449">
            <v:shape style="position:absolute;left:9914;top:14928;width:791;height:449" coordorigin="9914,14928" coordsize="791,449" path="m9914,15376l10704,15376,10704,14928,9914,14928,9914,15376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45"/>
        <w:gridCol w:w="797"/>
        <w:gridCol w:w="797"/>
        <w:gridCol w:w="799"/>
        <w:gridCol w:w="797"/>
        <w:gridCol w:w="800"/>
        <w:gridCol w:w="797"/>
        <w:gridCol w:w="799"/>
        <w:gridCol w:w="797"/>
        <w:gridCol w:w="799"/>
        <w:gridCol w:w="797"/>
        <w:gridCol w:w="788"/>
      </w:tblGrid>
      <w:tr>
        <w:trPr>
          <w:trHeight w:val="684" w:hRule="exact"/>
        </w:trPr>
        <w:tc>
          <w:tcPr>
            <w:tcW w:w="745" w:type="dxa"/>
            <w:tcBorders>
              <w:top w:val="single" w:sz="8" w:space="0" w:color="000000"/>
              <w:left w:val="single" w:sz="45" w:space="0" w:color="FFFFFF"/>
              <w:bottom w:val="single" w:sz="4" w:space="0" w:color="000000"/>
              <w:right w:val="single" w:sz="4" w:space="0" w:color="000000"/>
            </w:tcBorders>
          </w:tcPr>
          <w:p>
            <w:pPr>
              <w:pStyle w:val="TableParagraph"/>
              <w:spacing w:line="319" w:lineRule="auto" w:before="13"/>
              <w:ind w:right="143"/>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797"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800"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88" w:type="dxa"/>
            <w:tcBorders>
              <w:top w:val="single" w:sz="8" w:space="0" w:color="000000"/>
              <w:left w:val="single" w:sz="4" w:space="0" w:color="000000"/>
              <w:bottom w:val="single" w:sz="4" w:space="0" w:color="000000"/>
              <w:right w:val="single" w:sz="10" w:space="0" w:color="D2D2D2"/>
            </w:tcBorders>
          </w:tcPr>
          <w:p>
            <w:pPr/>
          </w:p>
        </w:tc>
      </w:tr>
      <w:tr>
        <w:trPr>
          <w:trHeight w:val="1649"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49"/>
              <w:ind w:right="143"/>
              <w:jc w:val="both"/>
              <w:rPr>
                <w:rFonts w:ascii="宋体" w:hAnsi="宋体" w:cs="宋体" w:eastAsia="宋体" w:hint="default"/>
                <w:sz w:val="18"/>
                <w:szCs w:val="18"/>
              </w:rPr>
            </w:pPr>
            <w:r>
              <w:rPr>
                <w:rFonts w:ascii="宋体" w:hAnsi="宋体" w:cs="宋体" w:eastAsia="宋体" w:hint="default"/>
                <w:sz w:val="18"/>
                <w:szCs w:val="18"/>
              </w:rPr>
              <w:t>云南东 盟公共 物流信 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10" w:right="0"/>
              <w:jc w:val="left"/>
              <w:rPr>
                <w:rFonts w:ascii="Arial Narrow" w:hAnsi="Arial Narrow" w:cs="Arial Narrow" w:eastAsia="Arial Narrow" w:hint="default"/>
                <w:sz w:val="18"/>
                <w:szCs w:val="18"/>
              </w:rPr>
            </w:pPr>
            <w:r>
              <w:rPr>
                <w:rFonts w:ascii="Arial Narrow"/>
                <w:sz w:val="18"/>
              </w:rPr>
              <w:t>25,274,6</w:t>
            </w:r>
          </w:p>
          <w:p>
            <w:pPr>
              <w:pStyle w:val="TableParagraph"/>
              <w:spacing w:line="240" w:lineRule="auto" w:before="105"/>
              <w:ind w:left="316" w:right="0"/>
              <w:jc w:val="left"/>
              <w:rPr>
                <w:rFonts w:ascii="Arial Narrow" w:hAnsi="Arial Narrow" w:cs="Arial Narrow" w:eastAsia="Arial Narrow" w:hint="default"/>
                <w:sz w:val="18"/>
                <w:szCs w:val="18"/>
              </w:rPr>
            </w:pPr>
            <w:r>
              <w:rPr>
                <w:rFonts w:ascii="Arial Narrow"/>
                <w:sz w:val="18"/>
              </w:rPr>
              <w:t>12.15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84" w:right="0"/>
              <w:jc w:val="left"/>
              <w:rPr>
                <w:rFonts w:ascii="Arial Narrow" w:hAnsi="Arial Narrow" w:cs="Arial Narrow" w:eastAsia="Arial Narrow" w:hint="default"/>
                <w:sz w:val="18"/>
                <w:szCs w:val="18"/>
              </w:rPr>
            </w:pPr>
            <w:r>
              <w:rPr>
                <w:rFonts w:ascii="Arial Narrow"/>
                <w:sz w:val="18"/>
              </w:rPr>
              <w:t>-142,27</w:t>
            </w:r>
          </w:p>
          <w:p>
            <w:pPr>
              <w:pStyle w:val="TableParagraph"/>
              <w:spacing w:line="240" w:lineRule="auto" w:before="105"/>
              <w:ind w:left="400" w:right="0"/>
              <w:jc w:val="left"/>
              <w:rPr>
                <w:rFonts w:ascii="Arial Narrow" w:hAnsi="Arial Narrow" w:cs="Arial Narrow" w:eastAsia="Arial Narrow" w:hint="default"/>
                <w:sz w:val="18"/>
                <w:szCs w:val="18"/>
              </w:rPr>
            </w:pPr>
            <w:r>
              <w:rPr>
                <w:rFonts w:ascii="Arial Narrow"/>
                <w:sz w:val="18"/>
              </w:rPr>
              <w:t>5.94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12" w:right="0"/>
              <w:jc w:val="left"/>
              <w:rPr>
                <w:rFonts w:ascii="Arial Narrow" w:hAnsi="Arial Narrow" w:cs="Arial Narrow" w:eastAsia="Arial Narrow" w:hint="default"/>
                <w:sz w:val="18"/>
                <w:szCs w:val="18"/>
              </w:rPr>
            </w:pPr>
            <w:r>
              <w:rPr>
                <w:rFonts w:ascii="Arial Narrow"/>
                <w:sz w:val="18"/>
              </w:rPr>
              <w:t>25,132,3</w:t>
            </w:r>
          </w:p>
          <w:p>
            <w:pPr>
              <w:pStyle w:val="TableParagraph"/>
              <w:spacing w:line="240" w:lineRule="auto" w:before="105"/>
              <w:ind w:left="319" w:right="0"/>
              <w:jc w:val="left"/>
              <w:rPr>
                <w:rFonts w:ascii="Arial Narrow" w:hAnsi="Arial Narrow" w:cs="Arial Narrow" w:eastAsia="Arial Narrow" w:hint="default"/>
                <w:sz w:val="18"/>
                <w:szCs w:val="18"/>
              </w:rPr>
            </w:pPr>
            <w:r>
              <w:rPr>
                <w:rFonts w:ascii="Arial Narrow"/>
                <w:sz w:val="18"/>
              </w:rPr>
              <w:t>36.21</w:t>
            </w: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652"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51"/>
              <w:ind w:right="143"/>
              <w:jc w:val="both"/>
              <w:rPr>
                <w:rFonts w:ascii="宋体" w:hAnsi="宋体" w:cs="宋体" w:eastAsia="宋体" w:hint="default"/>
                <w:sz w:val="18"/>
                <w:szCs w:val="18"/>
              </w:rPr>
            </w:pPr>
            <w:r>
              <w:rPr>
                <w:rFonts w:ascii="宋体" w:hAnsi="宋体" w:cs="宋体" w:eastAsia="宋体" w:hint="default"/>
                <w:sz w:val="18"/>
                <w:szCs w:val="18"/>
              </w:rPr>
              <w:t>云南曲 靖珠江 源科技 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Arial Narrow" w:hAnsi="Arial Narrow" w:cs="Arial Narrow" w:eastAsia="Arial Narrow" w:hint="default"/>
                <w:sz w:val="18"/>
                <w:szCs w:val="18"/>
              </w:rPr>
            </w:pPr>
            <w:r>
              <w:rPr>
                <w:rFonts w:ascii="Arial Narrow"/>
                <w:sz w:val="18"/>
              </w:rPr>
              <w:t>18,000,0</w:t>
            </w:r>
          </w:p>
          <w:p>
            <w:pPr>
              <w:pStyle w:val="TableParagraph"/>
              <w:spacing w:line="240" w:lineRule="auto" w:before="103"/>
              <w:ind w:left="316" w:right="0"/>
              <w:jc w:val="left"/>
              <w:rPr>
                <w:rFonts w:ascii="Arial Narrow" w:hAnsi="Arial Narrow" w:cs="Arial Narrow" w:eastAsia="Arial Narrow" w:hint="default"/>
                <w:sz w:val="18"/>
                <w:szCs w:val="18"/>
              </w:rPr>
            </w:pPr>
            <w:r>
              <w:rPr>
                <w:rFonts w:ascii="Arial Narrow"/>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84" w:right="0"/>
              <w:jc w:val="left"/>
              <w:rPr>
                <w:rFonts w:ascii="Arial Narrow" w:hAnsi="Arial Narrow" w:cs="Arial Narrow" w:eastAsia="Arial Narrow" w:hint="default"/>
                <w:sz w:val="18"/>
                <w:szCs w:val="18"/>
              </w:rPr>
            </w:pPr>
            <w:r>
              <w:rPr>
                <w:rFonts w:ascii="Arial Narrow"/>
                <w:sz w:val="18"/>
              </w:rPr>
              <w:t>-493,05</w:t>
            </w:r>
          </w:p>
          <w:p>
            <w:pPr>
              <w:pStyle w:val="TableParagraph"/>
              <w:spacing w:line="240" w:lineRule="auto" w:before="103"/>
              <w:ind w:left="400" w:right="0"/>
              <w:jc w:val="left"/>
              <w:rPr>
                <w:rFonts w:ascii="Arial Narrow" w:hAnsi="Arial Narrow" w:cs="Arial Narrow" w:eastAsia="Arial Narrow" w:hint="default"/>
                <w:sz w:val="18"/>
                <w:szCs w:val="18"/>
              </w:rPr>
            </w:pPr>
            <w:r>
              <w:rPr>
                <w:rFonts w:ascii="Arial Narrow"/>
                <w:sz w:val="18"/>
              </w:rPr>
              <w:t>8.26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2" w:right="0"/>
              <w:jc w:val="left"/>
              <w:rPr>
                <w:rFonts w:ascii="Arial Narrow" w:hAnsi="Arial Narrow" w:cs="Arial Narrow" w:eastAsia="Arial Narrow" w:hint="default"/>
                <w:sz w:val="18"/>
                <w:szCs w:val="18"/>
              </w:rPr>
            </w:pPr>
            <w:r>
              <w:rPr>
                <w:rFonts w:ascii="Arial Narrow"/>
                <w:sz w:val="18"/>
              </w:rPr>
              <w:t>17,506,9</w:t>
            </w:r>
          </w:p>
          <w:p>
            <w:pPr>
              <w:pStyle w:val="TableParagraph"/>
              <w:spacing w:line="240" w:lineRule="auto" w:before="103"/>
              <w:ind w:left="319" w:right="0"/>
              <w:jc w:val="left"/>
              <w:rPr>
                <w:rFonts w:ascii="Arial Narrow" w:hAnsi="Arial Narrow" w:cs="Arial Narrow" w:eastAsia="Arial Narrow" w:hint="default"/>
                <w:sz w:val="18"/>
                <w:szCs w:val="18"/>
              </w:rPr>
            </w:pPr>
            <w:r>
              <w:rPr>
                <w:rFonts w:ascii="Arial Narrow"/>
                <w:sz w:val="18"/>
              </w:rPr>
              <w:t>41.74</w:t>
            </w: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337"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49"/>
              <w:ind w:right="143"/>
              <w:jc w:val="both"/>
              <w:rPr>
                <w:rFonts w:ascii="宋体" w:hAnsi="宋体" w:cs="宋体" w:eastAsia="宋体" w:hint="default"/>
                <w:sz w:val="18"/>
                <w:szCs w:val="18"/>
              </w:rPr>
            </w:pPr>
            <w:r>
              <w:rPr>
                <w:rFonts w:ascii="宋体" w:hAnsi="宋体" w:cs="宋体" w:eastAsia="宋体" w:hint="default"/>
                <w:sz w:val="18"/>
                <w:szCs w:val="18"/>
              </w:rPr>
              <w:t>云南佳 程防伪 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12,746,5</w:t>
            </w:r>
          </w:p>
          <w:p>
            <w:pPr>
              <w:pStyle w:val="TableParagraph"/>
              <w:spacing w:line="240" w:lineRule="auto" w:before="105"/>
              <w:ind w:left="316" w:right="0"/>
              <w:jc w:val="left"/>
              <w:rPr>
                <w:rFonts w:ascii="Arial Narrow" w:hAnsi="Arial Narrow" w:cs="Arial Narrow" w:eastAsia="Arial Narrow" w:hint="default"/>
                <w:sz w:val="18"/>
                <w:szCs w:val="18"/>
              </w:rPr>
            </w:pPr>
            <w:r>
              <w:rPr>
                <w:rFonts w:ascii="Arial Narrow"/>
                <w:sz w:val="18"/>
              </w:rPr>
              <w:t>47.45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Arial Narrow" w:hAnsi="Arial Narrow" w:cs="Arial Narrow" w:eastAsia="Arial Narrow" w:hint="default"/>
                <w:sz w:val="18"/>
                <w:szCs w:val="18"/>
              </w:rPr>
            </w:pPr>
            <w:r>
              <w:rPr>
                <w:rFonts w:ascii="Arial Narrow"/>
                <w:sz w:val="18"/>
              </w:rPr>
              <w:t>-84,000.</w:t>
            </w:r>
          </w:p>
          <w:p>
            <w:pPr>
              <w:pStyle w:val="TableParagraph"/>
              <w:spacing w:line="240" w:lineRule="auto" w:before="105"/>
              <w:ind w:left="523" w:right="0"/>
              <w:jc w:val="left"/>
              <w:rPr>
                <w:rFonts w:ascii="Arial Narrow" w:hAnsi="Arial Narrow" w:cs="Arial Narrow" w:eastAsia="Arial Narrow" w:hint="default"/>
                <w:sz w:val="18"/>
                <w:szCs w:val="18"/>
              </w:rPr>
            </w:pPr>
            <w:r>
              <w:rPr>
                <w:rFonts w:ascii="Arial Narrow"/>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1,626,38</w:t>
            </w:r>
          </w:p>
          <w:p>
            <w:pPr>
              <w:pStyle w:val="TableParagraph"/>
              <w:spacing w:line="240" w:lineRule="auto" w:before="105"/>
              <w:ind w:left="401" w:right="0"/>
              <w:jc w:val="left"/>
              <w:rPr>
                <w:rFonts w:ascii="Arial Narrow" w:hAnsi="Arial Narrow" w:cs="Arial Narrow" w:eastAsia="Arial Narrow" w:hint="default"/>
                <w:sz w:val="18"/>
                <w:szCs w:val="18"/>
              </w:rPr>
            </w:pPr>
            <w:r>
              <w:rPr>
                <w:rFonts w:ascii="Arial Narrow"/>
                <w:sz w:val="18"/>
              </w:rPr>
              <w:t>6.01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12,662,5</w:t>
            </w:r>
          </w:p>
          <w:p>
            <w:pPr>
              <w:pStyle w:val="TableParagraph"/>
              <w:spacing w:line="240" w:lineRule="auto" w:before="105"/>
              <w:ind w:left="316" w:right="0"/>
              <w:jc w:val="left"/>
              <w:rPr>
                <w:rFonts w:ascii="Arial Narrow" w:hAnsi="Arial Narrow" w:cs="Arial Narrow" w:eastAsia="Arial Narrow" w:hint="default"/>
                <w:sz w:val="18"/>
                <w:szCs w:val="18"/>
              </w:rPr>
            </w:pPr>
            <w:r>
              <w:rPr>
                <w:rFonts w:ascii="Arial Narrow"/>
                <w:sz w:val="18"/>
              </w:rPr>
              <w:t>47.45</w:t>
            </w:r>
          </w:p>
        </w:tc>
        <w:tc>
          <w:tcPr>
            <w:tcW w:w="788" w:type="dxa"/>
            <w:tcBorders>
              <w:top w:val="single" w:sz="4" w:space="0" w:color="000000"/>
              <w:left w:val="single" w:sz="4" w:space="0" w:color="000000"/>
              <w:bottom w:val="single" w:sz="4" w:space="0" w:color="000000"/>
              <w:right w:val="single" w:sz="41"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Arial Narrow" w:hAnsi="Arial Narrow" w:cs="Arial Narrow" w:eastAsia="Arial Narrow" w:hint="default"/>
                <w:sz w:val="18"/>
                <w:szCs w:val="18"/>
              </w:rPr>
            </w:pPr>
            <w:r>
              <w:rPr>
                <w:rFonts w:ascii="Arial Narrow"/>
                <w:sz w:val="18"/>
              </w:rPr>
              <w:t>1,626,38</w:t>
            </w:r>
          </w:p>
          <w:p>
            <w:pPr>
              <w:pStyle w:val="TableParagraph"/>
              <w:spacing w:line="240" w:lineRule="auto" w:before="105"/>
              <w:ind w:left="401" w:right="0"/>
              <w:jc w:val="left"/>
              <w:rPr>
                <w:rFonts w:ascii="Arial Narrow" w:hAnsi="Arial Narrow" w:cs="Arial Narrow" w:eastAsia="Arial Narrow" w:hint="default"/>
                <w:sz w:val="18"/>
                <w:szCs w:val="18"/>
              </w:rPr>
            </w:pPr>
            <w:r>
              <w:rPr>
                <w:rFonts w:ascii="Arial Narrow"/>
                <w:sz w:val="18"/>
              </w:rPr>
              <w:t>6.01</w:t>
            </w:r>
          </w:p>
        </w:tc>
      </w:tr>
      <w:tr>
        <w:trPr>
          <w:trHeight w:val="1339"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51"/>
              <w:ind w:right="143"/>
              <w:jc w:val="both"/>
              <w:rPr>
                <w:rFonts w:ascii="宋体" w:hAnsi="宋体" w:cs="宋体" w:eastAsia="宋体" w:hint="default"/>
                <w:sz w:val="18"/>
                <w:szCs w:val="18"/>
              </w:rPr>
            </w:pPr>
            <w:r>
              <w:rPr>
                <w:rFonts w:ascii="宋体" w:hAnsi="宋体" w:cs="宋体" w:eastAsia="宋体" w:hint="default"/>
                <w:sz w:val="18"/>
                <w:szCs w:val="18"/>
              </w:rPr>
              <w:t>北京新 医力科 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3,901,99</w:t>
            </w:r>
          </w:p>
          <w:p>
            <w:pPr>
              <w:pStyle w:val="TableParagraph"/>
              <w:spacing w:line="240" w:lineRule="auto" w:before="103"/>
              <w:ind w:left="398" w:right="0"/>
              <w:jc w:val="left"/>
              <w:rPr>
                <w:rFonts w:ascii="Arial Narrow" w:hAnsi="Arial Narrow" w:cs="Arial Narrow" w:eastAsia="Arial Narrow" w:hint="default"/>
                <w:sz w:val="18"/>
                <w:szCs w:val="18"/>
              </w:rPr>
            </w:pPr>
            <w:r>
              <w:rPr>
                <w:rFonts w:ascii="Arial Narrow"/>
                <w:sz w:val="18"/>
              </w:rPr>
              <w:t>3.18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Arial Narrow" w:hAnsi="Arial Narrow" w:cs="Arial Narrow" w:eastAsia="Arial Narrow" w:hint="default"/>
                <w:sz w:val="18"/>
                <w:szCs w:val="18"/>
              </w:rPr>
            </w:pPr>
            <w:r>
              <w:rPr>
                <w:rFonts w:ascii="Arial Narrow"/>
                <w:sz w:val="18"/>
              </w:rPr>
              <w:t>-404,82</w:t>
            </w:r>
          </w:p>
          <w:p>
            <w:pPr>
              <w:pStyle w:val="TableParagraph"/>
              <w:spacing w:line="240" w:lineRule="auto" w:before="103"/>
              <w:ind w:left="400" w:right="0"/>
              <w:jc w:val="left"/>
              <w:rPr>
                <w:rFonts w:ascii="Arial Narrow" w:hAnsi="Arial Narrow" w:cs="Arial Narrow" w:eastAsia="Arial Narrow" w:hint="default"/>
                <w:sz w:val="18"/>
                <w:szCs w:val="18"/>
              </w:rPr>
            </w:pPr>
            <w:r>
              <w:rPr>
                <w:rFonts w:ascii="Arial Narrow"/>
                <w:sz w:val="18"/>
              </w:rPr>
              <w:t>6.67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95,600.9</w:t>
            </w:r>
          </w:p>
          <w:p>
            <w:pPr>
              <w:pStyle w:val="TableParagraph"/>
              <w:spacing w:line="240" w:lineRule="auto" w:before="103"/>
              <w:ind w:right="98"/>
              <w:jc w:val="right"/>
              <w:rPr>
                <w:rFonts w:ascii="Arial Narrow" w:hAnsi="Arial Narrow" w:cs="Arial Narrow" w:eastAsia="Arial Narrow" w:hint="default"/>
                <w:sz w:val="18"/>
                <w:szCs w:val="18"/>
              </w:rPr>
            </w:pPr>
            <w:r>
              <w:rPr>
                <w:rFonts w:ascii="Arial Narrow"/>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3,592,76</w:t>
            </w:r>
          </w:p>
          <w:p>
            <w:pPr>
              <w:pStyle w:val="TableParagraph"/>
              <w:spacing w:line="240" w:lineRule="auto" w:before="103"/>
              <w:ind w:left="400" w:right="0"/>
              <w:jc w:val="left"/>
              <w:rPr>
                <w:rFonts w:ascii="Arial Narrow" w:hAnsi="Arial Narrow" w:cs="Arial Narrow" w:eastAsia="Arial Narrow" w:hint="default"/>
                <w:sz w:val="18"/>
                <w:szCs w:val="18"/>
              </w:rPr>
            </w:pPr>
            <w:r>
              <w:rPr>
                <w:rFonts w:ascii="Arial Narrow"/>
                <w:sz w:val="18"/>
              </w:rPr>
              <w:t>7.41</w:t>
            </w: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337"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9" w:lineRule="auto" w:before="49"/>
              <w:ind w:right="143"/>
              <w:jc w:val="both"/>
              <w:rPr>
                <w:rFonts w:ascii="宋体" w:hAnsi="宋体" w:cs="宋体" w:eastAsia="宋体" w:hint="default"/>
                <w:sz w:val="18"/>
                <w:szCs w:val="18"/>
              </w:rPr>
            </w:pPr>
            <w:r>
              <w:rPr>
                <w:rFonts w:ascii="宋体" w:hAnsi="宋体" w:cs="宋体" w:eastAsia="宋体" w:hint="default"/>
                <w:sz w:val="18"/>
                <w:szCs w:val="18"/>
              </w:rPr>
              <w:t>上海致 同信息 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1,108,55</w:t>
            </w:r>
          </w:p>
          <w:p>
            <w:pPr>
              <w:pStyle w:val="TableParagraph"/>
              <w:spacing w:line="240" w:lineRule="auto" w:before="106"/>
              <w:ind w:left="398" w:right="0"/>
              <w:jc w:val="left"/>
              <w:rPr>
                <w:rFonts w:ascii="Arial Narrow" w:hAnsi="Arial Narrow" w:cs="Arial Narrow" w:eastAsia="Arial Narrow" w:hint="default"/>
                <w:sz w:val="18"/>
                <w:szCs w:val="18"/>
              </w:rPr>
            </w:pPr>
            <w:r>
              <w:rPr>
                <w:rFonts w:ascii="Arial Narrow"/>
                <w:sz w:val="18"/>
              </w:rPr>
              <w:t>2.08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Arial Narrow" w:hAnsi="Arial Narrow" w:cs="Arial Narrow" w:eastAsia="Arial Narrow" w:hint="default"/>
                <w:sz w:val="18"/>
                <w:szCs w:val="18"/>
              </w:rPr>
            </w:pPr>
            <w:r>
              <w:rPr>
                <w:rFonts w:ascii="Arial Narrow"/>
                <w:sz w:val="18"/>
              </w:rPr>
              <w:t>-624,55</w:t>
            </w:r>
          </w:p>
          <w:p>
            <w:pPr>
              <w:pStyle w:val="TableParagraph"/>
              <w:spacing w:line="240" w:lineRule="auto" w:before="106"/>
              <w:ind w:left="400" w:right="0"/>
              <w:jc w:val="left"/>
              <w:rPr>
                <w:rFonts w:ascii="Arial Narrow" w:hAnsi="Arial Narrow" w:cs="Arial Narrow" w:eastAsia="Arial Narrow" w:hint="default"/>
                <w:sz w:val="18"/>
                <w:szCs w:val="18"/>
              </w:rPr>
            </w:pPr>
            <w:r>
              <w:rPr>
                <w:rFonts w:ascii="Arial Narrow"/>
                <w:sz w:val="18"/>
              </w:rPr>
              <w:t>2.35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483,999.</w:t>
            </w:r>
          </w:p>
          <w:p>
            <w:pPr>
              <w:pStyle w:val="TableParagraph"/>
              <w:spacing w:line="240" w:lineRule="auto" w:before="106"/>
              <w:ind w:left="523" w:right="0"/>
              <w:jc w:val="left"/>
              <w:rPr>
                <w:rFonts w:ascii="Arial Narrow" w:hAnsi="Arial Narrow" w:cs="Arial Narrow" w:eastAsia="Arial Narrow" w:hint="default"/>
                <w:sz w:val="18"/>
                <w:szCs w:val="18"/>
              </w:rPr>
            </w:pPr>
            <w:r>
              <w:rPr>
                <w:rFonts w:ascii="Arial Narrow"/>
                <w:sz w:val="18"/>
              </w:rPr>
              <w:t>73</w:t>
            </w: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651"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51"/>
              <w:ind w:right="143"/>
              <w:jc w:val="both"/>
              <w:rPr>
                <w:rFonts w:ascii="宋体" w:hAnsi="宋体" w:cs="宋体" w:eastAsia="宋体" w:hint="default"/>
                <w:sz w:val="18"/>
                <w:szCs w:val="18"/>
              </w:rPr>
            </w:pPr>
            <w:r>
              <w:rPr>
                <w:rFonts w:ascii="宋体" w:hAnsi="宋体" w:cs="宋体" w:eastAsia="宋体" w:hint="default"/>
                <w:sz w:val="18"/>
                <w:szCs w:val="18"/>
              </w:rPr>
              <w:t>北京芝 麻邦天 云科技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Arial Narrow" w:hAnsi="Arial Narrow" w:cs="Arial Narrow" w:eastAsia="Arial Narrow" w:hint="default"/>
                <w:sz w:val="18"/>
                <w:szCs w:val="18"/>
              </w:rPr>
            </w:pPr>
            <w:r>
              <w:rPr>
                <w:rFonts w:ascii="Arial Narrow"/>
                <w:sz w:val="18"/>
              </w:rPr>
              <w:t>679,898.</w:t>
            </w:r>
          </w:p>
          <w:p>
            <w:pPr>
              <w:pStyle w:val="TableParagraph"/>
              <w:spacing w:line="240" w:lineRule="auto" w:before="103"/>
              <w:ind w:left="520" w:right="0"/>
              <w:jc w:val="left"/>
              <w:rPr>
                <w:rFonts w:ascii="Arial Narrow" w:hAnsi="Arial Narrow" w:cs="Arial Narrow" w:eastAsia="Arial Narrow" w:hint="default"/>
                <w:sz w:val="18"/>
                <w:szCs w:val="18"/>
              </w:rPr>
            </w:pPr>
            <w:r>
              <w:rPr>
                <w:rFonts w:ascii="Arial Narrow"/>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Arial Narrow" w:hAnsi="Arial Narrow" w:cs="Arial Narrow" w:eastAsia="Arial Narrow" w:hint="default"/>
                <w:sz w:val="18"/>
                <w:szCs w:val="18"/>
              </w:rPr>
            </w:pPr>
            <w:r>
              <w:rPr>
                <w:rFonts w:ascii="Arial Narrow"/>
                <w:sz w:val="18"/>
              </w:rPr>
              <w:t>680,000.</w:t>
            </w:r>
          </w:p>
          <w:p>
            <w:pPr>
              <w:pStyle w:val="TableParagraph"/>
              <w:spacing w:line="240" w:lineRule="auto" w:before="103"/>
              <w:ind w:left="520" w:right="0"/>
              <w:jc w:val="left"/>
              <w:rPr>
                <w:rFonts w:ascii="Arial Narrow" w:hAnsi="Arial Narrow" w:cs="Arial Narrow" w:eastAsia="Arial Narrow" w:hint="default"/>
                <w:sz w:val="18"/>
                <w:szCs w:val="18"/>
              </w:rPr>
            </w:pPr>
            <w:r>
              <w:rPr>
                <w:rFonts w:ascii="Arial Narrow"/>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84" w:right="0"/>
              <w:jc w:val="left"/>
              <w:rPr>
                <w:rFonts w:ascii="Arial Narrow" w:hAnsi="Arial Narrow" w:cs="Arial Narrow" w:eastAsia="Arial Narrow" w:hint="default"/>
                <w:sz w:val="18"/>
                <w:szCs w:val="18"/>
              </w:rPr>
            </w:pPr>
            <w:r>
              <w:rPr>
                <w:rFonts w:ascii="Arial Narrow"/>
                <w:sz w:val="18"/>
              </w:rPr>
              <w:t>-425,00</w:t>
            </w:r>
          </w:p>
          <w:p>
            <w:pPr>
              <w:pStyle w:val="TableParagraph"/>
              <w:spacing w:line="240" w:lineRule="auto" w:before="103"/>
              <w:ind w:left="400" w:right="0"/>
              <w:jc w:val="left"/>
              <w:rPr>
                <w:rFonts w:ascii="Arial Narrow" w:hAnsi="Arial Narrow" w:cs="Arial Narrow" w:eastAsia="Arial Narrow" w:hint="default"/>
                <w:sz w:val="18"/>
                <w:szCs w:val="18"/>
              </w:rPr>
            </w:pPr>
            <w:r>
              <w:rPr>
                <w:rFonts w:ascii="Arial Narrow"/>
                <w:sz w:val="18"/>
              </w:rPr>
              <w:t>6.77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2" w:right="0"/>
              <w:jc w:val="left"/>
              <w:rPr>
                <w:rFonts w:ascii="Arial Narrow" w:hAnsi="Arial Narrow" w:cs="Arial Narrow" w:eastAsia="Arial Narrow" w:hint="default"/>
                <w:sz w:val="18"/>
                <w:szCs w:val="18"/>
              </w:rPr>
            </w:pPr>
            <w:r>
              <w:rPr>
                <w:rFonts w:ascii="Arial Narrow"/>
                <w:sz w:val="18"/>
              </w:rPr>
              <w:t>934,891.</w:t>
            </w:r>
          </w:p>
          <w:p>
            <w:pPr>
              <w:pStyle w:val="TableParagraph"/>
              <w:spacing w:line="240" w:lineRule="auto" w:before="103"/>
              <w:ind w:left="523" w:right="0"/>
              <w:jc w:val="left"/>
              <w:rPr>
                <w:rFonts w:ascii="Arial Narrow" w:hAnsi="Arial Narrow" w:cs="Arial Narrow" w:eastAsia="Arial Narrow" w:hint="default"/>
                <w:sz w:val="18"/>
                <w:szCs w:val="18"/>
              </w:rPr>
            </w:pPr>
            <w:r>
              <w:rPr>
                <w:rFonts w:ascii="Arial Narrow"/>
                <w:sz w:val="18"/>
              </w:rPr>
              <w:t>87</w:t>
            </w: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337"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9" w:lineRule="auto" w:before="49"/>
              <w:ind w:right="143"/>
              <w:jc w:val="both"/>
              <w:rPr>
                <w:rFonts w:ascii="宋体" w:hAnsi="宋体" w:cs="宋体" w:eastAsia="宋体" w:hint="default"/>
                <w:sz w:val="18"/>
                <w:szCs w:val="18"/>
              </w:rPr>
            </w:pPr>
            <w:r>
              <w:rPr>
                <w:rFonts w:ascii="宋体" w:hAnsi="宋体" w:cs="宋体" w:eastAsia="宋体" w:hint="default"/>
                <w:sz w:val="18"/>
                <w:szCs w:val="18"/>
              </w:rPr>
              <w:t>云南南 天信息 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595,467.</w:t>
            </w:r>
          </w:p>
          <w:p>
            <w:pPr>
              <w:pStyle w:val="TableParagraph"/>
              <w:spacing w:line="240" w:lineRule="auto" w:before="105"/>
              <w:ind w:left="520" w:right="0"/>
              <w:jc w:val="left"/>
              <w:rPr>
                <w:rFonts w:ascii="Arial Narrow" w:hAnsi="Arial Narrow" w:cs="Arial Narrow" w:eastAsia="Arial Narrow" w:hint="default"/>
                <w:sz w:val="18"/>
                <w:szCs w:val="18"/>
              </w:rPr>
            </w:pPr>
            <w:r>
              <w:rPr>
                <w:rFonts w:ascii="Arial Narrow"/>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595,467.</w:t>
            </w:r>
          </w:p>
          <w:p>
            <w:pPr>
              <w:pStyle w:val="TableParagraph"/>
              <w:spacing w:line="240" w:lineRule="auto" w:before="105"/>
              <w:ind w:left="523" w:right="0"/>
              <w:jc w:val="left"/>
              <w:rPr>
                <w:rFonts w:ascii="Arial Narrow" w:hAnsi="Arial Narrow" w:cs="Arial Narrow" w:eastAsia="Arial Narrow" w:hint="default"/>
                <w:sz w:val="18"/>
                <w:szCs w:val="18"/>
              </w:rPr>
            </w:pPr>
            <w:r>
              <w:rPr>
                <w:rFonts w:ascii="Arial Narrow"/>
                <w:sz w:val="18"/>
              </w:rPr>
              <w:t>99</w:t>
            </w:r>
          </w:p>
        </w:tc>
        <w:tc>
          <w:tcPr>
            <w:tcW w:w="788" w:type="dxa"/>
            <w:tcBorders>
              <w:top w:val="single" w:sz="4" w:space="0" w:color="000000"/>
              <w:left w:val="single" w:sz="4" w:space="0" w:color="000000"/>
              <w:bottom w:val="single" w:sz="4" w:space="0" w:color="000000"/>
              <w:right w:val="single" w:sz="41"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3"/>
              <w:jc w:val="right"/>
              <w:rPr>
                <w:rFonts w:ascii="Arial Narrow" w:hAnsi="Arial Narrow" w:cs="Arial Narrow" w:eastAsia="Arial Narrow" w:hint="default"/>
                <w:sz w:val="18"/>
                <w:szCs w:val="18"/>
              </w:rPr>
            </w:pPr>
            <w:r>
              <w:rPr>
                <w:rFonts w:ascii="Arial Narrow"/>
                <w:spacing w:val="-1"/>
                <w:sz w:val="18"/>
              </w:rPr>
              <w:t>595,467.</w:t>
            </w:r>
          </w:p>
          <w:p>
            <w:pPr>
              <w:pStyle w:val="TableParagraph"/>
              <w:spacing w:line="240" w:lineRule="auto" w:before="105"/>
              <w:ind w:right="42"/>
              <w:jc w:val="right"/>
              <w:rPr>
                <w:rFonts w:ascii="Arial Narrow" w:hAnsi="Arial Narrow" w:cs="Arial Narrow" w:eastAsia="Arial Narrow" w:hint="default"/>
                <w:sz w:val="18"/>
                <w:szCs w:val="18"/>
              </w:rPr>
            </w:pPr>
            <w:r>
              <w:rPr>
                <w:rFonts w:ascii="Arial Narrow"/>
                <w:spacing w:val="-1"/>
                <w:w w:val="95"/>
                <w:sz w:val="18"/>
              </w:rPr>
              <w:t>99</w:t>
            </w:r>
            <w:r>
              <w:rPr>
                <w:rFonts w:ascii="Arial Narrow"/>
                <w:w w:val="95"/>
                <w:sz w:val="18"/>
              </w:rPr>
            </w:r>
          </w:p>
        </w:tc>
      </w:tr>
      <w:tr>
        <w:trPr>
          <w:trHeight w:val="1651"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51"/>
              <w:ind w:right="143"/>
              <w:jc w:val="both"/>
              <w:rPr>
                <w:rFonts w:ascii="宋体" w:hAnsi="宋体" w:cs="宋体" w:eastAsia="宋体" w:hint="default"/>
                <w:sz w:val="18"/>
                <w:szCs w:val="18"/>
              </w:rPr>
            </w:pPr>
            <w:r>
              <w:rPr>
                <w:rFonts w:ascii="宋体" w:hAnsi="宋体" w:cs="宋体" w:eastAsia="宋体" w:hint="default"/>
                <w:sz w:val="18"/>
                <w:szCs w:val="18"/>
              </w:rPr>
              <w:t>广州南 天佳信 信息工 程有限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2"/>
              <w:jc w:val="right"/>
              <w:rPr>
                <w:rFonts w:ascii="Arial Narrow" w:hAnsi="Arial Narrow" w:cs="Arial Narrow" w:eastAsia="Arial Narrow" w:hint="default"/>
                <w:sz w:val="18"/>
                <w:szCs w:val="18"/>
              </w:rPr>
            </w:pPr>
            <w:r>
              <w:rPr>
                <w:rFonts w:ascii="Arial Narrow"/>
                <w:spacing w:val="-1"/>
                <w:sz w:val="18"/>
              </w:rPr>
              <w:t>42,964.3</w:t>
            </w:r>
          </w:p>
          <w:p>
            <w:pPr>
              <w:pStyle w:val="TableParagraph"/>
              <w:spacing w:line="240" w:lineRule="auto" w:before="103"/>
              <w:ind w:right="100"/>
              <w:jc w:val="right"/>
              <w:rPr>
                <w:rFonts w:ascii="Arial Narrow" w:hAnsi="Arial Narrow" w:cs="Arial Narrow" w:eastAsia="Arial Narrow" w:hint="default"/>
                <w:sz w:val="18"/>
                <w:szCs w:val="18"/>
              </w:rPr>
            </w:pPr>
            <w:r>
              <w:rPr>
                <w:rFonts w:ascii="Arial Narrow"/>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Arial Narrow" w:hAnsi="Arial Narrow" w:cs="Arial Narrow" w:eastAsia="Arial Narrow" w:hint="default"/>
                <w:sz w:val="18"/>
                <w:szCs w:val="18"/>
              </w:rPr>
            </w:pPr>
            <w:r>
              <w:rPr>
                <w:rFonts w:ascii="Arial Narrow"/>
                <w:sz w:val="18"/>
              </w:rPr>
              <w:t>6,625.72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44" w:right="0"/>
              <w:jc w:val="left"/>
              <w:rPr>
                <w:rFonts w:ascii="Arial Narrow" w:hAnsi="Arial Narrow" w:cs="Arial Narrow" w:eastAsia="Arial Narrow" w:hint="default"/>
                <w:sz w:val="18"/>
                <w:szCs w:val="18"/>
              </w:rPr>
            </w:pPr>
            <w:r>
              <w:rPr>
                <w:rFonts w:ascii="Arial Narrow"/>
                <w:sz w:val="18"/>
              </w:rPr>
              <w:t>-49,590.</w:t>
            </w:r>
          </w:p>
          <w:p>
            <w:pPr>
              <w:pStyle w:val="TableParagraph"/>
              <w:spacing w:line="240" w:lineRule="auto" w:before="103"/>
              <w:ind w:left="523" w:right="0"/>
              <w:jc w:val="left"/>
              <w:rPr>
                <w:rFonts w:ascii="Arial Narrow" w:hAnsi="Arial Narrow" w:cs="Arial Narrow" w:eastAsia="Arial Narrow" w:hint="default"/>
                <w:sz w:val="18"/>
                <w:szCs w:val="18"/>
              </w:rPr>
            </w:pPr>
            <w:r>
              <w:rPr>
                <w:rFonts w:ascii="Arial Narrow"/>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1" w:space="0" w:color="FFFFFF"/>
            </w:tcBorders>
          </w:tcPr>
          <w:p>
            <w:pPr/>
          </w:p>
        </w:tc>
      </w:tr>
      <w:tr>
        <w:trPr>
          <w:trHeight w:val="1298" w:hRule="exact"/>
        </w:trPr>
        <w:tc>
          <w:tcPr>
            <w:tcW w:w="745" w:type="dxa"/>
            <w:tcBorders>
              <w:top w:val="single" w:sz="4" w:space="0" w:color="000000"/>
              <w:left w:val="single" w:sz="45" w:space="0" w:color="FFFFFF"/>
              <w:bottom w:val="single" w:sz="4" w:space="0" w:color="000000"/>
              <w:right w:val="single" w:sz="4" w:space="0" w:color="000000"/>
            </w:tcBorders>
          </w:tcPr>
          <w:p>
            <w:pPr>
              <w:pStyle w:val="TableParagraph"/>
              <w:spacing w:line="316" w:lineRule="auto" w:before="49"/>
              <w:ind w:right="143"/>
              <w:jc w:val="both"/>
              <w:rPr>
                <w:rFonts w:ascii="宋体" w:hAnsi="宋体" w:cs="宋体" w:eastAsia="宋体" w:hint="default"/>
                <w:sz w:val="18"/>
                <w:szCs w:val="18"/>
              </w:rPr>
            </w:pPr>
            <w:r>
              <w:rPr>
                <w:rFonts w:ascii="宋体" w:hAnsi="宋体" w:cs="宋体" w:eastAsia="宋体" w:hint="default"/>
                <w:sz w:val="18"/>
                <w:szCs w:val="18"/>
              </w:rPr>
              <w:t>厦门南 天世纪 信息技 术有限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128,095.</w:t>
            </w:r>
          </w:p>
          <w:p>
            <w:pPr>
              <w:pStyle w:val="TableParagraph"/>
              <w:spacing w:line="240" w:lineRule="auto" w:before="103"/>
              <w:ind w:left="520" w:right="0"/>
              <w:jc w:val="left"/>
              <w:rPr>
                <w:rFonts w:ascii="Arial Narrow" w:hAnsi="Arial Narrow" w:cs="Arial Narrow" w:eastAsia="Arial Narrow" w:hint="default"/>
                <w:sz w:val="18"/>
                <w:szCs w:val="18"/>
              </w:rPr>
            </w:pPr>
            <w:r>
              <w:rPr>
                <w:rFonts w:ascii="Arial Narrow"/>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3" w:right="0"/>
              <w:jc w:val="left"/>
              <w:rPr>
                <w:rFonts w:ascii="Arial Narrow" w:hAnsi="Arial Narrow" w:cs="Arial Narrow" w:eastAsia="Arial Narrow" w:hint="default"/>
                <w:sz w:val="18"/>
                <w:szCs w:val="18"/>
              </w:rPr>
            </w:pPr>
            <w:r>
              <w:rPr>
                <w:rFonts w:ascii="Arial Narrow"/>
                <w:sz w:val="18"/>
              </w:rPr>
              <w:t>-49,414.</w:t>
            </w:r>
          </w:p>
          <w:p>
            <w:pPr>
              <w:pStyle w:val="TableParagraph"/>
              <w:spacing w:line="240" w:lineRule="auto" w:before="103"/>
              <w:ind w:left="523" w:right="0"/>
              <w:jc w:val="left"/>
              <w:rPr>
                <w:rFonts w:ascii="Arial Narrow" w:hAnsi="Arial Narrow" w:cs="Arial Narrow" w:eastAsia="Arial Narrow" w:hint="default"/>
                <w:sz w:val="18"/>
                <w:szCs w:val="18"/>
              </w:rPr>
            </w:pPr>
            <w:r>
              <w:rPr>
                <w:rFonts w:ascii="Arial Narrow"/>
                <w:sz w:val="18"/>
              </w:rPr>
              <w:t>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78,681.4</w:t>
            </w:r>
          </w:p>
          <w:p>
            <w:pPr>
              <w:pStyle w:val="TableParagraph"/>
              <w:spacing w:line="240" w:lineRule="auto" w:before="103"/>
              <w:ind w:right="98"/>
              <w:jc w:val="right"/>
              <w:rPr>
                <w:rFonts w:ascii="Arial Narrow" w:hAnsi="Arial Narrow" w:cs="Arial Narrow" w:eastAsia="Arial Narrow" w:hint="default"/>
                <w:sz w:val="18"/>
                <w:szCs w:val="18"/>
              </w:rPr>
            </w:pPr>
            <w:r>
              <w:rPr>
                <w:rFonts w:ascii="Arial Narrow"/>
                <w:sz w:val="18"/>
              </w:rPr>
              <w:t>6</w:t>
            </w:r>
          </w:p>
        </w:tc>
        <w:tc>
          <w:tcPr>
            <w:tcW w:w="788" w:type="dxa"/>
            <w:tcBorders>
              <w:top w:val="single" w:sz="4" w:space="0" w:color="000000"/>
              <w:left w:val="single" w:sz="4" w:space="0" w:color="000000"/>
              <w:bottom w:val="single" w:sz="4" w:space="0" w:color="000000"/>
              <w:right w:val="single" w:sz="41"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85"/>
        <w:gridCol w:w="797"/>
        <w:gridCol w:w="797"/>
        <w:gridCol w:w="799"/>
        <w:gridCol w:w="797"/>
        <w:gridCol w:w="800"/>
        <w:gridCol w:w="797"/>
        <w:gridCol w:w="799"/>
        <w:gridCol w:w="797"/>
        <w:gridCol w:w="799"/>
        <w:gridCol w:w="797"/>
        <w:gridCol w:w="748"/>
      </w:tblGrid>
      <w:tr>
        <w:trPr>
          <w:trHeight w:val="372" w:hRule="exact"/>
        </w:trPr>
        <w:tc>
          <w:tcPr>
            <w:tcW w:w="785" w:type="dxa"/>
            <w:tcBorders>
              <w:top w:val="single" w:sz="8" w:space="0" w:color="000000"/>
              <w:left w:val="single" w:sz="45" w:space="0" w:color="FFFFFF"/>
              <w:bottom w:val="single" w:sz="4" w:space="0" w:color="000000"/>
              <w:right w:val="single" w:sz="4" w:space="0" w:color="000000"/>
            </w:tcBorders>
          </w:tcPr>
          <w:p>
            <w:pPr>
              <w:pStyle w:val="TableParagraph"/>
              <w:spacing w:line="240" w:lineRule="auto" w:before="13"/>
              <w:ind w:left="3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800"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797" w:type="dxa"/>
            <w:tcBorders>
              <w:top w:val="single" w:sz="8" w:space="0" w:color="000000"/>
              <w:left w:val="single" w:sz="4" w:space="0" w:color="000000"/>
              <w:bottom w:val="single" w:sz="4" w:space="0" w:color="000000"/>
              <w:right w:val="single" w:sz="4" w:space="0" w:color="000000"/>
            </w:tcBorders>
          </w:tcPr>
          <w:p>
            <w:pPr/>
          </w:p>
        </w:tc>
        <w:tc>
          <w:tcPr>
            <w:tcW w:w="748" w:type="dxa"/>
            <w:tcBorders>
              <w:top w:val="single" w:sz="8" w:space="0" w:color="000000"/>
              <w:left w:val="single" w:sz="4" w:space="0" w:color="000000"/>
              <w:bottom w:val="single" w:sz="4" w:space="0" w:color="000000"/>
              <w:right w:val="single" w:sz="10" w:space="0" w:color="D2D2D2"/>
            </w:tcBorders>
          </w:tcPr>
          <w:p>
            <w:pPr/>
          </w:p>
        </w:tc>
      </w:tr>
      <w:tr>
        <w:trPr>
          <w:trHeight w:val="713" w:hRule="exact"/>
        </w:trPr>
        <w:tc>
          <w:tcPr>
            <w:tcW w:w="785"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 w:right="0"/>
              <w:jc w:val="center"/>
              <w:rPr>
                <w:rFonts w:ascii="Arial Narrow" w:hAnsi="Arial Narrow" w:cs="Arial Narrow" w:eastAsia="Arial Narrow" w:hint="default"/>
                <w:sz w:val="18"/>
                <w:szCs w:val="18"/>
              </w:rPr>
            </w:pPr>
            <w:r>
              <w:rPr>
                <w:rFonts w:ascii="Arial Narrow"/>
                <w:sz w:val="18"/>
              </w:rPr>
              <w:t>311,227,</w:t>
            </w:r>
          </w:p>
          <w:p>
            <w:pPr>
              <w:pStyle w:val="TableParagraph"/>
              <w:spacing w:line="240" w:lineRule="auto" w:before="105"/>
              <w:ind w:left="128" w:right="0"/>
              <w:jc w:val="center"/>
              <w:rPr>
                <w:rFonts w:ascii="Arial Narrow" w:hAnsi="Arial Narrow" w:cs="Arial Narrow" w:eastAsia="Arial Narrow" w:hint="default"/>
                <w:sz w:val="18"/>
                <w:szCs w:val="18"/>
              </w:rPr>
            </w:pPr>
            <w:r>
              <w:rPr>
                <w:rFonts w:ascii="Arial Narrow"/>
                <w:sz w:val="18"/>
              </w:rPr>
              <w:t>965.67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left"/>
              <w:rPr>
                <w:rFonts w:ascii="Arial Narrow" w:hAnsi="Arial Narrow" w:cs="Arial Narrow" w:eastAsia="Arial Narrow" w:hint="default"/>
                <w:sz w:val="18"/>
                <w:szCs w:val="18"/>
              </w:rPr>
            </w:pPr>
            <w:r>
              <w:rPr>
                <w:rFonts w:ascii="Arial Narrow"/>
                <w:sz w:val="18"/>
              </w:rPr>
              <w:t>18,680,0</w:t>
            </w:r>
          </w:p>
          <w:p>
            <w:pPr>
              <w:pStyle w:val="TableParagraph"/>
              <w:spacing w:line="240" w:lineRule="auto" w:before="105"/>
              <w:ind w:left="316" w:right="0"/>
              <w:jc w:val="left"/>
              <w:rPr>
                <w:rFonts w:ascii="Arial Narrow" w:hAnsi="Arial Narrow" w:cs="Arial Narrow" w:eastAsia="Arial Narrow" w:hint="default"/>
                <w:sz w:val="18"/>
                <w:szCs w:val="18"/>
              </w:rPr>
            </w:pPr>
            <w:r>
              <w:rPr>
                <w:rFonts w:ascii="Arial Narrow"/>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1" w:right="0"/>
              <w:jc w:val="center"/>
              <w:rPr>
                <w:rFonts w:ascii="Arial Narrow" w:hAnsi="Arial Narrow" w:cs="Arial Narrow" w:eastAsia="Arial Narrow" w:hint="default"/>
                <w:sz w:val="18"/>
                <w:szCs w:val="18"/>
              </w:rPr>
            </w:pPr>
            <w:r>
              <w:rPr>
                <w:rFonts w:ascii="Arial Narrow"/>
                <w:sz w:val="18"/>
              </w:rPr>
              <w:t>-4,595,9</w:t>
            </w:r>
          </w:p>
          <w:p>
            <w:pPr>
              <w:pStyle w:val="TableParagraph"/>
              <w:spacing w:line="240" w:lineRule="auto" w:before="105"/>
              <w:ind w:left="218" w:right="0"/>
              <w:jc w:val="center"/>
              <w:rPr>
                <w:rFonts w:ascii="Arial Narrow" w:hAnsi="Arial Narrow" w:cs="Arial Narrow" w:eastAsia="Arial Narrow" w:hint="default"/>
                <w:sz w:val="18"/>
                <w:szCs w:val="18"/>
              </w:rPr>
            </w:pPr>
            <w:r>
              <w:rPr>
                <w:rFonts w:ascii="Arial Narrow"/>
                <w:sz w:val="18"/>
              </w:rPr>
              <w:t>95.68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34,289.5</w:t>
            </w:r>
          </w:p>
          <w:p>
            <w:pPr>
              <w:pStyle w:val="TableParagraph"/>
              <w:spacing w:line="240" w:lineRule="auto" w:before="105"/>
              <w:ind w:right="100"/>
              <w:jc w:val="right"/>
              <w:rPr>
                <w:rFonts w:ascii="Arial Narrow" w:hAnsi="Arial Narrow" w:cs="Arial Narrow" w:eastAsia="Arial Narrow" w:hint="default"/>
                <w:sz w:val="18"/>
                <w:szCs w:val="18"/>
              </w:rPr>
            </w:pPr>
            <w:r>
              <w:rPr>
                <w:rFonts w:ascii="Arial Narrow"/>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2" w:right="0"/>
              <w:jc w:val="left"/>
              <w:rPr>
                <w:rFonts w:ascii="Arial Narrow" w:hAnsi="Arial Narrow" w:cs="Arial Narrow" w:eastAsia="Arial Narrow" w:hint="default"/>
                <w:sz w:val="18"/>
                <w:szCs w:val="18"/>
              </w:rPr>
            </w:pPr>
            <w:r>
              <w:rPr>
                <w:rFonts w:ascii="Arial Narrow"/>
                <w:sz w:val="18"/>
              </w:rPr>
              <w:t>107,021.</w:t>
            </w:r>
          </w:p>
          <w:p>
            <w:pPr>
              <w:pStyle w:val="TableParagraph"/>
              <w:spacing w:line="240" w:lineRule="auto" w:before="105"/>
              <w:ind w:left="523" w:right="0"/>
              <w:jc w:val="left"/>
              <w:rPr>
                <w:rFonts w:ascii="Arial Narrow" w:hAnsi="Arial Narrow" w:cs="Arial Narrow" w:eastAsia="Arial Narrow" w:hint="default"/>
                <w:sz w:val="18"/>
                <w:szCs w:val="18"/>
              </w:rPr>
            </w:pPr>
            <w:r>
              <w:rPr>
                <w:rFonts w:ascii="Arial Narrow"/>
                <w:sz w:val="18"/>
              </w:rPr>
              <w:t>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2" w:right="0"/>
              <w:jc w:val="left"/>
              <w:rPr>
                <w:rFonts w:ascii="Arial Narrow" w:hAnsi="Arial Narrow" w:cs="Arial Narrow" w:eastAsia="Arial Narrow" w:hint="default"/>
                <w:sz w:val="18"/>
                <w:szCs w:val="18"/>
              </w:rPr>
            </w:pPr>
            <w:r>
              <w:rPr>
                <w:rFonts w:ascii="Arial Narrow"/>
                <w:sz w:val="18"/>
              </w:rPr>
              <w:t>1,626,38</w:t>
            </w:r>
          </w:p>
          <w:p>
            <w:pPr>
              <w:pStyle w:val="TableParagraph"/>
              <w:spacing w:line="240" w:lineRule="auto" w:before="105"/>
              <w:ind w:left="398" w:right="0"/>
              <w:jc w:val="left"/>
              <w:rPr>
                <w:rFonts w:ascii="Arial Narrow" w:hAnsi="Arial Narrow" w:cs="Arial Narrow" w:eastAsia="Arial Narrow" w:hint="default"/>
                <w:sz w:val="18"/>
                <w:szCs w:val="18"/>
              </w:rPr>
            </w:pPr>
            <w:r>
              <w:rPr>
                <w:rFonts w:ascii="Arial Narrow"/>
                <w:sz w:val="18"/>
              </w:rPr>
              <w:t>6.01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4" w:right="0"/>
              <w:jc w:val="left"/>
              <w:rPr>
                <w:rFonts w:ascii="Arial Narrow" w:hAnsi="Arial Narrow" w:cs="Arial Narrow" w:eastAsia="Arial Narrow" w:hint="default"/>
                <w:sz w:val="18"/>
                <w:szCs w:val="18"/>
              </w:rPr>
            </w:pPr>
            <w:r>
              <w:rPr>
                <w:rFonts w:ascii="Arial Narrow"/>
                <w:sz w:val="18"/>
              </w:rPr>
              <w:t>-49,590.</w:t>
            </w:r>
          </w:p>
          <w:p>
            <w:pPr>
              <w:pStyle w:val="TableParagraph"/>
              <w:spacing w:line="240" w:lineRule="auto" w:before="105"/>
              <w:ind w:left="523" w:right="0"/>
              <w:jc w:val="left"/>
              <w:rPr>
                <w:rFonts w:ascii="Arial Narrow" w:hAnsi="Arial Narrow" w:cs="Arial Narrow" w:eastAsia="Arial Narrow" w:hint="default"/>
                <w:sz w:val="18"/>
                <w:szCs w:val="18"/>
              </w:rPr>
            </w:pPr>
            <w:r>
              <w:rPr>
                <w:rFonts w:ascii="Arial Narrow"/>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center"/>
              <w:rPr>
                <w:rFonts w:ascii="Arial Narrow" w:hAnsi="Arial Narrow" w:cs="Arial Narrow" w:eastAsia="Arial Narrow" w:hint="default"/>
                <w:sz w:val="18"/>
                <w:szCs w:val="18"/>
              </w:rPr>
            </w:pPr>
            <w:r>
              <w:rPr>
                <w:rFonts w:ascii="Arial Narrow"/>
                <w:sz w:val="18"/>
              </w:rPr>
              <w:t>325,403,</w:t>
            </w:r>
          </w:p>
          <w:p>
            <w:pPr>
              <w:pStyle w:val="TableParagraph"/>
              <w:spacing w:line="240" w:lineRule="auto" w:before="105"/>
              <w:ind w:left="132" w:right="0"/>
              <w:jc w:val="center"/>
              <w:rPr>
                <w:rFonts w:ascii="Arial Narrow" w:hAnsi="Arial Narrow" w:cs="Arial Narrow" w:eastAsia="Arial Narrow" w:hint="default"/>
                <w:sz w:val="18"/>
                <w:szCs w:val="18"/>
              </w:rPr>
            </w:pPr>
            <w:r>
              <w:rPr>
                <w:rFonts w:ascii="Arial Narrow"/>
                <w:sz w:val="18"/>
              </w:rPr>
              <w:t>690.57</w:t>
            </w:r>
          </w:p>
        </w:tc>
        <w:tc>
          <w:tcPr>
            <w:tcW w:w="748" w:type="dxa"/>
            <w:tcBorders>
              <w:top w:val="single" w:sz="4" w:space="0" w:color="000000"/>
              <w:left w:val="single" w:sz="4" w:space="0" w:color="000000"/>
              <w:bottom w:val="single" w:sz="4" w:space="0" w:color="000000"/>
              <w:right w:val="single" w:sz="41" w:space="0" w:color="FFFFFF"/>
            </w:tcBorders>
          </w:tcPr>
          <w:p>
            <w:pPr>
              <w:pStyle w:val="TableParagraph"/>
              <w:spacing w:line="240" w:lineRule="auto" w:before="95"/>
              <w:ind w:left="113" w:right="0"/>
              <w:jc w:val="left"/>
              <w:rPr>
                <w:rFonts w:ascii="Arial Narrow" w:hAnsi="Arial Narrow" w:cs="Arial Narrow" w:eastAsia="Arial Narrow" w:hint="default"/>
                <w:sz w:val="18"/>
                <w:szCs w:val="18"/>
              </w:rPr>
            </w:pPr>
            <w:r>
              <w:rPr>
                <w:rFonts w:ascii="Arial Narrow"/>
                <w:sz w:val="18"/>
              </w:rPr>
              <w:t>2,221,85</w:t>
            </w:r>
          </w:p>
          <w:p>
            <w:pPr>
              <w:pStyle w:val="TableParagraph"/>
              <w:spacing w:line="240" w:lineRule="auto" w:before="105"/>
              <w:ind w:left="401" w:right="0"/>
              <w:jc w:val="left"/>
              <w:rPr>
                <w:rFonts w:ascii="Arial Narrow" w:hAnsi="Arial Narrow" w:cs="Arial Narrow" w:eastAsia="Arial Narrow" w:hint="default"/>
                <w:sz w:val="18"/>
                <w:szCs w:val="18"/>
              </w:rPr>
            </w:pPr>
            <w:r>
              <w:rPr>
                <w:rFonts w:ascii="Arial Narrow"/>
                <w:sz w:val="18"/>
              </w:rPr>
              <w:t>4.00</w:t>
            </w:r>
          </w:p>
        </w:tc>
      </w:tr>
      <w:tr>
        <w:trPr>
          <w:trHeight w:val="725" w:hRule="exact"/>
        </w:trPr>
        <w:tc>
          <w:tcPr>
            <w:tcW w:w="785" w:type="dxa"/>
            <w:tcBorders>
              <w:top w:val="single" w:sz="4" w:space="0" w:color="000000"/>
              <w:left w:val="single" w:sz="45" w:space="0" w:color="FFFFFF"/>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 w:right="0"/>
              <w:jc w:val="center"/>
              <w:rPr>
                <w:rFonts w:ascii="Arial Narrow" w:hAnsi="Arial Narrow" w:cs="Arial Narrow" w:eastAsia="Arial Narrow" w:hint="default"/>
                <w:sz w:val="18"/>
                <w:szCs w:val="18"/>
              </w:rPr>
            </w:pPr>
            <w:r>
              <w:rPr>
                <w:rFonts w:ascii="Arial Narrow"/>
                <w:sz w:val="18"/>
              </w:rPr>
              <w:t>311,227,</w:t>
            </w:r>
          </w:p>
          <w:p>
            <w:pPr>
              <w:pStyle w:val="TableParagraph"/>
              <w:spacing w:line="240" w:lineRule="auto" w:before="103"/>
              <w:ind w:left="128" w:right="0"/>
              <w:jc w:val="center"/>
              <w:rPr>
                <w:rFonts w:ascii="Arial Narrow" w:hAnsi="Arial Narrow" w:cs="Arial Narrow" w:eastAsia="Arial Narrow" w:hint="default"/>
                <w:sz w:val="18"/>
                <w:szCs w:val="18"/>
              </w:rPr>
            </w:pPr>
            <w:r>
              <w:rPr>
                <w:rFonts w:ascii="Arial Narrow"/>
                <w:sz w:val="18"/>
              </w:rPr>
              <w:t>965.67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Arial Narrow" w:hAnsi="Arial Narrow" w:cs="Arial Narrow" w:eastAsia="Arial Narrow" w:hint="default"/>
                <w:sz w:val="18"/>
                <w:szCs w:val="18"/>
              </w:rPr>
            </w:pPr>
            <w:r>
              <w:rPr>
                <w:rFonts w:ascii="Arial Narrow"/>
                <w:sz w:val="18"/>
              </w:rPr>
              <w:t>18,680,0</w:t>
            </w:r>
          </w:p>
          <w:p>
            <w:pPr>
              <w:pStyle w:val="TableParagraph"/>
              <w:spacing w:line="240" w:lineRule="auto" w:before="103"/>
              <w:ind w:left="316" w:right="0"/>
              <w:jc w:val="left"/>
              <w:rPr>
                <w:rFonts w:ascii="Arial Narrow" w:hAnsi="Arial Narrow" w:cs="Arial Narrow" w:eastAsia="Arial Narrow" w:hint="default"/>
                <w:sz w:val="18"/>
                <w:szCs w:val="18"/>
              </w:rPr>
            </w:pPr>
            <w:r>
              <w:rPr>
                <w:rFonts w:ascii="Arial Narrow"/>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 w:right="0"/>
              <w:jc w:val="center"/>
              <w:rPr>
                <w:rFonts w:ascii="Arial Narrow" w:hAnsi="Arial Narrow" w:cs="Arial Narrow" w:eastAsia="Arial Narrow" w:hint="default"/>
                <w:sz w:val="18"/>
                <w:szCs w:val="18"/>
              </w:rPr>
            </w:pPr>
            <w:r>
              <w:rPr>
                <w:rFonts w:ascii="Arial Narrow"/>
                <w:sz w:val="18"/>
              </w:rPr>
              <w:t>-4,595,9</w:t>
            </w:r>
          </w:p>
          <w:p>
            <w:pPr>
              <w:pStyle w:val="TableParagraph"/>
              <w:spacing w:line="240" w:lineRule="auto" w:before="103"/>
              <w:ind w:left="218" w:right="0"/>
              <w:jc w:val="center"/>
              <w:rPr>
                <w:rFonts w:ascii="Arial Narrow" w:hAnsi="Arial Narrow" w:cs="Arial Narrow" w:eastAsia="Arial Narrow" w:hint="default"/>
                <w:sz w:val="18"/>
                <w:szCs w:val="18"/>
              </w:rPr>
            </w:pPr>
            <w:r>
              <w:rPr>
                <w:rFonts w:ascii="Arial Narrow"/>
                <w:sz w:val="18"/>
              </w:rPr>
              <w:t>95.68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34,289.5</w:t>
            </w:r>
          </w:p>
          <w:p>
            <w:pPr>
              <w:pStyle w:val="TableParagraph"/>
              <w:spacing w:line="240" w:lineRule="auto" w:before="103"/>
              <w:ind w:right="100"/>
              <w:jc w:val="right"/>
              <w:rPr>
                <w:rFonts w:ascii="Arial Narrow" w:hAnsi="Arial Narrow" w:cs="Arial Narrow" w:eastAsia="Arial Narrow" w:hint="default"/>
                <w:sz w:val="18"/>
                <w:szCs w:val="18"/>
              </w:rPr>
            </w:pPr>
            <w:r>
              <w:rPr>
                <w:rFonts w:ascii="Arial Narrow"/>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2" w:right="0"/>
              <w:jc w:val="left"/>
              <w:rPr>
                <w:rFonts w:ascii="Arial Narrow" w:hAnsi="Arial Narrow" w:cs="Arial Narrow" w:eastAsia="Arial Narrow" w:hint="default"/>
                <w:sz w:val="18"/>
                <w:szCs w:val="18"/>
              </w:rPr>
            </w:pPr>
            <w:r>
              <w:rPr>
                <w:rFonts w:ascii="Arial Narrow"/>
                <w:sz w:val="18"/>
              </w:rPr>
              <w:t>107,021.</w:t>
            </w:r>
          </w:p>
          <w:p>
            <w:pPr>
              <w:pStyle w:val="TableParagraph"/>
              <w:spacing w:line="240" w:lineRule="auto" w:before="103"/>
              <w:ind w:left="523" w:right="0"/>
              <w:jc w:val="left"/>
              <w:rPr>
                <w:rFonts w:ascii="Arial Narrow" w:hAnsi="Arial Narrow" w:cs="Arial Narrow" w:eastAsia="Arial Narrow" w:hint="default"/>
                <w:sz w:val="18"/>
                <w:szCs w:val="18"/>
              </w:rPr>
            </w:pPr>
            <w:r>
              <w:rPr>
                <w:rFonts w:ascii="Arial Narrow"/>
                <w:sz w:val="18"/>
              </w:rPr>
              <w:t>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2" w:right="0"/>
              <w:jc w:val="left"/>
              <w:rPr>
                <w:rFonts w:ascii="Arial Narrow" w:hAnsi="Arial Narrow" w:cs="Arial Narrow" w:eastAsia="Arial Narrow" w:hint="default"/>
                <w:sz w:val="18"/>
                <w:szCs w:val="18"/>
              </w:rPr>
            </w:pPr>
            <w:r>
              <w:rPr>
                <w:rFonts w:ascii="Arial Narrow"/>
                <w:sz w:val="18"/>
              </w:rPr>
              <w:t>1,626,38</w:t>
            </w:r>
          </w:p>
          <w:p>
            <w:pPr>
              <w:pStyle w:val="TableParagraph"/>
              <w:spacing w:line="240" w:lineRule="auto" w:before="103"/>
              <w:ind w:left="398" w:right="0"/>
              <w:jc w:val="left"/>
              <w:rPr>
                <w:rFonts w:ascii="Arial Narrow" w:hAnsi="Arial Narrow" w:cs="Arial Narrow" w:eastAsia="Arial Narrow" w:hint="default"/>
                <w:sz w:val="18"/>
                <w:szCs w:val="18"/>
              </w:rPr>
            </w:pPr>
            <w:r>
              <w:rPr>
                <w:rFonts w:ascii="Arial Narrow"/>
                <w:sz w:val="18"/>
              </w:rPr>
              <w:t>6.01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4" w:right="0"/>
              <w:jc w:val="left"/>
              <w:rPr>
                <w:rFonts w:ascii="Arial Narrow" w:hAnsi="Arial Narrow" w:cs="Arial Narrow" w:eastAsia="Arial Narrow" w:hint="default"/>
                <w:sz w:val="18"/>
                <w:szCs w:val="18"/>
              </w:rPr>
            </w:pPr>
            <w:r>
              <w:rPr>
                <w:rFonts w:ascii="Arial Narrow"/>
                <w:sz w:val="18"/>
              </w:rPr>
              <w:t>-49,590.</w:t>
            </w:r>
          </w:p>
          <w:p>
            <w:pPr>
              <w:pStyle w:val="TableParagraph"/>
              <w:spacing w:line="240" w:lineRule="auto" w:before="103"/>
              <w:ind w:left="523" w:right="0"/>
              <w:jc w:val="left"/>
              <w:rPr>
                <w:rFonts w:ascii="Arial Narrow" w:hAnsi="Arial Narrow" w:cs="Arial Narrow" w:eastAsia="Arial Narrow" w:hint="default"/>
                <w:sz w:val="18"/>
                <w:szCs w:val="18"/>
              </w:rPr>
            </w:pPr>
            <w:r>
              <w:rPr>
                <w:rFonts w:ascii="Arial Narrow"/>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 w:right="0"/>
              <w:jc w:val="center"/>
              <w:rPr>
                <w:rFonts w:ascii="Arial Narrow" w:hAnsi="Arial Narrow" w:cs="Arial Narrow" w:eastAsia="Arial Narrow" w:hint="default"/>
                <w:sz w:val="18"/>
                <w:szCs w:val="18"/>
              </w:rPr>
            </w:pPr>
            <w:r>
              <w:rPr>
                <w:rFonts w:ascii="Arial Narrow"/>
                <w:sz w:val="18"/>
              </w:rPr>
              <w:t>325,403,</w:t>
            </w:r>
          </w:p>
          <w:p>
            <w:pPr>
              <w:pStyle w:val="TableParagraph"/>
              <w:spacing w:line="240" w:lineRule="auto" w:before="103"/>
              <w:ind w:left="133" w:right="0"/>
              <w:jc w:val="center"/>
              <w:rPr>
                <w:rFonts w:ascii="Arial Narrow" w:hAnsi="Arial Narrow" w:cs="Arial Narrow" w:eastAsia="Arial Narrow" w:hint="default"/>
                <w:sz w:val="18"/>
                <w:szCs w:val="18"/>
              </w:rPr>
            </w:pPr>
            <w:r>
              <w:rPr>
                <w:rFonts w:ascii="Arial Narrow"/>
                <w:sz w:val="18"/>
              </w:rPr>
              <w:t>690.57</w:t>
            </w:r>
          </w:p>
        </w:tc>
        <w:tc>
          <w:tcPr>
            <w:tcW w:w="748" w:type="dxa"/>
            <w:tcBorders>
              <w:top w:val="single" w:sz="4" w:space="0" w:color="000000"/>
              <w:left w:val="single" w:sz="4" w:space="0" w:color="000000"/>
              <w:bottom w:val="single" w:sz="4" w:space="0" w:color="000000"/>
              <w:right w:val="single" w:sz="41" w:space="0" w:color="FFFFFF"/>
            </w:tcBorders>
          </w:tcPr>
          <w:p>
            <w:pPr>
              <w:pStyle w:val="TableParagraph"/>
              <w:spacing w:line="240" w:lineRule="auto" w:before="97"/>
              <w:ind w:left="113" w:right="0"/>
              <w:jc w:val="left"/>
              <w:rPr>
                <w:rFonts w:ascii="Arial Narrow" w:hAnsi="Arial Narrow" w:cs="Arial Narrow" w:eastAsia="Arial Narrow" w:hint="default"/>
                <w:sz w:val="18"/>
                <w:szCs w:val="18"/>
              </w:rPr>
            </w:pPr>
            <w:r>
              <w:rPr>
                <w:rFonts w:ascii="Arial Narrow"/>
                <w:sz w:val="18"/>
              </w:rPr>
              <w:t>2,221,85</w:t>
            </w:r>
          </w:p>
          <w:p>
            <w:pPr>
              <w:pStyle w:val="TableParagraph"/>
              <w:spacing w:line="240" w:lineRule="auto" w:before="103"/>
              <w:ind w:left="401" w:right="0"/>
              <w:jc w:val="left"/>
              <w:rPr>
                <w:rFonts w:ascii="Arial Narrow" w:hAnsi="Arial Narrow" w:cs="Arial Narrow" w:eastAsia="Arial Narrow" w:hint="default"/>
                <w:sz w:val="18"/>
                <w:szCs w:val="18"/>
              </w:rPr>
            </w:pPr>
            <w:r>
              <w:rPr>
                <w:rFonts w:ascii="Arial Narrow"/>
                <w:sz w:val="18"/>
              </w:rPr>
              <w:t>4.00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pict>
          <v:group style="position:absolute;margin-left:495.700012pt;margin-top:-102.600342pt;width:39.550pt;height:17.7pt;mso-position-horizontal-relative:page;mso-position-vertical-relative:paragraph;z-index:-1056088" coordorigin="9914,-2052" coordsize="791,354">
            <v:shape style="position:absolute;left:9914;top:-2052;width:791;height:354" coordorigin="9914,-2052" coordsize="791,354" path="m9914,-1699l10704,-1699,10704,-2052,9914,-2052,9914,-1699xe" filled="true" fillcolor="#ffffff" stroked="false">
              <v:path arrowok="t"/>
              <v:fill type="solid"/>
            </v:shape>
            <w10:wrap type="none"/>
          </v:group>
        </w:pict>
      </w:r>
      <w:r>
        <w:rPr/>
        <w:pict>
          <v:group style="position:absolute;margin-left:57.023998pt;margin-top:-64.896339pt;width:39.25pt;height:15.6pt;mso-position-horizontal-relative:page;mso-position-vertical-relative:paragraph;z-index:-1056064" coordorigin="1140,-1298" coordsize="785,312">
            <v:shape style="position:absolute;left:1140;top:-1298;width:785;height:312" coordorigin="1140,-1298" coordsize="785,312" path="m1140,-986l1925,-986,1925,-1298,1140,-1298,1140,-986xe" filled="true" fillcolor="#ffffff" stroked="false">
              <v:path arrowok="t"/>
              <v:fill type="solid"/>
            </v:shape>
            <w10:wrap type="none"/>
          </v:group>
        </w:pict>
      </w:r>
      <w:r>
        <w:rPr/>
        <w:pict>
          <v:group style="position:absolute;margin-left:57.023998pt;margin-top:-29.136341pt;width:39.25pt;height:15.6pt;mso-position-horizontal-relative:page;mso-position-vertical-relative:paragraph;z-index:-1056040" coordorigin="1140,-583" coordsize="785,312">
            <v:shape style="position:absolute;left:1140;top:-583;width:785;height:312" coordorigin="1140,-583" coordsize="785,312" path="m1140,-271l1925,-271,1925,-583,1140,-583,1140,-271xe" filled="true" fillcolor="#ffffff" stroked="false">
              <v:path arrowok="t"/>
              <v:fill type="solid"/>
            </v:shape>
            <w10:wrap type="none"/>
          </v:group>
        </w:pict>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97,618,115.41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6,160,882.31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103,778,997.72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9,059,396.04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7,418,832.16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16,478,228.20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9,059,396.04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7,418,832.16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16,478,228.20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988,545.13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7,605,582.51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988,545.13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7,605,582.51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100,060,474.07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12,591,169.34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112,651,643.41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25,621,866.30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1,197,093.32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26,818,959.62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4,774,404.08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1,828,835.72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6,603,239.80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2,507,100.78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219,301.14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2,726,401.92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2,267,303.30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1,609,534.58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3,876,837.88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1,902,774.07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221,575.66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2,124,349.73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1,902,774.07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221,575.66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2,124,349.73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28,493,496.31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2,804,353.38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31,297,849.69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71,566,977.76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9,786,815.96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81,353,793.72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71,996,249.11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4,963,788.99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76,960,038.10</w:t>
            </w:r>
          </w:p>
        </w:tc>
      </w:tr>
    </w:tbl>
    <w:p>
      <w:pPr>
        <w:pStyle w:val="BodyText"/>
        <w:spacing w:line="240" w:lineRule="auto" w:before="8"/>
        <w:ind w:right="0"/>
        <w:jc w:val="left"/>
        <w:rPr>
          <w:rFonts w:ascii="宋体" w:hAnsi="宋体" w:cs="宋体" w:eastAsia="宋体" w:hint="default"/>
        </w:rPr>
      </w:pPr>
      <w:r>
        <w:rPr/>
        <w:t>注：（</w:t>
      </w:r>
      <w:r>
        <w:rPr>
          <w:rFonts w:ascii="宋体" w:hAnsi="宋体" w:cs="宋体" w:eastAsia="宋体" w:hint="default"/>
        </w:rPr>
        <w:t>1</w:t>
      </w:r>
      <w:r>
        <w:rPr/>
        <w:t>）本年折旧摊销额为</w:t>
      </w:r>
      <w:r>
        <w:rPr>
          <w:rFonts w:ascii="宋体" w:hAnsi="宋体" w:cs="宋体" w:eastAsia="宋体" w:hint="default"/>
        </w:rPr>
        <w:t>2,726,401.92</w:t>
      </w:r>
      <w:r>
        <w:rPr>
          <w:rFonts w:ascii="宋体" w:hAnsi="宋体" w:cs="宋体" w:eastAsia="宋体" w:hint="default"/>
          <w:spacing w:val="-3"/>
        </w:rPr>
        <w:t> </w:t>
      </w:r>
      <w:r>
        <w:rPr/>
        <w:t>元。</w:t>
      </w:r>
      <w:r>
        <w:rPr>
          <w:rFonts w:ascii="宋体" w:hAnsi="宋体" w:cs="宋体" w:eastAsia="宋体" w:hint="default"/>
        </w:rPr>
        <w:t> </w:t>
      </w:r>
    </w:p>
    <w:p>
      <w:pPr>
        <w:pStyle w:val="BodyText"/>
        <w:spacing w:line="316" w:lineRule="auto" w:before="76"/>
        <w:ind w:right="143"/>
        <w:jc w:val="left"/>
        <w:rPr>
          <w:rFonts w:ascii="宋体" w:hAnsi="宋体" w:cs="宋体" w:eastAsia="宋体" w:hint="default"/>
        </w:rPr>
      </w:pPr>
      <w:r>
        <w:rPr/>
        <w:t>（</w:t>
      </w:r>
      <w:r>
        <w:rPr>
          <w:rFonts w:ascii="宋体" w:hAnsi="宋体" w:cs="宋体" w:eastAsia="宋体" w:hint="default"/>
        </w:rPr>
        <w:t>2</w:t>
      </w:r>
      <w:r>
        <w:rPr/>
        <w:t>）本期“转入”数全部为出租的房屋建筑物及土地使用权从固定资产及无形资产转入，本期“转出”数全部为不再出租 的房屋建筑物及土地使用权转至无形资产及固定资产。</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271,564,360.85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58,597,244.53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20,488,234.27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41,171,149.09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18,595,952.11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410,416,940.85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6,771,612.38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357,499.20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535,797.85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1,809,303.92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105,227.53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9,579,440.88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357,499.20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535,797.85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1,809,303.92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105,227.53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2,962,403.50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6,617,037.38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6,617,037.38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9,059,396.04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623,904.00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647,566.14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331,023.65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10,848,358.01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623,904.00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647,566.14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331,023.65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1,788,961.97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9,059,396.04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9,059,396.04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269,276,577.19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58,768,275.55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20,400,128.12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42,332,886.87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18,370,155.99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409,148,023.72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55,173,846.30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44,169,896.73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15,474,912.10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26,966,086.28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14,646,895.59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156,431,637.00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8,581,087.22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3,152,092.67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1,219,429.04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6,600,103.77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134,661.74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19,687,374.44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6,678,313.15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3,152,092.67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1,219,429.04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6,600,103.77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134,661.74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17,784,600.37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1,902,774.07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1,902,774.07</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2,267,303.30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177,144.77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587,504.58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564,575.51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314,472.46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3,911,000.62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177,144.77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587,504.58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564,575.51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314,472.46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1,643,697.32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2,267,303.30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2,267,303.30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61,487,630.22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47,144,844.63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16,106,836.56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33,001,614.54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14,467,084.87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172,208,010.82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85,275.37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266,490.28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51,027.28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51,027.28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51,027.28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51,027.28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215,463.00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207,788,946.97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11,623,430.92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4,275,041.56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9,297,024.24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3,740,106.21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236,724,549.90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216,390,514.55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14,427,347.80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4,995,072.17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14,119,787.44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3,786,091.61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253,718,813.57</w:t>
            </w:r>
          </w:p>
        </w:tc>
      </w:tr>
    </w:tbl>
    <w:p>
      <w:pPr>
        <w:pStyle w:val="BodyText"/>
        <w:spacing w:line="240" w:lineRule="auto" w:before="8"/>
        <w:ind w:right="0"/>
        <w:jc w:val="left"/>
        <w:rPr>
          <w:rFonts w:ascii="宋体" w:hAnsi="宋体" w:cs="宋体" w:eastAsia="宋体" w:hint="default"/>
        </w:rPr>
      </w:pPr>
      <w:r>
        <w:rPr/>
        <w:t>注：（</w:t>
      </w:r>
      <w:r>
        <w:rPr>
          <w:rFonts w:ascii="宋体" w:hAnsi="宋体" w:cs="宋体" w:eastAsia="宋体" w:hint="default"/>
        </w:rPr>
        <w:t>1</w:t>
      </w:r>
      <w:r>
        <w:rPr/>
        <w:t>）本年折旧额为</w:t>
      </w:r>
      <w:r>
        <w:rPr>
          <w:rFonts w:ascii="宋体" w:hAnsi="宋体" w:cs="宋体" w:eastAsia="宋体" w:hint="default"/>
        </w:rPr>
        <w:t>17,784,600.37</w:t>
      </w:r>
      <w:r>
        <w:rPr>
          <w:rFonts w:ascii="宋体" w:hAnsi="宋体" w:cs="宋体" w:eastAsia="宋体" w:hint="default"/>
          <w:spacing w:val="-5"/>
        </w:rPr>
        <w:t> </w:t>
      </w:r>
      <w:r>
        <w:rPr/>
        <w:t>元。</w:t>
      </w:r>
      <w:r>
        <w:rPr>
          <w:rFonts w:ascii="宋体" w:hAnsi="宋体" w:cs="宋体" w:eastAsia="宋体" w:hint="default"/>
        </w:rPr>
        <w:t> </w:t>
      </w:r>
    </w:p>
    <w:p>
      <w:pPr>
        <w:pStyle w:val="BodyText"/>
        <w:spacing w:line="316" w:lineRule="auto" w:before="76"/>
        <w:ind w:right="143"/>
        <w:jc w:val="left"/>
      </w:pPr>
      <w:r>
        <w:rPr/>
        <w:t>（</w:t>
      </w:r>
      <w:r>
        <w:rPr>
          <w:rFonts w:ascii="宋体" w:hAnsi="宋体" w:cs="宋体" w:eastAsia="宋体" w:hint="default"/>
        </w:rPr>
        <w:t>2</w:t>
      </w:r>
      <w:r>
        <w:rPr/>
        <w:t>）本期“转入”数全部为不再出租的房屋建筑物从投资性房地产转入，本期“转出”数全部为出租的房屋建筑物重转至 投资性房地产。</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截至期末，本公司无暂时闲置的固定资产。</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截至期末，本公司无通过融资租赁租入固定资产情况。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323,675.79</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323,675.79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信息产业基地一期房产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69,552,007.82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信息产业基地二期房产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97,605,905.62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产权办理中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车道沟南里厂房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41,934.99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小产权房</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167,199,848.43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6" w:lineRule="auto" w:before="36"/>
        <w:ind w:right="8508"/>
        <w:jc w:val="left"/>
        <w:rPr>
          <w:b w:val="0"/>
          <w:bCs w:val="0"/>
        </w:rPr>
      </w:pPr>
      <w:r>
        <w:rPr>
          <w:rFonts w:ascii="Times New Roman" w:hAnsi="Times New Roman" w:cs="Times New Roman" w:eastAsia="Times New Roman" w:hint="default"/>
        </w:rPr>
        <w:t>13</w:t>
      </w:r>
      <w:r>
        <w:rPr/>
        <w:t>、无形资产</w:t>
      </w:r>
      <w:r>
        <w:rPr>
          <w:w w:val="100"/>
        </w:rPr>
        <w:t> </w:t>
      </w:r>
      <w:r>
        <w:rPr/>
        <w:t>无形资产情况</w:t>
      </w:r>
      <w:r>
        <w:rPr>
          <w:b w:val="0"/>
          <w:bCs w:val="0"/>
        </w:rPr>
      </w:r>
    </w:p>
    <w:p>
      <w:pPr>
        <w:pStyle w:val="BodyText"/>
        <w:spacing w:line="240" w:lineRule="auto" w:before="127"/>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48,384,292.22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76,086,894.49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95,553,807.76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3,036,677.96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223,061,672.43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988,545.13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10,164,204.81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5,540,001.15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5,216,204.80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21,908,955.89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988,545.13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10,164,204.81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5,540,001.15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5,216,204.80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21,908,955.89</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7,418,832.16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7,418,832.16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转出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7,418,832.16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7,418,832.16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41,954,005.19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86,251,099.30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101,093,808.91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8,252,882.76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237,551,796.16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9,700,369.94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39,536,112.69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79,494,253.41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2,164,509.33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130,895,245.37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1,179,151.72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3,454,016.30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3,630,226.98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264,740.40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8,528,135.40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957,576.06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3,454,016.30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3,630,226.98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264,740.40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8,306,559.74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）转</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221,575.66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221,575.66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1,609,534.58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1,609,534.58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1,609,534.58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1,609,534.58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9,269,987.08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42,990,128.99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83,124,480.39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2,429,249.73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137,813,846.19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31,465,992.13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12,197,405.89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479,685.92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44,143,083.94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31,465,992.13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12,197,405.89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479,685.92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44,143,083.94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32,684,018.11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11,794,978.18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5,771,922.63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5,343,947.11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55,594,866.03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38,683,922.28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5,084,789.67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3,862,148.46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392,482.71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48,023,343.12</w:t>
            </w:r>
          </w:p>
        </w:tc>
      </w:tr>
    </w:tbl>
    <w:p>
      <w:pPr>
        <w:pStyle w:val="BodyText"/>
        <w:spacing w:line="240" w:lineRule="auto" w:before="49"/>
        <w:ind w:right="0"/>
        <w:jc w:val="left"/>
      </w:pPr>
      <w:r>
        <w:rPr/>
        <w:t>注：本年摊销额为 </w:t>
      </w:r>
      <w:r>
        <w:rPr>
          <w:rFonts w:ascii="Arial Narrow" w:hAnsi="Arial Narrow" w:cs="Arial Narrow" w:eastAsia="Arial Narrow" w:hint="default"/>
        </w:rPr>
        <w:t>8,306,559.74</w:t>
      </w:r>
      <w:r>
        <w:rPr>
          <w:rFonts w:ascii="Arial Narrow" w:hAnsi="Arial Narrow" w:cs="Arial Narrow" w:eastAsia="Arial Narrow" w:hint="default"/>
          <w:spacing w:val="1"/>
        </w:rPr>
        <w:t> </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110.059998pt;margin-top:570.909973pt;width:52.7pt;height:15.6pt;mso-position-horizontal-relative:page;mso-position-vertical-relative:page;z-index:-1056016" coordorigin="2201,11418" coordsize="1054,312">
            <v:shape style="position:absolute;left:2201;top:11418;width:1054;height:312" coordorigin="2201,11418" coordsize="1054,312" path="m2201,11730l3255,11730,3255,11418,2201,11418,2201,11730xe" filled="true" fillcolor="#ffffff" stroked="false">
              <v:path arrowok="t"/>
              <v:fill type="solid"/>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403"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10"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10"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智慧网点软 件平台及设 备支撑研发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5,399,175.16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66,039.67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5,465,214.83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南天一体化 云管理平台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49"/>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网络自 动化管理平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基于云计算 的面向商业 银行的缴费 业务平台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2,285,181.86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185,784.38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2,470,966.24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移动金融创 新产品研发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（三期）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1,703,118.50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1,703,118.50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国产化平台 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1,632,081.20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1,632,081.20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大数据应用 创新研发项 目（二期）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1,609,121.40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1,609,121.40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南天配置管 理系统开发 项目（二期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1,005,206.01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1,005,206.01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银行全渠道 融合业务平 台（一期）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904,121.31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904,121.31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运维安全数 据智能分析 </w:t>
            </w:r>
            <w:r>
              <w:rPr>
                <w:rFonts w:ascii="宋体" w:hAnsi="宋体" w:cs="宋体" w:eastAsia="宋体" w:hint="default"/>
                <w:spacing w:val="-12"/>
                <w:sz w:val="18"/>
                <w:szCs w:val="18"/>
              </w:rPr>
              <w:t>工具项目（集</w:t>
            </w:r>
            <w:r>
              <w:rPr>
                <w:rFonts w:ascii="宋体" w:hAnsi="宋体" w:cs="宋体" w:eastAsia="宋体" w:hint="default"/>
                <w:sz w:val="18"/>
                <w:szCs w:val="18"/>
              </w:rPr>
              <w:t> 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840,529.68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840,529.68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SC994-16001</w:t>
            </w:r>
          </w:p>
          <w:p>
            <w:pPr>
              <w:pStyle w:val="TableParagraph"/>
              <w:spacing w:line="316" w:lineRule="auto" w:before="63"/>
              <w:ind w:left="22" w:right="127"/>
              <w:jc w:val="left"/>
              <w:rPr>
                <w:rFonts w:ascii="宋体" w:hAnsi="宋体" w:cs="宋体" w:eastAsia="宋体" w:hint="default"/>
                <w:sz w:val="18"/>
                <w:szCs w:val="18"/>
              </w:rPr>
            </w:pPr>
            <w:r>
              <w:rPr>
                <w:rFonts w:ascii="宋体" w:hAnsi="宋体" w:cs="宋体" w:eastAsia="宋体" w:hint="default"/>
                <w:sz w:val="18"/>
                <w:szCs w:val="18"/>
              </w:rPr>
              <w:t>基于云计算 的商业银行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233,051.59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233,051.59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98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8"/>
              <w:ind w:left="22" w:right="127"/>
              <w:jc w:val="both"/>
              <w:rPr>
                <w:rFonts w:ascii="宋体" w:hAnsi="宋体" w:cs="宋体" w:eastAsia="宋体" w:hint="default"/>
                <w:sz w:val="18"/>
                <w:szCs w:val="18"/>
              </w:rPr>
            </w:pPr>
            <w:r>
              <w:rPr>
                <w:rFonts w:ascii="宋体" w:hAnsi="宋体" w:cs="宋体" w:eastAsia="宋体" w:hint="default"/>
                <w:sz w:val="18"/>
                <w:szCs w:val="18"/>
              </w:rPr>
              <w:t>互联网金融 数据交换平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人力资源系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850,555.56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850,555.56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合同管理系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747,783.00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747,783.00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经营管理系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397,948.72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397,948.72</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财务管理系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107,547.17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107,547.17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多功能信息 交互终端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1,364,560.36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1,364,560.36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移动柜台整 体解决方案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1,364,560.36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1,364,560.36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工商银行便 携助力设备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1,061,324.73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1,061,324.73</w:t>
            </w: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南天银行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资产管理软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762,983.60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762,983.60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二代证扫描 阅读模块研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563,185.26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563,185.26</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SI994-15073</w:t>
            </w:r>
          </w:p>
          <w:p>
            <w:pPr>
              <w:pStyle w:val="TableParagraph"/>
              <w:spacing w:line="316" w:lineRule="auto" w:before="63"/>
              <w:ind w:left="22" w:right="127"/>
              <w:jc w:val="both"/>
              <w:rPr>
                <w:rFonts w:ascii="宋体" w:hAnsi="宋体" w:cs="宋体" w:eastAsia="宋体" w:hint="default"/>
                <w:sz w:val="18"/>
                <w:szCs w:val="18"/>
              </w:rPr>
            </w:pPr>
            <w:r>
              <w:rPr>
                <w:rFonts w:ascii="宋体" w:hAnsi="宋体" w:cs="宋体" w:eastAsia="宋体" w:hint="default"/>
                <w:sz w:val="18"/>
                <w:szCs w:val="18"/>
              </w:rPr>
              <w:t>银行分布式 交易处理云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19,938,443.8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19,938,443.8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综合性项目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14,734,525.6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14,734,525.6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自助设备软 件研发项目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10,504,369.1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10,504,369.1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农信软件开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9,088,564.04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9,088,564.04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基于大数据 分布式架构 的实时风险 监控预警系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8,944,606.51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8,944,606.51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8"/>
              <w:ind w:right="104"/>
              <w:jc w:val="center"/>
              <w:rPr>
                <w:rFonts w:ascii="宋体" w:hAnsi="宋体" w:cs="宋体" w:eastAsia="宋体" w:hint="default"/>
                <w:sz w:val="18"/>
                <w:szCs w:val="18"/>
              </w:rPr>
            </w:pPr>
            <w:r>
              <w:rPr>
                <w:rFonts w:ascii="宋体" w:hAnsi="宋体" w:cs="宋体" w:eastAsia="宋体" w:hint="default"/>
                <w:sz w:val="18"/>
                <w:szCs w:val="18"/>
              </w:rPr>
              <w:t>银行大数据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8,811,272.82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8,811,272.82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8"/>
              <w:ind w:left="22" w:right="127"/>
              <w:jc w:val="left"/>
              <w:rPr>
                <w:rFonts w:ascii="宋体" w:hAnsi="宋体" w:cs="宋体" w:eastAsia="宋体" w:hint="default"/>
                <w:sz w:val="18"/>
                <w:szCs w:val="18"/>
              </w:rPr>
            </w:pPr>
            <w:r>
              <w:rPr>
                <w:rFonts w:ascii="宋体" w:hAnsi="宋体" w:cs="宋体" w:eastAsia="宋体" w:hint="default"/>
                <w:sz w:val="18"/>
                <w:szCs w:val="18"/>
              </w:rPr>
              <w:t>智慧营销管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12"/>
                <w:sz w:val="18"/>
                <w:szCs w:val="18"/>
              </w:rPr>
              <w:t>手机银行（对</w:t>
            </w:r>
            <w:r>
              <w:rPr>
                <w:rFonts w:ascii="宋体" w:hAnsi="宋体" w:cs="宋体" w:eastAsia="宋体" w:hint="default"/>
                <w:sz w:val="18"/>
                <w:szCs w:val="18"/>
              </w:rPr>
              <w:t> </w:t>
            </w:r>
            <w:r>
              <w:rPr>
                <w:rFonts w:ascii="宋体" w:hAnsi="宋体" w:cs="宋体" w:eastAsia="宋体" w:hint="default"/>
                <w:spacing w:val="-12"/>
                <w:sz w:val="18"/>
                <w:szCs w:val="18"/>
              </w:rPr>
              <w:t>公版）系统项</w:t>
            </w:r>
            <w:r>
              <w:rPr>
                <w:rFonts w:ascii="宋体" w:hAnsi="宋体" w:cs="宋体" w:eastAsia="宋体" w:hint="default"/>
                <w:sz w:val="18"/>
                <w:szCs w:val="18"/>
              </w:rPr>
              <w:t>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8,425,664.86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8,425,664.86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银企直联系 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8,382,118.18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8,382,118.18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流程系统项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8,373,576.92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8,373,576.92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聚合支付项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8,362,970.24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8,362,970.24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银行中间业 务系统二期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8,216,499.49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8,216,499.49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银行卡收单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7,108,608.90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7,108,608.90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银联前置系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7,097,362.01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7,097,362.01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智慧城市</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6,882,241.79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6,882,241.79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金融智能认 证平台项目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6,392,686.91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6,392,686.91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SI994-17-031</w:t>
            </w:r>
          </w:p>
          <w:p>
            <w:pPr>
              <w:pStyle w:val="TableParagraph"/>
              <w:spacing w:line="316" w:lineRule="auto" w:before="63"/>
              <w:ind w:left="22" w:right="127"/>
              <w:jc w:val="left"/>
              <w:rPr>
                <w:rFonts w:ascii="宋体" w:hAnsi="宋体" w:cs="宋体" w:eastAsia="宋体" w:hint="default"/>
                <w:sz w:val="18"/>
                <w:szCs w:val="18"/>
              </w:rPr>
            </w:pPr>
            <w:r>
              <w:rPr>
                <w:rFonts w:ascii="宋体" w:hAnsi="宋体" w:cs="宋体" w:eastAsia="宋体" w:hint="default"/>
                <w:sz w:val="18"/>
                <w:szCs w:val="18"/>
              </w:rPr>
              <w:t>大数据应用 分析平台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5,677,682.19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5,677,682.19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其他本期费 用化项目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74,450,274.8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74,450,274.8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7,917,408.61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239,511,084.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2,103,834.45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221,391,468.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20,920,410.7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7,220,448.76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配电监控消防改造 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992,631.04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121,158.23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871,472.81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装修及附属工程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821,880.48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464,105.71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336,808.38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949,177.81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1,814,511.52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464,105.71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457,966.61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1,820,650.62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99,109,527.13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10,583,741.21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56,623,233.13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8,670,987.04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26,827,320.13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4,024,098.02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24,251,070.16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3,637,660.52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5,363,066.40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804,459.95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3,439,422.76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515,913.41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6,602,932.15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764,861.90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11,223,693.13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1,703,466.47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6,988,674.70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1,048,301.20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5,072,919.12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760,937.87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7,512,027.85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1,389,711.45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4,349,941.11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657,026.35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7,167,376.00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1,075,106.40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7,915,672.00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1,187,350.80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159,570,924.36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19,690,280.13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112,875,951.41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17,133,342.46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5"/>
        <w:gridCol w:w="1914"/>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3"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19,690,280.13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17,133,342.46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80,234,214.24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104,747,015.90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36,352,394.97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60,585,884.84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4,758,855.66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14,173,660.32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121,345,464.87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179,506,561.06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30,576,209.73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14,264,204.39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14,551,501.02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15,646,817.63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15,645,897.63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19,571,760.84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19,658,207.84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13,214,752.54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24,315,199.68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17,536,678.84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80,234,214.24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104,747,015.90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224,791,034.00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115,975,260.00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340,766,294.00</w:t>
            </w:r>
          </w:p>
        </w:tc>
      </w:tr>
    </w:tbl>
    <w:p>
      <w:pPr>
        <w:pStyle w:val="BodyText"/>
        <w:spacing w:line="240" w:lineRule="auto" w:before="49"/>
        <w:ind w:right="0"/>
        <w:jc w:val="left"/>
      </w:pPr>
      <w:r>
        <w:rPr/>
        <w:t>短期借款分类的说明：</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360"/>
        <w:gridCol w:w="1250"/>
        <w:gridCol w:w="1119"/>
        <w:gridCol w:w="994"/>
        <w:gridCol w:w="997"/>
        <w:gridCol w:w="744"/>
        <w:gridCol w:w="874"/>
        <w:gridCol w:w="1323"/>
      </w:tblGrid>
      <w:tr>
        <w:trPr>
          <w:trHeight w:val="346"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贷款单位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贷款银行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2" w:right="0"/>
              <w:jc w:val="left"/>
              <w:rPr>
                <w:rFonts w:ascii="宋体" w:hAnsi="宋体" w:cs="宋体" w:eastAsia="宋体" w:hint="default"/>
                <w:sz w:val="16"/>
                <w:szCs w:val="16"/>
              </w:rPr>
            </w:pPr>
            <w:r>
              <w:rPr>
                <w:rFonts w:ascii="宋体" w:hAnsi="宋体" w:cs="宋体" w:eastAsia="宋体" w:hint="default"/>
                <w:sz w:val="16"/>
                <w:szCs w:val="16"/>
              </w:rPr>
              <w:t>借款金额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6"/>
              <w:jc w:val="right"/>
              <w:rPr>
                <w:rFonts w:ascii="宋体" w:hAnsi="宋体" w:cs="宋体" w:eastAsia="宋体" w:hint="default"/>
                <w:sz w:val="16"/>
                <w:szCs w:val="16"/>
              </w:rPr>
            </w:pPr>
            <w:r>
              <w:rPr>
                <w:rFonts w:ascii="宋体" w:hAnsi="宋体" w:cs="宋体" w:eastAsia="宋体" w:hint="default"/>
                <w:spacing w:val="-1"/>
                <w:sz w:val="16"/>
                <w:szCs w:val="16"/>
              </w:rPr>
              <w:t>借款起始日</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宋体" w:hAnsi="宋体" w:cs="宋体" w:eastAsia="宋体" w:hint="default"/>
                <w:sz w:val="16"/>
                <w:szCs w:val="16"/>
              </w:rPr>
            </w:pPr>
            <w:r>
              <w:rPr>
                <w:rFonts w:ascii="宋体" w:hAnsi="宋体" w:cs="宋体" w:eastAsia="宋体" w:hint="default"/>
                <w:spacing w:val="-1"/>
                <w:sz w:val="16"/>
                <w:szCs w:val="16"/>
              </w:rPr>
              <w:t>借款终止日</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币种</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利率（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抵押或担保情况</w:t>
            </w:r>
          </w:p>
        </w:tc>
      </w:tr>
      <w:tr>
        <w:trPr>
          <w:trHeight w:val="660"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8"/>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J</w:t>
            </w:r>
            <w:r>
              <w:rPr>
                <w:rFonts w:ascii="宋体" w:hAnsi="宋体" w:cs="宋体" w:eastAsia="宋体" w:hint="default"/>
                <w:sz w:val="16"/>
                <w:szCs w:val="16"/>
              </w:rPr>
              <w:t>银行</w:t>
            </w:r>
            <w:r>
              <w:rPr>
                <w:rFonts w:ascii="Times New Roman" w:hAnsi="Times New Roman" w:cs="Times New Roman" w:eastAsia="Times New Roman" w:hint="default"/>
                <w:sz w:val="16"/>
                <w:szCs w:val="16"/>
              </w:rPr>
              <w:t>H</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2"/>
                <w:sz w:val="16"/>
              </w:rPr>
              <w:t>80,000,000.00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1"/>
              <w:jc w:val="right"/>
              <w:rPr>
                <w:rFonts w:ascii="Times New Roman" w:hAnsi="Times New Roman" w:cs="Times New Roman" w:eastAsia="Times New Roman" w:hint="default"/>
                <w:sz w:val="16"/>
                <w:szCs w:val="16"/>
              </w:rPr>
            </w:pPr>
            <w:r>
              <w:rPr>
                <w:rFonts w:ascii="Times New Roman"/>
                <w:spacing w:val="-1"/>
                <w:sz w:val="16"/>
              </w:rPr>
              <w:t>2017-4-27</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2"/>
              <w:jc w:val="right"/>
              <w:rPr>
                <w:rFonts w:ascii="Times New Roman" w:hAnsi="Times New Roman" w:cs="Times New Roman" w:eastAsia="Times New Roman" w:hint="default"/>
                <w:sz w:val="16"/>
                <w:szCs w:val="16"/>
              </w:rPr>
            </w:pPr>
            <w:r>
              <w:rPr>
                <w:rFonts w:ascii="Times New Roman"/>
                <w:spacing w:val="-1"/>
                <w:sz w:val="16"/>
              </w:rPr>
              <w:t>2018-4-27</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Times New Roman" w:hAnsi="Times New Roman" w:cs="Times New Roman" w:eastAsia="Times New Roman" w:hint="default"/>
                <w:sz w:val="16"/>
                <w:szCs w:val="16"/>
              </w:rPr>
            </w:pPr>
            <w:r>
              <w:rPr>
                <w:rFonts w:ascii="Times New Roman"/>
                <w:sz w:val="16"/>
              </w:rPr>
              <w:t>4</w:t>
            </w:r>
            <w:r>
              <w:rPr>
                <w:rFonts w:ascii="宋体"/>
                <w:sz w:val="16"/>
              </w:rPr>
              <w:t>.</w:t>
            </w:r>
            <w:r>
              <w:rPr>
                <w:rFonts w:ascii="Times New Roman"/>
                <w:sz w:val="16"/>
              </w:rPr>
              <w:t>437</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661"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J</w:t>
            </w:r>
            <w:r>
              <w:rPr>
                <w:rFonts w:ascii="宋体" w:hAnsi="宋体" w:cs="宋体" w:eastAsia="宋体" w:hint="default"/>
                <w:sz w:val="16"/>
                <w:szCs w:val="16"/>
              </w:rPr>
              <w:t>银行</w:t>
            </w:r>
            <w:r>
              <w:rPr>
                <w:rFonts w:ascii="Times New Roman" w:hAnsi="Times New Roman" w:cs="Times New Roman" w:eastAsia="Times New Roman" w:hint="default"/>
                <w:sz w:val="16"/>
                <w:szCs w:val="16"/>
              </w:rPr>
              <w:t>H</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2"/>
                <w:sz w:val="16"/>
              </w:rPr>
              <w:t>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1"/>
              <w:jc w:val="right"/>
              <w:rPr>
                <w:rFonts w:ascii="Times New Roman" w:hAnsi="Times New Roman" w:cs="Times New Roman" w:eastAsia="Times New Roman" w:hint="default"/>
                <w:sz w:val="16"/>
                <w:szCs w:val="16"/>
              </w:rPr>
            </w:pPr>
            <w:r>
              <w:rPr>
                <w:rFonts w:ascii="Times New Roman"/>
                <w:spacing w:val="-1"/>
                <w:sz w:val="16"/>
              </w:rPr>
              <w:t>2017-5-22</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2"/>
              <w:jc w:val="right"/>
              <w:rPr>
                <w:rFonts w:ascii="Times New Roman" w:hAnsi="Times New Roman" w:cs="Times New Roman" w:eastAsia="Times New Roman" w:hint="default"/>
                <w:sz w:val="16"/>
                <w:szCs w:val="16"/>
              </w:rPr>
            </w:pPr>
            <w:r>
              <w:rPr>
                <w:rFonts w:ascii="Times New Roman"/>
                <w:spacing w:val="-1"/>
                <w:sz w:val="16"/>
              </w:rPr>
              <w:t>2018-5-22</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4.35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65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J</w:t>
            </w:r>
            <w:r>
              <w:rPr>
                <w:rFonts w:ascii="宋体" w:hAnsi="宋体" w:cs="宋体" w:eastAsia="宋体" w:hint="default"/>
                <w:sz w:val="16"/>
                <w:szCs w:val="16"/>
              </w:rPr>
              <w:t>银行</w:t>
            </w:r>
            <w:r>
              <w:rPr>
                <w:rFonts w:ascii="Times New Roman" w:hAnsi="Times New Roman" w:cs="Times New Roman" w:eastAsia="Times New Roman" w:hint="default"/>
                <w:sz w:val="16"/>
                <w:szCs w:val="16"/>
              </w:rPr>
              <w:t>H</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1"/>
              <w:jc w:val="right"/>
              <w:rPr>
                <w:rFonts w:ascii="Times New Roman" w:hAnsi="Times New Roman" w:cs="Times New Roman" w:eastAsia="Times New Roman" w:hint="default"/>
                <w:sz w:val="16"/>
                <w:szCs w:val="16"/>
              </w:rPr>
            </w:pPr>
            <w:r>
              <w:rPr>
                <w:rFonts w:ascii="Times New Roman"/>
                <w:spacing w:val="-1"/>
                <w:sz w:val="16"/>
              </w:rPr>
              <w:t>2017-9-28</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2"/>
              <w:jc w:val="right"/>
              <w:rPr>
                <w:rFonts w:ascii="Times New Roman" w:hAnsi="Times New Roman" w:cs="Times New Roman" w:eastAsia="Times New Roman" w:hint="default"/>
                <w:sz w:val="16"/>
                <w:szCs w:val="16"/>
              </w:rPr>
            </w:pPr>
            <w:r>
              <w:rPr>
                <w:rFonts w:ascii="Times New Roman"/>
                <w:spacing w:val="-1"/>
                <w:sz w:val="16"/>
              </w:rPr>
              <w:t>2018-9-28</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4.4805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660"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8"/>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Z</w:t>
            </w:r>
            <w:r>
              <w:rPr>
                <w:rFonts w:ascii="宋体" w:hAnsi="宋体" w:cs="宋体" w:eastAsia="宋体" w:hint="default"/>
                <w:sz w:val="16"/>
                <w:szCs w:val="16"/>
              </w:rPr>
              <w:t>行</w:t>
            </w:r>
            <w:r>
              <w:rPr>
                <w:rFonts w:ascii="Times New Roman" w:hAnsi="Times New Roman" w:cs="Times New Roman" w:eastAsia="Times New Roman" w:hint="default"/>
                <w:sz w:val="16"/>
                <w:szCs w:val="16"/>
              </w:rPr>
              <w:t>B</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2"/>
                <w:sz w:val="16"/>
              </w:rPr>
              <w:t>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1"/>
              <w:jc w:val="right"/>
              <w:rPr>
                <w:rFonts w:ascii="Times New Roman" w:hAnsi="Times New Roman" w:cs="Times New Roman" w:eastAsia="Times New Roman" w:hint="default"/>
                <w:sz w:val="16"/>
                <w:szCs w:val="16"/>
              </w:rPr>
            </w:pPr>
            <w:r>
              <w:rPr>
                <w:rFonts w:ascii="Times New Roman"/>
                <w:spacing w:val="-1"/>
                <w:sz w:val="16"/>
              </w:rPr>
              <w:t>2017-4-24</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2"/>
              <w:jc w:val="right"/>
              <w:rPr>
                <w:rFonts w:ascii="Times New Roman" w:hAnsi="Times New Roman" w:cs="Times New Roman" w:eastAsia="Times New Roman" w:hint="default"/>
                <w:sz w:val="16"/>
                <w:szCs w:val="16"/>
              </w:rPr>
            </w:pPr>
            <w:r>
              <w:rPr>
                <w:rFonts w:ascii="Times New Roman"/>
                <w:spacing w:val="-1"/>
                <w:sz w:val="16"/>
              </w:rPr>
              <w:t>2018-4-24</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Times New Roman" w:hAnsi="Times New Roman" w:cs="Times New Roman" w:eastAsia="Times New Roman" w:hint="default"/>
                <w:sz w:val="16"/>
                <w:szCs w:val="16"/>
              </w:rPr>
            </w:pPr>
            <w:r>
              <w:rPr>
                <w:rFonts w:ascii="Times New Roman"/>
                <w:sz w:val="16"/>
              </w:rPr>
              <w:t>4.35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65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Z</w:t>
            </w:r>
            <w:r>
              <w:rPr>
                <w:rFonts w:ascii="宋体" w:hAnsi="宋体" w:cs="宋体" w:eastAsia="宋体" w:hint="default"/>
                <w:sz w:val="16"/>
                <w:szCs w:val="16"/>
              </w:rPr>
              <w:t>银行昆明</w:t>
            </w:r>
            <w:r>
              <w:rPr>
                <w:rFonts w:ascii="Times New Roman" w:hAnsi="Times New Roman" w:cs="Times New Roman" w:eastAsia="Times New Roman" w:hint="default"/>
                <w:sz w:val="16"/>
                <w:szCs w:val="16"/>
              </w:rPr>
              <w:t>G</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1"/>
              <w:jc w:val="right"/>
              <w:rPr>
                <w:rFonts w:ascii="Times New Roman" w:hAnsi="Times New Roman" w:cs="Times New Roman" w:eastAsia="Times New Roman" w:hint="default"/>
                <w:sz w:val="16"/>
                <w:szCs w:val="16"/>
              </w:rPr>
            </w:pPr>
            <w:r>
              <w:rPr>
                <w:rFonts w:ascii="Times New Roman"/>
                <w:spacing w:val="-1"/>
                <w:sz w:val="16"/>
              </w:rPr>
              <w:t>2017-6-21</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2"/>
              <w:jc w:val="right"/>
              <w:rPr>
                <w:rFonts w:ascii="Times New Roman" w:hAnsi="Times New Roman" w:cs="Times New Roman" w:eastAsia="Times New Roman" w:hint="default"/>
                <w:sz w:val="16"/>
                <w:szCs w:val="16"/>
              </w:rPr>
            </w:pPr>
            <w:r>
              <w:rPr>
                <w:rFonts w:ascii="Times New Roman"/>
                <w:spacing w:val="-1"/>
                <w:sz w:val="16"/>
              </w:rPr>
              <w:t>2018-6-21</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4.785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660"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8"/>
              <w:ind w:left="2" w:right="-7"/>
              <w:jc w:val="left"/>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pacing w:val="-44"/>
                <w:sz w:val="16"/>
                <w:szCs w:val="16"/>
              </w:rPr>
              <w:t> </w:t>
            </w:r>
            <w:r>
              <w:rPr>
                <w:rFonts w:ascii="宋体" w:hAnsi="宋体" w:cs="宋体" w:eastAsia="宋体" w:hint="default"/>
                <w:spacing w:val="-44"/>
                <w:sz w:val="16"/>
                <w:szCs w:val="16"/>
              </w:rPr>
            </w: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J</w:t>
            </w:r>
            <w:r>
              <w:rPr>
                <w:rFonts w:ascii="宋体" w:hAnsi="宋体" w:cs="宋体" w:eastAsia="宋体" w:hint="default"/>
                <w:sz w:val="16"/>
                <w:szCs w:val="16"/>
              </w:rPr>
              <w:t>行</w:t>
            </w:r>
            <w:r>
              <w:rPr>
                <w:rFonts w:ascii="Times New Roman" w:hAnsi="Times New Roman" w:cs="Times New Roman" w:eastAsia="Times New Roman" w:hint="default"/>
                <w:sz w:val="16"/>
                <w:szCs w:val="16"/>
              </w:rPr>
              <w:t>C</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2"/>
                <w:sz w:val="16"/>
              </w:rPr>
              <w:t>80,000,000.00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1"/>
              <w:jc w:val="right"/>
              <w:rPr>
                <w:rFonts w:ascii="Times New Roman" w:hAnsi="Times New Roman" w:cs="Times New Roman" w:eastAsia="Times New Roman" w:hint="default"/>
                <w:sz w:val="16"/>
                <w:szCs w:val="16"/>
              </w:rPr>
            </w:pPr>
            <w:r>
              <w:rPr>
                <w:rFonts w:ascii="Times New Roman"/>
                <w:spacing w:val="-1"/>
                <w:sz w:val="16"/>
              </w:rPr>
              <w:t>2017-7-24</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2"/>
              <w:jc w:val="right"/>
              <w:rPr>
                <w:rFonts w:ascii="Times New Roman" w:hAnsi="Times New Roman" w:cs="Times New Roman" w:eastAsia="Times New Roman" w:hint="default"/>
                <w:sz w:val="16"/>
                <w:szCs w:val="16"/>
              </w:rPr>
            </w:pPr>
            <w:r>
              <w:rPr>
                <w:rFonts w:ascii="Times New Roman"/>
                <w:spacing w:val="-1"/>
                <w:sz w:val="16"/>
              </w:rPr>
              <w:t>2018-7-23</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Times New Roman" w:hAnsi="Times New Roman" w:cs="Times New Roman" w:eastAsia="Times New Roman" w:hint="default"/>
                <w:sz w:val="16"/>
                <w:szCs w:val="16"/>
              </w:rPr>
            </w:pPr>
            <w:r>
              <w:rPr>
                <w:rFonts w:ascii="Times New Roman"/>
                <w:sz w:val="16"/>
              </w:rPr>
              <w:t>4.35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r>
        <w:trPr>
          <w:trHeight w:val="34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7"/>
              <w:jc w:val="center"/>
              <w:rPr>
                <w:rFonts w:ascii="宋体" w:hAnsi="宋体" w:cs="宋体" w:eastAsia="宋体" w:hint="default"/>
                <w:sz w:val="16"/>
                <w:szCs w:val="16"/>
              </w:rPr>
            </w:pPr>
            <w:r>
              <w:rPr>
                <w:rFonts w:ascii="宋体" w:hAnsi="宋体" w:cs="宋体" w:eastAsia="宋体" w:hint="default"/>
                <w:spacing w:val="5"/>
                <w:sz w:val="16"/>
                <w:szCs w:val="16"/>
              </w:rPr>
              <w:t>云南南天电子信息产业股份有限</w:t>
            </w:r>
            <w:r>
              <w:rPr>
                <w:rFonts w:ascii="宋体" w:hAnsi="宋体" w:cs="宋体" w:eastAsia="宋体" w:hint="default"/>
                <w:sz w:val="16"/>
                <w:szCs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N</w:t>
            </w:r>
            <w:r>
              <w:rPr>
                <w:rFonts w:ascii="宋体" w:hAnsi="宋体" w:cs="宋体" w:eastAsia="宋体" w:hint="default"/>
                <w:sz w:val="16"/>
                <w:szCs w:val="16"/>
              </w:rPr>
              <w:t>银行</w:t>
            </w:r>
            <w:r>
              <w:rPr>
                <w:rFonts w:ascii="Times New Roman" w:hAnsi="Times New Roman" w:cs="Times New Roman" w:eastAsia="Times New Roman" w:hint="default"/>
                <w:sz w:val="16"/>
                <w:szCs w:val="16"/>
              </w:rPr>
              <w:t>Z</w:t>
            </w:r>
            <w:r>
              <w:rPr>
                <w:rFonts w:ascii="宋体" w:hAnsi="宋体" w:cs="宋体" w:eastAsia="宋体" w:hint="default"/>
                <w:sz w:val="16"/>
                <w:szCs w:val="16"/>
              </w:rPr>
              <w:t>支行</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1"/>
              <w:jc w:val="right"/>
              <w:rPr>
                <w:rFonts w:ascii="Times New Roman" w:hAnsi="Times New Roman" w:cs="Times New Roman" w:eastAsia="Times New Roman" w:hint="default"/>
                <w:sz w:val="16"/>
                <w:szCs w:val="16"/>
              </w:rPr>
            </w:pPr>
            <w:r>
              <w:rPr>
                <w:rFonts w:ascii="Times New Roman"/>
                <w:spacing w:val="-1"/>
                <w:sz w:val="16"/>
              </w:rPr>
              <w:t>2017-9-22</w:t>
            </w:r>
            <w:r>
              <w:rPr>
                <w:rFonts w:ascii="Times New Roman"/>
                <w:sz w:val="16"/>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2"/>
              <w:jc w:val="right"/>
              <w:rPr>
                <w:rFonts w:ascii="Times New Roman" w:hAnsi="Times New Roman" w:cs="Times New Roman" w:eastAsia="Times New Roman" w:hint="default"/>
                <w:sz w:val="16"/>
                <w:szCs w:val="16"/>
              </w:rPr>
            </w:pPr>
            <w:r>
              <w:rPr>
                <w:rFonts w:ascii="Times New Roman"/>
                <w:spacing w:val="-1"/>
                <w:sz w:val="16"/>
              </w:rPr>
              <w:t>2018-9-21</w:t>
            </w:r>
            <w:r>
              <w:rPr>
                <w:rFonts w:ascii="Times New Roman"/>
                <w:sz w:val="16"/>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4.5675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信用借款</w:t>
            </w:r>
          </w:p>
        </w:tc>
      </w:tr>
    </w:tbl>
    <w:p>
      <w:pPr>
        <w:spacing w:after="0" w:line="240" w:lineRule="auto"/>
        <w:jc w:val="center"/>
        <w:rPr>
          <w:rFonts w:ascii="宋体" w:hAnsi="宋体" w:cs="宋体" w:eastAsia="宋体" w:hint="default"/>
          <w:sz w:val="16"/>
          <w:szCs w:val="16"/>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360"/>
        <w:gridCol w:w="1250"/>
        <w:gridCol w:w="1119"/>
        <w:gridCol w:w="994"/>
        <w:gridCol w:w="997"/>
        <w:gridCol w:w="744"/>
        <w:gridCol w:w="874"/>
        <w:gridCol w:w="1323"/>
      </w:tblGrid>
      <w:tr>
        <w:trPr>
          <w:trHeight w:val="34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25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7"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5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Times New Roman" w:hAnsi="Times New Roman" w:cs="Times New Roman" w:eastAsia="Times New Roman" w:hint="default"/>
                <w:sz w:val="16"/>
                <w:szCs w:val="16"/>
              </w:rPr>
            </w:pPr>
            <w:r>
              <w:rPr>
                <w:rFonts w:ascii="Times New Roman"/>
                <w:sz w:val="16"/>
              </w:rPr>
              <w:t>510,000,000.00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6"/>
                <w:szCs w:val="16"/>
              </w:rPr>
            </w:pPr>
            <w:r>
              <w:rPr>
                <w:rFonts w:ascii="宋体"/>
                <w:w w:val="100"/>
                <w:sz w:val="16"/>
              </w:rPr>
              <w:t> </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74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6"/>
                <w:szCs w:val="16"/>
              </w:rPr>
            </w:pPr>
            <w:r>
              <w:rPr>
                <w:rFonts w:ascii="宋体"/>
                <w:w w:val="100"/>
                <w:sz w:val="16"/>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、以公允价值计量且其变动计入当期损益的金融负债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29,700,684.51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37,662,201.97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13,938,102.00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17,527,515.79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43,638,786.51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55,189,717.76</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335,263,990.76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271,144,264.44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68,896,329.63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12,606,947.49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6,126,279.04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82,550,974.90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37,789,861.40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42,042,530.13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448,076,460.83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408,344,716.96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YDWL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12,596,214.57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ZGYLQX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7,521,598.00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SHPTYT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7,023,368.87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MYMY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易（香港）公司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6,794,793.68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HHJT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智能系统股份有限公司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5,715,037.60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JGW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服务软件（上海）有限公司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4,870,817.86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WSHH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1,048,860.00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45,570,690.58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货款及劳务款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173,710,709.20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75,777,998.37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29,285.70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173,739,995.08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75,807,284.07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9,759,595.00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9,759,595.00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32,405,360.21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589,166,242.87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586,986,951.72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34,584,651.36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44,095,889.41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44,095,889.41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493,039.97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493,039.97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32,405,360.21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sz w:val="18"/>
              </w:rPr>
              <w:t>633,755,172.25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631,575,881.10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34,584,651.36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24,181,620.36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516,871,490.98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516,024,723.23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25,028,388.11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5,324,969.59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5,221,469.59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26,250,280.81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26,250,280.81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23,546,841.55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23,546,841.55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688,453.71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688,453.71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2,014,985.55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2,014,985.55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272,404.36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30,857,289.92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30,960,730.92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168,963.36</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7,951,335.49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9,862,211.57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8,529,747.17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9,283,799.89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32,405,360.21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589,166,242.87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586,986,951.72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34,584,651.36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42,084,511.44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42,084,511.44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1,989,179.37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1,989,179.37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22,198.60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22,198.60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44,095,889.41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44,095,889.41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28,142,059.99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32,151,275.26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8,971,615.46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5,178,490.14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8,787,817.57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8,955,806.10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1,944,929.16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2,254,232.07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215,629.95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834,494.67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127,365.40</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264,979.87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246,549.52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826,956.04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959,514.43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547,880.78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636,662.07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49,703,590.87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51,344,389.66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207,433.48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687,729.04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1,017,780.82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688,296.23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1,225,214.30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2,511,359.37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2,487,468.67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7,521,629.67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8,846,293.11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4,183,758.06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1,503,242.68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14,216,747.10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12,837,004.46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NTWL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1,498,376.00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1,498,376.00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587,654.58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144,881,704.89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587,654.58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144,881,704.89</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598"/>
        <w:gridCol w:w="1745"/>
        <w:gridCol w:w="953"/>
        <w:gridCol w:w="1124"/>
        <w:gridCol w:w="1121"/>
        <w:gridCol w:w="565"/>
        <w:gridCol w:w="1066"/>
        <w:gridCol w:w="1488"/>
      </w:tblGrid>
      <w:tr>
        <w:trPr>
          <w:trHeight w:val="346"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3"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抵押或担保情况</w:t>
            </w:r>
          </w:p>
        </w:tc>
      </w:tr>
      <w:tr>
        <w:trPr>
          <w:trHeight w:val="660"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6"/>
                <w:sz w:val="18"/>
                <w:szCs w:val="18"/>
              </w:rPr>
              <w:t>云南南天电子信息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产业股份有限公司</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5" w:right="53"/>
              <w:jc w:val="left"/>
              <w:rPr>
                <w:rFonts w:ascii="宋体" w:hAnsi="宋体" w:cs="宋体" w:eastAsia="宋体" w:hint="default"/>
                <w:sz w:val="18"/>
                <w:szCs w:val="18"/>
              </w:rPr>
            </w:pPr>
            <w:r>
              <w:rPr>
                <w:rFonts w:ascii="宋体" w:hAnsi="宋体" w:cs="宋体" w:eastAsia="宋体" w:hint="default"/>
                <w:sz w:val="18"/>
                <w:szCs w:val="18"/>
              </w:rPr>
              <w:t>意大利政府委托中国 银行云南省分行贷款</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587,654.58</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sz w:val="18"/>
              </w:rPr>
              <w:t>1999-7-14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2022-6-27</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美金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587,654.58</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565"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1,979,626.65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2,807,462.17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1,979,626.65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2,807,462.17</w:t>
            </w:r>
          </w:p>
        </w:tc>
      </w:tr>
    </w:tbl>
    <w:p>
      <w:pPr>
        <w:pStyle w:val="BodyText"/>
        <w:spacing w:line="360" w:lineRule="auto" w:before="49"/>
        <w:ind w:right="7973"/>
        <w:jc w:val="left"/>
      </w:pPr>
      <w:r>
        <w:rPr/>
        <w:pict>
          <v:shape style="position:absolute;margin-left:55.824001pt;margin-top:35.281738pt;width:484.1pt;height:84.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2"/>
                    <w:gridCol w:w="1875"/>
                    <w:gridCol w:w="1061"/>
                    <w:gridCol w:w="1198"/>
                    <w:gridCol w:w="917"/>
                    <w:gridCol w:w="665"/>
                    <w:gridCol w:w="698"/>
                    <w:gridCol w:w="1553"/>
                  </w:tblGrid>
                  <w:tr>
                    <w:trPr>
                      <w:trHeight w:val="65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1"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359" w:right="89" w:hanging="269"/>
                          <w:jc w:val="left"/>
                          <w:rPr>
                            <w:rFonts w:ascii="宋体" w:hAnsi="宋体" w:cs="宋体" w:eastAsia="宋体" w:hint="default"/>
                            <w:sz w:val="18"/>
                            <w:szCs w:val="18"/>
                          </w:rPr>
                        </w:pPr>
                        <w:r>
                          <w:rPr>
                            <w:rFonts w:ascii="宋体" w:hAnsi="宋体" w:cs="宋体" w:eastAsia="宋体" w:hint="default"/>
                            <w:sz w:val="18"/>
                            <w:szCs w:val="18"/>
                          </w:rPr>
                          <w:t>借款终止 日</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7"/>
                          <w:ind w:left="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1" w:right="0"/>
                          <w:jc w:val="left"/>
                          <w:rPr>
                            <w:rFonts w:ascii="宋体" w:hAnsi="宋体" w:cs="宋体" w:eastAsia="宋体" w:hint="default"/>
                            <w:sz w:val="18"/>
                            <w:szCs w:val="18"/>
                          </w:rPr>
                        </w:pPr>
                        <w:r>
                          <w:rPr>
                            <w:rFonts w:ascii="宋体" w:hAnsi="宋体" w:cs="宋体" w:eastAsia="宋体" w:hint="default"/>
                            <w:sz w:val="18"/>
                            <w:szCs w:val="18"/>
                          </w:rPr>
                          <w:t>抵押或担保情况</w:t>
                        </w:r>
                      </w:p>
                    </w:tc>
                  </w:tr>
                  <w:tr>
                    <w:trPr>
                      <w:trHeight w:val="66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5"/>
                            <w:sz w:val="18"/>
                            <w:szCs w:val="18"/>
                          </w:rPr>
                          <w:t>云南南天电子信息产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业股份有限公司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1" w:right="27" w:hanging="180"/>
                          <w:jc w:val="left"/>
                          <w:rPr>
                            <w:rFonts w:ascii="宋体" w:hAnsi="宋体" w:cs="宋体" w:eastAsia="宋体" w:hint="default"/>
                            <w:sz w:val="18"/>
                            <w:szCs w:val="18"/>
                          </w:rPr>
                        </w:pPr>
                        <w:r>
                          <w:rPr>
                            <w:rFonts w:ascii="宋体" w:hAnsi="宋体" w:cs="宋体" w:eastAsia="宋体" w:hint="default"/>
                            <w:sz w:val="18"/>
                            <w:szCs w:val="18"/>
                          </w:rPr>
                          <w:t>意大利政府委托中国银 行云南省分行贷款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Times New Roman" w:hAnsi="Times New Roman" w:cs="Times New Roman" w:eastAsia="Times New Roman" w:hint="default"/>
                            <w:sz w:val="18"/>
                            <w:szCs w:val="18"/>
                          </w:rPr>
                        </w:pPr>
                        <w:r>
                          <w:rPr>
                            <w:rFonts w:ascii="Times New Roman"/>
                            <w:sz w:val="18"/>
                          </w:rPr>
                          <w:t>1,979,626.65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8" w:right="0"/>
                          <w:jc w:val="left"/>
                          <w:rPr>
                            <w:rFonts w:ascii="Times New Roman" w:hAnsi="Times New Roman" w:cs="Times New Roman" w:eastAsia="Times New Roman" w:hint="default"/>
                            <w:sz w:val="18"/>
                            <w:szCs w:val="18"/>
                          </w:rPr>
                        </w:pPr>
                        <w:r>
                          <w:rPr>
                            <w:rFonts w:ascii="Times New Roman"/>
                            <w:sz w:val="18"/>
                          </w:rPr>
                          <w:t>1999-7-14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2022-6-27</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美金</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1.00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5"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center"/>
                          <w:rPr>
                            <w:rFonts w:ascii="Times New Roman" w:hAnsi="Times New Roman" w:cs="Times New Roman" w:eastAsia="Times New Roman" w:hint="default"/>
                            <w:sz w:val="18"/>
                            <w:szCs w:val="18"/>
                          </w:rPr>
                        </w:pPr>
                        <w:r>
                          <w:rPr>
                            <w:rFonts w:ascii="Times New Roman"/>
                            <w:sz w:val="18"/>
                          </w:rPr>
                          <w:t>1,979,626.65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66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bl>
                <w:p>
                  <w:pPr/>
                </w:p>
              </w:txbxContent>
            </v:textbox>
            <w10:wrap type="none"/>
          </v:shape>
        </w:pict>
      </w:r>
      <w:r>
        <w:rPr/>
        <w:t>长期借款分类的说明： 长期借款明细如下：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right="0"/>
        <w:jc w:val="left"/>
      </w:pPr>
      <w:r>
        <w:rPr/>
        <w:t>长期借款性质：</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01"/>
        <w:gridCol w:w="1436"/>
        <w:gridCol w:w="3709"/>
      </w:tblGrid>
      <w:tr>
        <w:trPr>
          <w:trHeight w:val="346" w:hRule="exact"/>
        </w:trPr>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3" w:right="0"/>
              <w:jc w:val="left"/>
              <w:rPr>
                <w:rFonts w:ascii="宋体" w:hAnsi="宋体" w:cs="宋体" w:eastAsia="宋体" w:hint="default"/>
                <w:sz w:val="18"/>
                <w:szCs w:val="18"/>
              </w:rPr>
            </w:pPr>
            <w:r>
              <w:rPr>
                <w:rFonts w:ascii="宋体" w:hAnsi="宋体" w:cs="宋体" w:eastAsia="宋体" w:hint="default"/>
                <w:sz w:val="18"/>
                <w:szCs w:val="18"/>
              </w:rPr>
              <w:t>借款余额</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抵押物</w:t>
            </w:r>
          </w:p>
        </w:tc>
      </w:tr>
      <w:tr>
        <w:trPr>
          <w:trHeight w:val="348" w:hRule="exact"/>
        </w:trPr>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1,979,626.65</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7" w:right="0"/>
              <w:jc w:val="left"/>
              <w:rPr>
                <w:rFonts w:ascii="宋体" w:hAnsi="宋体" w:cs="宋体" w:eastAsia="宋体" w:hint="default"/>
                <w:sz w:val="18"/>
                <w:szCs w:val="18"/>
              </w:rPr>
            </w:pPr>
            <w:r>
              <w:rPr>
                <w:rFonts w:ascii="宋体" w:hAnsi="宋体" w:cs="宋体" w:eastAsia="宋体" w:hint="default"/>
                <w:sz w:val="18"/>
                <w:szCs w:val="18"/>
              </w:rPr>
              <w:t>零部件车间，配电楼，综合车间</w:t>
            </w:r>
          </w:p>
        </w:tc>
      </w:tr>
      <w:tr>
        <w:trPr>
          <w:trHeight w:val="348" w:hRule="exact"/>
        </w:trPr>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1,979,626.65</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76"/>
        <w:gridCol w:w="2406"/>
        <w:gridCol w:w="2393"/>
        <w:gridCol w:w="2393"/>
      </w:tblGrid>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7,167,376.00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7,552,672.00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7,167,376.00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7,915,672.00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38,424,730.48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10,334,554.69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31,586,175.79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收到政府补助资金</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38,424,730.48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10,334,554.69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31,586,175.79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8" w:right="46" w:hanging="361"/>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年电子信息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11,313,505.15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325,000.02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10,988,505.13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2.187004pt;margin-top:295.849976pt;width:101.1pt;height:15.6pt;mso-position-horizontal-relative:page;mso-position-vertical-relative:page;z-index:-1055968" type="#_x0000_t202" filled="false" stroked="false">
            <v:textbox inset="0,0,0,0">
              <w:txbxContent>
                <w:p>
                  <w:pPr>
                    <w:pStyle w:val="BodyText"/>
                    <w:spacing w:line="240" w:lineRule="auto" w:before="49"/>
                    <w:ind w:left="0" w:right="0"/>
                    <w:jc w:val="left"/>
                  </w:pPr>
                  <w:r>
                    <w:rPr/>
                    <w:t>（金融）</w:t>
                  </w:r>
                </w:p>
              </w:txbxContent>
            </v:textbox>
            <w10:wrap type="none"/>
          </v:shape>
        </w:pict>
      </w:r>
      <w:r>
        <w:rPr/>
        <w:pict>
          <v:group style="position:absolute;margin-left:125.300003pt;margin-top:295.849976pt;width:67.95pt;height:15.6pt;mso-position-horizontal-relative:page;mso-position-vertical-relative:page;z-index:-1055944" coordorigin="2506,5917" coordsize="1359,312">
            <v:shape style="position:absolute;left:2506;top:5917;width:1359;height:312" coordorigin="2506,5917" coordsize="1359,312" path="m2506,6229l3865,6229,3865,5917,2506,5917,2506,62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229"/>
        <w:gridCol w:w="1139"/>
        <w:gridCol w:w="1368"/>
        <w:gridCol w:w="1366"/>
        <w:gridCol w:w="1369"/>
        <w:gridCol w:w="1366"/>
        <w:gridCol w:w="1368"/>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产业振兴和技术 改造</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经济开发区项目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3,437,565.01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98,750.01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3,338,815.00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第三方支付平台 项目资金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面向社会管理和 服务的数据中心 虚拟资源调度与 管理系统研发及 应用</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南天智慧银行智 能终端研发及产 业化项目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信息系统 运行维护支持系 统研发及产业化</w:t>
            </w:r>
          </w:p>
        </w:tc>
        <w:tc>
          <w:tcPr>
            <w:tcW w:w="229" w:type="dxa"/>
            <w:tcBorders>
              <w:top w:val="single" w:sz="4" w:space="0" w:color="000000"/>
              <w:left w:val="single" w:sz="4" w:space="0" w:color="000000"/>
              <w:bottom w:val="single" w:sz="4" w:space="0" w:color="000000"/>
              <w:right w:val="nil" w:sz="6" w:space="0" w:color="auto"/>
            </w:tcBorders>
          </w:tcPr>
          <w:p>
            <w:pPr/>
          </w:p>
        </w:tc>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1,137,500.00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南天多功能实时 制卡智能终端研 发及产业化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信息系统运维服 务支撑平台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自助服务网络化 智能监控及运维 管理平台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科技创新行动计 划政府资助项目</w:t>
            </w:r>
          </w:p>
          <w:p>
            <w:pPr>
              <w:pStyle w:val="TableParagraph"/>
              <w:spacing w:line="312" w:lineRule="auto" w:before="19"/>
              <w:ind w:left="24" w:right="7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 </w:t>
            </w:r>
            <w:r>
              <w:rPr>
                <w:rFonts w:ascii="宋体" w:hAnsi="宋体" w:cs="宋体" w:eastAsia="宋体" w:hint="default"/>
                <w:sz w:val="18"/>
                <w:szCs w:val="18"/>
              </w:rPr>
              <w:t>的 金融行业云运维 服务模式研究及 应用）</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94,776.39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94,776.39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张江专项资金项 目（南天面向金 融行业</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运维交 付系统建设项 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82,082.93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82,082.93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科技小巨人项目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24,010.21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24,010.21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面向电子商务的 信息技术服务平 台（快递、第三 方支付）研发及 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基于云计算的银 行核心业务系统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金融行业业务管 理与信息服务系 统应用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2,389,064.46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2,389,064.46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基于云计算的银 行核心业务系统 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南天商业银行中 之中间业务云平 台改造项目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张江专项资金项 目（基于云计算 的第三方支付系 统解决方案应用 推广）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756,226.33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29,935.13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1,222,291.20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智慧城市解决方 案及应用软件开 发项目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南天移动互联网 金融设备研发及 产业化项目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38,424,730.48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10,334,554.69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31,586,175.79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13" w:right="6773"/>
        <w:jc w:val="left"/>
        <w:rPr>
          <w:b w:val="0"/>
          <w:bCs w:val="0"/>
        </w:rPr>
      </w:pPr>
      <w:r>
        <w:rPr>
          <w:rFonts w:ascii="Times New Roman" w:hAnsi="Times New Roman" w:cs="Times New Roman" w:eastAsia="Times New Roman" w:hint="default"/>
        </w:rPr>
        <w:t>30</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213" w:right="6773"/>
        <w:jc w:val="left"/>
      </w:pPr>
      <w:r>
        <w:rPr/>
        <w:t>其他说明： 截止报告日，本公司无其他非流动负债</w:t>
      </w:r>
    </w:p>
    <w:p>
      <w:pPr>
        <w:spacing w:line="240" w:lineRule="auto" w:before="6"/>
        <w:rPr>
          <w:rFonts w:ascii="宋体" w:hAnsi="宋体" w:cs="宋体" w:eastAsia="宋体" w:hint="default"/>
          <w:sz w:val="20"/>
          <w:szCs w:val="20"/>
        </w:rPr>
      </w:pPr>
    </w:p>
    <w:p>
      <w:pPr>
        <w:pStyle w:val="Heading3"/>
        <w:spacing w:line="240" w:lineRule="auto"/>
        <w:ind w:left="213" w:right="6773"/>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0"/>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246,606,046.00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246,606,046.00</w:t>
            </w:r>
          </w:p>
        </w:tc>
      </w:tr>
    </w:tbl>
    <w:p>
      <w:pPr>
        <w:pStyle w:val="BodyText"/>
        <w:spacing w:line="360" w:lineRule="auto" w:before="49"/>
        <w:ind w:left="213" w:right="7673"/>
        <w:jc w:val="left"/>
      </w:pPr>
      <w:r>
        <w:rPr/>
        <w:pict>
          <v:shape style="position:absolute;margin-left:51.240002pt;margin-top:35.281723pt;width:492.85pt;height:50.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4"/>
                    <w:gridCol w:w="1028"/>
                    <w:gridCol w:w="1171"/>
                    <w:gridCol w:w="785"/>
                    <w:gridCol w:w="499"/>
                    <w:gridCol w:w="926"/>
                    <w:gridCol w:w="613"/>
                    <w:gridCol w:w="499"/>
                    <w:gridCol w:w="1027"/>
                    <w:gridCol w:w="1174"/>
                  </w:tblGrid>
                  <w:tr>
                    <w:trPr>
                      <w:trHeight w:val="331" w:hRule="exact"/>
                    </w:trPr>
                    <w:tc>
                      <w:tcPr>
                        <w:tcW w:w="2134"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32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Narrow" w:hAnsi="Arial Narrow" w:cs="Arial Narrow" w:eastAsia="Arial Narrow" w:hint="default"/>
                            <w:sz w:val="18"/>
                            <w:szCs w:val="18"/>
                          </w:rPr>
                          <w:t>+   </w:t>
                        </w:r>
                        <w:r>
                          <w:rPr>
                            <w:rFonts w:ascii="Arial Narrow" w:hAnsi="Arial Narrow" w:cs="Arial Narrow" w:eastAsia="Arial Narrow" w:hint="default"/>
                            <w:spacing w:val="11"/>
                            <w:sz w:val="18"/>
                            <w:szCs w:val="18"/>
                          </w:rPr>
                          <w:t> </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2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46" w:hRule="exact"/>
                    </w:trPr>
                    <w:tc>
                      <w:tcPr>
                        <w:tcW w:w="2134" w:type="dxa"/>
                        <w:vMerge/>
                        <w:tcBorders>
                          <w:left w:val="nil" w:sz="6" w:space="0" w:color="auto"/>
                          <w:bottom w:val="single" w:sz="12" w:space="0" w:color="000000"/>
                          <w:right w:val="single" w:sz="4" w:space="0" w:color="000000"/>
                        </w:tcBorders>
                      </w:tcPr>
                      <w:p>
                        <w:pP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所占比例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8"/>
                          <w:ind w:left="300" w:right="113" w:hanging="181"/>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9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8"/>
                          <w:ind w:left="156" w:right="151"/>
                          <w:jc w:val="left"/>
                          <w:rPr>
                            <w:rFonts w:ascii="宋体" w:hAnsi="宋体" w:cs="宋体" w:eastAsia="宋体" w:hint="default"/>
                            <w:sz w:val="18"/>
                            <w:szCs w:val="18"/>
                          </w:rPr>
                        </w:pPr>
                        <w:r>
                          <w:rPr>
                            <w:rFonts w:ascii="宋体" w:hAnsi="宋体" w:cs="宋体" w:eastAsia="宋体" w:hint="default"/>
                            <w:sz w:val="18"/>
                            <w:szCs w:val="18"/>
                          </w:rPr>
                          <w:t>送 股</w:t>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8"/>
                          <w:ind w:left="280" w:right="18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8"/>
                          <w:ind w:left="153" w:right="155"/>
                          <w:jc w:val="left"/>
                          <w:rPr>
                            <w:rFonts w:ascii="宋体" w:hAnsi="宋体" w:cs="宋体" w:eastAsia="宋体" w:hint="default"/>
                            <w:sz w:val="18"/>
                            <w:szCs w:val="18"/>
                          </w:rPr>
                        </w:pPr>
                        <w:r>
                          <w:rPr>
                            <w:rFonts w:ascii="宋体" w:hAnsi="宋体" w:cs="宋体" w:eastAsia="宋体" w:hint="default"/>
                            <w:sz w:val="18"/>
                            <w:szCs w:val="18"/>
                          </w:rPr>
                          <w:t>小 计</w:t>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所占比例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bl>
                <w:p>
                  <w:pPr/>
                </w:p>
              </w:txbxContent>
            </v:textbox>
            <w10:wrap type="none"/>
          </v:shape>
        </w:pict>
      </w:r>
      <w:r>
        <w:rPr/>
        <w:t>其他说明： 本公司股份详细情况如下：</w:t>
      </w:r>
    </w:p>
    <w:p>
      <w:pPr>
        <w:spacing w:after="0" w:line="360" w:lineRule="auto"/>
        <w:jc w:val="left"/>
        <w:sectPr>
          <w:pgSz w:w="11910" w:h="16840"/>
          <w:pgMar w:header="745" w:footer="979" w:top="1060" w:bottom="1160" w:left="920" w:right="92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148"/>
        <w:gridCol w:w="1028"/>
        <w:gridCol w:w="1171"/>
        <w:gridCol w:w="785"/>
        <w:gridCol w:w="499"/>
        <w:gridCol w:w="926"/>
        <w:gridCol w:w="613"/>
        <w:gridCol w:w="499"/>
        <w:gridCol w:w="1027"/>
        <w:gridCol w:w="1174"/>
      </w:tblGrid>
      <w:tr>
        <w:trPr>
          <w:trHeight w:val="334" w:hRule="exact"/>
        </w:trPr>
        <w:tc>
          <w:tcPr>
            <w:tcW w:w="214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32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Narrow" w:hAnsi="Arial Narrow" w:cs="Arial Narrow" w:eastAsia="Arial Narrow" w:hint="default"/>
                <w:sz w:val="18"/>
                <w:szCs w:val="18"/>
              </w:rPr>
              <w:t>+   </w:t>
            </w:r>
            <w:r>
              <w:rPr>
                <w:rFonts w:ascii="Arial Narrow" w:hAnsi="Arial Narrow" w:cs="Arial Narrow" w:eastAsia="Arial Narrow" w:hint="default"/>
                <w:spacing w:val="11"/>
                <w:sz w:val="18"/>
                <w:szCs w:val="18"/>
              </w:rPr>
              <w:t> </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2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2148" w:type="dxa"/>
            <w:vMerge/>
            <w:tcBorders>
              <w:left w:val="nil" w:sz="6" w:space="0" w:color="auto"/>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所占比例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00" w:right="113" w:hanging="181"/>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6" w:right="151"/>
              <w:jc w:val="left"/>
              <w:rPr>
                <w:rFonts w:ascii="宋体" w:hAnsi="宋体" w:cs="宋体" w:eastAsia="宋体" w:hint="default"/>
                <w:sz w:val="18"/>
                <w:szCs w:val="18"/>
              </w:rPr>
            </w:pPr>
            <w:r>
              <w:rPr>
                <w:rFonts w:ascii="宋体" w:hAnsi="宋体" w:cs="宋体" w:eastAsia="宋体" w:hint="default"/>
                <w:sz w:val="18"/>
                <w:szCs w:val="18"/>
              </w:rPr>
              <w:t>送 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0" w:right="18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3" w:right="155"/>
              <w:jc w:val="left"/>
              <w:rPr>
                <w:rFonts w:ascii="宋体" w:hAnsi="宋体" w:cs="宋体" w:eastAsia="宋体" w:hint="default"/>
                <w:sz w:val="18"/>
                <w:szCs w:val="18"/>
              </w:rPr>
            </w:pPr>
            <w:r>
              <w:rPr>
                <w:rFonts w:ascii="宋体" w:hAnsi="宋体" w:cs="宋体" w:eastAsia="宋体" w:hint="default"/>
                <w:sz w:val="18"/>
                <w:szCs w:val="18"/>
              </w:rPr>
              <w:t>小 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所占比例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78" w:right="0"/>
              <w:jc w:val="left"/>
              <w:rPr>
                <w:rFonts w:ascii="Arial Narrow" w:hAnsi="Arial Narrow" w:cs="Arial Narrow" w:eastAsia="Arial Narrow" w:hint="default"/>
                <w:sz w:val="18"/>
                <w:szCs w:val="18"/>
              </w:rPr>
            </w:pPr>
            <w:r>
              <w:rPr>
                <w:rFonts w:ascii="Arial Narrow"/>
                <w:sz w:val="18"/>
              </w:rPr>
              <w:t>120,698.00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6" w:right="0"/>
              <w:jc w:val="left"/>
              <w:rPr>
                <w:rFonts w:ascii="Arial Narrow" w:hAnsi="Arial Narrow" w:cs="Arial Narrow" w:eastAsia="Arial Narrow" w:hint="default"/>
                <w:sz w:val="18"/>
                <w:szCs w:val="18"/>
              </w:rPr>
            </w:pPr>
            <w:r>
              <w:rPr>
                <w:rFonts w:ascii="Arial Narrow"/>
                <w:sz w:val="18"/>
              </w:rPr>
              <w:t>0.05</w:t>
            </w:r>
          </w:p>
        </w:tc>
        <w:tc>
          <w:tcPr>
            <w:tcW w:w="78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8"/>
                <w:szCs w:val="18"/>
              </w:rPr>
            </w:pPr>
            <w:r>
              <w:rPr>
                <w:rFonts w:ascii="Arial Narrow"/>
                <w:spacing w:val="-1"/>
                <w:sz w:val="18"/>
              </w:rPr>
              <w:t>502.0</w:t>
            </w:r>
          </w:p>
          <w:p>
            <w:pPr>
              <w:pStyle w:val="TableParagraph"/>
              <w:spacing w:line="240" w:lineRule="auto" w:before="105"/>
              <w:ind w:right="98"/>
              <w:jc w:val="right"/>
              <w:rPr>
                <w:rFonts w:ascii="Arial Narrow" w:hAnsi="Arial Narrow" w:cs="Arial Narrow" w:eastAsia="Arial Narrow" w:hint="default"/>
                <w:sz w:val="18"/>
                <w:szCs w:val="18"/>
              </w:rPr>
            </w:pPr>
            <w:r>
              <w:rPr>
                <w:rFonts w:ascii="Arial Narrow"/>
                <w:sz w:val="18"/>
              </w:rPr>
              <w:t>0</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5" w:right="0"/>
              <w:jc w:val="center"/>
              <w:rPr>
                <w:rFonts w:ascii="Arial Narrow" w:hAnsi="Arial Narrow" w:cs="Arial Narrow" w:eastAsia="Arial Narrow" w:hint="default"/>
                <w:sz w:val="18"/>
                <w:szCs w:val="18"/>
              </w:rPr>
            </w:pPr>
            <w:r>
              <w:rPr>
                <w:rFonts w:ascii="Arial Narrow"/>
                <w:sz w:val="18"/>
              </w:rPr>
              <w:t>121,200.00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9" w:right="0"/>
              <w:jc w:val="left"/>
              <w:rPr>
                <w:rFonts w:ascii="Arial Narrow" w:hAnsi="Arial Narrow" w:cs="Arial Narrow" w:eastAsia="Arial Narrow" w:hint="default"/>
                <w:sz w:val="18"/>
                <w:szCs w:val="18"/>
              </w:rPr>
            </w:pPr>
            <w:r>
              <w:rPr>
                <w:rFonts w:ascii="Arial Narrow"/>
                <w:sz w:val="18"/>
              </w:rPr>
              <w:t>0.05</w:t>
            </w: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78" w:right="0"/>
              <w:jc w:val="left"/>
              <w:rPr>
                <w:rFonts w:ascii="Arial Narrow" w:hAnsi="Arial Narrow" w:cs="Arial Narrow" w:eastAsia="Arial Narrow" w:hint="default"/>
                <w:sz w:val="18"/>
                <w:szCs w:val="18"/>
              </w:rPr>
            </w:pPr>
            <w:r>
              <w:rPr>
                <w:rFonts w:ascii="Arial Narrow"/>
                <w:sz w:val="18"/>
              </w:rPr>
              <w:t>120,698.00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6" w:right="0"/>
              <w:jc w:val="left"/>
              <w:rPr>
                <w:rFonts w:ascii="Arial Narrow" w:hAnsi="Arial Narrow" w:cs="Arial Narrow" w:eastAsia="Arial Narrow" w:hint="default"/>
                <w:sz w:val="18"/>
                <w:szCs w:val="18"/>
              </w:rPr>
            </w:pPr>
            <w:r>
              <w:rPr>
                <w:rFonts w:ascii="Arial Narrow"/>
                <w:sz w:val="18"/>
              </w:rPr>
              <w:t>0.05</w:t>
            </w:r>
          </w:p>
        </w:tc>
        <w:tc>
          <w:tcPr>
            <w:tcW w:w="78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8"/>
                <w:szCs w:val="18"/>
              </w:rPr>
            </w:pPr>
            <w:r>
              <w:rPr>
                <w:rFonts w:ascii="Arial Narrow"/>
                <w:spacing w:val="-1"/>
                <w:sz w:val="18"/>
              </w:rPr>
              <w:t>502.0</w:t>
            </w:r>
          </w:p>
          <w:p>
            <w:pPr>
              <w:pStyle w:val="TableParagraph"/>
              <w:spacing w:line="240" w:lineRule="auto" w:before="105"/>
              <w:ind w:right="98"/>
              <w:jc w:val="right"/>
              <w:rPr>
                <w:rFonts w:ascii="Arial Narrow" w:hAnsi="Arial Narrow" w:cs="Arial Narrow" w:eastAsia="Arial Narrow" w:hint="default"/>
                <w:sz w:val="18"/>
                <w:szCs w:val="18"/>
              </w:rPr>
            </w:pPr>
            <w:r>
              <w:rPr>
                <w:rFonts w:ascii="Arial Narrow"/>
                <w:sz w:val="18"/>
              </w:rPr>
              <w:t>0</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0" w:right="0"/>
              <w:jc w:val="center"/>
              <w:rPr>
                <w:rFonts w:ascii="Arial Narrow" w:hAnsi="Arial Narrow" w:cs="Arial Narrow" w:eastAsia="Arial Narrow" w:hint="default"/>
                <w:sz w:val="18"/>
                <w:szCs w:val="18"/>
              </w:rPr>
            </w:pPr>
            <w:r>
              <w:rPr>
                <w:rFonts w:ascii="Arial Narrow"/>
                <w:sz w:val="18"/>
              </w:rPr>
              <w:t>121,200.00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9" w:right="0"/>
              <w:jc w:val="left"/>
              <w:rPr>
                <w:rFonts w:ascii="Arial Narrow" w:hAnsi="Arial Narrow" w:cs="Arial Narrow" w:eastAsia="Arial Narrow" w:hint="default"/>
                <w:sz w:val="18"/>
                <w:szCs w:val="18"/>
              </w:rPr>
            </w:pPr>
            <w:r>
              <w:rPr>
                <w:rFonts w:ascii="Arial Narrow"/>
                <w:sz w:val="18"/>
              </w:rPr>
              <w:t>0.05</w:t>
            </w: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5" w:firstLine="268"/>
              <w:jc w:val="left"/>
              <w:rPr>
                <w:rFonts w:ascii="宋体" w:hAnsi="宋体" w:cs="宋体" w:eastAsia="宋体" w:hint="default"/>
                <w:sz w:val="18"/>
                <w:szCs w:val="18"/>
              </w:rPr>
            </w:pPr>
            <w:r>
              <w:rPr>
                <w:rFonts w:ascii="宋体" w:hAnsi="宋体" w:cs="宋体" w:eastAsia="宋体" w:hint="default"/>
                <w:spacing w:val="2"/>
                <w:sz w:val="18"/>
                <w:szCs w:val="18"/>
              </w:rPr>
              <w:t>其中：境内非国有法</w:t>
            </w:r>
            <w:r>
              <w:rPr>
                <w:rFonts w:ascii="宋体" w:hAnsi="宋体" w:cs="宋体" w:eastAsia="宋体" w:hint="default"/>
                <w:sz w:val="18"/>
                <w:szCs w:val="18"/>
              </w:rPr>
              <w:t> 人持股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31" w:right="0"/>
              <w:jc w:val="left"/>
              <w:rPr>
                <w:rFonts w:ascii="宋体" w:hAnsi="宋体" w:cs="宋体" w:eastAsia="宋体" w:hint="default"/>
                <w:sz w:val="18"/>
                <w:szCs w:val="18"/>
              </w:rPr>
            </w:pPr>
            <w:r>
              <w:rPr>
                <w:rFonts w:ascii="宋体" w:hAnsi="宋体" w:cs="宋体" w:eastAsia="宋体" w:hint="default"/>
                <w:spacing w:val="3"/>
                <w:sz w:val="18"/>
                <w:szCs w:val="18"/>
              </w:rPr>
              <w:t>境内自然人持</w:t>
            </w:r>
          </w:p>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8" w:right="0"/>
              <w:jc w:val="left"/>
              <w:rPr>
                <w:rFonts w:ascii="Arial Narrow" w:hAnsi="Arial Narrow" w:cs="Arial Narrow" w:eastAsia="Arial Narrow" w:hint="default"/>
                <w:sz w:val="18"/>
                <w:szCs w:val="18"/>
              </w:rPr>
            </w:pPr>
            <w:r>
              <w:rPr>
                <w:rFonts w:ascii="Arial Narrow"/>
                <w:sz w:val="18"/>
              </w:rPr>
              <w:t>120,698.00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6" w:right="0"/>
              <w:jc w:val="left"/>
              <w:rPr>
                <w:rFonts w:ascii="Arial Narrow" w:hAnsi="Arial Narrow" w:cs="Arial Narrow" w:eastAsia="Arial Narrow" w:hint="default"/>
                <w:sz w:val="18"/>
                <w:szCs w:val="18"/>
              </w:rPr>
            </w:pPr>
            <w:r>
              <w:rPr>
                <w:rFonts w:ascii="Arial Narrow"/>
                <w:sz w:val="18"/>
              </w:rPr>
              <w:t>0.05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Narrow" w:hAnsi="Arial Narrow" w:cs="Arial Narrow" w:eastAsia="Arial Narrow" w:hint="default"/>
                <w:sz w:val="18"/>
                <w:szCs w:val="18"/>
              </w:rPr>
            </w:pPr>
            <w:r>
              <w:rPr>
                <w:rFonts w:ascii="Arial Narrow"/>
                <w:spacing w:val="-1"/>
                <w:sz w:val="18"/>
              </w:rPr>
              <w:t>502.0</w:t>
            </w:r>
          </w:p>
          <w:p>
            <w:pPr>
              <w:pStyle w:val="TableParagraph"/>
              <w:spacing w:line="240" w:lineRule="auto" w:before="106"/>
              <w:ind w:right="8"/>
              <w:jc w:val="right"/>
              <w:rPr>
                <w:rFonts w:ascii="宋体" w:hAnsi="宋体" w:cs="宋体" w:eastAsia="宋体" w:hint="default"/>
                <w:sz w:val="18"/>
                <w:szCs w:val="18"/>
              </w:rPr>
            </w:pPr>
            <w:r>
              <w:rPr>
                <w:rFonts w:ascii="Arial Narrow"/>
                <w:spacing w:val="-1"/>
                <w:w w:val="95"/>
                <w:sz w:val="18"/>
              </w:rPr>
              <w:t>0</w:t>
            </w:r>
            <w:r>
              <w:rPr>
                <w:rFonts w:ascii="宋体"/>
                <w:w w:val="95"/>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0" w:right="0"/>
              <w:jc w:val="center"/>
              <w:rPr>
                <w:rFonts w:ascii="Arial Narrow" w:hAnsi="Arial Narrow" w:cs="Arial Narrow" w:eastAsia="Arial Narrow" w:hint="default"/>
                <w:sz w:val="18"/>
                <w:szCs w:val="18"/>
              </w:rPr>
            </w:pPr>
            <w:r>
              <w:rPr>
                <w:rFonts w:ascii="Arial Narrow"/>
                <w:sz w:val="18"/>
              </w:rPr>
              <w:t>121,200.00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Arial Narrow" w:hAnsi="Arial Narrow" w:cs="Arial Narrow" w:eastAsia="Arial Narrow" w:hint="default"/>
                <w:sz w:val="18"/>
                <w:szCs w:val="18"/>
              </w:rPr>
            </w:pPr>
            <w:r>
              <w:rPr>
                <w:rFonts w:ascii="Arial Narrow"/>
                <w:sz w:val="18"/>
              </w:rPr>
              <w:t>0.05</w:t>
            </w: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外资持股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31" w:right="0"/>
              <w:jc w:val="left"/>
              <w:rPr>
                <w:rFonts w:ascii="宋体" w:hAnsi="宋体" w:cs="宋体" w:eastAsia="宋体" w:hint="default"/>
                <w:sz w:val="18"/>
                <w:szCs w:val="18"/>
              </w:rPr>
            </w:pPr>
            <w:r>
              <w:rPr>
                <w:rFonts w:ascii="宋体" w:hAnsi="宋体" w:cs="宋体" w:eastAsia="宋体" w:hint="default"/>
                <w:spacing w:val="3"/>
                <w:sz w:val="18"/>
                <w:szCs w:val="18"/>
              </w:rPr>
              <w:t>境外自然人持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5" w:right="0"/>
              <w:jc w:val="left"/>
              <w:rPr>
                <w:rFonts w:ascii="Arial Narrow" w:hAnsi="Arial Narrow" w:cs="Arial Narrow" w:eastAsia="Arial Narrow" w:hint="default"/>
                <w:sz w:val="18"/>
                <w:szCs w:val="18"/>
              </w:rPr>
            </w:pPr>
            <w:r>
              <w:rPr>
                <w:rFonts w:ascii="Arial Narrow"/>
                <w:sz w:val="18"/>
              </w:rPr>
              <w:t>246,485,34</w:t>
            </w:r>
          </w:p>
          <w:p>
            <w:pPr>
              <w:pStyle w:val="TableParagraph"/>
              <w:spacing w:line="240" w:lineRule="auto" w:before="105"/>
              <w:ind w:left="629" w:right="0"/>
              <w:jc w:val="left"/>
              <w:rPr>
                <w:rFonts w:ascii="Arial Narrow" w:hAnsi="Arial Narrow" w:cs="Arial Narrow" w:eastAsia="Arial Narrow" w:hint="default"/>
                <w:sz w:val="18"/>
                <w:szCs w:val="18"/>
              </w:rPr>
            </w:pPr>
            <w:r>
              <w:rPr>
                <w:rFonts w:ascii="Arial Narrow"/>
                <w:sz w:val="18"/>
              </w:rPr>
              <w:t>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95" w:right="0"/>
              <w:jc w:val="left"/>
              <w:rPr>
                <w:rFonts w:ascii="Arial Narrow" w:hAnsi="Arial Narrow" w:cs="Arial Narrow" w:eastAsia="Arial Narrow" w:hint="default"/>
                <w:sz w:val="18"/>
                <w:szCs w:val="18"/>
              </w:rPr>
            </w:pPr>
            <w:r>
              <w:rPr>
                <w:rFonts w:ascii="Arial Narrow"/>
                <w:sz w:val="18"/>
              </w:rPr>
              <w:t>99.95</w:t>
            </w:r>
          </w:p>
        </w:tc>
        <w:tc>
          <w:tcPr>
            <w:tcW w:w="78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66" w:right="0"/>
              <w:jc w:val="left"/>
              <w:rPr>
                <w:rFonts w:ascii="Arial Narrow" w:hAnsi="Arial Narrow" w:cs="Arial Narrow" w:eastAsia="Arial Narrow" w:hint="default"/>
                <w:sz w:val="18"/>
                <w:szCs w:val="18"/>
              </w:rPr>
            </w:pPr>
            <w:r>
              <w:rPr>
                <w:rFonts w:ascii="Arial Narrow"/>
                <w:sz w:val="18"/>
              </w:rPr>
              <w:t>-502.</w:t>
            </w:r>
          </w:p>
          <w:p>
            <w:pPr>
              <w:pStyle w:val="TableParagraph"/>
              <w:spacing w:line="240" w:lineRule="auto" w:before="105"/>
              <w:ind w:left="339" w:right="0"/>
              <w:jc w:val="left"/>
              <w:rPr>
                <w:rFonts w:ascii="宋体" w:hAnsi="宋体" w:cs="宋体" w:eastAsia="宋体" w:hint="default"/>
                <w:sz w:val="18"/>
                <w:szCs w:val="18"/>
              </w:rPr>
            </w:pPr>
            <w:r>
              <w:rPr>
                <w:rFonts w:ascii="Arial Narrow"/>
                <w:sz w:val="18"/>
              </w:rPr>
              <w:t>00</w:t>
            </w: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7" w:right="0"/>
              <w:jc w:val="left"/>
              <w:rPr>
                <w:rFonts w:ascii="Arial Narrow" w:hAnsi="Arial Narrow" w:cs="Arial Narrow" w:eastAsia="Arial Narrow" w:hint="default"/>
                <w:sz w:val="18"/>
                <w:szCs w:val="18"/>
              </w:rPr>
            </w:pPr>
            <w:r>
              <w:rPr>
                <w:rFonts w:ascii="Arial Narrow"/>
                <w:sz w:val="18"/>
              </w:rPr>
              <w:t>246,484,84</w:t>
            </w:r>
          </w:p>
          <w:p>
            <w:pPr>
              <w:pStyle w:val="TableParagraph"/>
              <w:spacing w:line="240" w:lineRule="auto" w:before="105"/>
              <w:ind w:left="631" w:right="0"/>
              <w:jc w:val="left"/>
              <w:rPr>
                <w:rFonts w:ascii="Arial Narrow" w:hAnsi="Arial Narrow" w:cs="Arial Narrow" w:eastAsia="Arial Narrow" w:hint="default"/>
                <w:sz w:val="18"/>
                <w:szCs w:val="18"/>
              </w:rPr>
            </w:pPr>
            <w:r>
              <w:rPr>
                <w:rFonts w:ascii="Arial Narrow"/>
                <w:sz w:val="18"/>
              </w:rPr>
              <w:t>6.00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98" w:right="0"/>
              <w:jc w:val="left"/>
              <w:rPr>
                <w:rFonts w:ascii="Arial Narrow" w:hAnsi="Arial Narrow" w:cs="Arial Narrow" w:eastAsia="Arial Narrow" w:hint="default"/>
                <w:sz w:val="18"/>
                <w:szCs w:val="18"/>
              </w:rPr>
            </w:pPr>
            <w:r>
              <w:rPr>
                <w:rFonts w:ascii="Arial Narrow"/>
                <w:sz w:val="18"/>
              </w:rPr>
              <w:t>99.95</w:t>
            </w:r>
          </w:p>
        </w:tc>
      </w:tr>
      <w:tr>
        <w:trPr>
          <w:trHeight w:val="63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人民币普通股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5" w:right="0"/>
              <w:jc w:val="left"/>
              <w:rPr>
                <w:rFonts w:ascii="Arial Narrow" w:hAnsi="Arial Narrow" w:cs="Arial Narrow" w:eastAsia="Arial Narrow" w:hint="default"/>
                <w:sz w:val="18"/>
                <w:szCs w:val="18"/>
              </w:rPr>
            </w:pPr>
            <w:r>
              <w:rPr>
                <w:rFonts w:ascii="Arial Narrow"/>
                <w:sz w:val="18"/>
              </w:rPr>
              <w:t>246,485,34</w:t>
            </w:r>
          </w:p>
          <w:p>
            <w:pPr>
              <w:pStyle w:val="TableParagraph"/>
              <w:spacing w:line="240" w:lineRule="auto" w:before="105"/>
              <w:ind w:left="629" w:right="0"/>
              <w:jc w:val="left"/>
              <w:rPr>
                <w:rFonts w:ascii="Arial Narrow" w:hAnsi="Arial Narrow" w:cs="Arial Narrow" w:eastAsia="Arial Narrow" w:hint="default"/>
                <w:sz w:val="18"/>
                <w:szCs w:val="18"/>
              </w:rPr>
            </w:pPr>
            <w:r>
              <w:rPr>
                <w:rFonts w:ascii="Arial Narrow"/>
                <w:sz w:val="18"/>
              </w:rPr>
              <w:t>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95" w:right="0"/>
              <w:jc w:val="left"/>
              <w:rPr>
                <w:rFonts w:ascii="Arial Narrow" w:hAnsi="Arial Narrow" w:cs="Arial Narrow" w:eastAsia="Arial Narrow" w:hint="default"/>
                <w:sz w:val="18"/>
                <w:szCs w:val="18"/>
              </w:rPr>
            </w:pPr>
            <w:r>
              <w:rPr>
                <w:rFonts w:ascii="Arial Narrow"/>
                <w:sz w:val="18"/>
              </w:rPr>
              <w:t>99.95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66" w:right="0"/>
              <w:jc w:val="left"/>
              <w:rPr>
                <w:rFonts w:ascii="Arial Narrow" w:hAnsi="Arial Narrow" w:cs="Arial Narrow" w:eastAsia="Arial Narrow" w:hint="default"/>
                <w:sz w:val="18"/>
                <w:szCs w:val="18"/>
              </w:rPr>
            </w:pPr>
            <w:r>
              <w:rPr>
                <w:rFonts w:ascii="Arial Narrow"/>
                <w:sz w:val="18"/>
              </w:rPr>
              <w:t>-502.</w:t>
            </w:r>
          </w:p>
          <w:p>
            <w:pPr>
              <w:pStyle w:val="TableParagraph"/>
              <w:spacing w:line="240" w:lineRule="auto" w:before="105"/>
              <w:ind w:left="339" w:right="0"/>
              <w:jc w:val="left"/>
              <w:rPr>
                <w:rFonts w:ascii="宋体" w:hAnsi="宋体" w:cs="宋体" w:eastAsia="宋体" w:hint="default"/>
                <w:sz w:val="18"/>
                <w:szCs w:val="18"/>
              </w:rPr>
            </w:pPr>
            <w:r>
              <w:rPr>
                <w:rFonts w:ascii="Arial Narrow"/>
                <w:sz w:val="18"/>
              </w:rPr>
              <w:t>00</w:t>
            </w: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7" w:right="0"/>
              <w:jc w:val="left"/>
              <w:rPr>
                <w:rFonts w:ascii="Arial Narrow" w:hAnsi="Arial Narrow" w:cs="Arial Narrow" w:eastAsia="Arial Narrow" w:hint="default"/>
                <w:sz w:val="18"/>
                <w:szCs w:val="18"/>
              </w:rPr>
            </w:pPr>
            <w:r>
              <w:rPr>
                <w:rFonts w:ascii="Arial Narrow"/>
                <w:sz w:val="18"/>
              </w:rPr>
              <w:t>246,484,84</w:t>
            </w:r>
          </w:p>
          <w:p>
            <w:pPr>
              <w:pStyle w:val="TableParagraph"/>
              <w:spacing w:line="240" w:lineRule="auto" w:before="105"/>
              <w:ind w:left="631" w:right="0"/>
              <w:jc w:val="left"/>
              <w:rPr>
                <w:rFonts w:ascii="Arial Narrow" w:hAnsi="Arial Narrow" w:cs="Arial Narrow" w:eastAsia="Arial Narrow" w:hint="default"/>
                <w:sz w:val="18"/>
                <w:szCs w:val="18"/>
              </w:rPr>
            </w:pPr>
            <w:r>
              <w:rPr>
                <w:rFonts w:ascii="Arial Narrow"/>
                <w:sz w:val="18"/>
              </w:rPr>
              <w:t>6.00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98" w:right="0"/>
              <w:jc w:val="left"/>
              <w:rPr>
                <w:rFonts w:ascii="Arial Narrow" w:hAnsi="Arial Narrow" w:cs="Arial Narrow" w:eastAsia="Arial Narrow" w:hint="default"/>
                <w:sz w:val="18"/>
                <w:szCs w:val="18"/>
              </w:rPr>
            </w:pPr>
            <w:r>
              <w:rPr>
                <w:rFonts w:ascii="Arial Narrow"/>
                <w:sz w:val="18"/>
              </w:rPr>
              <w:t>99.95</w:t>
            </w:r>
          </w:p>
        </w:tc>
      </w:tr>
      <w:tr>
        <w:trPr>
          <w:trHeight w:val="32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境内上市外资股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境外上市外资股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3"/>
              <w:jc w:val="right"/>
              <w:rPr>
                <w:rFonts w:ascii="宋体" w:hAnsi="宋体" w:cs="宋体" w:eastAsia="宋体" w:hint="default"/>
                <w:sz w:val="18"/>
                <w:szCs w:val="18"/>
              </w:rPr>
            </w:pPr>
            <w:r>
              <w:rPr>
                <w:rFonts w:ascii="宋体"/>
                <w:sz w:val="18"/>
              </w:rPr>
              <w:t> </w:t>
            </w:r>
          </w:p>
        </w:tc>
      </w:tr>
      <w:tr>
        <w:trPr>
          <w:trHeight w:val="32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
              <w:jc w:val="right"/>
              <w:rPr>
                <w:rFonts w:ascii="宋体" w:hAnsi="宋体" w:cs="宋体" w:eastAsia="宋体" w:hint="default"/>
                <w:sz w:val="18"/>
                <w:szCs w:val="18"/>
              </w:rPr>
            </w:pPr>
            <w:r>
              <w:rPr>
                <w:rFonts w:ascii="宋体"/>
                <w:sz w:val="18"/>
              </w:rPr>
              <w:t> </w:t>
            </w:r>
          </w:p>
        </w:tc>
        <w:tc>
          <w:tcPr>
            <w:tcW w:w="4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3"/>
              <w:jc w:val="right"/>
              <w:rPr>
                <w:rFonts w:ascii="宋体" w:hAnsi="宋体" w:cs="宋体" w:eastAsia="宋体" w:hint="default"/>
                <w:sz w:val="18"/>
                <w:szCs w:val="18"/>
              </w:rPr>
            </w:pPr>
            <w:r>
              <w:rPr>
                <w:rFonts w:ascii="宋体"/>
                <w:sz w:val="18"/>
              </w:rPr>
              <w:t> </w:t>
            </w:r>
          </w:p>
        </w:tc>
      </w:tr>
      <w:tr>
        <w:trPr>
          <w:trHeight w:val="646" w:hRule="exact"/>
        </w:trPr>
        <w:tc>
          <w:tcPr>
            <w:tcW w:w="21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75" w:right="0"/>
              <w:jc w:val="left"/>
              <w:rPr>
                <w:rFonts w:ascii="Arial Narrow" w:hAnsi="Arial Narrow" w:cs="Arial Narrow" w:eastAsia="Arial Narrow" w:hint="default"/>
                <w:sz w:val="18"/>
                <w:szCs w:val="18"/>
              </w:rPr>
            </w:pPr>
            <w:r>
              <w:rPr>
                <w:rFonts w:ascii="Arial Narrow"/>
                <w:sz w:val="18"/>
              </w:rPr>
              <w:t>246,606,04</w:t>
            </w:r>
          </w:p>
          <w:p>
            <w:pPr>
              <w:pStyle w:val="TableParagraph"/>
              <w:spacing w:line="240" w:lineRule="auto" w:before="105"/>
              <w:ind w:left="629" w:right="0"/>
              <w:jc w:val="left"/>
              <w:rPr>
                <w:rFonts w:ascii="Arial Narrow" w:hAnsi="Arial Narrow" w:cs="Arial Narrow" w:eastAsia="Arial Narrow" w:hint="default"/>
                <w:sz w:val="18"/>
                <w:szCs w:val="18"/>
              </w:rPr>
            </w:pPr>
            <w:r>
              <w:rPr>
                <w:rFonts w:ascii="Arial Narrow"/>
                <w:sz w:val="18"/>
              </w:rPr>
              <w:t>6.00</w:t>
            </w: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5" w:right="0"/>
              <w:jc w:val="left"/>
              <w:rPr>
                <w:rFonts w:ascii="Arial Narrow" w:hAnsi="Arial Narrow" w:cs="Arial Narrow" w:eastAsia="Arial Narrow" w:hint="default"/>
                <w:sz w:val="18"/>
                <w:szCs w:val="18"/>
              </w:rPr>
            </w:pPr>
            <w:r>
              <w:rPr>
                <w:rFonts w:ascii="Arial Narrow"/>
                <w:sz w:val="18"/>
              </w:rPr>
              <w:t>100.00</w:t>
            </w:r>
          </w:p>
        </w:tc>
        <w:tc>
          <w:tcPr>
            <w:tcW w:w="785" w:type="dxa"/>
            <w:tcBorders>
              <w:top w:val="single" w:sz="4" w:space="0" w:color="000000"/>
              <w:left w:val="single" w:sz="4" w:space="0" w:color="000000"/>
              <w:bottom w:val="single" w:sz="12" w:space="0" w:color="000000"/>
              <w:right w:val="single" w:sz="4" w:space="0" w:color="000000"/>
            </w:tcBorders>
          </w:tcPr>
          <w:p>
            <w:pPr/>
          </w:p>
        </w:tc>
        <w:tc>
          <w:tcPr>
            <w:tcW w:w="499" w:type="dxa"/>
            <w:tcBorders>
              <w:top w:val="single" w:sz="4" w:space="0" w:color="000000"/>
              <w:left w:val="single" w:sz="4" w:space="0" w:color="000000"/>
              <w:bottom w:val="single" w:sz="12" w:space="0" w:color="000000"/>
              <w:right w:val="single" w:sz="4" w:space="0" w:color="000000"/>
            </w:tcBorders>
          </w:tcPr>
          <w:p>
            <w:pPr/>
          </w:p>
        </w:tc>
        <w:tc>
          <w:tcPr>
            <w:tcW w:w="926" w:type="dxa"/>
            <w:tcBorders>
              <w:top w:val="single" w:sz="4" w:space="0" w:color="000000"/>
              <w:left w:val="single" w:sz="4" w:space="0" w:color="000000"/>
              <w:bottom w:val="single" w:sz="12" w:space="0" w:color="000000"/>
              <w:right w:val="single" w:sz="4" w:space="0" w:color="000000"/>
            </w:tcBorders>
          </w:tcPr>
          <w:p>
            <w:pPr/>
          </w:p>
        </w:tc>
        <w:tc>
          <w:tcPr>
            <w:tcW w:w="613" w:type="dxa"/>
            <w:tcBorders>
              <w:top w:val="single" w:sz="4" w:space="0" w:color="000000"/>
              <w:left w:val="single" w:sz="4" w:space="0" w:color="000000"/>
              <w:bottom w:val="single" w:sz="12" w:space="0" w:color="000000"/>
              <w:right w:val="single" w:sz="4" w:space="0" w:color="000000"/>
            </w:tcBorders>
          </w:tcPr>
          <w:p>
            <w:pPr/>
          </w:p>
        </w:tc>
        <w:tc>
          <w:tcPr>
            <w:tcW w:w="499"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77" w:right="0"/>
              <w:jc w:val="left"/>
              <w:rPr>
                <w:rFonts w:ascii="Arial Narrow" w:hAnsi="Arial Narrow" w:cs="Arial Narrow" w:eastAsia="Arial Narrow" w:hint="default"/>
                <w:sz w:val="18"/>
                <w:szCs w:val="18"/>
              </w:rPr>
            </w:pPr>
            <w:r>
              <w:rPr>
                <w:rFonts w:ascii="Arial Narrow"/>
                <w:sz w:val="18"/>
              </w:rPr>
              <w:t>246,606,04</w:t>
            </w:r>
          </w:p>
          <w:p>
            <w:pPr>
              <w:pStyle w:val="TableParagraph"/>
              <w:spacing w:line="240" w:lineRule="auto" w:before="105"/>
              <w:ind w:left="631" w:right="0"/>
              <w:jc w:val="left"/>
              <w:rPr>
                <w:rFonts w:ascii="Arial Narrow" w:hAnsi="Arial Narrow" w:cs="Arial Narrow" w:eastAsia="Arial Narrow" w:hint="default"/>
                <w:sz w:val="18"/>
                <w:szCs w:val="18"/>
              </w:rPr>
            </w:pPr>
            <w:r>
              <w:rPr>
                <w:rFonts w:ascii="Arial Narrow"/>
                <w:sz w:val="18"/>
              </w:rPr>
              <w:t>6.00</w:t>
            </w:r>
          </w:p>
        </w:tc>
        <w:tc>
          <w:tcPr>
            <w:tcW w:w="11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8" w:right="0"/>
              <w:jc w:val="left"/>
              <w:rPr>
                <w:rFonts w:ascii="Arial Narrow" w:hAnsi="Arial Narrow" w:cs="Arial Narrow" w:eastAsia="Arial Narrow" w:hint="default"/>
                <w:sz w:val="18"/>
                <w:szCs w:val="18"/>
              </w:rPr>
            </w:pPr>
            <w:r>
              <w:rPr>
                <w:rFonts w:ascii="Arial Narrow"/>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53" w:right="5553"/>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733,762,106.07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733,762,106.07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73,865,455.42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107,021.09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73,972,476.51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807,627,561.49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107,021.09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807,734,582.58</w:t>
            </w:r>
          </w:p>
        </w:tc>
      </w:tr>
    </w:tbl>
    <w:p>
      <w:pPr>
        <w:pStyle w:val="BodyText"/>
        <w:spacing w:line="338" w:lineRule="auto" w:before="49"/>
        <w:ind w:left="253" w:right="239"/>
        <w:jc w:val="left"/>
      </w:pPr>
      <w:r>
        <w:rPr/>
        <w:t>其他说明，包括本期增减变动情况、变动原因说明： </w:t>
      </w:r>
      <w:r>
        <w:rPr>
          <w:spacing w:val="-2"/>
        </w:rPr>
        <w:t>注：本公司本期按享有权益比例核算联营企业云南医药工业股份有限公司除净利润、其他综合收益以外的其他权益变动增加</w:t>
      </w:r>
      <w:r>
        <w:rPr>
          <w:spacing w:val="-65"/>
        </w:rPr>
        <w:t> </w:t>
      </w:r>
      <w:r>
        <w:rPr>
          <w:spacing w:val="-65"/>
        </w:rPr>
      </w:r>
      <w:r>
        <w:rPr>
          <w:spacing w:val="-2"/>
        </w:rPr>
        <w:t>资本公积</w:t>
      </w:r>
      <w:r>
        <w:rPr>
          <w:rFonts w:ascii="Times New Roman" w:hAnsi="Times New Roman" w:cs="Times New Roman" w:eastAsia="Times New Roman" w:hint="default"/>
          <w:spacing w:val="-2"/>
        </w:rPr>
        <w:t>11,420.19</w:t>
      </w:r>
      <w:r>
        <w:rPr>
          <w:spacing w:val="-2"/>
        </w:rPr>
        <w:t>元；本公司全资子公司北京南天软件有限公司按享有权益比例核算联营企业北京新医力科技有限公司除净</w:t>
      </w:r>
    </w:p>
    <w:p>
      <w:pPr>
        <w:pStyle w:val="BodyText"/>
        <w:spacing w:line="230" w:lineRule="exact"/>
        <w:ind w:left="253" w:right="239"/>
        <w:jc w:val="left"/>
      </w:pPr>
      <w:r>
        <w:rPr/>
        <w:t>利润、其他综合收益以外的其他权益变动增加资本公积</w:t>
      </w:r>
      <w:r>
        <w:rPr>
          <w:rFonts w:ascii="Times New Roman" w:hAnsi="Times New Roman" w:cs="Times New Roman" w:eastAsia="Times New Roman" w:hint="default"/>
        </w:rPr>
        <w:t>95,600.90</w:t>
      </w:r>
      <w:r>
        <w:rPr/>
        <w:t>元。</w:t>
      </w:r>
    </w:p>
    <w:p>
      <w:pPr>
        <w:spacing w:after="0" w:line="230" w:lineRule="exact"/>
        <w:jc w:val="left"/>
        <w:sectPr>
          <w:pgSz w:w="11910" w:h="16840"/>
          <w:pgMar w:header="745" w:footer="979" w:top="1060" w:bottom="1160" w:left="880" w:right="8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6"/>
        <w:gridCol w:w="936"/>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476,301.19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34,289.56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34,289.56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476,301.19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34,289.56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34,289.56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476,301.19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34,289.56</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34,289.56</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1,147,773.34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1,188,511.20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991,259.32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1,345,025.22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1,147,773.34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1,188,511.20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991,259.32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1,345,025.22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63,052,479.08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3,050,736.66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66,103,215.74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11,232,558.71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11,232,558.71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74,285,037.79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3,050,736.66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77,335,774.45</w:t>
            </w:r>
          </w:p>
        </w:tc>
      </w:tr>
    </w:tbl>
    <w:p>
      <w:pPr>
        <w:pStyle w:val="BodyText"/>
        <w:spacing w:line="240" w:lineRule="auto" w:before="49"/>
        <w:ind w:right="0"/>
        <w:jc w:val="left"/>
      </w:pPr>
      <w:r>
        <w:rPr/>
        <w:t>注：根据公司法、章程的规定，本公司按母公司净利润的</w:t>
      </w:r>
      <w:r>
        <w:rPr>
          <w:spacing w:val="-47"/>
        </w:rPr>
        <w:t> </w:t>
      </w:r>
      <w:r>
        <w:rPr>
          <w:rFonts w:ascii="Times New Roman" w:hAnsi="Times New Roman" w:cs="Times New Roman" w:eastAsia="Times New Roman" w:hint="default"/>
        </w:rPr>
        <w:t>10%</w:t>
      </w:r>
      <w:r>
        <w:rPr/>
        <w:t>提取法定盈余公积金。</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316,349,974.33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307,737,492.04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316,349,974.33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307,737,492.04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21,984,499.53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Narrow" w:hAnsi="Arial Narrow" w:cs="Arial Narrow" w:eastAsia="Arial Narrow" w:hint="default"/>
                <w:sz w:val="18"/>
                <w:szCs w:val="18"/>
              </w:rPr>
            </w:pPr>
            <w:r>
              <w:rPr>
                <w:rFonts w:ascii="Arial Narrow"/>
                <w:spacing w:val="-1"/>
                <w:sz w:val="18"/>
              </w:rPr>
              <w:t>20,689,391.09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3,050,736.66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2,212,666.97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3"/>
        <w:gridCol w:w="2935"/>
        <w:gridCol w:w="2919"/>
      </w:tblGrid>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12,330,302.30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9,864,241.83</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322,953,434.90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Narrow" w:hAnsi="Arial Narrow" w:cs="Arial Narrow" w:eastAsia="Arial Narrow" w:hint="default"/>
                <w:sz w:val="18"/>
                <w:szCs w:val="18"/>
              </w:rPr>
            </w:pPr>
            <w:r>
              <w:rPr>
                <w:rFonts w:ascii="Arial Narrow"/>
                <w:spacing w:val="-1"/>
                <w:sz w:val="18"/>
              </w:rPr>
              <w:t>316,349,974.33</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2,290,508,466.85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1,743,003,424.35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2,132,567,208.83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1,618,477,688.13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25,301,324.31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12,353,691.14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25,245,116.97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14,811,980.26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2,315,809,791.16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1,755,357,115.49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2,157,812,325.80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1,633,289,668.39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4,675,358.11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5,010,933.57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2,003,724.89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2,147,084.82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5,130,891.20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2,510,013.70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983,144.69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984,887.22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1,110,033.55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739,450.66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390,975.85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1,333,360.54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1,385,608.02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172,052.65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840,467.93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15,464,568.96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14,019,675.10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107,259,182.64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96,546,791.32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23,060,688.95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20,961,538.90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15,229,892.61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13,662,567.75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4,071,915.94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5,389,655.20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3,249,873.51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3,100,074.72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2,546,124.07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2,205,829.51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2,496,840.21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1,154,368.78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维修费及物料消耗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3,327,704.58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5,607,371.70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1,765,011.95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1,219,161.95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1,690,288.99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1,623,428.60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2,319,153.68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3,149,474.06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167,016,677.13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154,620,262.49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63,081,453.96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59,861,438.59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221,391,468.40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206,919,973.31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7,784,888.11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7,445,336.89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6,811,423.37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6,761,610.98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5,996,676.14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5,101,581.26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5,452,936.92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6,902,409.11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3,562,432.88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3,561,849.79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2,888,794.84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2,424,061.11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2,100,646.00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2,544,354.41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2,048,504.40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1,686,684.63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1,345,679.57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1,071,388.21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12,170,498.20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10,015,944.91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334,635,402.79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314,296,633.20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23,069,469.33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18,275,326.74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5,732,702.70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4,586,779.78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306,303.91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-988,662.25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776,977.83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698,369.32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18,420,048.37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13,398,067.86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16,225,718.97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11,615,055.14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568,572.81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8,627.04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1,626,386.01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42,964.35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46,902.92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18,420,677.79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11,713,549.45</w:t>
            </w:r>
          </w:p>
        </w:tc>
      </w:tr>
    </w:tbl>
    <w:p>
      <w:pPr>
        <w:pStyle w:val="BodyText"/>
        <w:spacing w:line="357" w:lineRule="auto" w:before="49"/>
        <w:ind w:right="7793"/>
        <w:jc w:val="left"/>
      </w:pPr>
      <w:r>
        <w:rPr/>
        <w:t>其他说明： 资产减值准备明细如下：</w:t>
      </w:r>
    </w:p>
    <w:tbl>
      <w:tblPr>
        <w:tblW w:w="0" w:type="auto"/>
        <w:jc w:val="left"/>
        <w:tblInd w:w="148" w:type="dxa"/>
        <w:tblLayout w:type="fixed"/>
        <w:tblCellMar>
          <w:top w:w="0" w:type="dxa"/>
          <w:left w:w="0" w:type="dxa"/>
          <w:bottom w:w="0" w:type="dxa"/>
          <w:right w:w="0" w:type="dxa"/>
        </w:tblCellMar>
        <w:tblLook w:val="01E0"/>
      </w:tblPr>
      <w:tblGrid>
        <w:gridCol w:w="2518"/>
        <w:gridCol w:w="1418"/>
        <w:gridCol w:w="1416"/>
        <w:gridCol w:w="1277"/>
        <w:gridCol w:w="1231"/>
        <w:gridCol w:w="1484"/>
      </w:tblGrid>
      <w:tr>
        <w:trPr>
          <w:trHeight w:val="34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47"/>
                <w:sz w:val="15"/>
                <w:szCs w:val="15"/>
              </w:rPr>
              <w:t> </w:t>
            </w:r>
            <w:r>
              <w:rPr>
                <w:rFonts w:ascii="宋体" w:hAnsi="宋体" w:cs="宋体" w:eastAsia="宋体" w:hint="default"/>
                <w:sz w:val="15"/>
                <w:szCs w:val="15"/>
              </w:rPr>
              <w:t>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5"/>
                <w:szCs w:val="15"/>
              </w:rPr>
            </w:pPr>
            <w:r>
              <w:rPr>
                <w:rFonts w:ascii="宋体" w:hAnsi="宋体" w:cs="宋体" w:eastAsia="宋体" w:hint="default"/>
                <w:sz w:val="15"/>
                <w:szCs w:val="15"/>
              </w:rPr>
              <w:t>年初数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5"/>
              <w:ind w:left="403"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5"/>
                <w:szCs w:val="15"/>
              </w:rPr>
            </w:pPr>
            <w:r>
              <w:rPr>
                <w:rFonts w:ascii="宋体" w:hAnsi="宋体" w:cs="宋体" w:eastAsia="宋体" w:hint="default"/>
                <w:sz w:val="15"/>
                <w:szCs w:val="15"/>
              </w:rPr>
              <w:t>本年减少</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25"/>
              <w:ind w:left="6" w:right="0"/>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341" w:hRule="exact"/>
        </w:trPr>
        <w:tc>
          <w:tcPr>
            <w:tcW w:w="25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5"/>
                <w:szCs w:val="15"/>
              </w:rPr>
            </w:pPr>
            <w:r>
              <w:rPr>
                <w:rFonts w:ascii="宋体" w:hAnsi="宋体" w:cs="宋体" w:eastAsia="宋体" w:hint="default"/>
                <w:sz w:val="15"/>
                <w:szCs w:val="15"/>
              </w:rPr>
              <w:t>转销</w:t>
            </w:r>
          </w:p>
        </w:tc>
        <w:tc>
          <w:tcPr>
            <w:tcW w:w="1484" w:type="dxa"/>
            <w:vMerge/>
            <w:tcBorders>
              <w:left w:val="single" w:sz="4" w:space="0" w:color="000000"/>
              <w:bottom w:val="single" w:sz="4" w:space="0" w:color="000000"/>
              <w:right w:val="single" w:sz="4" w:space="0" w:color="000000"/>
            </w:tcBorders>
          </w:tcPr>
          <w:p>
            <w:pPr/>
          </w:p>
        </w:tc>
      </w:tr>
      <w:tr>
        <w:trPr>
          <w:trHeight w:val="3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left"/>
              <w:rPr>
                <w:rFonts w:ascii="宋体" w:hAnsi="宋体" w:cs="宋体" w:eastAsia="宋体" w:hint="default"/>
                <w:sz w:val="15"/>
                <w:szCs w:val="15"/>
              </w:rPr>
            </w:pPr>
            <w:r>
              <w:rPr>
                <w:rFonts w:ascii="宋体" w:hAnsi="宋体" w:cs="宋体" w:eastAsia="宋体" w:hint="default"/>
                <w:sz w:val="15"/>
                <w:szCs w:val="15"/>
              </w:rPr>
              <w:t>一、坏账损失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58,959,805.78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5"/>
                <w:szCs w:val="15"/>
              </w:rPr>
            </w:pPr>
            <w:r>
              <w:rPr>
                <w:rFonts w:ascii="Times New Roman"/>
                <w:spacing w:val="-1"/>
                <w:sz w:val="15"/>
              </w:rPr>
              <w:t>16,336,697.72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110,978.75</w:t>
            </w: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75,185,524.75</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二、存货跌价损失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11,701,305.63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spacing w:val="-1"/>
                <w:sz w:val="15"/>
              </w:rPr>
              <w:t>568,572.81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spacing w:val="-1"/>
                <w:sz w:val="15"/>
              </w:rPr>
              <w:t>73,882.03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12,195,996.41</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三、可供出售金融资产减值损失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四、持有至到期投资减值损失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五、长期股权投资减值损失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5"/>
                <w:szCs w:val="15"/>
              </w:rPr>
            </w:pPr>
            <w:r>
              <w:rPr>
                <w:rFonts w:ascii="Times New Roman"/>
                <w:spacing w:val="-1"/>
                <w:sz w:val="15"/>
              </w:rPr>
              <w:t>638,432.34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1,626,386.01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42,964.35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5"/>
                <w:szCs w:val="15"/>
              </w:rPr>
            </w:pPr>
            <w:r>
              <w:rPr>
                <w:rFonts w:ascii="Times New Roman"/>
                <w:spacing w:val="-1"/>
                <w:sz w:val="15"/>
              </w:rPr>
              <w:t>2,221,854.00</w:t>
            </w:r>
          </w:p>
        </w:tc>
      </w:tr>
      <w:tr>
        <w:trPr>
          <w:trHeight w:val="34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六、投资性房地产减值损失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七、固定资产减值损失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Times New Roman" w:hAnsi="Times New Roman" w:cs="Times New Roman" w:eastAsia="Times New Roman" w:hint="default"/>
                <w:sz w:val="15"/>
                <w:szCs w:val="15"/>
              </w:rPr>
            </w:pPr>
            <w:r>
              <w:rPr>
                <w:rFonts w:ascii="Times New Roman"/>
                <w:spacing w:val="-1"/>
                <w:sz w:val="15"/>
              </w:rPr>
              <w:t>266,490.28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5"/>
                <w:szCs w:val="15"/>
              </w:rPr>
            </w:pPr>
            <w:r>
              <w:rPr>
                <w:rFonts w:ascii="Times New Roman"/>
                <w:spacing w:val="-1"/>
                <w:sz w:val="15"/>
              </w:rPr>
              <w:t>51,027.28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5"/>
                <w:szCs w:val="15"/>
              </w:rPr>
            </w:pPr>
            <w:r>
              <w:rPr>
                <w:rFonts w:ascii="Times New Roman"/>
                <w:spacing w:val="-1"/>
                <w:sz w:val="15"/>
              </w:rPr>
              <w:t>215,463.00</w:t>
            </w:r>
          </w:p>
        </w:tc>
      </w:tr>
      <w:tr>
        <w:trPr>
          <w:trHeight w:val="34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八、工程物资减值损失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九、在建工程减值损失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十、生产性生物资产减值损失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十一、油气资产减值损失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十二、无形资产减值损失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Times New Roman" w:hAnsi="Times New Roman" w:cs="Times New Roman" w:eastAsia="Times New Roman" w:hint="default"/>
                <w:sz w:val="15"/>
                <w:szCs w:val="15"/>
              </w:rPr>
            </w:pPr>
            <w:r>
              <w:rPr>
                <w:rFonts w:ascii="Times New Roman"/>
                <w:spacing w:val="-1"/>
                <w:sz w:val="15"/>
              </w:rPr>
              <w:t>44,143,083.94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15"/>
                <w:szCs w:val="15"/>
              </w:rPr>
            </w:pPr>
            <w:r>
              <w:rPr>
                <w:rFonts w:ascii="Times New Roman"/>
                <w:spacing w:val="-1"/>
                <w:sz w:val="15"/>
              </w:rPr>
              <w:t>44,143,083.94</w:t>
            </w: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5"/>
                <w:szCs w:val="15"/>
              </w:rPr>
            </w:pPr>
            <w:r>
              <w:rPr>
                <w:rFonts w:ascii="宋体" w:hAnsi="宋体" w:cs="宋体" w:eastAsia="宋体" w:hint="default"/>
                <w:sz w:val="15"/>
                <w:szCs w:val="15"/>
              </w:rPr>
              <w:t>十三、商誉减值损失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5"/>
                <w:szCs w:val="15"/>
              </w:rPr>
            </w:pPr>
            <w:r>
              <w:rPr>
                <w:rFonts w:ascii="宋体" w:hAnsi="宋体" w:cs="宋体" w:eastAsia="宋体" w:hint="default"/>
                <w:sz w:val="15"/>
                <w:szCs w:val="15"/>
              </w:rPr>
              <w:t>十四、其他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7"/>
                <w:sz w:val="15"/>
                <w:szCs w:val="15"/>
              </w:rPr>
              <w:t> </w:t>
            </w:r>
            <w:r>
              <w:rPr>
                <w:rFonts w:ascii="宋体" w:hAnsi="宋体" w:cs="宋体" w:eastAsia="宋体" w:hint="default"/>
                <w:sz w:val="15"/>
                <w:szCs w:val="15"/>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117,209,117.97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5"/>
                <w:szCs w:val="15"/>
              </w:rPr>
            </w:pPr>
            <w:r>
              <w:rPr>
                <w:rFonts w:ascii="Times New Roman"/>
                <w:spacing w:val="-1"/>
                <w:sz w:val="15"/>
              </w:rPr>
              <w:t>18,531,656.54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5"/>
                <w:szCs w:val="15"/>
              </w:rPr>
            </w:pPr>
            <w:r>
              <w:rPr>
                <w:rFonts w:ascii="Times New Roman"/>
                <w:spacing w:val="-1"/>
                <w:sz w:val="15"/>
              </w:rPr>
              <w:t>110,978.75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5"/>
                <w:szCs w:val="15"/>
              </w:rPr>
            </w:pPr>
            <w:r>
              <w:rPr>
                <w:rFonts w:ascii="Times New Roman"/>
                <w:spacing w:val="-1"/>
                <w:sz w:val="15"/>
              </w:rPr>
              <w:t>167,873.66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5"/>
                <w:szCs w:val="15"/>
              </w:rPr>
            </w:pPr>
            <w:r>
              <w:rPr>
                <w:rFonts w:ascii="Times New Roman"/>
                <w:spacing w:val="-1"/>
                <w:sz w:val="15"/>
              </w:rPr>
              <w:t>135,461,922.10</w:t>
            </w:r>
          </w:p>
        </w:tc>
      </w:tr>
    </w:tbl>
    <w:p>
      <w:pPr>
        <w:spacing w:line="240" w:lineRule="auto" w:before="9"/>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9"/>
      </w:tblGrid>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-4,595,995.68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-14,798,844.87</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8,032,000.00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2,756,414.49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308,555.17</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6,192,418.81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-3,540,289.70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处置非流动资产的利得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-86,300.43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由递延收益转入的政府补助（明细详见 递延收益）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10,334,554.69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长宁区财政局零余额专户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年科技扶 持款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创新委员会科技创新补贴款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年度服务外包项目补助资金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云南省财政厅关于下达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年云南省科 技计划（下级</w:t>
            </w:r>
            <w:r>
              <w:rPr>
                <w:rFonts w:ascii="Times New Roman" w:hAnsi="Times New Roman" w:cs="Times New Roman" w:eastAsia="Times New Roman" w:hint="default"/>
                <w:sz w:val="18"/>
                <w:szCs w:val="18"/>
              </w:rPr>
              <w:t>)</w:t>
            </w:r>
            <w:r>
              <w:rPr>
                <w:rFonts w:ascii="宋体" w:hAnsi="宋体" w:cs="宋体" w:eastAsia="宋体" w:hint="default"/>
                <w:sz w:val="18"/>
                <w:szCs w:val="18"/>
              </w:rPr>
              <w:t>第二批项目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392,980.00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年度昆明市规模以上企业研发经 费投入后补助（省）收入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231,960.00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年研发经费投入补助（昆明市 科学技术局）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216,760.00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成都市重点新产品科技项目补贴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199,806.56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年度云南名牌、昆明名牌产品称号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社保中心稳岗补贴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111,049.93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年昆明市规模以上企业研发经费 投入后补助收入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年昆明市规模以上企业研发经 费投入后补助款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收昆明市科学技术局重点科技服务机构 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年研发经费后补助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70,253.55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长宁区财政局科技扶持款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年云南省实施标准化发展战略专项 奖励补助资金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天河区财政局国际标准、国家标准、行 业标准制定奖励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收到经开区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年二季度保存量、促增 量扶持资金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质监局标准制修订项目资助款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77,299.98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15,606,124.71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12,502,995.62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247,372.90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1,767,771.69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247,372.90</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247,372.90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14,270,767.31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247,372.90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10,408.80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10,408.80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196,288.02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196,288.02</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256,696.82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485,724.04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256,696.82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1"/>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8,953,227.59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4,524,763.50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-2,556,937.67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-294,882.33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6,396,289.92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4,229,881.17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28,254,329.38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4,238,149.41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-874,149.32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-1,292,578.91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-6,293,521.09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4,461,094.37</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9,780,574.13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-3,583,843.89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6"/>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其他（注明具体扣除项目名称）</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-39,434.77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6,396,289.92</w:t>
            </w:r>
          </w:p>
        </w:tc>
      </w:tr>
    </w:tbl>
    <w:p>
      <w:pPr>
        <w:spacing w:line="240" w:lineRule="auto" w:before="3"/>
        <w:rPr>
          <w:rFonts w:ascii="宋体" w:hAnsi="宋体" w:cs="宋体" w:eastAsia="宋体" w:hint="default"/>
          <w:sz w:val="19"/>
          <w:szCs w:val="19"/>
        </w:rPr>
      </w:pPr>
    </w:p>
    <w:p>
      <w:pPr>
        <w:spacing w:line="544" w:lineRule="auto" w:before="36"/>
        <w:ind w:left="153" w:right="78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收回使用受限保证金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16,350,647.57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2,320,688.01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12,539,580.90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11,791,536.83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8,937,427.56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55,222,537.82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6,723,836.47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7,964,516.77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5,732,702.70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4,586,511.06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4,044,603.74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4,502,258.44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职工归还备用金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258,022.15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4,062,013.75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CISCO SYSTEMS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品牌推广费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4,623,188.82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10,639,203.02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2,188,253.16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65,226,024.11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97,261,504.66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29,440,128.36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72,449,892.36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24,401,817.77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19,069,293.65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16,619,962.51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17,739,727.20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支付使用受限的保证金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2,961,640.52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15,835,057.78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差旅费、办公费、业务招待费等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56,568,376.59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52,688,938.76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运输费、物管费、咨询费、技术服务费 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15,853,457.43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12,282,119.54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租赁费、修理费等及其他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23,467,271.55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18,414,199.20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169,312,654.73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208,479,228.49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21,858,039.46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22,403,041.28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18,420,677.79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11,713,549.45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26,290,614.24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21,153,074.71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8,528,135.40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7,702,883.84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457,966.61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777,461.34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30,190.85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86,300.43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132.319977pt;width:151.25pt;height:20.65pt;mso-position-horizontal-relative:page;mso-position-vertical-relative:page;z-index:-1055896" coordorigin="4467,2646" coordsize="3025,413">
            <v:group style="position:absolute;left:4478;top:2657;width:2;height:392" coordorigin="4478,2657" coordsize="2,392">
              <v:shape style="position:absolute;left:4478;top:2657;width:2;height:392" coordorigin="4478,2657" coordsize="0,392" path="m4478,2657l4478,3048e" filled="false" stroked="true" strokeweight="1.08pt" strokecolor="#ffffff">
                <v:path arrowok="t"/>
              </v:shape>
            </v:group>
            <v:group style="position:absolute;left:4489;top:2657;width:3003;height:392" coordorigin="4489,2657" coordsize="3003,392">
              <v:shape style="position:absolute;left:4489;top:2657;width:3003;height:392" coordorigin="4489,2657" coordsize="3003,392" path="m4489,3048l7492,3048,7492,2657,4489,2657,4489,304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10,408.80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23,069,469.33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18,275,326.74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-6,192,418.81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3,540,289.70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-2,556,937.67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-294,882.33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-213,666,662.33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53,974,292.33</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62,277,789.04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-18,269,179.32</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-257,908.40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-47,604,752.49</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5,586,816.62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-4,174,172.28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-56,143,819.07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69,283,233.40</w:t>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662,927,251.55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762,620,496.47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762,620,496.47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870,147,481.01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-99,693,244.92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-107,526,984.54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67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662,927,251.55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762,620,496.47</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47,628.34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62,669.11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662,879,623.21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762,554,219.31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3,608.05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662,927,251.55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762,620,496.47</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55,635,759.69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1,765,962.98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57,401,722.67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6753"/>
        <w:jc w:val="left"/>
      </w:pPr>
      <w:r>
        <w:rPr/>
        <w:t>其他说明：</w:t>
      </w:r>
    </w:p>
    <w:p>
      <w:pPr>
        <w:pStyle w:val="BodyText"/>
        <w:spacing w:line="240" w:lineRule="auto" w:before="115"/>
        <w:ind w:left="573" w:right="93"/>
        <w:jc w:val="left"/>
      </w:pPr>
      <w:r>
        <w:rPr>
          <w:rFonts w:ascii="Times New Roman" w:hAnsi="Times New Roman" w:cs="Times New Roman" w:eastAsia="Times New Roman" w:hint="default"/>
        </w:rPr>
        <w:t>1</w:t>
      </w:r>
      <w:r>
        <w:rPr/>
        <w:t>、本公司以零部件车间，配电楼，综合车间为抵押物，向意大利政府通过中国银行云南省分行贷给本公司的委托贷款</w:t>
      </w:r>
    </w:p>
    <w:p>
      <w:pPr>
        <w:pStyle w:val="BodyText"/>
        <w:spacing w:line="300" w:lineRule="auto" w:before="63"/>
        <w:ind w:right="93"/>
        <w:jc w:val="left"/>
      </w:pPr>
      <w:r>
        <w:rPr>
          <w:rFonts w:ascii="Times New Roman" w:hAnsi="Times New Roman" w:cs="Times New Roman" w:eastAsia="Times New Roman" w:hint="default"/>
        </w:rPr>
        <w:t>2,498,200.00</w:t>
      </w:r>
      <w:r>
        <w:rPr/>
        <w:t>美元提供抵押担保，借款期限为</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日，借款利率固定为</w:t>
      </w:r>
      <w:r>
        <w:rPr>
          <w:rFonts w:ascii="Times New Roman" w:hAnsi="Times New Roman" w:cs="Times New Roman" w:eastAsia="Times New Roman" w:hint="default"/>
        </w:rPr>
        <w:t>1%</w:t>
      </w:r>
      <w:r>
        <w:rPr/>
        <w:t>，还款方式为在</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 </w:t>
      </w:r>
      <w:r>
        <w:rPr>
          <w:spacing w:val="-3"/>
        </w:rPr>
        <w:t>月</w:t>
      </w:r>
      <w:r>
        <w:rPr>
          <w:rFonts w:ascii="Times New Roman" w:hAnsi="Times New Roman" w:cs="Times New Roman" w:eastAsia="Times New Roman" w:hint="default"/>
          <w:spacing w:val="-3"/>
        </w:rPr>
        <w:t>27</w:t>
      </w:r>
      <w:r>
        <w:rPr>
          <w:spacing w:val="-3"/>
        </w:rPr>
        <w:t>日前逐年分期归还，尚未偿还的委托贷款期末余额为</w:t>
      </w:r>
      <w:r>
        <w:rPr>
          <w:rFonts w:ascii="Times New Roman" w:hAnsi="Times New Roman" w:cs="Times New Roman" w:eastAsia="Times New Roman" w:hint="default"/>
          <w:spacing w:val="-3"/>
        </w:rPr>
        <w:t>392,899.09</w:t>
      </w:r>
      <w:r>
        <w:rPr>
          <w:spacing w:val="-3"/>
        </w:rPr>
        <w:t>美元，用于抵押的固定资产期末账面价值</w:t>
      </w:r>
      <w:r>
        <w:rPr>
          <w:rFonts w:ascii="Times New Roman" w:hAnsi="Times New Roman" w:cs="Times New Roman" w:eastAsia="Times New Roman" w:hint="default"/>
          <w:spacing w:val="-3"/>
        </w:rPr>
        <w:t>1,765,962.98</w:t>
      </w:r>
      <w:r>
        <w:rPr>
          <w:spacing w:val="-3"/>
        </w:rPr>
        <w:t>元。</w:t>
      </w:r>
      <w:r>
        <w:rPr>
          <w:spacing w:val="-24"/>
        </w:rPr>
        <w:t> </w:t>
      </w:r>
      <w:r>
        <w:rPr/>
        <w:t>上述借款额在</w:t>
      </w:r>
      <w:r>
        <w:rPr>
          <w:rFonts w:ascii="Times New Roman" w:hAnsi="Times New Roman" w:cs="Times New Roman" w:eastAsia="Times New Roman" w:hint="default"/>
        </w:rPr>
        <w:t>“</w:t>
      </w:r>
      <w:r>
        <w:rPr/>
        <w:t>长期借款</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一年到期的非流动负债</w:t>
      </w:r>
      <w:r>
        <w:rPr>
          <w:rFonts w:ascii="Times New Roman" w:hAnsi="Times New Roman" w:cs="Times New Roman" w:eastAsia="Times New Roman" w:hint="default"/>
        </w:rPr>
        <w:t>”</w:t>
      </w:r>
      <w:r>
        <w:rPr/>
        <w:t>列报。</w:t>
      </w:r>
    </w:p>
    <w:p>
      <w:pPr>
        <w:pStyle w:val="BodyText"/>
        <w:spacing w:line="300" w:lineRule="auto" w:before="63"/>
        <w:ind w:right="93" w:firstLine="420"/>
        <w:jc w:val="left"/>
      </w:pPr>
      <w:r>
        <w:rPr>
          <w:rFonts w:ascii="Times New Roman" w:hAnsi="Times New Roman" w:cs="Times New Roman" w:eastAsia="Times New Roman" w:hint="default"/>
          <w:spacing w:val="-1"/>
        </w:rPr>
        <w:t>2</w:t>
      </w:r>
      <w:r>
        <w:rPr>
          <w:spacing w:val="-1"/>
        </w:rPr>
        <w:t>、本期本公司受限货币资金主要在</w:t>
      </w:r>
      <w:r>
        <w:rPr>
          <w:rFonts w:ascii="Times New Roman" w:hAnsi="Times New Roman" w:cs="Times New Roman" w:eastAsia="Times New Roman" w:hint="default"/>
          <w:spacing w:val="-1"/>
        </w:rPr>
        <w:t>“</w:t>
      </w:r>
      <w:r>
        <w:rPr>
          <w:spacing w:val="-1"/>
        </w:rPr>
        <w:t>其他货币资金</w:t>
      </w:r>
      <w:r>
        <w:rPr>
          <w:rFonts w:ascii="Times New Roman" w:hAnsi="Times New Roman" w:cs="Times New Roman" w:eastAsia="Times New Roman" w:hint="default"/>
          <w:spacing w:val="-1"/>
        </w:rPr>
        <w:t>”</w:t>
      </w:r>
      <w:r>
        <w:rPr>
          <w:spacing w:val="-1"/>
        </w:rPr>
        <w:t>中的期末未到期保函保证金及银行承兑汇票保证金。其中：保函保</w:t>
      </w:r>
      <w:r>
        <w:rPr/>
        <w:t> 证金</w:t>
      </w:r>
      <w:r>
        <w:rPr>
          <w:rFonts w:ascii="Times New Roman" w:hAnsi="Times New Roman" w:cs="Times New Roman" w:eastAsia="Times New Roman" w:hint="default"/>
        </w:rPr>
        <w:t>53,940,712.59</w:t>
      </w:r>
      <w:r>
        <w:rPr/>
        <w:t>元，银行承兑汇票保证金</w:t>
      </w:r>
      <w:r>
        <w:rPr>
          <w:rFonts w:ascii="Times New Roman" w:hAnsi="Times New Roman" w:cs="Times New Roman" w:eastAsia="Times New Roman" w:hint="default"/>
        </w:rPr>
        <w:t>1,695,047.10</w:t>
      </w:r>
      <w:r>
        <w:rPr/>
        <w:t>元。</w:t>
      </w:r>
    </w:p>
    <w:p>
      <w:pPr>
        <w:spacing w:line="240" w:lineRule="auto" w:before="5"/>
        <w:rPr>
          <w:rFonts w:ascii="宋体" w:hAnsi="宋体" w:cs="宋体" w:eastAsia="宋体" w:hint="default"/>
          <w:sz w:val="22"/>
          <w:szCs w:val="22"/>
        </w:rPr>
      </w:pPr>
    </w:p>
    <w:p>
      <w:pPr>
        <w:pStyle w:val="Heading3"/>
        <w:spacing w:line="240" w:lineRule="auto"/>
        <w:ind w:right="6753"/>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8,798,584.19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1,338,547.74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8,746,338.64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51,690.24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664.33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555.31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130"/>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1,322,951.05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202,465.65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1,322,951.05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0"/>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1,979,626.65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302,963.89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1,979,626.65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130"/>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587,654.58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89,935.20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587,654.58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昆明南天电脑系 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深圳南天东华科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重庆南天数据资 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天鸿志（北京）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成都南天佳信信 息工程有限公司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5993"/>
        <w:jc w:val="left"/>
      </w:pPr>
      <w:r>
        <w:rPr/>
        <w:t>在子公司的持股比例不同于表决权比例的说明： 无</w:t>
      </w:r>
    </w:p>
    <w:p>
      <w:pPr>
        <w:pStyle w:val="BodyText"/>
        <w:spacing w:line="360" w:lineRule="auto" w:before="29"/>
        <w:ind w:right="1853"/>
        <w:jc w:val="left"/>
      </w:pPr>
      <w:r>
        <w:rPr/>
        <w:t>持有半数或以下表决权但仍控制被投资单位、以及持有半数以上表决权但不控制被投资单位的依据： 无</w:t>
      </w:r>
    </w:p>
    <w:p>
      <w:pPr>
        <w:pStyle w:val="BodyText"/>
        <w:spacing w:line="357" w:lineRule="auto" w:before="27"/>
        <w:ind w:right="5453"/>
        <w:jc w:val="left"/>
      </w:pPr>
      <w:r>
        <w:rPr/>
        <w:t>对于纳入合并范围的重要的结构化主体，控制的依据：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成都南天佳信信息工程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-1,585,985.65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20" w:right="0"/>
              <w:jc w:val="left"/>
              <w:rPr>
                <w:rFonts w:ascii="Arial Narrow" w:hAnsi="Arial Narrow" w:cs="Arial Narrow" w:eastAsia="Arial Narrow" w:hint="default"/>
                <w:sz w:val="18"/>
                <w:szCs w:val="18"/>
              </w:rPr>
            </w:pPr>
            <w:r>
              <w:rPr>
                <w:rFonts w:ascii="Arial Narrow"/>
                <w:sz w:val="18"/>
              </w:rPr>
              <w:t>3,120,000.00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10,035,883.20</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西安南天电脑系统有限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-1,660,474.41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-7,388,928.12</w:t>
            </w:r>
          </w:p>
        </w:tc>
      </w:tr>
    </w:tbl>
    <w:p>
      <w:pPr>
        <w:pStyle w:val="BodyText"/>
        <w:spacing w:line="357" w:lineRule="auto" w:before="49"/>
        <w:ind w:right="5453"/>
        <w:jc w:val="left"/>
      </w:pPr>
      <w:r>
        <w:rPr/>
        <w:t>子公司少数股东的持股比例不同于表决权比例的说明：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成都南 天佳信 信息工 程有限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25,265,4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2,193,60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27,459,0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4,237,12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4,237,12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53,151,2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62.27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2,176,45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55,327,7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27,676,1</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35.29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28,039,1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35.29</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1"/>
              <w:jc w:val="left"/>
              <w:rPr>
                <w:rFonts w:ascii="宋体" w:hAnsi="宋体" w:cs="宋体" w:eastAsia="宋体" w:hint="default"/>
                <w:sz w:val="18"/>
                <w:szCs w:val="18"/>
              </w:rPr>
            </w:pPr>
            <w:r>
              <w:rPr>
                <w:rFonts w:ascii="宋体" w:hAnsi="宋体" w:cs="宋体" w:eastAsia="宋体" w:hint="default"/>
                <w:sz w:val="18"/>
                <w:szCs w:val="18"/>
              </w:rPr>
              <w:t>西安南 天电脑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7,409,11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1,528,64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8,937,75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33,567,5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33,567,5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9,379,99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1,691,01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11,071,0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30,165,8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49.01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30,165,8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系统有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成都南天佳 信信息工程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45,335,411.4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3,933,370.11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3,933,370.11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1,552,990.16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26,684,548.1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5,773,779.52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5,773,779.52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9,799,927.12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9,164,483.02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-5,534,914.68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-5,534,914.68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2,773,079.48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24,593,373.0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-1,793,746.06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-1,793,746.06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-5,876,499.14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云南医药工业股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云南东盟公共物 流信息有限公司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云南曲靖珠江源 科技股份有限公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曲靖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曲靖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云南佳程防伪科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北京新医力科技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上海致同信息技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北京芝麻邦天云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云南南天信息软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广州南天佳信信 息工程有限公司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厦门南天世纪信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357" w:lineRule="auto" w:before="49"/>
        <w:ind w:right="4913"/>
        <w:jc w:val="left"/>
      </w:pPr>
      <w:r>
        <w:rPr/>
        <w:t>在合营企业或联营企业的持股比例不同于表决权比例的说明： 无</w:t>
      </w:r>
    </w:p>
    <w:p>
      <w:pPr>
        <w:pStyle w:val="BodyText"/>
        <w:spacing w:line="340" w:lineRule="auto" w:before="29"/>
        <w:ind w:left="513" w:right="143" w:hanging="360"/>
        <w:jc w:val="left"/>
      </w:pPr>
      <w:r>
        <w:rPr/>
        <w:t>持有</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本公司持有云南佳程防伪科技有限公司</w:t>
      </w:r>
      <w:r>
        <w:rPr>
          <w:rFonts w:ascii="宋体" w:hAnsi="宋体" w:cs="宋体" w:eastAsia="宋体" w:hint="default"/>
        </w:rPr>
        <w:t>20%</w:t>
      </w:r>
      <w:r>
        <w:rPr/>
        <w:t>的股权，但因云南佳程防伪科技有限公司业务停滞，且大股东及关联方的不</w:t>
      </w:r>
    </w:p>
    <w:p>
      <w:pPr>
        <w:pStyle w:val="BodyText"/>
        <w:spacing w:line="316" w:lineRule="auto" w:before="1"/>
        <w:ind w:right="143"/>
        <w:jc w:val="left"/>
        <w:rPr>
          <w:rFonts w:ascii="宋体" w:hAnsi="宋体" w:cs="宋体" w:eastAsia="宋体" w:hint="default"/>
        </w:rPr>
      </w:pPr>
      <w:r>
        <w:rPr/>
        <w:t>合作，导致对其不再具有重大影响，公司已经通过诉讼谋求解决，详见公司</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13</w:t>
      </w:r>
      <w:r>
        <w:rPr/>
        <w:t>日公告的编号为</w:t>
      </w:r>
      <w:r>
        <w:rPr>
          <w:rFonts w:ascii="宋体" w:hAnsi="宋体" w:cs="宋体" w:eastAsia="宋体" w:hint="default"/>
        </w:rPr>
        <w:t>2018-008</w:t>
      </w:r>
      <w:r>
        <w:rPr/>
        <w:t>号的《关 于涉及诉讼的公告》。</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2"/>
        <w:gridCol w:w="502"/>
        <w:gridCol w:w="504"/>
        <w:gridCol w:w="502"/>
        <w:gridCol w:w="505"/>
        <w:gridCol w:w="504"/>
        <w:gridCol w:w="502"/>
        <w:gridCol w:w="504"/>
        <w:gridCol w:w="502"/>
        <w:gridCol w:w="504"/>
        <w:gridCol w:w="502"/>
        <w:gridCol w:w="504"/>
        <w:gridCol w:w="504"/>
        <w:gridCol w:w="502"/>
        <w:gridCol w:w="504"/>
        <w:gridCol w:w="502"/>
        <w:gridCol w:w="504"/>
        <w:gridCol w:w="504"/>
        <w:gridCol w:w="502"/>
      </w:tblGrid>
      <w:tr>
        <w:trPr>
          <w:trHeight w:val="402" w:hRule="exact"/>
        </w:trPr>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2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52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254" w:hRule="exact"/>
        </w:trPr>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0" w:right="62"/>
              <w:jc w:val="both"/>
              <w:rPr>
                <w:rFonts w:ascii="宋体" w:hAnsi="宋体" w:cs="宋体" w:eastAsia="宋体" w:hint="default"/>
                <w:sz w:val="18"/>
                <w:szCs w:val="18"/>
              </w:rPr>
            </w:pPr>
            <w:r>
              <w:rPr>
                <w:rFonts w:ascii="宋体" w:hAnsi="宋体" w:cs="宋体" w:eastAsia="宋体" w:hint="default"/>
                <w:sz w:val="18"/>
                <w:szCs w:val="18"/>
              </w:rPr>
              <w:t>云南 医药 工业 股份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云南 东盟 公共 物流 信息 有限 公司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36" w:right="35" w:firstLine="31"/>
              <w:jc w:val="both"/>
              <w:rPr>
                <w:rFonts w:ascii="宋体" w:hAnsi="宋体" w:cs="宋体" w:eastAsia="宋体" w:hint="default"/>
                <w:sz w:val="18"/>
                <w:szCs w:val="18"/>
              </w:rPr>
            </w:pPr>
            <w:r>
              <w:rPr>
                <w:rFonts w:ascii="宋体" w:hAnsi="宋体" w:cs="宋体" w:eastAsia="宋体" w:hint="default"/>
                <w:sz w:val="18"/>
                <w:szCs w:val="18"/>
              </w:rPr>
              <w:t>云南 曲靖 珠江 源科 技股 份有 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 年数</w:t>
            </w:r>
          </w:p>
        </w:tc>
        <w:tc>
          <w:tcPr>
            <w:tcW w:w="50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云南 佳程 防伪 科技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 新医 力科 技有 限公 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上海 致同 信息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北京 芝麻 邦天 云科 技有 限公 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3"/>
              <w:jc w:val="both"/>
              <w:rPr>
                <w:rFonts w:ascii="宋体" w:hAnsi="宋体" w:cs="宋体" w:eastAsia="宋体" w:hint="default"/>
                <w:sz w:val="18"/>
                <w:szCs w:val="18"/>
              </w:rPr>
            </w:pPr>
            <w:r>
              <w:rPr>
                <w:rFonts w:ascii="宋体" w:hAnsi="宋体" w:cs="宋体" w:eastAsia="宋体" w:hint="default"/>
                <w:sz w:val="18"/>
                <w:szCs w:val="18"/>
              </w:rPr>
              <w:t>广州 南天 佳信 信息 工程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厦门 南天 世纪 信息 技术 有限 公司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云南 医药 工业 股份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2"/>
              <w:jc w:val="both"/>
              <w:rPr>
                <w:rFonts w:ascii="宋体" w:hAnsi="宋体" w:cs="宋体" w:eastAsia="宋体" w:hint="default"/>
                <w:sz w:val="18"/>
                <w:szCs w:val="18"/>
              </w:rPr>
            </w:pPr>
            <w:r>
              <w:rPr>
                <w:rFonts w:ascii="宋体" w:hAnsi="宋体" w:cs="宋体" w:eastAsia="宋体" w:hint="default"/>
                <w:sz w:val="18"/>
                <w:szCs w:val="18"/>
              </w:rPr>
              <w:t>云南 东盟 公共 物流 信息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35" w:right="36" w:firstLine="31"/>
              <w:jc w:val="both"/>
              <w:rPr>
                <w:rFonts w:ascii="宋体" w:hAnsi="宋体" w:cs="宋体" w:eastAsia="宋体" w:hint="default"/>
                <w:sz w:val="18"/>
                <w:szCs w:val="18"/>
              </w:rPr>
            </w:pPr>
            <w:r>
              <w:rPr>
                <w:rFonts w:ascii="宋体" w:hAnsi="宋体" w:cs="宋体" w:eastAsia="宋体" w:hint="default"/>
                <w:sz w:val="18"/>
                <w:szCs w:val="18"/>
              </w:rPr>
              <w:t>云南 曲靖 珠江 源科 技股 份有 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 年数</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云南 佳程 防伪 科技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 新医 力科 技有 限公 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上海 致同 信息 有限 公司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北京 芝麻 邦天 云科 技有 限公 司</w:t>
            </w:r>
          </w:p>
        </w:tc>
        <w:tc>
          <w:tcPr>
            <w:tcW w:w="50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广州 南天 佳信 信息 工程 有限 公司</w:t>
            </w:r>
          </w:p>
        </w:tc>
        <w:tc>
          <w:tcPr>
            <w:tcW w:w="50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2"/>
              <w:jc w:val="both"/>
              <w:rPr>
                <w:rFonts w:ascii="宋体" w:hAnsi="宋体" w:cs="宋体" w:eastAsia="宋体" w:hint="default"/>
                <w:sz w:val="18"/>
                <w:szCs w:val="18"/>
              </w:rPr>
            </w:pPr>
            <w:r>
              <w:rPr>
                <w:rFonts w:ascii="宋体" w:hAnsi="宋体" w:cs="宋体" w:eastAsia="宋体" w:hint="default"/>
                <w:sz w:val="18"/>
                <w:szCs w:val="18"/>
              </w:rPr>
              <w:t>厦门 南天 世纪 信息 技术 有限 公司</w:t>
            </w:r>
          </w:p>
        </w:tc>
      </w:tr>
      <w:tr>
        <w:trPr>
          <w:trHeight w:val="391" w:hRule="exact"/>
        </w:trPr>
        <w:tc>
          <w:tcPr>
            <w:tcW w:w="492" w:type="dxa"/>
            <w:tcBorders>
              <w:top w:val="nil" w:sz="6" w:space="0" w:color="auto"/>
              <w:left w:val="single" w:sz="4" w:space="0" w:color="000000"/>
              <w:bottom w:val="nil" w:sz="6" w:space="0" w:color="auto"/>
              <w:right w:val="single" w:sz="4" w:space="0" w:color="000000"/>
            </w:tcBorders>
            <w:shd w:val="clear" w:color="auto" w:fill="D2D2D2"/>
          </w:tcPr>
          <w:p>
            <w:pPr/>
          </w:p>
        </w:tc>
        <w:tc>
          <w:tcPr>
            <w:tcW w:w="502" w:type="dxa"/>
            <w:vMerge/>
            <w:tcBorders>
              <w:left w:val="single" w:sz="10" w:space="0" w:color="D2D2D2"/>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5"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4" w:type="dxa"/>
            <w:vMerge/>
            <w:tcBorders>
              <w:left w:val="single" w:sz="4" w:space="0" w:color="000000"/>
              <w:right w:val="single" w:sz="4" w:space="0" w:color="000000"/>
            </w:tcBorders>
            <w:shd w:val="clear" w:color="auto" w:fill="E0FFFF"/>
          </w:tcPr>
          <w:p>
            <w:pPr/>
          </w:p>
        </w:tc>
        <w:tc>
          <w:tcPr>
            <w:tcW w:w="502" w:type="dxa"/>
            <w:vMerge/>
            <w:tcBorders>
              <w:left w:val="single" w:sz="4" w:space="0" w:color="000000"/>
              <w:right w:val="single" w:sz="4" w:space="0" w:color="000000"/>
            </w:tcBorders>
            <w:shd w:val="clear" w:color="auto" w:fill="E0FFFF"/>
          </w:tcPr>
          <w:p>
            <w:pPr/>
          </w:p>
        </w:tc>
      </w:tr>
      <w:tr>
        <w:trPr>
          <w:trHeight w:val="1253" w:hRule="exact"/>
        </w:trPr>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5"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4" w:type="dxa"/>
            <w:vMerge/>
            <w:tcBorders>
              <w:left w:val="single" w:sz="4" w:space="0" w:color="000000"/>
              <w:bottom w:val="single" w:sz="4" w:space="0" w:color="000000"/>
              <w:right w:val="single" w:sz="4" w:space="0" w:color="000000"/>
            </w:tcBorders>
            <w:shd w:val="clear" w:color="auto" w:fill="E0FFFF"/>
          </w:tcPr>
          <w:p>
            <w:pPr/>
          </w:p>
        </w:tc>
        <w:tc>
          <w:tcPr>
            <w:tcW w:w="502" w:type="dxa"/>
            <w:vMerge/>
            <w:tcBorders>
              <w:left w:val="single" w:sz="4" w:space="0" w:color="000000"/>
              <w:bottom w:val="single" w:sz="4" w:space="0" w:color="000000"/>
              <w:right w:val="single" w:sz="4" w:space="0" w:color="000000"/>
            </w:tcBorders>
            <w:shd w:val="clear" w:color="auto" w:fill="E0FFFF"/>
          </w:tcPr>
          <w:p>
            <w:pPr/>
          </w:p>
        </w:tc>
      </w:tr>
      <w:tr>
        <w:trPr>
          <w:trHeight w:val="317" w:hRule="exact"/>
        </w:trPr>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24,44</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2,604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.38</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58,42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3,843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w:t>
            </w:r>
          </w:p>
        </w:tc>
        <w:tc>
          <w:tcPr>
            <w:tcW w:w="505"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3,220</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09</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2,138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64</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44</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14.80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.32</w:t>
            </w: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64,56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9,963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8,584</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4,203</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,632.</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58</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,901.</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65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15.56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561,7</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83.17</w:t>
            </w:r>
          </w:p>
        </w:tc>
      </w:tr>
      <w:tr>
        <w:trPr>
          <w:trHeight w:val="703" w:hRule="exact"/>
        </w:trPr>
        <w:tc>
          <w:tcPr>
            <w:tcW w:w="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7" w:hRule="exact"/>
        </w:trPr>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r>
        <w:trPr>
          <w:trHeight w:val="163" w:hRule="exact"/>
        </w:trPr>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1,379</w:t>
            </w:r>
          </w:p>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,112,4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32.10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42,78</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2,074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315,4</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55.22</w:t>
            </w:r>
          </w:p>
        </w:tc>
        <w:tc>
          <w:tcPr>
            <w:tcW w:w="505"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0,981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8,763</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.01</w:t>
            </w: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1,336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,643,</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466.2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39,83</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w:t>
            </w: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258,5</w:t>
            </w:r>
          </w:p>
          <w:p>
            <w:pPr>
              <w:pStyle w:val="TableParagraph"/>
              <w:spacing w:line="240" w:lineRule="auto" w:before="102"/>
              <w:ind w:left="65" w:right="0"/>
              <w:jc w:val="left"/>
              <w:rPr>
                <w:rFonts w:ascii="Times New Roman" w:hAnsi="Times New Roman" w:cs="Times New Roman" w:eastAsia="Times New Roman" w:hint="default"/>
                <w:sz w:val="18"/>
                <w:szCs w:val="18"/>
              </w:rPr>
            </w:pPr>
            <w:r>
              <w:rPr>
                <w:rFonts w:ascii="Times New Roman"/>
                <w:sz w:val="18"/>
              </w:rPr>
              <w:t>25.58</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5,669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.69</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11,63</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9.04</w:t>
            </w:r>
          </w:p>
        </w:tc>
        <w:tc>
          <w:tcPr>
            <w:tcW w:w="504"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016" w:hRule="exact"/>
        </w:trPr>
        <w:tc>
          <w:tcPr>
            <w:tcW w:w="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8"/>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161" w:hRule="exact"/>
        </w:trPr>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r>
        <w:trPr>
          <w:trHeight w:val="317" w:hRule="exact"/>
        </w:trPr>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67,22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4,679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58,73</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9,298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.90</w:t>
            </w:r>
          </w:p>
        </w:tc>
        <w:tc>
          <w:tcPr>
            <w:tcW w:w="505"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,847.</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44</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437,5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34.64</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,546,</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70,98</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6,621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.99</w:t>
            </w: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64,82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8,489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.09</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18,81</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0,209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4,215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62</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,901.</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65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15.56</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562,4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72.80</w:t>
            </w:r>
          </w:p>
        </w:tc>
      </w:tr>
      <w:tr>
        <w:trPr>
          <w:trHeight w:val="703" w:hRule="exact"/>
        </w:trPr>
        <w:tc>
          <w:tcPr>
            <w:tcW w:w="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7" w:hRule="exact"/>
        </w:trPr>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r>
        <w:trPr>
          <w:trHeight w:val="317" w:hRule="exact"/>
        </w:trPr>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11,03</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3,038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.33</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26.43</w:t>
            </w:r>
          </w:p>
        </w:tc>
        <w:tc>
          <w:tcPr>
            <w:tcW w:w="505"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207,6</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27.87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936,8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48.33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62,45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0.72</w:t>
            </w:r>
          </w:p>
        </w:tc>
        <w:tc>
          <w:tcPr>
            <w:tcW w:w="502"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31.00</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1,319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11,45</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0,004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.53</w:t>
            </w:r>
          </w:p>
        </w:tc>
        <w:tc>
          <w:tcPr>
            <w:tcW w:w="504"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895,7</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51.85</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5,423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.01</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1,443</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43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-71,8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00.23</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213,3</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01.07</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34.13</w:t>
            </w:r>
          </w:p>
        </w:tc>
      </w:tr>
      <w:tr>
        <w:trPr>
          <w:trHeight w:val="706" w:hRule="exact"/>
        </w:trPr>
        <w:tc>
          <w:tcPr>
            <w:tcW w:w="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502" w:type="dxa"/>
            <w:vMerge/>
            <w:tcBorders>
              <w:left w:val="single" w:sz="10" w:space="0" w:color="D2D2D2"/>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7" w:hRule="exact"/>
        </w:trPr>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03"/>
        <w:gridCol w:w="502"/>
        <w:gridCol w:w="504"/>
        <w:gridCol w:w="502"/>
        <w:gridCol w:w="505"/>
        <w:gridCol w:w="504"/>
        <w:gridCol w:w="502"/>
        <w:gridCol w:w="504"/>
        <w:gridCol w:w="502"/>
        <w:gridCol w:w="504"/>
        <w:gridCol w:w="502"/>
        <w:gridCol w:w="504"/>
        <w:gridCol w:w="504"/>
        <w:gridCol w:w="502"/>
        <w:gridCol w:w="504"/>
        <w:gridCol w:w="502"/>
        <w:gridCol w:w="504"/>
        <w:gridCol w:w="504"/>
        <w:gridCol w:w="502"/>
      </w:tblGrid>
      <w:tr>
        <w:trPr>
          <w:trHeight w:val="1025"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218,5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9.51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329,2</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17.40</w:t>
            </w: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60,32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5"/>
              <w:ind w:left="92"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00</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1,908</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11,36</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2,255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26.43</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207,6</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27.87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936,8</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48.33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62,45</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0.72</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31.00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1,612</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14,78</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7,504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.53</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895,7</w:t>
            </w:r>
          </w:p>
          <w:p>
            <w:pPr>
              <w:pStyle w:val="TableParagraph"/>
              <w:spacing w:line="240" w:lineRule="auto" w:before="102"/>
              <w:ind w:left="65" w:right="0"/>
              <w:jc w:val="left"/>
              <w:rPr>
                <w:rFonts w:ascii="Times New Roman" w:hAnsi="Times New Roman" w:cs="Times New Roman" w:eastAsia="Times New Roman" w:hint="default"/>
                <w:sz w:val="18"/>
                <w:szCs w:val="18"/>
              </w:rPr>
            </w:pPr>
            <w:r>
              <w:rPr>
                <w:rFonts w:ascii="Times New Roman"/>
                <w:sz w:val="18"/>
              </w:rPr>
              <w:t>51.85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5,423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1,443</w:t>
            </w:r>
          </w:p>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43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-71,8</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00.23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213,3</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01.07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34.13</w:t>
            </w:r>
          </w:p>
        </w:tc>
      </w:tr>
      <w:tr>
        <w:trPr>
          <w:trHeight w:val="1025"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Arial Narrow" w:hAnsi="Arial Narrow" w:cs="Arial Narrow" w:eastAsia="Arial Narrow" w:hint="default"/>
                <w:sz w:val="18"/>
                <w:szCs w:val="18"/>
              </w:rPr>
            </w:pPr>
            <w:r>
              <w:rPr>
                <w:rFonts w:ascii="Arial Narrow"/>
                <w:sz w:val="18"/>
              </w:rPr>
              <w:t>552,5</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33,37</w:t>
            </w:r>
          </w:p>
          <w:p>
            <w:pPr>
              <w:pStyle w:val="TableParagraph"/>
              <w:spacing w:line="240" w:lineRule="auto" w:before="105"/>
              <w:ind w:left="182" w:right="0"/>
              <w:jc w:val="left"/>
              <w:rPr>
                <w:rFonts w:ascii="Arial Narrow" w:hAnsi="Arial Narrow" w:cs="Arial Narrow" w:eastAsia="Arial Narrow" w:hint="default"/>
                <w:sz w:val="18"/>
                <w:szCs w:val="18"/>
              </w:rPr>
            </w:pPr>
            <w:r>
              <w:rPr>
                <w:rFonts w:ascii="Arial Narrow"/>
                <w:sz w:val="18"/>
              </w:rPr>
              <w:t>5.13</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547,4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9.99</w:t>
            </w: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归属 于母 公司 股东 权益</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626,5</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98,64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9.16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55,86</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2,423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6,472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.47</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1,209</w:t>
            </w:r>
          </w:p>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32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2,029</w:t>
            </w:r>
          </w:p>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,722.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72</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03.64</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632,2</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41,24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56,19</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9,117.</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46</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63,93</w:t>
            </w:r>
          </w:p>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2,737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18,80</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4,786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2,771</w:t>
            </w:r>
          </w:p>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,701.</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88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14.49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left"/>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38.67</w:t>
            </w:r>
          </w:p>
        </w:tc>
      </w:tr>
      <w:tr>
        <w:trPr>
          <w:trHeight w:val="2273"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按持 股比 例计 算的 净资 产份 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61,20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1.29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9,117.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26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6,941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.74</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3,592</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,767.</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483,9</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99.73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690,1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05.72</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78,68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1.46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94,97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8.94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24,05</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.27</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12,78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6,547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3,901</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,993.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679,8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98.64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42,96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4.35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95.47</w:t>
            </w:r>
          </w:p>
        </w:tc>
      </w:tr>
      <w:tr>
        <w:trPr>
          <w:trHeight w:val="1027"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调整 事项</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41.85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1,223</w:t>
            </w:r>
          </w:p>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95</w:t>
            </w: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41.85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1,221</w:t>
            </w:r>
          </w:p>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88</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2"/>
              <w:ind w:left="65" w:right="0"/>
              <w:jc w:val="left"/>
              <w:rPr>
                <w:rFonts w:ascii="Times New Roman" w:hAnsi="Times New Roman" w:cs="Times New Roman" w:eastAsia="Times New Roman" w:hint="default"/>
                <w:sz w:val="18"/>
                <w:szCs w:val="18"/>
              </w:rPr>
            </w:pPr>
            <w:r>
              <w:rPr>
                <w:rFonts w:ascii="Times New Roman"/>
                <w:sz w:val="18"/>
              </w:rPr>
              <w:t>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w:t>
            </w:r>
            <w:r>
              <w:rPr>
                <w:rFonts w:ascii="宋体" w:hAnsi="宋体" w:cs="宋体" w:eastAsia="宋体" w:hint="default"/>
                <w:w w:val="99"/>
                <w:sz w:val="18"/>
                <w:szCs w:val="18"/>
              </w:rPr>
              <w:t> </w:t>
            </w:r>
            <w:r>
              <w:rPr>
                <w:rFonts w:ascii="宋体" w:hAnsi="宋体" w:cs="宋体" w:eastAsia="宋体" w:hint="default"/>
                <w:sz w:val="18"/>
                <w:szCs w:val="18"/>
              </w:rPr>
              <w:t>部交</w:t>
            </w:r>
            <w:r>
              <w:rPr>
                <w:rFonts w:ascii="宋体" w:hAnsi="宋体" w:cs="宋体" w:eastAsia="宋体" w:hint="default"/>
                <w:w w:val="99"/>
                <w:sz w:val="18"/>
                <w:szCs w:val="18"/>
              </w:rPr>
              <w:t> </w:t>
            </w:r>
            <w:r>
              <w:rPr>
                <w:rFonts w:ascii="宋体" w:hAnsi="宋体" w:cs="宋体" w:eastAsia="宋体" w:hint="default"/>
                <w:sz w:val="18"/>
                <w:szCs w:val="18"/>
              </w:rPr>
              <w:t>易未</w:t>
            </w:r>
            <w:r>
              <w:rPr>
                <w:rFonts w:ascii="宋体" w:hAnsi="宋体" w:cs="宋体" w:eastAsia="宋体" w:hint="default"/>
                <w:w w:val="99"/>
                <w:sz w:val="18"/>
                <w:szCs w:val="18"/>
              </w:rPr>
              <w:t> </w:t>
            </w:r>
            <w:r>
              <w:rPr>
                <w:rFonts w:ascii="宋体" w:hAnsi="宋体" w:cs="宋体" w:eastAsia="宋体" w:hint="default"/>
                <w:sz w:val="18"/>
                <w:szCs w:val="18"/>
              </w:rPr>
              <w:t>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41.85</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41.85</w:t>
            </w: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w:t>
            </w:r>
            <w:r>
              <w:rPr>
                <w:rFonts w:ascii="宋体" w:hAnsi="宋体" w:cs="宋体" w:eastAsia="宋体" w:hint="default"/>
                <w:w w:val="99"/>
                <w:sz w:val="18"/>
                <w:szCs w:val="18"/>
              </w:rPr>
              <w:t> </w:t>
            </w:r>
            <w:r>
              <w:rPr>
                <w:rFonts w:ascii="宋体" w:hAnsi="宋体" w:cs="宋体" w:eastAsia="宋体" w:hint="default"/>
                <w:sz w:val="18"/>
                <w:szCs w:val="18"/>
              </w:rPr>
              <w:t>他</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1,223</w:t>
            </w:r>
          </w:p>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95</w:t>
            </w: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1,221</w:t>
            </w:r>
          </w:p>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88</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对联 营企 业权 益投 资的 账面 价值</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9.44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25,13</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2,336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6,941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.74</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3,592</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,767.</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483,9</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99.73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690,1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05.72</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78,68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1.46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53,53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7.09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25,27</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4,612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.15</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12,74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6,547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3,901</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,993.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679,8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98.64</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42,96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4.35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95.47</w:t>
            </w:r>
          </w:p>
        </w:tc>
      </w:tr>
      <w:tr>
        <w:trPr>
          <w:trHeight w:val="403"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营业</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2,187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6,558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81,55</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3,050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1,203</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2,310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19,69</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5" w:right="0"/>
              <w:jc w:val="left"/>
              <w:rPr>
                <w:rFonts w:ascii="Times New Roman" w:hAnsi="Times New Roman" w:cs="Times New Roman" w:eastAsia="Times New Roman" w:hint="default"/>
                <w:sz w:val="18"/>
                <w:szCs w:val="18"/>
              </w:rPr>
            </w:pPr>
            <w:r>
              <w:rPr>
                <w:rFonts w:ascii="Times New Roman"/>
                <w:sz w:val="18"/>
              </w:rPr>
              <w:t>46,88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58,25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7,858</w:t>
            </w: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469,8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2,148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03"/>
        <w:gridCol w:w="502"/>
        <w:gridCol w:w="504"/>
        <w:gridCol w:w="502"/>
        <w:gridCol w:w="505"/>
        <w:gridCol w:w="504"/>
        <w:gridCol w:w="502"/>
        <w:gridCol w:w="504"/>
        <w:gridCol w:w="502"/>
        <w:gridCol w:w="504"/>
        <w:gridCol w:w="502"/>
        <w:gridCol w:w="504"/>
        <w:gridCol w:w="504"/>
        <w:gridCol w:w="502"/>
        <w:gridCol w:w="504"/>
        <w:gridCol w:w="502"/>
        <w:gridCol w:w="504"/>
        <w:gridCol w:w="504"/>
        <w:gridCol w:w="502"/>
      </w:tblGrid>
      <w:tr>
        <w:trPr>
          <w:trHeight w:val="987"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38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3.40</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 w:right="0"/>
              <w:jc w:val="center"/>
              <w:rPr>
                <w:rFonts w:ascii="Times New Roman" w:hAnsi="Times New Roman" w:cs="Times New Roman" w:eastAsia="Times New Roman" w:hint="default"/>
                <w:sz w:val="18"/>
                <w:szCs w:val="18"/>
              </w:rPr>
            </w:pPr>
            <w:r>
              <w:rPr>
                <w:rFonts w:ascii="Times New Roman"/>
                <w:sz w:val="18"/>
              </w:rPr>
              <w:t>,048.</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20</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center"/>
              <w:rPr>
                <w:rFonts w:ascii="Times New Roman" w:hAnsi="Times New Roman" w:cs="Times New Roman" w:eastAsia="Times New Roman" w:hint="default"/>
                <w:sz w:val="18"/>
                <w:szCs w:val="18"/>
              </w:rPr>
            </w:pPr>
            <w:r>
              <w:rPr>
                <w:rFonts w:ascii="Times New Roman"/>
                <w:sz w:val="18"/>
              </w:rPr>
              <w:t>5,687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9.52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2.43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 w:right="0"/>
              <w:jc w:val="center"/>
              <w:rPr>
                <w:rFonts w:ascii="Times New Roman" w:hAnsi="Times New Roman" w:cs="Times New Roman" w:eastAsia="Times New Roman" w:hint="default"/>
                <w:sz w:val="18"/>
                <w:szCs w:val="18"/>
              </w:rPr>
            </w:pPr>
            <w:r>
              <w:rPr>
                <w:rFonts w:ascii="Times New Roman"/>
                <w:sz w:val="18"/>
              </w:rPr>
              <w:t>,727.</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03</w:t>
            </w: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25.73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 w:right="0"/>
              <w:jc w:val="center"/>
              <w:rPr>
                <w:rFonts w:ascii="Times New Roman" w:hAnsi="Times New Roman" w:cs="Times New Roman" w:eastAsia="Times New Roman" w:hint="default"/>
                <w:sz w:val="18"/>
                <w:szCs w:val="18"/>
              </w:rPr>
            </w:pPr>
            <w:r>
              <w:rPr>
                <w:rFonts w:ascii="Times New Roman"/>
                <w:sz w:val="18"/>
              </w:rPr>
              <w:t>,487.</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66</w:t>
            </w:r>
          </w:p>
        </w:tc>
      </w:tr>
      <w:tr>
        <w:trPr>
          <w:trHeight w:val="1025"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净利 润</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3,112.</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68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35,04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3.47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3,527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.53</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0,981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0,019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34,54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6.90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5"/>
              <w:ind w:left="92"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91</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5,019</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33,29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0.22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7,587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,503.</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75</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26,96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0.64</w:t>
            </w: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-4,51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8,608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35,04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3.47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3,527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.53</w:t>
            </w:r>
          </w:p>
        </w:tc>
        <w:tc>
          <w:tcPr>
            <w:tcW w:w="505"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0,981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0,019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07,58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6.26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5"/>
              <w:ind w:left="92"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91</w:t>
            </w: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5,019</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33,29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0.22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7,587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九、与金融工具相关的风险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5" w:firstLine="420"/>
        <w:jc w:val="both"/>
      </w:pPr>
      <w:r>
        <w:rPr/>
        <w:t>本公司在日常活动中面临金融工具的主要风险是信用风险（主要为利率风险）、流动风险和市场风险。本公司的主要 </w:t>
      </w:r>
      <w:r>
        <w:rPr>
          <w:spacing w:val="-2"/>
        </w:rPr>
        <w:t>金融工具包括货币资金、应收票据、应收及其他应收款、权益投资、借款、应付票据、应付及其他应付款等。本公司管理层</w:t>
      </w:r>
      <w:r>
        <w:rPr>
          <w:spacing w:val="-73"/>
        </w:rPr>
        <w:t> </w:t>
      </w:r>
      <w:r>
        <w:rPr>
          <w:spacing w:val="-73"/>
        </w:rPr>
      </w:r>
      <w:r>
        <w:rPr/>
        <w:t>管理及监控这些风险，力求减少对财务业绩的潜在不利影响。</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、信用风险</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73" w:right="0"/>
        <w:jc w:val="left"/>
      </w:pPr>
      <w:r>
        <w:rPr/>
        <w:t>本公司对信用风险按组合分类进行管理。信用风险主要产生于银行存款、应收票据、应收账款、其他应收款等。</w:t>
      </w:r>
      <w:r>
        <w:rPr>
          <w:rFonts w:ascii="宋体" w:hAnsi="宋体" w:cs="宋体" w:eastAsia="宋体" w:hint="default"/>
        </w:rPr>
        <w:t> </w:t>
      </w:r>
      <w:r>
        <w:rPr/>
        <w:t>本公司银行存款主要存放于信用评级较高的银行，本公司认为其不存在重大的信用风险，不会产生因对方单位违约而</w:t>
      </w:r>
    </w:p>
    <w:p>
      <w:pPr>
        <w:pStyle w:val="BodyText"/>
        <w:spacing w:line="316" w:lineRule="auto" w:before="17"/>
        <w:ind w:left="573" w:right="0" w:hanging="420"/>
        <w:jc w:val="left"/>
      </w:pPr>
      <w:r>
        <w:rPr/>
        <w:t>导致的任何重大损失。</w:t>
      </w:r>
      <w:r>
        <w:rPr>
          <w:rFonts w:ascii="宋体" w:hAnsi="宋体" w:cs="宋体" w:eastAsia="宋体" w:hint="default"/>
        </w:rPr>
        <w:t> </w:t>
      </w:r>
      <w:r>
        <w:rPr/>
        <w:t>本公司应收票据、应收账款主要为应收货款，商品销售根据顾客信用情况设定信用政策。其他应收款主要为公司运营</w:t>
      </w:r>
    </w:p>
    <w:p>
      <w:pPr>
        <w:pStyle w:val="BodyText"/>
        <w:spacing w:line="316" w:lineRule="auto" w:before="19"/>
        <w:ind w:right="0"/>
        <w:jc w:val="left"/>
        <w:rPr>
          <w:rFonts w:ascii="宋体" w:hAnsi="宋体" w:cs="宋体" w:eastAsia="宋体" w:hint="default"/>
        </w:rPr>
      </w:pPr>
      <w:r>
        <w:rPr>
          <w:spacing w:val="-2"/>
        </w:rPr>
        <w:t>过程中的各类保证金，本公司在形成债权前评价信用风险，后续定期对主要债务各方信用状况进行监控，对信用记录不良的</w:t>
      </w:r>
      <w:r>
        <w:rPr>
          <w:spacing w:val="-63"/>
        </w:rPr>
        <w:t> </w:t>
      </w:r>
      <w:r>
        <w:rPr>
          <w:spacing w:val="-63"/>
        </w:rPr>
      </w:r>
      <w:r>
        <w:rPr/>
        <w:t>债务方采取书面催收、提供担保等方式，使本公司整体信用风险在可控范围内。</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本公司应收票据、应收账款和其他应收款等产生的信用风险敞口的量化数据，详见各相关附注披露。</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、流动性风险</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420"/>
        <w:jc w:val="both"/>
        <w:rPr>
          <w:rFonts w:ascii="宋体" w:hAnsi="宋体" w:cs="宋体" w:eastAsia="宋体" w:hint="default"/>
        </w:rPr>
      </w:pPr>
      <w:r>
        <w:rPr/>
        <w:t>本公司负责监控各子公司的现金流量预测，在汇总各子公司现金流量预测的基础上，在公司层面持续监控短期和长期 </w:t>
      </w:r>
      <w:r>
        <w:rPr>
          <w:spacing w:val="-2"/>
        </w:rPr>
        <w:t>的资金需求，以确保维持充裕的现金储备；同时持续监控是否符合借款协议的规定，从主要金融机构获得提供足够备用资金</w:t>
      </w:r>
      <w:r>
        <w:rPr>
          <w:spacing w:val="-64"/>
        </w:rPr>
        <w:t> </w:t>
      </w:r>
      <w:r>
        <w:rPr>
          <w:spacing w:val="-64"/>
        </w:rPr>
      </w:r>
      <w:r>
        <w:rPr/>
        <w:t>的承诺，以满足短期和长期的资金需求。</w:t>
      </w:r>
      <w:r>
        <w:rPr>
          <w:rFonts w:ascii="宋体" w:hAnsi="宋体" w:cs="宋体" w:eastAsia="宋体" w:hint="default"/>
        </w:rPr>
        <w:t> </w:t>
      </w:r>
    </w:p>
    <w:p>
      <w:pPr>
        <w:pStyle w:val="BodyText"/>
        <w:spacing w:line="240" w:lineRule="auto" w:before="19"/>
        <w:ind w:left="573" w:right="0"/>
        <w:jc w:val="left"/>
        <w:rPr>
          <w:rFonts w:ascii="宋体" w:hAnsi="宋体" w:cs="宋体" w:eastAsia="宋体" w:hint="default"/>
        </w:rPr>
      </w:pPr>
      <w:r>
        <w:rPr/>
        <w:t>本公司各项金融负债按未折现的合同现金流量所作的到期期限分析如下：</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1</w:t>
      </w:r>
      <w:r>
        <w:rPr/>
        <w:t>）本公司流动负债包括短期借款、应付票据、应付账款、应付利息、其他应付款均预计在</w:t>
      </w:r>
      <w:r>
        <w:rPr>
          <w:rFonts w:ascii="宋体" w:hAnsi="宋体" w:cs="宋体" w:eastAsia="宋体" w:hint="default"/>
        </w:rPr>
        <w:t>1</w:t>
      </w:r>
      <w:r>
        <w:rPr/>
        <w:t>年内到期偿付。</w:t>
      </w:r>
      <w:r>
        <w:rPr>
          <w:rFonts w:ascii="宋体" w:hAnsi="宋体" w:cs="宋体" w:eastAsia="宋体" w:hint="default"/>
        </w:rPr>
        <w:t> </w:t>
      </w:r>
    </w:p>
    <w:p>
      <w:pPr>
        <w:pStyle w:val="BodyText"/>
        <w:spacing w:line="240" w:lineRule="auto" w:before="76"/>
        <w:ind w:left="573" w:right="0"/>
        <w:jc w:val="left"/>
        <w:rPr>
          <w:rFonts w:ascii="宋体" w:hAnsi="宋体" w:cs="宋体" w:eastAsia="宋体" w:hint="default"/>
        </w:rPr>
      </w:pPr>
      <w:r>
        <w:rPr/>
        <w:t>（</w:t>
      </w:r>
      <w:r>
        <w:rPr>
          <w:rFonts w:ascii="宋体" w:hAnsi="宋体" w:cs="宋体" w:eastAsia="宋体" w:hint="default"/>
        </w:rPr>
        <w:t>2</w:t>
      </w:r>
      <w:r>
        <w:rPr/>
        <w:t>）本公司非流动负债（含一年内到期的非流动负债）按未折现的合同现金流量所作的到期期限分析如下：</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169"/>
        <w:gridCol w:w="1313"/>
        <w:gridCol w:w="1298"/>
        <w:gridCol w:w="1344"/>
        <w:gridCol w:w="1354"/>
        <w:gridCol w:w="1558"/>
        <w:gridCol w:w="1308"/>
      </w:tblGrid>
      <w:tr>
        <w:trPr>
          <w:trHeight w:val="355" w:hRule="exact"/>
        </w:trPr>
        <w:tc>
          <w:tcPr>
            <w:tcW w:w="1169"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76"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0" w:hRule="exact"/>
        </w:trPr>
        <w:tc>
          <w:tcPr>
            <w:tcW w:w="1169" w:type="dxa"/>
            <w:vMerge/>
            <w:tcBorders>
              <w:left w:val="single" w:sz="6" w:space="0" w:color="000000"/>
              <w:bottom w:val="single" w:sz="12" w:space="0" w:color="000000"/>
              <w:right w:val="single" w:sz="6" w:space="0" w:color="000000"/>
            </w:tcBorders>
          </w:tcPr>
          <w:p>
            <w:pPr/>
          </w:p>
        </w:tc>
        <w:tc>
          <w:tcPr>
            <w:tcW w:w="1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五年以上</w:t>
            </w:r>
          </w:p>
        </w:tc>
      </w:tr>
      <w:tr>
        <w:trPr>
          <w:trHeight w:val="355" w:hRule="exact"/>
        </w:trPr>
        <w:tc>
          <w:tcPr>
            <w:tcW w:w="1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84" w:right="0"/>
              <w:jc w:val="left"/>
              <w:rPr>
                <w:rFonts w:ascii="Times New Roman" w:hAnsi="Times New Roman" w:cs="Times New Roman" w:eastAsia="Times New Roman" w:hint="default"/>
                <w:sz w:val="18"/>
                <w:szCs w:val="18"/>
              </w:rPr>
            </w:pPr>
            <w:r>
              <w:rPr>
                <w:rFonts w:ascii="Times New Roman"/>
                <w:sz w:val="18"/>
              </w:rPr>
              <w:t>587,654.58</w:t>
            </w:r>
          </w:p>
        </w:tc>
        <w:tc>
          <w:tcPr>
            <w:tcW w:w="12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70" w:right="0"/>
              <w:jc w:val="left"/>
              <w:rPr>
                <w:rFonts w:ascii="Times New Roman" w:hAnsi="Times New Roman" w:cs="Times New Roman" w:eastAsia="Times New Roman" w:hint="default"/>
                <w:sz w:val="18"/>
                <w:szCs w:val="18"/>
              </w:rPr>
            </w:pPr>
            <w:r>
              <w:rPr>
                <w:rFonts w:ascii="Times New Roman"/>
                <w:sz w:val="18"/>
              </w:rPr>
              <w:t>587,654.58</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18" w:right="0"/>
              <w:jc w:val="left"/>
              <w:rPr>
                <w:rFonts w:ascii="Times New Roman" w:hAnsi="Times New Roman" w:cs="Times New Roman" w:eastAsia="Times New Roman" w:hint="default"/>
                <w:sz w:val="18"/>
                <w:szCs w:val="18"/>
              </w:rPr>
            </w:pPr>
            <w:r>
              <w:rPr>
                <w:rFonts w:ascii="Times New Roman"/>
                <w:sz w:val="18"/>
              </w:rPr>
              <w:t>587,654.58</w:t>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25" w:right="0"/>
              <w:jc w:val="left"/>
              <w:rPr>
                <w:rFonts w:ascii="Times New Roman" w:hAnsi="Times New Roman" w:cs="Times New Roman" w:eastAsia="Times New Roman" w:hint="default"/>
                <w:sz w:val="18"/>
                <w:szCs w:val="18"/>
              </w:rPr>
            </w:pPr>
            <w:r>
              <w:rPr>
                <w:rFonts w:ascii="Times New Roman"/>
                <w:sz w:val="18"/>
              </w:rPr>
              <w:t>587,654.58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30" w:right="0"/>
              <w:jc w:val="left"/>
              <w:rPr>
                <w:rFonts w:ascii="Times New Roman" w:hAnsi="Times New Roman" w:cs="Times New Roman" w:eastAsia="Times New Roman" w:hint="default"/>
                <w:sz w:val="18"/>
                <w:szCs w:val="18"/>
              </w:rPr>
            </w:pPr>
            <w:r>
              <w:rPr>
                <w:rFonts w:ascii="Times New Roman"/>
                <w:sz w:val="18"/>
              </w:rPr>
              <w:t>216,662.91</w:t>
            </w:r>
          </w:p>
        </w:tc>
        <w:tc>
          <w:tcPr>
            <w:tcW w:w="1308" w:type="dxa"/>
            <w:tcBorders>
              <w:top w:val="single" w:sz="12" w:space="0" w:color="000000"/>
              <w:left w:val="single" w:sz="6" w:space="0" w:color="000000"/>
              <w:bottom w:val="single" w:sz="12" w:space="0" w:color="000000"/>
              <w:right w:val="nil" w:sz="6" w:space="0" w:color="auto"/>
            </w:tcBorders>
          </w:tcPr>
          <w:p>
            <w:pPr/>
          </w:p>
        </w:tc>
      </w:tr>
    </w:tbl>
    <w:p>
      <w:pPr>
        <w:spacing w:line="278" w:lineRule="exact" w:before="0"/>
        <w:ind w:left="57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07"/>
        <w:gridCol w:w="1354"/>
        <w:gridCol w:w="1334"/>
        <w:gridCol w:w="1385"/>
        <w:gridCol w:w="1393"/>
        <w:gridCol w:w="1327"/>
        <w:gridCol w:w="1344"/>
      </w:tblGrid>
      <w:tr>
        <w:trPr>
          <w:trHeight w:val="353" w:hRule="exact"/>
        </w:trPr>
        <w:tc>
          <w:tcPr>
            <w:tcW w:w="1207"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8"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1207" w:type="dxa"/>
            <w:vMerge/>
            <w:tcBorders>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3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五年以上</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207"/>
        <w:gridCol w:w="1354"/>
        <w:gridCol w:w="1334"/>
        <w:gridCol w:w="1385"/>
        <w:gridCol w:w="1393"/>
        <w:gridCol w:w="1327"/>
        <w:gridCol w:w="1344"/>
      </w:tblGrid>
      <w:tr>
        <w:trPr>
          <w:trHeight w:val="356" w:hRule="exact"/>
        </w:trPr>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11" w:right="0"/>
              <w:jc w:val="left"/>
              <w:rPr>
                <w:rFonts w:ascii="Times New Roman" w:hAnsi="Times New Roman" w:cs="Times New Roman" w:eastAsia="Times New Roman" w:hint="default"/>
                <w:sz w:val="18"/>
                <w:szCs w:val="18"/>
              </w:rPr>
            </w:pPr>
            <w:r>
              <w:rPr>
                <w:rFonts w:ascii="Times New Roman"/>
                <w:sz w:val="18"/>
              </w:rPr>
              <w:t>144,881,704.89</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06" w:right="0"/>
              <w:jc w:val="left"/>
              <w:rPr>
                <w:rFonts w:ascii="Times New Roman" w:hAnsi="Times New Roman" w:cs="Times New Roman" w:eastAsia="Times New Roman" w:hint="default"/>
                <w:sz w:val="18"/>
                <w:szCs w:val="18"/>
              </w:rPr>
            </w:pPr>
            <w:r>
              <w:rPr>
                <w:rFonts w:ascii="Times New Roman"/>
                <w:sz w:val="18"/>
              </w:rPr>
              <w:t>623,880.48</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59" w:right="-1"/>
              <w:jc w:val="left"/>
              <w:rPr>
                <w:rFonts w:ascii="Times New Roman" w:hAnsi="Times New Roman" w:cs="Times New Roman" w:eastAsia="Times New Roman" w:hint="default"/>
                <w:sz w:val="18"/>
                <w:szCs w:val="18"/>
              </w:rPr>
            </w:pPr>
            <w:r>
              <w:rPr>
                <w:rFonts w:ascii="Times New Roman"/>
                <w:sz w:val="18"/>
              </w:rPr>
              <w:t>623,880.48</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63" w:right="0"/>
              <w:jc w:val="left"/>
              <w:rPr>
                <w:rFonts w:ascii="Times New Roman" w:hAnsi="Times New Roman" w:cs="Times New Roman" w:eastAsia="Times New Roman" w:hint="default"/>
                <w:sz w:val="18"/>
                <w:szCs w:val="18"/>
              </w:rPr>
            </w:pPr>
            <w:r>
              <w:rPr>
                <w:rFonts w:ascii="Times New Roman"/>
                <w:sz w:val="18"/>
              </w:rPr>
              <w:t>623,880.48</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99" w:right="0"/>
              <w:jc w:val="left"/>
              <w:rPr>
                <w:rFonts w:ascii="Times New Roman" w:hAnsi="Times New Roman" w:cs="Times New Roman" w:eastAsia="Times New Roman" w:hint="default"/>
                <w:sz w:val="18"/>
                <w:szCs w:val="18"/>
              </w:rPr>
            </w:pPr>
            <w:r>
              <w:rPr>
                <w:rFonts w:ascii="Times New Roman"/>
                <w:sz w:val="18"/>
              </w:rPr>
              <w:t>623,880.48</w:t>
            </w:r>
          </w:p>
        </w:tc>
        <w:tc>
          <w:tcPr>
            <w:tcW w:w="13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left="518" w:right="0"/>
              <w:jc w:val="left"/>
              <w:rPr>
                <w:rFonts w:ascii="Times New Roman" w:hAnsi="Times New Roman" w:cs="Times New Roman" w:eastAsia="Times New Roman" w:hint="default"/>
                <w:sz w:val="18"/>
                <w:szCs w:val="18"/>
              </w:rPr>
            </w:pPr>
            <w:r>
              <w:rPr>
                <w:rFonts w:ascii="Times New Roman"/>
                <w:sz w:val="18"/>
              </w:rPr>
              <w:t>311,940.25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58" w:right="0"/>
        <w:jc w:val="left"/>
        <w:rPr>
          <w:b w:val="0"/>
          <w:bCs w:val="0"/>
        </w:rPr>
      </w:pPr>
      <w:r>
        <w:rPr>
          <w:rFonts w:ascii="Times New Roman" w:hAnsi="Times New Roman" w:cs="Times New Roman" w:eastAsia="Times New Roman" w:hint="default"/>
        </w:rPr>
        <w:t>3</w:t>
      </w:r>
      <w:r>
        <w:rPr/>
        <w:t>、市场风险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0"/>
        <w:jc w:val="left"/>
      </w:pPr>
      <w:r>
        <w:rPr/>
        <w:t>（</w:t>
      </w:r>
      <w:r>
        <w:rPr>
          <w:rFonts w:ascii="宋体" w:hAnsi="宋体" w:cs="宋体" w:eastAsia="宋体" w:hint="default"/>
        </w:rPr>
        <w:t>1</w:t>
      </w:r>
      <w:r>
        <w:rPr/>
        <w:t>）利率风险</w:t>
      </w:r>
      <w:r>
        <w:rPr>
          <w:rFonts w:ascii="宋体" w:hAnsi="宋体" w:cs="宋体" w:eastAsia="宋体" w:hint="default"/>
          <w:spacing w:val="-2"/>
        </w:rPr>
        <w:t> </w:t>
      </w:r>
      <w:r>
        <w:rPr>
          <w:rFonts w:ascii="宋体" w:hAnsi="宋体" w:cs="宋体" w:eastAsia="宋体" w:hint="default"/>
        </w:rPr>
        <w:t> </w:t>
      </w:r>
      <w:r>
        <w:rPr/>
        <w:t>本公司的利率风险产生于银行借款及长期应付款等带息债务。浮动利率的金融负债使本公司面临现金流量利率风险，</w:t>
      </w:r>
    </w:p>
    <w:p>
      <w:pPr>
        <w:pStyle w:val="BodyText"/>
        <w:spacing w:line="240" w:lineRule="auto" w:before="19"/>
        <w:ind w:right="0"/>
        <w:jc w:val="left"/>
        <w:rPr>
          <w:rFonts w:ascii="宋体" w:hAnsi="宋体" w:cs="宋体" w:eastAsia="宋体" w:hint="default"/>
        </w:rPr>
      </w:pPr>
      <w:r>
        <w:rPr/>
        <w:t>固定利率的金融负债使本公司面临公允价值利率风险。本公司带息债务情况如下：</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77"/>
        <w:gridCol w:w="3131"/>
        <w:gridCol w:w="2638"/>
      </w:tblGrid>
      <w:tr>
        <w:trPr>
          <w:trHeight w:val="353" w:hRule="exact"/>
        </w:trPr>
        <w:tc>
          <w:tcPr>
            <w:tcW w:w="3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带息债务类型</w:t>
            </w:r>
          </w:p>
        </w:tc>
        <w:tc>
          <w:tcPr>
            <w:tcW w:w="3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浮动利息债务</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pacing w:val="-1"/>
                <w:sz w:val="18"/>
              </w:rPr>
              <w:t>4,791,034.00</w:t>
            </w: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144,257,824.41</w:t>
            </w:r>
          </w:p>
        </w:tc>
      </w:tr>
      <w:tr>
        <w:trPr>
          <w:trHeight w:val="350"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固定利息债务</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510,000,000.00</w:t>
            </w:r>
          </w:p>
        </w:tc>
        <w:tc>
          <w:tcPr>
            <w:tcW w:w="26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335,975,260.00</w:t>
            </w: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587,654.58</w:t>
            </w:r>
          </w:p>
        </w:tc>
        <w:tc>
          <w:tcPr>
            <w:tcW w:w="26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623,880.48</w:t>
            </w:r>
          </w:p>
        </w:tc>
      </w:tr>
      <w:tr>
        <w:trPr>
          <w:trHeight w:val="350"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1,979,626.65</w:t>
            </w:r>
          </w:p>
        </w:tc>
        <w:tc>
          <w:tcPr>
            <w:tcW w:w="26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2,807,462.17</w:t>
            </w:r>
          </w:p>
        </w:tc>
      </w:tr>
      <w:tr>
        <w:trPr>
          <w:trHeight w:val="353" w:hRule="exact"/>
        </w:trPr>
        <w:tc>
          <w:tcPr>
            <w:tcW w:w="3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31" w:type="dxa"/>
            <w:tcBorders>
              <w:top w:val="single" w:sz="12" w:space="0" w:color="000000"/>
              <w:left w:val="single" w:sz="6" w:space="0" w:color="000000"/>
              <w:bottom w:val="single" w:sz="12" w:space="0" w:color="000000"/>
              <w:right w:val="single" w:sz="6" w:space="0" w:color="000000"/>
            </w:tcBorders>
          </w:tcPr>
          <w:p>
            <w:pPr/>
          </w:p>
        </w:tc>
        <w:tc>
          <w:tcPr>
            <w:tcW w:w="2638" w:type="dxa"/>
            <w:tcBorders>
              <w:top w:val="single" w:sz="12" w:space="0" w:color="000000"/>
              <w:left w:val="single" w:sz="6" w:space="0" w:color="000000"/>
              <w:bottom w:val="single" w:sz="12" w:space="0" w:color="000000"/>
              <w:right w:val="nil" w:sz="6" w:space="0" w:color="auto"/>
            </w:tcBorders>
          </w:tcPr>
          <w:p>
            <w:pPr/>
          </w:p>
        </w:tc>
      </w:tr>
    </w:tbl>
    <w:p>
      <w:pPr>
        <w:pStyle w:val="BodyText"/>
        <w:spacing w:line="316" w:lineRule="auto" w:before="8"/>
        <w:ind w:right="0" w:firstLine="420"/>
        <w:jc w:val="left"/>
        <w:rPr>
          <w:rFonts w:ascii="宋体" w:hAnsi="宋体" w:cs="宋体" w:eastAsia="宋体" w:hint="default"/>
        </w:rPr>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日，如果以上述带息负债计算的借款利率上升或下降</w:t>
      </w:r>
      <w:r>
        <w:rPr>
          <w:rFonts w:ascii="宋体" w:hAnsi="宋体" w:cs="宋体" w:eastAsia="宋体" w:hint="default"/>
        </w:rPr>
        <w:t>25</w:t>
      </w:r>
      <w:r>
        <w:rPr/>
        <w:t>个基准点，而其他因素保持不变，对税前利润 的影响如下：</w:t>
      </w:r>
      <w:r>
        <w:rPr>
          <w:rFonts w:ascii="宋体" w:hAnsi="宋体" w:cs="宋体" w:eastAsia="宋体" w:hint="default"/>
        </w:rPr>
        <w:t> </w:t>
      </w:r>
    </w:p>
    <w:tbl>
      <w:tblPr>
        <w:tblW w:w="0" w:type="auto"/>
        <w:jc w:val="left"/>
        <w:tblInd w:w="146" w:type="dxa"/>
        <w:tblLayout w:type="fixed"/>
        <w:tblCellMar>
          <w:top w:w="0" w:type="dxa"/>
          <w:left w:w="0" w:type="dxa"/>
          <w:bottom w:w="0" w:type="dxa"/>
          <w:right w:w="0" w:type="dxa"/>
        </w:tblCellMar>
        <w:tblLook w:val="01E0"/>
      </w:tblPr>
      <w:tblGrid>
        <w:gridCol w:w="5243"/>
        <w:gridCol w:w="4103"/>
      </w:tblGrid>
      <w:tr>
        <w:trPr>
          <w:trHeight w:val="355" w:hRule="exact"/>
        </w:trPr>
        <w:tc>
          <w:tcPr>
            <w:tcW w:w="5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对税前利润影响</w:t>
            </w:r>
          </w:p>
        </w:tc>
      </w:tr>
      <w:tr>
        <w:trPr>
          <w:trHeight w:val="353" w:hRule="exact"/>
        </w:trPr>
        <w:tc>
          <w:tcPr>
            <w:tcW w:w="5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人民币基准利率增加</w:t>
            </w:r>
            <w:r>
              <w:rPr>
                <w:rFonts w:ascii="Times New Roman" w:hAnsi="Times New Roman" w:cs="Times New Roman" w:eastAsia="Times New Roman" w:hint="default"/>
                <w:sz w:val="18"/>
                <w:szCs w:val="18"/>
              </w:rPr>
              <w:t>25</w:t>
            </w:r>
            <w:r>
              <w:rPr>
                <w:rFonts w:ascii="宋体" w:hAnsi="宋体" w:cs="宋体" w:eastAsia="宋体" w:hint="default"/>
                <w:sz w:val="18"/>
                <w:szCs w:val="18"/>
              </w:rPr>
              <w:t>个基准点</w:t>
            </w:r>
          </w:p>
        </w:tc>
        <w:tc>
          <w:tcPr>
            <w:tcW w:w="41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-1,281,418.20</w:t>
            </w:r>
          </w:p>
        </w:tc>
      </w:tr>
      <w:tr>
        <w:trPr>
          <w:trHeight w:val="353" w:hRule="exact"/>
        </w:trPr>
        <w:tc>
          <w:tcPr>
            <w:tcW w:w="5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人民币基准利率下降</w:t>
            </w:r>
            <w:r>
              <w:rPr>
                <w:rFonts w:ascii="Times New Roman" w:hAnsi="Times New Roman" w:cs="Times New Roman" w:eastAsia="Times New Roman" w:hint="default"/>
                <w:sz w:val="18"/>
                <w:szCs w:val="18"/>
              </w:rPr>
              <w:t>25</w:t>
            </w:r>
            <w:r>
              <w:rPr>
                <w:rFonts w:ascii="宋体" w:hAnsi="宋体" w:cs="宋体" w:eastAsia="宋体" w:hint="default"/>
                <w:sz w:val="18"/>
                <w:szCs w:val="18"/>
              </w:rPr>
              <w:t>个基准点</w:t>
            </w:r>
          </w:p>
        </w:tc>
        <w:tc>
          <w:tcPr>
            <w:tcW w:w="41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1,281,418.20</w:t>
            </w:r>
          </w:p>
        </w:tc>
      </w:tr>
    </w:tbl>
    <w:p>
      <w:pPr>
        <w:pStyle w:val="BodyText"/>
        <w:spacing w:line="316" w:lineRule="auto" w:before="19"/>
        <w:ind w:left="573" w:right="0"/>
        <w:jc w:val="left"/>
      </w:pPr>
      <w:r>
        <w:rPr/>
        <w:t>（</w:t>
      </w:r>
      <w:r>
        <w:rPr>
          <w:rFonts w:ascii="宋体" w:hAnsi="宋体" w:cs="宋体" w:eastAsia="宋体" w:hint="default"/>
        </w:rPr>
        <w:t>2</w:t>
      </w:r>
      <w:r>
        <w:rPr/>
        <w:t>）汇率风险</w:t>
      </w:r>
      <w:r>
        <w:rPr>
          <w:rFonts w:ascii="宋体" w:hAnsi="宋体" w:cs="宋体" w:eastAsia="宋体" w:hint="default"/>
        </w:rPr>
        <w:t> </w:t>
      </w:r>
      <w:r>
        <w:rPr/>
        <w:t>汇率风险，是指金融工具的公允价值或未来现金流量因外汇汇率变动而发生波动的风险。本公司尽可能将外币收入与</w:t>
      </w:r>
    </w:p>
    <w:p>
      <w:pPr>
        <w:pStyle w:val="BodyText"/>
        <w:spacing w:line="316" w:lineRule="auto" w:before="19"/>
        <w:ind w:right="0"/>
        <w:jc w:val="left"/>
        <w:rPr>
          <w:rFonts w:ascii="宋体" w:hAnsi="宋体" w:cs="宋体" w:eastAsia="宋体" w:hint="default"/>
        </w:rPr>
      </w:pPr>
      <w:r>
        <w:rPr>
          <w:spacing w:val="-2"/>
        </w:rPr>
        <w:t>外币支出相匹配以降低汇率风险。本公司面临的汇率风险主要来源于以美元港币及欧元计价的金融资产和金融负债，本公司</w:t>
      </w:r>
      <w:r>
        <w:rPr>
          <w:spacing w:val="-63"/>
        </w:rPr>
        <w:t> </w:t>
      </w:r>
      <w:r>
        <w:rPr>
          <w:spacing w:val="-63"/>
        </w:rPr>
      </w:r>
      <w:r>
        <w:rPr/>
        <w:t>本期外币金融资产和外币金融负债折算成人民币的金额列示如下：</w:t>
      </w:r>
      <w:r>
        <w:rPr>
          <w:rFonts w:ascii="宋体" w:hAnsi="宋体" w:cs="宋体" w:eastAsia="宋体" w:hint="default"/>
        </w:rPr>
        <w:t> </w:t>
      </w:r>
    </w:p>
    <w:tbl>
      <w:tblPr>
        <w:tblW w:w="0" w:type="auto"/>
        <w:jc w:val="left"/>
        <w:tblInd w:w="146" w:type="dxa"/>
        <w:tblLayout w:type="fixed"/>
        <w:tblCellMar>
          <w:top w:w="0" w:type="dxa"/>
          <w:left w:w="0" w:type="dxa"/>
          <w:bottom w:w="0" w:type="dxa"/>
          <w:right w:w="0" w:type="dxa"/>
        </w:tblCellMar>
        <w:tblLook w:val="01E0"/>
      </w:tblPr>
      <w:tblGrid>
        <w:gridCol w:w="4244"/>
        <w:gridCol w:w="2771"/>
        <w:gridCol w:w="2331"/>
      </w:tblGrid>
      <w:tr>
        <w:trPr>
          <w:trHeight w:val="353" w:hRule="exact"/>
        </w:trPr>
        <w:tc>
          <w:tcPr>
            <w:tcW w:w="4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23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3"/>
              <w:jc w:val="center"/>
              <w:rPr>
                <w:rFonts w:ascii="宋体" w:hAnsi="宋体" w:cs="宋体" w:eastAsia="宋体" w:hint="default"/>
                <w:sz w:val="15"/>
                <w:szCs w:val="15"/>
              </w:rPr>
            </w:pPr>
            <w:r>
              <w:rPr>
                <w:rFonts w:ascii="宋体" w:hAnsi="宋体" w:cs="宋体" w:eastAsia="宋体" w:hint="default"/>
                <w:sz w:val="15"/>
                <w:szCs w:val="15"/>
              </w:rPr>
              <w:t>期初</w:t>
            </w:r>
          </w:p>
        </w:tc>
      </w:tr>
      <w:tr>
        <w:trPr>
          <w:trHeight w:val="353"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b/>
                <w:bCs/>
                <w:sz w:val="15"/>
                <w:szCs w:val="15"/>
              </w:rPr>
              <w:t>资产项：</w:t>
            </w:r>
            <w:r>
              <w:rPr>
                <w:rFonts w:ascii="宋体" w:hAnsi="宋体" w:cs="宋体" w:eastAsia="宋体" w:hint="default"/>
                <w:sz w:val="15"/>
                <w:szCs w:val="15"/>
              </w:rPr>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10,121,535.24</w:t>
            </w:r>
          </w:p>
        </w:tc>
        <w:tc>
          <w:tcPr>
            <w:tcW w:w="2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1"/>
                <w:sz w:val="15"/>
              </w:rPr>
              <w:t>17,076,495.96</w:t>
            </w:r>
          </w:p>
        </w:tc>
      </w:tr>
      <w:tr>
        <w:trPr>
          <w:trHeight w:val="353"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其中：美元</w:t>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10,069,289.69</w:t>
            </w:r>
          </w:p>
        </w:tc>
        <w:tc>
          <w:tcPr>
            <w:tcW w:w="2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1"/>
                <w:sz w:val="15"/>
              </w:rPr>
              <w:t>17,025,774.07</w:t>
            </w:r>
          </w:p>
        </w:tc>
      </w:tr>
      <w:tr>
        <w:trPr>
          <w:trHeight w:val="350"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55" w:right="0"/>
              <w:jc w:val="left"/>
              <w:rPr>
                <w:rFonts w:ascii="宋体" w:hAnsi="宋体" w:cs="宋体" w:eastAsia="宋体" w:hint="default"/>
                <w:sz w:val="15"/>
                <w:szCs w:val="15"/>
              </w:rPr>
            </w:pPr>
            <w:r>
              <w:rPr>
                <w:rFonts w:ascii="宋体" w:hAnsi="宋体" w:cs="宋体" w:eastAsia="宋体" w:hint="default"/>
                <w:sz w:val="15"/>
                <w:szCs w:val="15"/>
              </w:rPr>
              <w:t>港币</w:t>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555.31</w:t>
            </w:r>
          </w:p>
        </w:tc>
        <w:tc>
          <w:tcPr>
            <w:tcW w:w="2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1"/>
                <w:sz w:val="15"/>
              </w:rPr>
              <w:t>50,721.89</w:t>
            </w:r>
          </w:p>
        </w:tc>
      </w:tr>
      <w:tr>
        <w:trPr>
          <w:trHeight w:val="353"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55" w:right="0"/>
              <w:jc w:val="left"/>
              <w:rPr>
                <w:rFonts w:ascii="宋体" w:hAnsi="宋体" w:cs="宋体" w:eastAsia="宋体" w:hint="default"/>
                <w:sz w:val="15"/>
                <w:szCs w:val="15"/>
              </w:rPr>
            </w:pPr>
            <w:r>
              <w:rPr>
                <w:rFonts w:ascii="宋体" w:hAnsi="宋体" w:cs="宋体" w:eastAsia="宋体" w:hint="default"/>
                <w:sz w:val="15"/>
                <w:szCs w:val="15"/>
              </w:rPr>
              <w:t>欧元</w:t>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51,690.24</w:t>
            </w:r>
          </w:p>
        </w:tc>
        <w:tc>
          <w:tcPr>
            <w:tcW w:w="233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b/>
                <w:bCs/>
                <w:sz w:val="15"/>
                <w:szCs w:val="15"/>
              </w:rPr>
              <w:t>负债项：</w:t>
            </w:r>
            <w:r>
              <w:rPr>
                <w:rFonts w:ascii="宋体" w:hAnsi="宋体" w:cs="宋体" w:eastAsia="宋体" w:hint="default"/>
                <w:sz w:val="15"/>
                <w:szCs w:val="15"/>
              </w:rPr>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2,567,281.23</w:t>
            </w:r>
          </w:p>
        </w:tc>
        <w:tc>
          <w:tcPr>
            <w:tcW w:w="2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1"/>
                <w:sz w:val="15"/>
              </w:rPr>
              <w:t>3,431,342.65</w:t>
            </w:r>
          </w:p>
        </w:tc>
      </w:tr>
      <w:tr>
        <w:trPr>
          <w:trHeight w:val="353" w:hRule="exact"/>
        </w:trPr>
        <w:tc>
          <w:tcPr>
            <w:tcW w:w="4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其中：美元</w:t>
            </w:r>
          </w:p>
        </w:tc>
        <w:tc>
          <w:tcPr>
            <w:tcW w:w="27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2,567,281.23</w:t>
            </w:r>
          </w:p>
        </w:tc>
        <w:tc>
          <w:tcPr>
            <w:tcW w:w="2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1"/>
                <w:sz w:val="15"/>
              </w:rPr>
              <w:t>3,431,342.65</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南天电子信息产业 集团公司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电子计算机软硬件 </w:t>
            </w:r>
            <w:r>
              <w:rPr>
                <w:rFonts w:ascii="宋体" w:hAnsi="宋体" w:cs="宋体" w:eastAsia="宋体" w:hint="default"/>
                <w:spacing w:val="-10"/>
                <w:sz w:val="18"/>
                <w:szCs w:val="18"/>
              </w:rPr>
              <w:t>产品的开发、生产销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云南省工业投资控 股集团有限责任公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z w:val="18"/>
                <w:szCs w:val="18"/>
              </w:rPr>
              <w:t>昆明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工业投资</w:t>
            </w:r>
            <w:r>
              <w:rPr>
                <w:rFonts w:ascii="宋体" w:hAnsi="宋体" w:cs="宋体" w:eastAsia="宋体" w:hint="default"/>
                <w:spacing w:val="-82"/>
                <w:sz w:val="18"/>
                <w:szCs w:val="18"/>
              </w:rPr>
              <w:t>、</w:t>
            </w:r>
            <w:r>
              <w:rPr>
                <w:rFonts w:ascii="宋体" w:hAnsi="宋体" w:cs="宋体" w:eastAsia="宋体" w:hint="default"/>
                <w:sz w:val="18"/>
                <w:szCs w:val="18"/>
              </w:rPr>
              <w:t>产业投资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36.14%</w:t>
            </w:r>
          </w:p>
        </w:tc>
      </w:tr>
    </w:tbl>
    <w:p>
      <w:pPr>
        <w:pStyle w:val="BodyText"/>
        <w:spacing w:line="357" w:lineRule="auto" w:before="49"/>
        <w:ind w:left="513" w:right="0" w:hanging="360"/>
        <w:jc w:val="left"/>
      </w:pPr>
      <w:r>
        <w:rPr/>
        <w:t>本企业的母公司情况的说明 </w:t>
      </w:r>
      <w:r>
        <w:rPr>
          <w:spacing w:val="-3"/>
        </w:rPr>
        <w:t>注：（</w:t>
      </w:r>
      <w:r>
        <w:rPr>
          <w:rFonts w:ascii="Times New Roman" w:hAnsi="Times New Roman" w:cs="Times New Roman" w:eastAsia="Times New Roman" w:hint="default"/>
          <w:spacing w:val="-3"/>
        </w:rPr>
        <w:t>1</w:t>
      </w:r>
      <w:r>
        <w:rPr>
          <w:spacing w:val="-3"/>
        </w:rPr>
        <w:t>）截至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日，本公司股份总额为</w:t>
      </w:r>
      <w:r>
        <w:rPr>
          <w:rFonts w:ascii="Times New Roman" w:hAnsi="Times New Roman" w:cs="Times New Roman" w:eastAsia="Times New Roman" w:hint="default"/>
          <w:spacing w:val="-3"/>
        </w:rPr>
        <w:t>246,606,046</w:t>
      </w:r>
      <w:r>
        <w:rPr>
          <w:spacing w:val="-3"/>
        </w:rPr>
        <w:t>股。本公司控股股东南天电子信息产业集团公司将其持有</w:t>
      </w:r>
    </w:p>
    <w:p>
      <w:pPr>
        <w:pStyle w:val="BodyText"/>
        <w:spacing w:line="214" w:lineRule="exact"/>
        <w:ind w:right="0"/>
        <w:jc w:val="left"/>
      </w:pPr>
      <w:r>
        <w:rPr/>
        <w:t>本公司</w:t>
      </w:r>
      <w:r>
        <w:rPr>
          <w:rFonts w:ascii="Times New Roman" w:hAnsi="Times New Roman" w:cs="Times New Roman" w:eastAsia="Times New Roman" w:hint="default"/>
          <w:spacing w:val="1"/>
        </w:rPr>
        <w:t>66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4</w:t>
      </w:r>
      <w:r>
        <w:rPr/>
        <w:t>股股票（占</w:t>
      </w:r>
      <w:r>
        <w:rPr>
          <w:spacing w:val="-3"/>
        </w:rPr>
        <w:t>公</w:t>
      </w:r>
      <w:r>
        <w:rPr/>
        <w:t>司总股本的</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87</w:t>
      </w:r>
      <w:r>
        <w:rPr>
          <w:rFonts w:ascii="Times New Roman" w:hAnsi="Times New Roman" w:cs="Times New Roman" w:eastAsia="Times New Roman" w:hint="default"/>
          <w:spacing w:val="-2"/>
        </w:rPr>
        <w:t>%</w:t>
      </w:r>
      <w:r>
        <w:rPr>
          <w:spacing w:val="-92"/>
        </w:rPr>
        <w:t>）</w:t>
      </w:r>
      <w:r>
        <w:rPr/>
        <w:t>，除股票财产权外的其他权利，委托云南省工业投资控股集团有限责任</w:t>
      </w:r>
    </w:p>
    <w:p>
      <w:pPr>
        <w:pStyle w:val="BodyText"/>
        <w:spacing w:line="300" w:lineRule="auto" w:before="63"/>
        <w:ind w:right="0"/>
        <w:jc w:val="left"/>
      </w:pPr>
      <w:r>
        <w:rPr>
          <w:spacing w:val="-2"/>
        </w:rPr>
        <w:t>公司行使，云南省工业投资控股集团有限责任公司直接持有本公司股份</w:t>
      </w:r>
      <w:r>
        <w:rPr>
          <w:rFonts w:ascii="Times New Roman" w:hAnsi="Times New Roman" w:cs="Times New Roman" w:eastAsia="Times New Roman" w:hint="default"/>
          <w:spacing w:val="-2"/>
        </w:rPr>
        <w:t>22,870,213</w:t>
      </w:r>
      <w:r>
        <w:rPr>
          <w:spacing w:val="-2"/>
        </w:rPr>
        <w:t>股（占本公司总股本的</w:t>
      </w:r>
      <w:r>
        <w:rPr>
          <w:rFonts w:ascii="Times New Roman" w:hAnsi="Times New Roman" w:cs="Times New Roman" w:eastAsia="Times New Roman" w:hint="default"/>
          <w:spacing w:val="-2"/>
        </w:rPr>
        <w:t>9.27%</w:t>
      </w:r>
      <w:r>
        <w:rPr>
          <w:spacing w:val="-2"/>
        </w:rPr>
        <w:t>），云南省工</w:t>
      </w:r>
      <w:r>
        <w:rPr>
          <w:spacing w:val="-70"/>
        </w:rPr>
        <w:t> </w:t>
      </w:r>
      <w:r>
        <w:rPr>
          <w:spacing w:val="-70"/>
        </w:rPr>
      </w:r>
      <w:r>
        <w:rPr/>
        <w:t>业投资控股集团有限责任公司拥有股票</w:t>
      </w:r>
      <w:r>
        <w:rPr>
          <w:rFonts w:ascii="Times New Roman" w:hAnsi="Times New Roman" w:cs="Times New Roman" w:eastAsia="Times New Roman" w:hint="default"/>
        </w:rPr>
        <w:t>89,142,197</w:t>
      </w:r>
      <w:r>
        <w:rPr/>
        <w:t>股的投票权权利，占本公司总股本的</w:t>
      </w:r>
      <w:r>
        <w:rPr>
          <w:rFonts w:ascii="Times New Roman" w:hAnsi="Times New Roman" w:cs="Times New Roman" w:eastAsia="Times New Roman" w:hint="default"/>
        </w:rPr>
        <w:t>36.15%</w:t>
      </w:r>
      <w:r>
        <w:rPr/>
        <w:t>。</w:t>
      </w:r>
    </w:p>
    <w:p>
      <w:pPr>
        <w:pStyle w:val="BodyText"/>
        <w:spacing w:line="309" w:lineRule="auto" w:before="13"/>
        <w:ind w:right="151" w:firstLine="360"/>
        <w:jc w:val="both"/>
      </w:pPr>
      <w:r>
        <w:rPr/>
        <w:t>（</w:t>
      </w:r>
      <w:r>
        <w:rPr>
          <w:rFonts w:ascii="Times New Roman" w:hAnsi="Times New Roman" w:cs="Times New Roman" w:eastAsia="Times New Roman" w:hint="default"/>
        </w:rPr>
        <w:t>2</w:t>
      </w:r>
      <w:r>
        <w:rPr/>
        <w:t>）根据《云南省国有企业改革攻坚战实施方案》和《云南省省属企业全面深化改革攻坚战责任书》确定的各项任务 </w:t>
      </w:r>
      <w:r>
        <w:rPr>
          <w:spacing w:val="-2"/>
        </w:rPr>
        <w:t>目标，为提高决策效率，压缩层级管理，南天信息控股股东南天电子信息产业集团公司与云南省工业投资控股集团有限责任</w:t>
      </w:r>
      <w:r>
        <w:rPr>
          <w:spacing w:val="-66"/>
        </w:rPr>
        <w:t> </w:t>
      </w:r>
      <w:r>
        <w:rPr>
          <w:spacing w:val="-66"/>
        </w:rPr>
      </w:r>
      <w:r>
        <w:rPr>
          <w:spacing w:val="-2"/>
        </w:rPr>
        <w:t>公司（以下简称“工投集团”）签订委托协议，委托工投集团管理其所持有的南天信息的股票、以及股票除财产权之外的其</w:t>
      </w:r>
      <w:r>
        <w:rPr>
          <w:spacing w:val="-72"/>
        </w:rPr>
        <w:t> </w:t>
      </w:r>
      <w:r>
        <w:rPr>
          <w:spacing w:val="-72"/>
        </w:rPr>
      </w:r>
      <w:r>
        <w:rPr>
          <w:spacing w:val="-1"/>
        </w:rPr>
        <w:t>他权利。本次股权委托管理不会导致公司控制权的变更。具体详见公司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日公告的编号为</w:t>
      </w:r>
      <w:r>
        <w:rPr>
          <w:rFonts w:ascii="Times New Roman" w:hAnsi="Times New Roman" w:cs="Times New Roman" w:eastAsia="Times New Roman" w:hint="default"/>
          <w:spacing w:val="-1"/>
        </w:rPr>
        <w:t>2017-039</w:t>
      </w:r>
      <w:r>
        <w:rPr>
          <w:spacing w:val="-1"/>
        </w:rPr>
        <w:t>号的《关于公</w:t>
      </w:r>
      <w:r>
        <w:rPr/>
        <w:t> </w:t>
      </w:r>
      <w:r>
        <w:rPr>
          <w:spacing w:val="-5"/>
        </w:rPr>
        <w:t>司控股股东所持国有股权委托管理公告》。</w:t>
      </w:r>
    </w:p>
    <w:p>
      <w:pPr>
        <w:pStyle w:val="BodyText"/>
        <w:spacing w:line="240" w:lineRule="auto" w:before="65"/>
        <w:ind w:right="0"/>
        <w:jc w:val="left"/>
      </w:pPr>
      <w:r>
        <w:rPr/>
        <w:t>本企业最终控制方是云南省国有资产监督管理委员会。</w:t>
      </w:r>
    </w:p>
    <w:p>
      <w:pPr>
        <w:spacing w:line="240" w:lineRule="auto" w:before="0"/>
        <w:rPr>
          <w:rFonts w:ascii="宋体" w:hAnsi="宋体" w:cs="宋体" w:eastAsia="宋体" w:hint="default"/>
          <w:sz w:val="18"/>
          <w:szCs w:val="18"/>
        </w:rPr>
      </w:pPr>
    </w:p>
    <w:p>
      <w:pPr>
        <w:spacing w:line="547" w:lineRule="auto" w:before="118"/>
        <w:ind w:left="153" w:right="58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1313"/>
        <w:jc w:val="left"/>
      </w:pPr>
      <w:r>
        <w:rPr/>
        <w:t>本企业重要的合营或联营企业详见附注八、</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厦门南天世纪信息技术有限公司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云南东盟公共物流信息有限公司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云南国资物业管理有限公司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同受工投集团控制</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云南国资物业管理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81" w:right="0"/>
              <w:jc w:val="left"/>
              <w:rPr>
                <w:rFonts w:ascii="Arial Narrow" w:hAnsi="Arial Narrow" w:cs="Arial Narrow" w:eastAsia="Arial Narrow" w:hint="default"/>
                <w:sz w:val="18"/>
                <w:szCs w:val="18"/>
              </w:rPr>
            </w:pPr>
            <w:r>
              <w:rPr>
                <w:rFonts w:ascii="Arial Narrow"/>
                <w:sz w:val="18"/>
              </w:rPr>
              <w:t>842,835.98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1,043,011.20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6,677.89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5,331.21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云南东盟公共物流信息有限公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253,451.99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云南省工业投资控股集团有限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集成、软件开发及服务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127,358.49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代收代付的关联交易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364"/>
        <w:jc w:val="right"/>
      </w:pPr>
      <w:r>
        <w:rPr/>
        <w:pict>
          <v:shape style="position:absolute;margin-left:56.304001pt;margin-top:-32.668278pt;width:469.1pt;height:100.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253"/>
                    <w:gridCol w:w="1438"/>
                    <w:gridCol w:w="1205"/>
                    <w:gridCol w:w="963"/>
                    <w:gridCol w:w="1205"/>
                    <w:gridCol w:w="1121"/>
                  </w:tblGrid>
                  <w:tr>
                    <w:trPr>
                      <w:trHeight w:val="356" w:hRule="exact"/>
                    </w:trPr>
                    <w:tc>
                      <w:tcPr>
                        <w:tcW w:w="2160"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438" w:type="dxa"/>
                        <w:vMerge w:val="restart"/>
                        <w:tcBorders>
                          <w:top w:val="single" w:sz="6" w:space="0" w:color="000000"/>
                          <w:left w:val="single" w:sz="6" w:space="0" w:color="000000"/>
                          <w:right w:val="single" w:sz="6" w:space="0" w:color="000000"/>
                        </w:tcBorders>
                      </w:tcPr>
                      <w:p>
                        <w:pPr>
                          <w:pStyle w:val="TableParagraph"/>
                          <w:spacing w:line="240" w:lineRule="auto" w:before="20"/>
                          <w:ind w:left="1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6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7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977" w:hRule="exact"/>
                    </w:trPr>
                    <w:tc>
                      <w:tcPr>
                        <w:tcW w:w="2160" w:type="dxa"/>
                        <w:vMerge/>
                        <w:tcBorders>
                          <w:left w:val="single" w:sz="6" w:space="0" w:color="000000"/>
                          <w:bottom w:val="single" w:sz="12" w:space="0" w:color="000000"/>
                          <w:right w:val="single" w:sz="6" w:space="0" w:color="000000"/>
                        </w:tcBorders>
                      </w:tcPr>
                      <w:p>
                        <w:pPr/>
                      </w:p>
                    </w:tc>
                    <w:tc>
                      <w:tcPr>
                        <w:tcW w:w="1253" w:type="dxa"/>
                        <w:vMerge/>
                        <w:tcBorders>
                          <w:left w:val="single" w:sz="6" w:space="0" w:color="000000"/>
                          <w:bottom w:val="single" w:sz="12" w:space="0" w:color="000000"/>
                          <w:right w:val="single" w:sz="6" w:space="0" w:color="000000"/>
                        </w:tcBorders>
                      </w:tcPr>
                      <w:p>
                        <w:pPr/>
                      </w:p>
                    </w:tc>
                    <w:tc>
                      <w:tcPr>
                        <w:tcW w:w="1438" w:type="dxa"/>
                        <w:vMerge/>
                        <w:tcBorders>
                          <w:left w:val="single" w:sz="6" w:space="0" w:color="000000"/>
                          <w:bottom w:val="single" w:sz="12" w:space="0" w:color="000000"/>
                          <w:right w:val="single" w:sz="6" w:space="0" w:color="000000"/>
                        </w:tcBorders>
                      </w:tcPr>
                      <w:p>
                        <w:pP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6" w:right="20"/>
                          <w:jc w:val="center"/>
                          <w:rPr>
                            <w:rFonts w:ascii="宋体" w:hAnsi="宋体" w:cs="宋体" w:eastAsia="宋体" w:hint="default"/>
                            <w:sz w:val="18"/>
                            <w:szCs w:val="18"/>
                          </w:rPr>
                        </w:pPr>
                        <w:r>
                          <w:rPr>
                            <w:rFonts w:ascii="宋体" w:hAnsi="宋体" w:cs="宋体" w:eastAsia="宋体" w:hint="default"/>
                            <w:sz w:val="18"/>
                            <w:szCs w:val="18"/>
                          </w:rPr>
                          <w:t>占同类交易 金额的比例</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4" w:right="17"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w:t>
                        </w:r>
                        <w:r>
                          <w:rPr>
                            <w:rFonts w:ascii="宋体" w:hAnsi="宋体" w:cs="宋体" w:eastAsia="宋体" w:hint="default"/>
                            <w:spacing w:val="-7"/>
                            <w:sz w:val="18"/>
                            <w:szCs w:val="18"/>
                          </w:rPr>
                          <w:t>额的比例（</w:t>
                        </w:r>
                        <w:r>
                          <w:rPr>
                            <w:rFonts w:ascii="Times New Roman" w:hAnsi="Times New Roman" w:cs="Times New Roman" w:eastAsia="Times New Roman" w:hint="default"/>
                            <w:spacing w:val="-7"/>
                            <w:sz w:val="18"/>
                            <w:szCs w:val="18"/>
                          </w:rPr>
                          <w:t>%</w:t>
                        </w:r>
                      </w:p>
                    </w:tc>
                  </w:tr>
                  <w:tr>
                    <w:trPr>
                      <w:trHeight w:val="665"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pacing w:val="14"/>
                            <w:sz w:val="18"/>
                            <w:szCs w:val="18"/>
                          </w:rPr>
                          <w:t>云南佳程防伪科技有限公</w:t>
                        </w:r>
                        <w:r>
                          <w:rPr>
                            <w:rFonts w:ascii="宋体" w:hAnsi="宋体" w:cs="宋体" w:eastAsia="宋体" w:hint="default"/>
                            <w:sz w:val="18"/>
                            <w:szCs w:val="18"/>
                          </w:rPr>
                          <w:t> 司</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59" w:right="-1"/>
                          <w:jc w:val="left"/>
                          <w:rPr>
                            <w:rFonts w:ascii="Times New Roman" w:hAnsi="Times New Roman" w:cs="Times New Roman" w:eastAsia="Times New Roman" w:hint="default"/>
                            <w:sz w:val="18"/>
                            <w:szCs w:val="18"/>
                          </w:rPr>
                        </w:pPr>
                        <w:r>
                          <w:rPr>
                            <w:rFonts w:ascii="Times New Roman"/>
                            <w:sz w:val="18"/>
                          </w:rPr>
                          <w:t>4,750.44</w:t>
                        </w:r>
                      </w:p>
                    </w:tc>
                    <w:tc>
                      <w:tcPr>
                        <w:tcW w:w="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100.00</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0" w:right="-1"/>
                          <w:jc w:val="left"/>
                          <w:rPr>
                            <w:rFonts w:ascii="Times New Roman" w:hAnsi="Times New Roman" w:cs="Times New Roman" w:eastAsia="Times New Roman" w:hint="default"/>
                            <w:sz w:val="18"/>
                            <w:szCs w:val="18"/>
                          </w:rPr>
                        </w:pPr>
                        <w:r>
                          <w:rPr>
                            <w:rFonts w:ascii="Times New Roman"/>
                            <w:sz w:val="18"/>
                          </w:rPr>
                          <w:t>32,956.12</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云南医药工业股份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583,599.90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583,599.90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149,620.47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厦门南天世纪信息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240,831.00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16,213.32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240,831.00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2,781.18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云南佳程防伪科技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53,156.16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48,405.72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2,304.33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933" w:hanging="360"/>
        <w:jc w:val="left"/>
        <w:rPr>
          <w:rFonts w:ascii="宋体" w:hAnsi="宋体" w:cs="宋体" w:eastAsia="宋体" w:hint="default"/>
        </w:rPr>
      </w:pPr>
      <w:r>
        <w:rPr/>
        <w:t>公司控股股东南天电子信息产业集团公司在公司发行股票时关于避免同业竞争的承诺： 承诺公司及公司控制的全资或控股子企业目前没有，将来亦不会在中国境内外：</w:t>
      </w:r>
      <w:r>
        <w:rPr>
          <w:rFonts w:ascii="宋体" w:hAnsi="宋体" w:cs="宋体" w:eastAsia="宋体" w:hint="default"/>
        </w:rPr>
        <w:t> </w:t>
      </w:r>
    </w:p>
    <w:p>
      <w:pPr>
        <w:pStyle w:val="BodyText"/>
        <w:spacing w:line="309" w:lineRule="auto" w:before="19"/>
        <w:ind w:right="150" w:firstLine="432"/>
        <w:jc w:val="both"/>
        <w:rPr>
          <w:rFonts w:ascii="宋体" w:hAnsi="宋体" w:cs="宋体" w:eastAsia="宋体" w:hint="default"/>
        </w:rPr>
      </w:pPr>
      <w:r>
        <w:rPr>
          <w:spacing w:val="-2"/>
        </w:rPr>
        <w:t>（</w:t>
      </w:r>
      <w:r>
        <w:rPr>
          <w:rFonts w:ascii="Times New Roman" w:hAnsi="Times New Roman" w:cs="Times New Roman" w:eastAsia="Times New Roman" w:hint="default"/>
          <w:spacing w:val="-2"/>
        </w:rPr>
        <w:t>1</w:t>
      </w:r>
      <w:r>
        <w:rPr>
          <w:spacing w:val="-2"/>
        </w:rPr>
        <w:t>）以任何方式直接或间接控制任何导致或可能导致与南天信息（包括南天信息控股子公司，下同）主营业务直接或</w:t>
      </w:r>
      <w:r>
        <w:rPr/>
        <w:t> </w:t>
      </w:r>
      <w:r>
        <w:rPr>
          <w:spacing w:val="-2"/>
        </w:rPr>
        <w:t>间接产生竞争的业务或活动的企业，本公司及本公司控制的全资或控股子企业亦不生产任何与南天信息产品相同或相似或可</w:t>
      </w:r>
      <w:r>
        <w:rPr>
          <w:spacing w:val="-63"/>
        </w:rPr>
        <w:t> </w:t>
      </w:r>
      <w:r>
        <w:rPr>
          <w:spacing w:val="-63"/>
        </w:rPr>
      </w:r>
      <w:r>
        <w:rPr/>
        <w:t>以取代南天信息公司产品的产品；</w:t>
      </w:r>
      <w:r>
        <w:rPr>
          <w:rFonts w:ascii="宋体" w:hAnsi="宋体" w:cs="宋体" w:eastAsia="宋体" w:hint="default"/>
        </w:rPr>
        <w:t> </w:t>
      </w:r>
    </w:p>
    <w:p>
      <w:pPr>
        <w:pStyle w:val="BodyText"/>
        <w:spacing w:line="300" w:lineRule="auto" w:before="24"/>
        <w:ind w:right="159" w:firstLine="360"/>
        <w:jc w:val="both"/>
        <w:rPr>
          <w:rFonts w:ascii="宋体" w:hAnsi="宋体" w:cs="宋体" w:eastAsia="宋体" w:hint="default"/>
        </w:rPr>
      </w:pPr>
      <w:r>
        <w:rPr/>
        <w:t>（</w:t>
      </w:r>
      <w:r>
        <w:rPr>
          <w:rFonts w:ascii="Times New Roman" w:hAnsi="Times New Roman" w:cs="Times New Roman" w:eastAsia="Times New Roman" w:hint="default"/>
        </w:rPr>
        <w:t>2</w:t>
      </w:r>
      <w:r>
        <w:rPr/>
        <w:t>）如南天信息认为本公司及本公司控制的全资或控股子企业从事了对南天信息的业务构成竞争的业务，本公司及本 公司控制的全资或控股子企业将愿意以公平合理的价格将该等资产或股权转让给南天信息；</w:t>
      </w:r>
      <w:r>
        <w:rPr>
          <w:rFonts w:ascii="宋体" w:hAnsi="宋体" w:cs="宋体" w:eastAsia="宋体" w:hint="default"/>
        </w:rPr>
        <w:t> </w:t>
      </w:r>
    </w:p>
    <w:p>
      <w:pPr>
        <w:pStyle w:val="BodyText"/>
        <w:spacing w:line="309" w:lineRule="auto" w:before="31"/>
        <w:ind w:right="152" w:firstLine="360"/>
        <w:jc w:val="both"/>
      </w:pPr>
      <w:r>
        <w:rPr/>
        <w:t>（</w:t>
      </w:r>
      <w:r>
        <w:rPr>
          <w:rFonts w:ascii="Times New Roman" w:hAnsi="Times New Roman" w:cs="Times New Roman" w:eastAsia="Times New Roman" w:hint="default"/>
        </w:rPr>
        <w:t>3</w:t>
      </w:r>
      <w:r>
        <w:rPr/>
        <w:t>）如果本公司及本公司控制的全资或控股子企业将来可能存在任何与南天信息主营业务产生直接或间接竞争的业务 </w:t>
      </w:r>
      <w:r>
        <w:rPr>
          <w:spacing w:val="-2"/>
        </w:rPr>
        <w:t>机会，应立即通知南天信息并尽力促使该业务机会按南天信息能合理接受的条款和条件首先提供给南天信息，南天信息对上</w:t>
      </w:r>
      <w:r>
        <w:rPr>
          <w:spacing w:val="-64"/>
        </w:rPr>
        <w:t> </w:t>
      </w:r>
      <w:r>
        <w:rPr>
          <w:spacing w:val="-64"/>
        </w:rPr>
      </w:r>
      <w:r>
        <w:rPr/>
        <w:t>述业务享有优先购买权。</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十一、承诺及或有事项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5633" w:hanging="360"/>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日，本公司无重要承诺事项。</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资产负债表日存在的重要或有事项</w:t>
      </w:r>
    </w:p>
    <w:p>
      <w:pPr>
        <w:pStyle w:val="BodyText"/>
        <w:spacing w:line="300" w:lineRule="auto" w:before="115"/>
        <w:ind w:left="513" w:right="4328"/>
        <w:jc w:val="left"/>
      </w:pPr>
      <w:r>
        <w:rPr/>
        <w:t>（</w:t>
      </w:r>
      <w:r>
        <w:rPr>
          <w:rFonts w:ascii="Times New Roman" w:hAnsi="Times New Roman" w:cs="Times New Roman" w:eastAsia="Times New Roman" w:hint="default"/>
        </w:rPr>
        <w:t>1</w:t>
      </w:r>
      <w:r>
        <w:rPr/>
        <w:t>）保函事项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日，本公司开具的保函金额为</w:t>
      </w:r>
      <w:r>
        <w:rPr>
          <w:rFonts w:ascii="Times New Roman" w:hAnsi="Times New Roman" w:cs="Times New Roman" w:eastAsia="Times New Roman" w:hint="default"/>
        </w:rPr>
        <w:t>135,304,239.00</w:t>
      </w:r>
      <w:r>
        <w:rPr/>
        <w:t>元</w:t>
      </w:r>
    </w:p>
    <w:p>
      <w:pPr>
        <w:pStyle w:val="BodyText"/>
        <w:spacing w:line="300" w:lineRule="auto" w:before="13"/>
        <w:ind w:left="513" w:right="0"/>
        <w:jc w:val="left"/>
      </w:pPr>
      <w:r>
        <w:rPr/>
        <w:t>（</w:t>
      </w:r>
      <w:r>
        <w:rPr>
          <w:rFonts w:ascii="Times New Roman" w:hAnsi="Times New Roman" w:cs="Times New Roman" w:eastAsia="Times New Roman" w:hint="default"/>
        </w:rPr>
        <w:t>2</w:t>
      </w:r>
      <w:r>
        <w:rPr/>
        <w:t>）向法院起诉请求解散联营企业云南佳程防伪科技有限公司 </w:t>
      </w:r>
      <w:r>
        <w:rPr>
          <w:spacing w:val="-2"/>
          <w:w w:val="100"/>
        </w:rPr>
        <w:t>南天信息</w:t>
      </w:r>
      <w:r>
        <w:rPr>
          <w:rFonts w:ascii="Times New Roman" w:hAnsi="Times New Roman" w:cs="Times New Roman" w:eastAsia="Times New Roman" w:hint="default"/>
          <w:spacing w:val="-2"/>
          <w:w w:val="100"/>
        </w:rPr>
        <w:t>2003</w:t>
      </w:r>
      <w:r>
        <w:rPr>
          <w:spacing w:val="-2"/>
          <w:w w:val="100"/>
        </w:rPr>
        <w:t>年参股设立了云南佳程防伪科技有限公司（以下简称</w:t>
      </w:r>
      <w:r>
        <w:rPr>
          <w:rFonts w:ascii="Times New Roman" w:hAnsi="Times New Roman" w:cs="Times New Roman" w:eastAsia="Times New Roman" w:hint="default"/>
          <w:spacing w:val="-2"/>
          <w:w w:val="100"/>
        </w:rPr>
        <w:t>“</w:t>
      </w:r>
      <w:r>
        <w:rPr>
          <w:spacing w:val="-2"/>
          <w:w w:val="100"/>
        </w:rPr>
        <w:t>云南佳程</w:t>
      </w:r>
      <w:r>
        <w:rPr>
          <w:rFonts w:ascii="Times New Roman" w:hAnsi="Times New Roman" w:cs="Times New Roman" w:eastAsia="Times New Roman" w:hint="default"/>
          <w:spacing w:val="-2"/>
          <w:w w:val="100"/>
        </w:rPr>
        <w:t>”</w:t>
      </w:r>
      <w:r>
        <w:rPr>
          <w:spacing w:val="-2"/>
          <w:w w:val="100"/>
        </w:rPr>
        <w:t>），主营税控机，注册资本为</w:t>
      </w:r>
      <w:r>
        <w:rPr>
          <w:rFonts w:ascii="Times New Roman" w:hAnsi="Times New Roman" w:cs="Times New Roman" w:eastAsia="Times New Roman" w:hint="default"/>
          <w:spacing w:val="-2"/>
          <w:w w:val="100"/>
        </w:rPr>
        <w:t>5,100</w:t>
      </w:r>
      <w:r>
        <w:rPr>
          <w:spacing w:val="-2"/>
          <w:w w:val="100"/>
        </w:rPr>
        <w:t>万元，</w:t>
      </w:r>
    </w:p>
    <w:p>
      <w:pPr>
        <w:pStyle w:val="BodyText"/>
        <w:spacing w:line="307" w:lineRule="auto" w:before="13"/>
        <w:ind w:right="148"/>
        <w:jc w:val="both"/>
      </w:pPr>
      <w:r>
        <w:rPr>
          <w:spacing w:val="-1"/>
        </w:rPr>
        <w:t>公司持有其</w:t>
      </w:r>
      <w:r>
        <w:rPr>
          <w:rFonts w:ascii="Times New Roman" w:hAnsi="Times New Roman" w:cs="Times New Roman" w:eastAsia="Times New Roman" w:hint="default"/>
          <w:spacing w:val="-1"/>
        </w:rPr>
        <w:t>20%</w:t>
      </w:r>
      <w:r>
        <w:rPr>
          <w:spacing w:val="-1"/>
        </w:rPr>
        <w:t>的股权。截止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日，投资的账面价值为</w:t>
      </w:r>
      <w:r>
        <w:rPr>
          <w:rFonts w:ascii="Times New Roman" w:hAnsi="Times New Roman" w:cs="Times New Roman" w:eastAsia="Times New Roman" w:hint="default"/>
          <w:spacing w:val="-1"/>
        </w:rPr>
        <w:t>1,266.25</w:t>
      </w:r>
      <w:r>
        <w:rPr>
          <w:spacing w:val="-1"/>
        </w:rPr>
        <w:t>万元，其中投资成本为</w:t>
      </w:r>
      <w:r>
        <w:rPr>
          <w:rFonts w:ascii="Times New Roman" w:hAnsi="Times New Roman" w:cs="Times New Roman" w:eastAsia="Times New Roman" w:hint="default"/>
          <w:spacing w:val="-1"/>
        </w:rPr>
        <w:t>1,020</w:t>
      </w:r>
      <w:r>
        <w:rPr>
          <w:spacing w:val="-1"/>
        </w:rPr>
        <w:t>万元。因营改增导致</w:t>
      </w:r>
      <w:r>
        <w:rPr>
          <w:spacing w:val="-42"/>
        </w:rPr>
        <w:t> </w:t>
      </w:r>
      <w:r>
        <w:rPr>
          <w:spacing w:val="-42"/>
        </w:rPr>
      </w:r>
      <w:r>
        <w:rPr>
          <w:spacing w:val="-2"/>
        </w:rPr>
        <w:t>云南佳程业务停滞，且与其大股东长沙高新开发区佳程科技有限公司对其是否持续经营，无法达成一致意见，为保护公司和</w:t>
      </w:r>
      <w:r>
        <w:rPr>
          <w:spacing w:val="-63"/>
        </w:rPr>
        <w:t> </w:t>
      </w:r>
      <w:r>
        <w:rPr>
          <w:spacing w:val="-63"/>
        </w:rPr>
      </w:r>
      <w:r>
        <w:rPr>
          <w:spacing w:val="-2"/>
        </w:rPr>
        <w:t>股东利益，南天信息向昆明市中级人民法院起诉参股公司云南佳程，请求解散该公司。该案已由市中院于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日受理</w:t>
      </w:r>
      <w:r>
        <w:rPr>
          <w:spacing w:val="-62"/>
        </w:rPr>
        <w:t> </w:t>
      </w:r>
      <w:r>
        <w:rPr>
          <w:spacing w:val="-62"/>
        </w:rPr>
      </w:r>
      <w:r>
        <w:rPr>
          <w:spacing w:val="-3"/>
        </w:rPr>
        <w:t>立案。具体详见公司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日公告的编号为</w:t>
      </w:r>
      <w:r>
        <w:rPr>
          <w:rFonts w:ascii="Times New Roman" w:hAnsi="Times New Roman" w:cs="Times New Roman" w:eastAsia="Times New Roman" w:hint="default"/>
          <w:spacing w:val="-3"/>
        </w:rPr>
        <w:t>2018-008</w:t>
      </w:r>
      <w:r>
        <w:rPr>
          <w:spacing w:val="-3"/>
        </w:rPr>
        <w:t>号的《关于涉及诉讼的公告》。</w:t>
      </w:r>
    </w:p>
    <w:p>
      <w:pPr>
        <w:pStyle w:val="BodyText"/>
        <w:spacing w:line="319" w:lineRule="auto" w:before="7"/>
        <w:ind w:right="150" w:firstLine="360"/>
        <w:jc w:val="both"/>
      </w:pPr>
      <w:r>
        <w:rPr>
          <w:spacing w:val="-2"/>
        </w:rPr>
        <w:t>基于南天信息掌握的情况，云南佳程的债权主要为其大股东及其关联方的债权，因上述案件暂未开庭审理，且云南佳程</w:t>
      </w:r>
      <w:r>
        <w:rPr/>
        <w:t> </w:t>
      </w:r>
      <w:r>
        <w:rPr>
          <w:spacing w:val="-2"/>
        </w:rPr>
        <w:t>大股东及其关联方偿还能力尚无法确知，暂时无法预计本次诉讼对南天信息的利润或期后利润的影响，本期按照一定的方法</w:t>
      </w:r>
      <w:r>
        <w:rPr>
          <w:spacing w:val="-63"/>
        </w:rPr>
        <w:t> </w:t>
      </w:r>
      <w:r>
        <w:rPr>
          <w:spacing w:val="-63"/>
        </w:rPr>
      </w:r>
      <w:r>
        <w:rPr/>
        <w:t>对该投资计提了相应的减值准备，后续将根据诉讼的进展情况以及未来的偿还情况，确认投资损益。</w:t>
      </w:r>
    </w:p>
    <w:p>
      <w:pPr>
        <w:pStyle w:val="BodyText"/>
        <w:spacing w:line="240" w:lineRule="auto" w:before="17"/>
        <w:ind w:left="513" w:right="0"/>
        <w:jc w:val="left"/>
      </w:pPr>
      <w:r>
        <w:rPr/>
        <w:t>（</w:t>
      </w:r>
      <w:r>
        <w:rPr>
          <w:rFonts w:ascii="Times New Roman" w:hAnsi="Times New Roman" w:cs="Times New Roman" w:eastAsia="Times New Roman" w:hint="default"/>
        </w:rPr>
        <w:t>3</w:t>
      </w:r>
      <w:r>
        <w:rPr/>
        <w:t>）向法院起诉康联医药集团有限责任公司</w:t>
      </w:r>
    </w:p>
    <w:p>
      <w:pPr>
        <w:pStyle w:val="BodyText"/>
        <w:spacing w:line="302" w:lineRule="auto" w:before="63"/>
        <w:ind w:right="148" w:firstLine="360"/>
        <w:jc w:val="both"/>
      </w:pPr>
      <w:r>
        <w:rPr>
          <w:spacing w:val="-3"/>
          <w:w w:val="100"/>
        </w:rPr>
        <w:t>南天信息子公司北京南天信息工程有限公司（以下简称</w:t>
      </w:r>
      <w:r>
        <w:rPr>
          <w:rFonts w:ascii="Times New Roman" w:hAnsi="Times New Roman" w:cs="Times New Roman" w:eastAsia="Times New Roman" w:hint="default"/>
          <w:spacing w:val="-3"/>
          <w:w w:val="100"/>
        </w:rPr>
        <w:t>“</w:t>
      </w:r>
      <w:r>
        <w:rPr>
          <w:spacing w:val="-3"/>
          <w:w w:val="100"/>
        </w:rPr>
        <w:t>北信工</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2013</w:t>
      </w:r>
      <w:r>
        <w:rPr>
          <w:spacing w:val="-3"/>
          <w:w w:val="100"/>
        </w:rPr>
        <w:t>年</w:t>
      </w:r>
      <w:r>
        <w:rPr>
          <w:rFonts w:ascii="Times New Roman" w:hAnsi="Times New Roman" w:cs="Times New Roman" w:eastAsia="Times New Roman" w:hint="default"/>
          <w:spacing w:val="-3"/>
          <w:w w:val="100"/>
        </w:rPr>
        <w:t>6</w:t>
      </w:r>
      <w:r>
        <w:rPr>
          <w:spacing w:val="-3"/>
          <w:w w:val="100"/>
        </w:rPr>
        <w:t>月</w:t>
      </w:r>
      <w:r>
        <w:rPr>
          <w:rFonts w:ascii="Times New Roman" w:hAnsi="Times New Roman" w:cs="Times New Roman" w:eastAsia="Times New Roman" w:hint="default"/>
          <w:spacing w:val="-3"/>
          <w:w w:val="100"/>
        </w:rPr>
        <w:t>16</w:t>
      </w:r>
      <w:r>
        <w:rPr>
          <w:spacing w:val="-3"/>
          <w:w w:val="100"/>
        </w:rPr>
        <w:t>日与康联医药集团有限责任公司（以下</w:t>
      </w:r>
      <w:r>
        <w:rPr/>
        <w:t> </w:t>
      </w:r>
      <w:r>
        <w:rPr>
          <w:spacing w:val="-2"/>
        </w:rPr>
        <w:t>简称</w:t>
      </w:r>
      <w:r>
        <w:rPr>
          <w:rFonts w:ascii="Times New Roman" w:hAnsi="Times New Roman" w:cs="Times New Roman" w:eastAsia="Times New Roman" w:hint="default"/>
          <w:spacing w:val="-2"/>
        </w:rPr>
        <w:t>“</w:t>
      </w:r>
      <w:r>
        <w:rPr>
          <w:spacing w:val="-2"/>
        </w:rPr>
        <w:t>康联医药</w:t>
      </w:r>
      <w:r>
        <w:rPr>
          <w:rFonts w:ascii="Times New Roman" w:hAnsi="Times New Roman" w:cs="Times New Roman" w:eastAsia="Times New Roman" w:hint="default"/>
          <w:spacing w:val="-2"/>
        </w:rPr>
        <w:t>”</w:t>
      </w:r>
      <w:r>
        <w:rPr>
          <w:spacing w:val="-2"/>
        </w:rPr>
        <w:t>）签署了编号为</w:t>
      </w:r>
      <w:r>
        <w:rPr>
          <w:rFonts w:ascii="Times New Roman" w:hAnsi="Times New Roman" w:cs="Times New Roman" w:eastAsia="Times New Roman" w:hint="default"/>
          <w:spacing w:val="-2"/>
        </w:rPr>
        <w:t>A201310248</w:t>
      </w:r>
      <w:r>
        <w:rPr>
          <w:spacing w:val="-2"/>
        </w:rPr>
        <w:t>的《购销合同》，北信工按照合同规定，已完成全部供货并验收合格，经北信工</w:t>
      </w:r>
      <w:r>
        <w:rPr>
          <w:spacing w:val="-80"/>
        </w:rPr>
        <w:t> </w:t>
      </w:r>
      <w:r>
        <w:rPr>
          <w:spacing w:val="-80"/>
        </w:rPr>
      </w:r>
      <w:r>
        <w:rPr>
          <w:spacing w:val="-2"/>
        </w:rPr>
        <w:t>多次催收，康联医药仍未按合同规定支付剩余款项，北信工向北京市西城区人民法院起诉康联医药，请求其支付剩余货款以</w:t>
      </w:r>
      <w:r>
        <w:rPr>
          <w:spacing w:val="-63"/>
        </w:rPr>
        <w:t> </w:t>
      </w:r>
      <w:r>
        <w:rPr>
          <w:spacing w:val="-63"/>
        </w:rPr>
      </w:r>
      <w:r>
        <w:rPr/>
        <w:t>及违约金共计</w:t>
      </w:r>
      <w:r>
        <w:rPr>
          <w:rFonts w:ascii="Times New Roman" w:hAnsi="Times New Roman" w:cs="Times New Roman" w:eastAsia="Times New Roman" w:hint="default"/>
        </w:rPr>
        <w:t>11,052,416.60</w:t>
      </w:r>
      <w:r>
        <w:rPr/>
        <w:t>元；北京市西城区人民法院于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日作出一审判决，由康联医药向北信工支付货款及违 </w:t>
      </w:r>
      <w:r>
        <w:rPr>
          <w:spacing w:val="-3"/>
        </w:rPr>
        <w:t>约金（详见（</w:t>
      </w:r>
      <w:r>
        <w:rPr>
          <w:rFonts w:ascii="Times New Roman" w:hAnsi="Times New Roman" w:cs="Times New Roman" w:eastAsia="Times New Roman" w:hint="default"/>
          <w:spacing w:val="-3"/>
        </w:rPr>
        <w:t>2016</w:t>
      </w:r>
      <w:r>
        <w:rPr>
          <w:spacing w:val="-3"/>
        </w:rPr>
        <w:t>）</w:t>
      </w:r>
      <w:r>
        <w:rPr>
          <w:spacing w:val="-27"/>
        </w:rPr>
        <w:t> </w:t>
      </w:r>
      <w:r>
        <w:rPr/>
        <w:t>京</w:t>
      </w:r>
      <w:r>
        <w:rPr>
          <w:rFonts w:ascii="Times New Roman" w:hAnsi="Times New Roman" w:cs="Times New Roman" w:eastAsia="Times New Roman" w:hint="default"/>
        </w:rPr>
        <w:t>0102</w:t>
      </w:r>
      <w:r>
        <w:rPr/>
        <w:t>民初</w:t>
      </w:r>
      <w:r>
        <w:rPr>
          <w:rFonts w:ascii="Times New Roman" w:hAnsi="Times New Roman" w:cs="Times New Roman" w:eastAsia="Times New Roman" w:hint="default"/>
        </w:rPr>
        <w:t>18506</w:t>
      </w:r>
      <w:r>
        <w:rPr/>
        <w:t>号公告》以及公司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日公告的编号为</w:t>
      </w:r>
      <w:r>
        <w:rPr>
          <w:rFonts w:ascii="Times New Roman" w:hAnsi="Times New Roman" w:cs="Times New Roman" w:eastAsia="Times New Roman" w:hint="default"/>
        </w:rPr>
        <w:t>2017-020</w:t>
      </w:r>
      <w:r>
        <w:rPr/>
        <w:t>号的《关于诉讼事项进展情况 </w:t>
      </w:r>
      <w:r>
        <w:rPr>
          <w:spacing w:val="-4"/>
        </w:rPr>
        <w:t>的公告》）。截止审计报告日，北信工应收康联医药货款共计</w:t>
      </w:r>
      <w:r>
        <w:rPr>
          <w:rFonts w:ascii="Times New Roman" w:hAnsi="Times New Roman" w:cs="Times New Roman" w:eastAsia="Times New Roman" w:hint="default"/>
          <w:spacing w:val="-4"/>
        </w:rPr>
        <w:t>7,567,000.00</w:t>
      </w:r>
      <w:r>
        <w:rPr>
          <w:spacing w:val="-4"/>
        </w:rPr>
        <w:t>元，由于上述诉讼案件尚未履行完毕，对公司利润</w:t>
      </w:r>
      <w:r>
        <w:rPr>
          <w:spacing w:val="-32"/>
        </w:rPr>
        <w:t> </w:t>
      </w:r>
      <w:r>
        <w:rPr>
          <w:spacing w:val="-32"/>
        </w:rPr>
      </w:r>
      <w:r>
        <w:rPr/>
        <w:t>的影响尚不能预计，按照南天信息会计政策对该笔款项计提坏账</w:t>
      </w:r>
      <w:r>
        <w:rPr>
          <w:rFonts w:ascii="Times New Roman" w:hAnsi="Times New Roman" w:cs="Times New Roman" w:eastAsia="Times New Roman" w:hint="default"/>
        </w:rPr>
        <w:t>2,270,100.00</w:t>
      </w:r>
      <w:r>
        <w:rPr/>
        <w:t>元。</w:t>
      </w:r>
    </w:p>
    <w:p>
      <w:pPr>
        <w:spacing w:after="0" w:line="302"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4,932,120.92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40" w:right="0"/>
        <w:jc w:val="left"/>
      </w:pPr>
      <w:r>
        <w:rPr/>
        <w:t>参与认购红岭云非公开发行股票事宜</w:t>
      </w:r>
    </w:p>
    <w:p>
      <w:pPr>
        <w:spacing w:line="240" w:lineRule="auto" w:before="10"/>
        <w:rPr>
          <w:rFonts w:ascii="宋体" w:hAnsi="宋体" w:cs="宋体" w:eastAsia="宋体" w:hint="default"/>
          <w:sz w:val="17"/>
          <w:szCs w:val="17"/>
        </w:rPr>
      </w:pPr>
    </w:p>
    <w:p>
      <w:pPr>
        <w:pStyle w:val="BodyText"/>
        <w:spacing w:line="300" w:lineRule="auto"/>
        <w:ind w:right="150" w:firstLine="487"/>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5</w:t>
      </w:r>
      <w:r>
        <w:rPr>
          <w:spacing w:val="-1"/>
        </w:rPr>
        <w:t>日，本公司第七届董事会第八次会议批准了认购新三板公司云南红岭云科技股份有限公司（以下简称“红</w:t>
      </w:r>
      <w:r>
        <w:rPr/>
        <w:t> </w:t>
      </w:r>
      <w:r>
        <w:rPr>
          <w:spacing w:val="-4"/>
        </w:rPr>
        <w:t>岭云”）非公开发行股票事宜，与红岭云及其股东徐涛、曾健昆签署了《股票发行认购协议》，将以</w:t>
      </w:r>
      <w:r>
        <w:rPr>
          <w:rFonts w:ascii="Times New Roman" w:hAnsi="Times New Roman" w:cs="Times New Roman" w:eastAsia="Times New Roman" w:hint="default"/>
          <w:spacing w:val="-4"/>
        </w:rPr>
        <w:t>30,984,128.56</w:t>
      </w:r>
      <w:r>
        <w:rPr>
          <w:spacing w:val="-4"/>
        </w:rPr>
        <w:t>元人民币认</w:t>
      </w:r>
      <w:r>
        <w:rPr>
          <w:spacing w:val="-70"/>
        </w:rPr>
        <w:t> </w:t>
      </w:r>
      <w:r>
        <w:rPr>
          <w:spacing w:val="-70"/>
        </w:rPr>
      </w:r>
      <w:r>
        <w:rPr/>
        <w:t>购红岭云非公开发行股票发行的新股</w:t>
      </w:r>
      <w:r>
        <w:rPr>
          <w:rFonts w:ascii="Times New Roman" w:hAnsi="Times New Roman" w:cs="Times New Roman" w:eastAsia="Times New Roman" w:hint="default"/>
        </w:rPr>
        <w:t>3,303,212</w:t>
      </w:r>
      <w:r>
        <w:rPr/>
        <w:t>股，获得红岭云</w:t>
      </w:r>
      <w:r>
        <w:rPr>
          <w:rFonts w:ascii="Times New Roman" w:hAnsi="Times New Roman" w:cs="Times New Roman" w:eastAsia="Times New Roman" w:hint="default"/>
        </w:rPr>
        <w:t>33.70%</w:t>
      </w:r>
      <w:r>
        <w:rPr/>
        <w:t>的股权。认购红岭云非公开发行股票发行的新股后，</w:t>
      </w:r>
      <w:r>
        <w:rPr>
          <w:spacing w:val="-22"/>
        </w:rPr>
        <w:t> </w:t>
      </w:r>
      <w:r>
        <w:rPr>
          <w:spacing w:val="-22"/>
        </w:rPr>
      </w:r>
      <w:r>
        <w:rPr>
          <w:spacing w:val="-2"/>
        </w:rPr>
        <w:t>公司有意向继续收购红岭云现有股东持有的股票，具体情况待本次收购完成后视情况而定，具体详见公司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日编号</w:t>
      </w:r>
      <w:r>
        <w:rPr>
          <w:spacing w:val="-60"/>
        </w:rPr>
        <w:t> </w:t>
      </w:r>
      <w:r>
        <w:rPr>
          <w:spacing w:val="-60"/>
        </w:rPr>
      </w:r>
      <w:r>
        <w:rPr>
          <w:spacing w:val="-3"/>
        </w:rPr>
        <w:t>为</w:t>
      </w:r>
      <w:r>
        <w:rPr>
          <w:rFonts w:ascii="Times New Roman" w:hAnsi="Times New Roman" w:cs="Times New Roman" w:eastAsia="Times New Roman" w:hint="default"/>
          <w:spacing w:val="-3"/>
        </w:rPr>
        <w:t>2018-006</w:t>
      </w:r>
      <w:r>
        <w:rPr>
          <w:spacing w:val="-3"/>
        </w:rPr>
        <w:t>号《认购云南红岭云科技股份有限公司非公开发行股票的公告》。</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本公司目前无明确的财务报告分部，公司的主营业务收入、主营业务成本分行业及分地区情况详见本报告“第四节、二”主</w:t>
      </w:r>
      <w:r>
        <w:rPr>
          <w:spacing w:val="-66"/>
        </w:rPr>
        <w:t> </w:t>
      </w:r>
      <w:r>
        <w:rPr>
          <w:spacing w:val="-66"/>
        </w:rPr>
      </w:r>
      <w:r>
        <w:rPr/>
        <w:t>营业务分析。</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3" w:right="59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6"/>
        <w:gridCol w:w="752"/>
        <w:gridCol w:w="761"/>
        <w:gridCol w:w="763"/>
        <w:gridCol w:w="764"/>
        <w:gridCol w:w="800"/>
        <w:gridCol w:w="642"/>
        <w:gridCol w:w="761"/>
        <w:gridCol w:w="814"/>
        <w:gridCol w:w="934"/>
        <w:gridCol w:w="932"/>
      </w:tblGrid>
      <w:tr>
        <w:trPr>
          <w:trHeight w:val="402"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17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478,651,</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684.25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49,905,7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19.85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428,745,9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64.40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439,178</w:t>
            </w:r>
          </w:p>
          <w:p>
            <w:pPr>
              <w:pStyle w:val="TableParagraph"/>
              <w:spacing w:line="240" w:lineRule="auto" w:before="102"/>
              <w:ind w:left="70" w:right="0"/>
              <w:jc w:val="left"/>
              <w:rPr>
                <w:rFonts w:ascii="Times New Roman" w:hAnsi="Times New Roman" w:cs="Times New Roman" w:eastAsia="Times New Roman" w:hint="default"/>
                <w:sz w:val="18"/>
                <w:szCs w:val="18"/>
              </w:rPr>
            </w:pPr>
            <w:r>
              <w:rPr>
                <w:rFonts w:ascii="Times New Roman"/>
                <w:sz w:val="18"/>
              </w:rPr>
              <w:t>,854.79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36,175,66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6.97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403,003,18</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7.82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36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478,651,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684.25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49,905,7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19.85</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428,745,9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439,178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,854.79</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36,175,66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6.97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403,003,18</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7.82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248,307,403.68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3,326,416.90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97,829,643.51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90,380,541.82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903,805.42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1.00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13,724,632.86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274,492.66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2.00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8,525,522.65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255,765.68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3.00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37,847,062.84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1,892,353.14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5.00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16,343,244.43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1,307,459.55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8.00</w:t>
            </w:r>
            <w:r>
              <w:rPr>
                <w:rFonts w:ascii="Times New Roman"/>
                <w:spacing w:val="-1"/>
                <w:sz w:val="18"/>
              </w:rPr>
              <w:t>%</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2,164,687.08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216,468.71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10.00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10,191,786.12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2,038,357.22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20.00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7,407,792.19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2,222,337.66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30.00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6,236,013.34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2,494,405.34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40.00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23,198,790.66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23,198,790.66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100.00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313,849,717.50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34,804,236.04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3"/>
        <w:jc w:val="left"/>
      </w:pPr>
      <w:r>
        <w:rPr/>
        <w:t>确定该组合依据的说明： 按账龄估计坏账的比例，按账龄分析计提坏账准备。 组合中，采用余额百分比法计提坏账准备的应收账款：</w:t>
      </w:r>
    </w:p>
    <w:p>
      <w:pPr>
        <w:pStyle w:val="BodyText"/>
        <w:spacing w:line="350" w:lineRule="auto" w:before="26"/>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合并报表范围内的关联方不计提坏账准备，大额关联方明细如下：</w:t>
      </w:r>
    </w:p>
    <w:tbl>
      <w:tblPr>
        <w:tblW w:w="0" w:type="auto"/>
        <w:jc w:val="left"/>
        <w:tblInd w:w="146" w:type="dxa"/>
        <w:tblLayout w:type="fixed"/>
        <w:tblCellMar>
          <w:top w:w="0" w:type="dxa"/>
          <w:left w:w="0" w:type="dxa"/>
          <w:bottom w:w="0" w:type="dxa"/>
          <w:right w:w="0" w:type="dxa"/>
        </w:tblCellMar>
        <w:tblLook w:val="01E0"/>
      </w:tblPr>
      <w:tblGrid>
        <w:gridCol w:w="3140"/>
        <w:gridCol w:w="1702"/>
        <w:gridCol w:w="1274"/>
        <w:gridCol w:w="1419"/>
        <w:gridCol w:w="1630"/>
      </w:tblGrid>
      <w:tr>
        <w:trPr>
          <w:trHeight w:val="353" w:hRule="exact"/>
        </w:trPr>
        <w:tc>
          <w:tcPr>
            <w:tcW w:w="314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7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140"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0" w:type="dxa"/>
            <w:tcBorders>
              <w:top w:val="single" w:sz="12" w:space="0" w:color="000000"/>
              <w:left w:val="single" w:sz="6" w:space="0" w:color="000000"/>
              <w:bottom w:val="single" w:sz="12" w:space="0" w:color="000000"/>
              <w:right w:val="nil" w:sz="6" w:space="0" w:color="auto"/>
            </w:tcBorders>
          </w:tcPr>
          <w:p>
            <w:pPr>
              <w:pStyle w:val="TableParagraph"/>
              <w:spacing w:line="232" w:lineRule="exact"/>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18"/>
                <w:szCs w:val="18"/>
              </w:rPr>
            </w:pPr>
            <w:r>
              <w:rPr>
                <w:rFonts w:ascii="Times New Roman"/>
                <w:spacing w:val="-1"/>
                <w:sz w:val="18"/>
              </w:rPr>
              <w:t>90,115,809.70</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364" w:right="0"/>
              <w:jc w:val="left"/>
              <w:rPr>
                <w:rFonts w:ascii="Times New Roman" w:hAnsi="Times New Roman" w:cs="Times New Roman" w:eastAsia="Times New Roman" w:hint="default"/>
                <w:sz w:val="18"/>
                <w:szCs w:val="18"/>
              </w:rPr>
            </w:pPr>
            <w:r>
              <w:rPr>
                <w:rFonts w:ascii="Times New Roman"/>
                <w:sz w:val="18"/>
              </w:rPr>
              <w:t>86,682,631.98</w:t>
            </w:r>
          </w:p>
        </w:tc>
        <w:tc>
          <w:tcPr>
            <w:tcW w:w="1630"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18"/>
                <w:szCs w:val="18"/>
              </w:rPr>
            </w:pPr>
            <w:r>
              <w:rPr>
                <w:rFonts w:ascii="Times New Roman"/>
                <w:spacing w:val="-1"/>
                <w:sz w:val="18"/>
              </w:rPr>
              <w:t>31,237,593.25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23" w:right="0"/>
              <w:jc w:val="left"/>
              <w:rPr>
                <w:rFonts w:ascii="Times New Roman" w:hAnsi="Times New Roman" w:cs="Times New Roman" w:eastAsia="Times New Roman" w:hint="default"/>
                <w:sz w:val="18"/>
                <w:szCs w:val="18"/>
              </w:rPr>
            </w:pPr>
            <w:r>
              <w:rPr>
                <w:rFonts w:ascii="Times New Roman"/>
                <w:sz w:val="18"/>
              </w:rPr>
              <w:t>15,101,483.81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364" w:right="0"/>
              <w:jc w:val="left"/>
              <w:rPr>
                <w:rFonts w:ascii="Times New Roman" w:hAnsi="Times New Roman" w:cs="Times New Roman" w:eastAsia="Times New Roman" w:hint="default"/>
                <w:sz w:val="18"/>
                <w:szCs w:val="18"/>
              </w:rPr>
            </w:pPr>
            <w:r>
              <w:rPr>
                <w:rFonts w:ascii="Times New Roman"/>
                <w:sz w:val="18"/>
              </w:rPr>
              <w:t>27,165,909.45</w:t>
            </w:r>
          </w:p>
        </w:tc>
        <w:tc>
          <w:tcPr>
            <w:tcW w:w="16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left="575" w:right="0"/>
              <w:jc w:val="left"/>
              <w:rPr>
                <w:rFonts w:ascii="Times New Roman" w:hAnsi="Times New Roman" w:cs="Times New Roman" w:eastAsia="Times New Roman" w:hint="default"/>
                <w:sz w:val="18"/>
                <w:szCs w:val="18"/>
              </w:rPr>
            </w:pPr>
            <w:r>
              <w:rPr>
                <w:rFonts w:ascii="Times New Roman"/>
                <w:sz w:val="18"/>
              </w:rPr>
              <w:t>10,323,045.59</w:t>
            </w:r>
          </w:p>
        </w:tc>
      </w:tr>
      <w:tr>
        <w:trPr>
          <w:trHeight w:val="353"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right="3"/>
              <w:jc w:val="right"/>
              <w:rPr>
                <w:rFonts w:ascii="Times New Roman" w:hAnsi="Times New Roman" w:cs="Times New Roman" w:eastAsia="Times New Roman" w:hint="default"/>
                <w:sz w:val="18"/>
                <w:szCs w:val="18"/>
              </w:rPr>
            </w:pPr>
            <w:r>
              <w:rPr>
                <w:rFonts w:ascii="Times New Roman"/>
                <w:spacing w:val="-1"/>
                <w:sz w:val="18"/>
              </w:rPr>
              <w:t>23,630,952.50</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364" w:right="0"/>
              <w:jc w:val="left"/>
              <w:rPr>
                <w:rFonts w:ascii="Times New Roman" w:hAnsi="Times New Roman" w:cs="Times New Roman" w:eastAsia="Times New Roman" w:hint="default"/>
                <w:sz w:val="18"/>
                <w:szCs w:val="18"/>
              </w:rPr>
            </w:pPr>
            <w:r>
              <w:rPr>
                <w:rFonts w:ascii="Times New Roman"/>
                <w:sz w:val="18"/>
              </w:rPr>
              <w:t>26,018,031.65</w:t>
            </w:r>
          </w:p>
        </w:tc>
        <w:tc>
          <w:tcPr>
            <w:tcW w:w="163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3"/>
              <w:jc w:val="right"/>
              <w:rPr>
                <w:rFonts w:ascii="Times New Roman" w:hAnsi="Times New Roman" w:cs="Times New Roman" w:eastAsia="Times New Roman" w:hint="default"/>
                <w:sz w:val="18"/>
                <w:szCs w:val="18"/>
              </w:rPr>
            </w:pPr>
            <w:r>
              <w:rPr>
                <w:rFonts w:ascii="Times New Roman"/>
                <w:spacing w:val="-1"/>
                <w:sz w:val="18"/>
              </w:rPr>
              <w:t>8,269,927.32</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18"/>
                <w:szCs w:val="18"/>
              </w:rPr>
            </w:pPr>
            <w:r>
              <w:rPr>
                <w:rFonts w:ascii="Times New Roman"/>
                <w:spacing w:val="-1"/>
                <w:sz w:val="18"/>
              </w:rPr>
              <w:t>6,275,474.66</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364" w:right="0"/>
              <w:jc w:val="left"/>
              <w:rPr>
                <w:rFonts w:ascii="Times New Roman" w:hAnsi="Times New Roman" w:cs="Times New Roman" w:eastAsia="Times New Roman" w:hint="default"/>
                <w:sz w:val="18"/>
                <w:szCs w:val="18"/>
              </w:rPr>
            </w:pPr>
            <w:r>
              <w:rPr>
                <w:rFonts w:ascii="Times New Roman"/>
                <w:sz w:val="18"/>
              </w:rPr>
              <w:t>17,732,464.67</w:t>
            </w:r>
          </w:p>
        </w:tc>
        <w:tc>
          <w:tcPr>
            <w:tcW w:w="1630" w:type="dxa"/>
            <w:tcBorders>
              <w:top w:val="single" w:sz="12" w:space="0" w:color="000000"/>
              <w:left w:val="single" w:sz="6" w:space="0" w:color="000000"/>
              <w:bottom w:val="single" w:sz="12" w:space="0" w:color="000000"/>
              <w:right w:val="nil" w:sz="6" w:space="0" w:color="auto"/>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40"/>
        <w:gridCol w:w="1702"/>
        <w:gridCol w:w="1274"/>
        <w:gridCol w:w="1419"/>
        <w:gridCol w:w="1630"/>
      </w:tblGrid>
      <w:tr>
        <w:trPr>
          <w:trHeight w:val="356" w:hRule="exact"/>
        </w:trPr>
        <w:tc>
          <w:tcPr>
            <w:tcW w:w="3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5,272,209.32</w:t>
            </w:r>
          </w:p>
        </w:tc>
        <w:tc>
          <w:tcPr>
            <w:tcW w:w="1274"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6,248,300.53</w:t>
            </w:r>
          </w:p>
        </w:tc>
        <w:tc>
          <w:tcPr>
            <w:tcW w:w="1630"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164,801,966.75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23" w:right="0"/>
              <w:jc w:val="left"/>
              <w:rPr>
                <w:rFonts w:ascii="Times New Roman" w:hAnsi="Times New Roman" w:cs="Times New Roman" w:eastAsia="Times New Roman" w:hint="default"/>
                <w:sz w:val="18"/>
                <w:szCs w:val="18"/>
              </w:rPr>
            </w:pPr>
            <w:r>
              <w:rPr>
                <w:rFonts w:ascii="Times New Roman"/>
                <w:sz w:val="18"/>
              </w:rPr>
              <w:t>15,101,483.81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163,847,338.28</w:t>
            </w:r>
          </w:p>
        </w:tc>
        <w:tc>
          <w:tcPr>
            <w:tcW w:w="16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10,323,045.59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13,730,052.88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报告期内，本公司无核销的应收账款情况。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12"/>
        <w:gridCol w:w="1275"/>
        <w:gridCol w:w="1296"/>
        <w:gridCol w:w="1395"/>
        <w:gridCol w:w="854"/>
        <w:gridCol w:w="1013"/>
      </w:tblGrid>
      <w:tr>
        <w:trPr>
          <w:trHeight w:val="97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与本公司关系</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2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6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年限</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8"/>
              <w:ind w:left="180" w:right="173"/>
              <w:jc w:val="both"/>
              <w:rPr>
                <w:rFonts w:ascii="Times New Roman" w:hAnsi="Times New Roman" w:cs="Times New Roman" w:eastAsia="Times New Roman" w:hint="default"/>
                <w:sz w:val="16"/>
                <w:szCs w:val="16"/>
              </w:rPr>
            </w:pPr>
            <w:r>
              <w:rPr>
                <w:rFonts w:ascii="宋体" w:hAnsi="宋体" w:cs="宋体" w:eastAsia="宋体" w:hint="default"/>
                <w:sz w:val="16"/>
                <w:szCs w:val="16"/>
              </w:rPr>
              <w:t>占应收账</w:t>
            </w:r>
            <w:r>
              <w:rPr>
                <w:rFonts w:ascii="宋体" w:hAnsi="宋体" w:cs="宋体" w:eastAsia="宋体" w:hint="default"/>
                <w:spacing w:val="-77"/>
                <w:sz w:val="16"/>
                <w:szCs w:val="16"/>
              </w:rPr>
              <w:t> </w:t>
            </w:r>
            <w:r>
              <w:rPr>
                <w:rFonts w:ascii="宋体" w:hAnsi="宋体" w:cs="宋体" w:eastAsia="宋体" w:hint="default"/>
                <w:sz w:val="16"/>
                <w:szCs w:val="16"/>
              </w:rPr>
              <w:t>款总额的</w:t>
            </w:r>
            <w:r>
              <w:rPr>
                <w:rFonts w:ascii="宋体" w:hAnsi="宋体" w:cs="宋体" w:eastAsia="宋体" w:hint="default"/>
                <w:spacing w:val="-77"/>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第一名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21,609,955.27</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800,240.58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0-3</w:t>
            </w:r>
            <w:r>
              <w:rPr>
                <w:rFonts w:ascii="宋体" w:hAnsi="宋体" w:cs="宋体" w:eastAsia="宋体" w:hint="default"/>
                <w:sz w:val="16"/>
                <w:szCs w:val="16"/>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Arial Narrow" w:hAnsi="Arial Narrow" w:cs="Arial Narrow" w:eastAsia="Arial Narrow" w:hint="default"/>
                <w:sz w:val="18"/>
                <w:szCs w:val="18"/>
              </w:rPr>
            </w:pPr>
            <w:r>
              <w:rPr>
                <w:rFonts w:ascii="Arial Narrow"/>
                <w:spacing w:val="-1"/>
                <w:sz w:val="18"/>
              </w:rPr>
              <w:t>4.51</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第二名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19,016,911.00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3,161,204.21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0-5</w:t>
            </w:r>
            <w:r>
              <w:rPr>
                <w:rFonts w:ascii="宋体" w:hAnsi="宋体" w:cs="宋体" w:eastAsia="宋体" w:hint="default"/>
                <w:sz w:val="16"/>
                <w:szCs w:val="16"/>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Arial Narrow" w:hAnsi="Arial Narrow" w:cs="Arial Narrow" w:eastAsia="Arial Narrow" w:hint="default"/>
                <w:sz w:val="18"/>
                <w:szCs w:val="18"/>
              </w:rPr>
            </w:pPr>
            <w:r>
              <w:rPr>
                <w:rFonts w:ascii="Arial Narrow"/>
                <w:spacing w:val="-1"/>
                <w:sz w:val="18"/>
              </w:rPr>
              <w:t>3.97</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第三名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2"/>
                <w:sz w:val="16"/>
              </w:rPr>
              <w:t>16,317,061.70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863,092.19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0-1.5</w:t>
            </w:r>
            <w:r>
              <w:rPr>
                <w:rFonts w:ascii="宋体" w:hAnsi="宋体" w:cs="宋体" w:eastAsia="宋体" w:hint="default"/>
                <w:sz w:val="16"/>
                <w:szCs w:val="16"/>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
              <w:jc w:val="right"/>
              <w:rPr>
                <w:rFonts w:ascii="Arial Narrow" w:hAnsi="Arial Narrow" w:cs="Arial Narrow" w:eastAsia="Arial Narrow" w:hint="default"/>
                <w:sz w:val="18"/>
                <w:szCs w:val="18"/>
              </w:rPr>
            </w:pPr>
            <w:r>
              <w:rPr>
                <w:rFonts w:ascii="Arial Narrow"/>
                <w:spacing w:val="-1"/>
                <w:sz w:val="18"/>
              </w:rPr>
              <w:t>3.41</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第四名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9,768,721.85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164,411.24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0-1</w:t>
            </w:r>
            <w:r>
              <w:rPr>
                <w:rFonts w:ascii="宋体" w:hAnsi="宋体" w:cs="宋体" w:eastAsia="宋体" w:hint="default"/>
                <w:sz w:val="16"/>
                <w:szCs w:val="16"/>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Arial Narrow" w:hAnsi="Arial Narrow" w:cs="Arial Narrow" w:eastAsia="Arial Narrow" w:hint="default"/>
                <w:sz w:val="18"/>
                <w:szCs w:val="18"/>
              </w:rPr>
            </w:pPr>
            <w:r>
              <w:rPr>
                <w:rFonts w:ascii="Arial Narrow"/>
                <w:spacing w:val="-1"/>
                <w:sz w:val="18"/>
              </w:rPr>
              <w:t>2.04</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第五名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9,115,239.00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168,480.39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0-2</w:t>
            </w:r>
            <w:r>
              <w:rPr>
                <w:rFonts w:ascii="宋体" w:hAnsi="宋体" w:cs="宋体" w:eastAsia="宋体" w:hint="default"/>
                <w:sz w:val="16"/>
                <w:szCs w:val="16"/>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
              <w:jc w:val="right"/>
              <w:rPr>
                <w:rFonts w:ascii="Arial Narrow" w:hAnsi="Arial Narrow" w:cs="Arial Narrow" w:eastAsia="Arial Narrow" w:hint="default"/>
                <w:sz w:val="18"/>
                <w:szCs w:val="18"/>
              </w:rPr>
            </w:pPr>
            <w:r>
              <w:rPr>
                <w:rFonts w:ascii="Arial Narrow"/>
                <w:spacing w:val="-1"/>
                <w:sz w:val="18"/>
              </w:rPr>
              <w:t>1.90</w:t>
            </w:r>
          </w:p>
        </w:tc>
      </w:tr>
      <w:tr>
        <w:trPr>
          <w:trHeight w:val="32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3" w:right="0"/>
              <w:jc w:val="left"/>
              <w:rPr>
                <w:rFonts w:ascii="Times New Roman" w:hAnsi="Times New Roman" w:cs="Times New Roman" w:eastAsia="Times New Roman" w:hint="default"/>
                <w:sz w:val="16"/>
                <w:szCs w:val="16"/>
              </w:rPr>
            </w:pPr>
            <w:r>
              <w:rPr>
                <w:rFonts w:ascii="Times New Roman"/>
                <w:sz w:val="16"/>
              </w:rPr>
              <w:t>75,827,888.82</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5,157,428.60</w:t>
            </w:r>
          </w:p>
        </w:tc>
        <w:tc>
          <w:tcPr>
            <w:tcW w:w="854"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Narrow" w:hAnsi="Arial Narrow" w:cs="Arial Narrow" w:eastAsia="Arial Narrow" w:hint="default"/>
                <w:sz w:val="18"/>
                <w:szCs w:val="18"/>
              </w:rPr>
            </w:pPr>
            <w:r>
              <w:rPr>
                <w:rFonts w:ascii="Arial Narrow"/>
                <w:spacing w:val="-1"/>
                <w:sz w:val="18"/>
              </w:rPr>
              <w:t>15.83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报告期内，本公司无因金融资产转移而终止确认的应收账款。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rPr>
          <w:rFonts w:ascii="宋体" w:hAnsi="宋体" w:cs="宋体" w:eastAsia="宋体" w:hint="default"/>
        </w:rPr>
      </w:pPr>
      <w:r>
        <w:rPr/>
        <w:t>报告期内，本公司无转移应收账款且继续涉入形成的资产、负债金额。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6"/>
        <w:gridCol w:w="752"/>
        <w:gridCol w:w="761"/>
        <w:gridCol w:w="775"/>
        <w:gridCol w:w="741"/>
        <w:gridCol w:w="811"/>
        <w:gridCol w:w="642"/>
        <w:gridCol w:w="761"/>
        <w:gridCol w:w="814"/>
        <w:gridCol w:w="922"/>
        <w:gridCol w:w="944"/>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1735"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6"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1"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41"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1"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82" w:right="0"/>
              <w:jc w:val="left"/>
              <w:rPr>
                <w:rFonts w:ascii="Times New Roman" w:hAnsi="Times New Roman" w:cs="Times New Roman" w:eastAsia="Times New Roman" w:hint="default"/>
                <w:sz w:val="18"/>
                <w:szCs w:val="18"/>
              </w:rPr>
            </w:pPr>
            <w:r>
              <w:rPr>
                <w:rFonts w:ascii="Times New Roman"/>
                <w:sz w:val="18"/>
              </w:rPr>
              <w:t>24,919,9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125,163.</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0.50%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24,794,82</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0" w:right="0"/>
              <w:jc w:val="left"/>
              <w:rPr>
                <w:rFonts w:ascii="Times New Roman" w:hAnsi="Times New Roman" w:cs="Times New Roman" w:eastAsia="Times New Roman" w:hint="default"/>
                <w:sz w:val="18"/>
                <w:szCs w:val="18"/>
              </w:rPr>
            </w:pPr>
            <w:r>
              <w:rPr>
                <w:rFonts w:ascii="Times New Roman"/>
                <w:sz w:val="18"/>
              </w:rPr>
              <w:t>13,544,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65,997.16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0.49%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13,478,952.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67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8"/>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87.02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3.81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949.40</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24</w:t>
            </w: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24,919,9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24,794,82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13,544,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949.40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65,997.16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13,478,952.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4,531,429.61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57,213.85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1,544,163.64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1.00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749,558.00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2.00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933,037.09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27,991.11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3.00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1,206,170.88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5.00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386,972.02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8.00</w:t>
            </w:r>
            <w:r>
              <w:rPr>
                <w:rFonts w:ascii="Times New Roman"/>
                <w:spacing w:val="-1"/>
                <w:sz w:val="18"/>
              </w:rPr>
              <w:t>%</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12,650.40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1,265.04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10.00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3,950.08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Arial Narrow"/>
                <w:spacing w:val="-1"/>
                <w:sz w:val="18"/>
              </w:rPr>
              <w:t>20.00</w:t>
            </w:r>
            <w:r>
              <w:rPr>
                <w:rFonts w:ascii="Times New Roman"/>
                <w:spacing w:val="-1"/>
                <w:sz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105,921.60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Arial Narrow"/>
                <w:spacing w:val="-1"/>
                <w:sz w:val="18"/>
              </w:rPr>
              <w:t>30.00</w:t>
            </w:r>
            <w:r>
              <w:rPr>
                <w:rFonts w:ascii="Times New Roman"/>
                <w:spacing w:val="-1"/>
                <w:sz w:val="18"/>
              </w:rPr>
              <w:t>%</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5,056,724.03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125,163.21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按账龄估计坏账的比例，按账龄分析计提坏账准备。 组合中，采用余额百分比法计提坏账准备的其他应收款：</w:t>
      </w:r>
    </w:p>
    <w:p>
      <w:pPr>
        <w:pStyle w:val="BodyText"/>
        <w:spacing w:line="340" w:lineRule="auto" w:before="2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合并报表范围内的关联方不计提坏账准备，大额关联方明细如下：</w:t>
      </w:r>
    </w:p>
    <w:tbl>
      <w:tblPr>
        <w:tblW w:w="0" w:type="auto"/>
        <w:jc w:val="left"/>
        <w:tblInd w:w="146" w:type="dxa"/>
        <w:tblLayout w:type="fixed"/>
        <w:tblCellMar>
          <w:top w:w="0" w:type="dxa"/>
          <w:left w:w="0" w:type="dxa"/>
          <w:bottom w:w="0" w:type="dxa"/>
          <w:right w:w="0" w:type="dxa"/>
        </w:tblCellMar>
        <w:tblLook w:val="01E0"/>
      </w:tblPr>
      <w:tblGrid>
        <w:gridCol w:w="3629"/>
        <w:gridCol w:w="1560"/>
        <w:gridCol w:w="1135"/>
        <w:gridCol w:w="1417"/>
        <w:gridCol w:w="1556"/>
      </w:tblGrid>
      <w:tr>
        <w:trPr>
          <w:trHeight w:val="355" w:hRule="exact"/>
        </w:trPr>
        <w:tc>
          <w:tcPr>
            <w:tcW w:w="3629" w:type="dxa"/>
            <w:vMerge w:val="restart"/>
            <w:tcBorders>
              <w:top w:val="single" w:sz="6" w:space="0" w:color="000000"/>
              <w:left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9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629"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3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重庆南天数据资讯服务有限公司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10,767,081.79</w:t>
            </w:r>
          </w:p>
        </w:tc>
        <w:tc>
          <w:tcPr>
            <w:tcW w:w="1135"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10,088,581.79</w:t>
            </w:r>
          </w:p>
        </w:tc>
        <w:tc>
          <w:tcPr>
            <w:tcW w:w="155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9,096,181.20</w:t>
            </w:r>
          </w:p>
        </w:tc>
        <w:tc>
          <w:tcPr>
            <w:tcW w:w="1135"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55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成都南天佳信信息工程有限公司</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35"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625.00</w:t>
            </w:r>
          </w:p>
        </w:tc>
        <w:tc>
          <w:tcPr>
            <w:tcW w:w="1556" w:type="dxa"/>
            <w:tcBorders>
              <w:top w:val="single" w:sz="12" w:space="0" w:color="000000"/>
              <w:left w:val="single" w:sz="6" w:space="0" w:color="000000"/>
              <w:bottom w:val="single" w:sz="12" w:space="0" w:color="000000"/>
              <w:right w:val="nil" w:sz="6" w:space="0" w:color="auto"/>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29"/>
        <w:gridCol w:w="1560"/>
        <w:gridCol w:w="1135"/>
        <w:gridCol w:w="1417"/>
        <w:gridCol w:w="1556"/>
      </w:tblGrid>
      <w:tr>
        <w:trPr>
          <w:trHeight w:val="356" w:hRule="exact"/>
        </w:trPr>
        <w:tc>
          <w:tcPr>
            <w:tcW w:w="3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08" w:right="0"/>
              <w:jc w:val="left"/>
              <w:rPr>
                <w:rFonts w:ascii="Times New Roman" w:hAnsi="Times New Roman" w:cs="Times New Roman" w:eastAsia="Times New Roman" w:hint="default"/>
                <w:sz w:val="18"/>
                <w:szCs w:val="18"/>
              </w:rPr>
            </w:pPr>
            <w:r>
              <w:rPr>
                <w:rFonts w:ascii="Times New Roman"/>
                <w:sz w:val="18"/>
              </w:rPr>
              <w:t>19,863,262.99</w:t>
            </w:r>
          </w:p>
        </w:tc>
        <w:tc>
          <w:tcPr>
            <w:tcW w:w="113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10,089,206.79</w:t>
            </w:r>
          </w:p>
        </w:tc>
        <w:tc>
          <w:tcPr>
            <w:tcW w:w="155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59,166.05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353"/>
        <w:jc w:val="left"/>
      </w:pPr>
      <w:r>
        <w:rPr/>
        <w:t>其他应收款核销说明： 报告期内，本公司无实际核销的其他应收款</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与子公司以及其他单位往来款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24,919,987.02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13,544,949.40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24,919,987.02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13,544,949.40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10,767,081.79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9,096,181.20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1,527,105.00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Narrow" w:hAnsi="Arial Narrow" w:cs="Arial Narrow" w:eastAsia="Arial Narrow" w:hint="default"/>
                <w:sz w:val="18"/>
                <w:szCs w:val="18"/>
              </w:rPr>
            </w:pPr>
            <w:r>
              <w:rPr>
                <w:rFonts w:ascii="Arial Narrow"/>
                <w:spacing w:val="-1"/>
                <w:sz w:val="18"/>
              </w:rPr>
              <w:t>30,547.49</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720,894.00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14417.88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434,210.70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Narrow" w:hAnsi="Arial Narrow" w:cs="Arial Narrow" w:eastAsia="Arial Narrow" w:hint="default"/>
                <w:sz w:val="18"/>
                <w:szCs w:val="18"/>
              </w:rPr>
            </w:pPr>
            <w:r>
              <w:rPr>
                <w:rFonts w:ascii="Arial Narrow"/>
                <w:spacing w:val="-1"/>
                <w:sz w:val="18"/>
              </w:rPr>
              <w:t>36,855.29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22,545,472.69</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81,820.66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报告期内，本公司无因金融资产转移而终止确认的其他应收款。</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rPr>
          <w:rFonts w:ascii="宋体" w:hAnsi="宋体" w:cs="宋体" w:eastAsia="宋体" w:hint="default"/>
        </w:rPr>
      </w:pPr>
      <w:r>
        <w:rPr/>
        <w:t>报告期内，本公司无因转移其他应收款且继续涉入形成的资产、负债金额。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400,472,358.46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32,279,046.00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368,193,312.46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400,472,358.46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32,279,046.00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368,193,312.46</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315,951,944.70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2,221,854.00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313,730,090.70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300,750,063.32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595,467.99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300,154,595.33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716,424,303.16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681,923,403.16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701,222,421.78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32,874,513.99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668,347,907.79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100,575,462.87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100,575,462.87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重庆南天数据资 讯服务有限公司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25,674,831.49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25,674,831.49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昆明南天电脑系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14,416,855.00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14,416,855.00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深圳南天东华科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14,128,487.01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14,128,487.01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94,831,200.29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94,831,200.29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2,279,046.00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2,279,046.00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2,279,046.00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1,666,475.80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1,666,475.80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5"/>
        <w:gridCol w:w="1390"/>
        <w:gridCol w:w="1390"/>
      </w:tblGrid>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400,472,358.46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400,472,358.46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32,279,046.00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4" w:right="35"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261,453,5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-2,379,48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11,420.19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259,119,7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25,274,61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25,132,33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12,746,54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12,662,54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1,626,386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北京芝麻 邦天云科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679,898.6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934,891.8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云南曲靖 珠江源科 技股份有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-493,058.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17,506,94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300,750,0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18,680,00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-3,523,82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11,420.19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315,951,9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2,221,854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300,750,0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18,680,00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-3,523,82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34,289.56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11,420.19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1,626,386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315,951,9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2,221,854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1,439,992,595.63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1,338,203,235.51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1,354,306,736.10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1,259,533,489.83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24,774,711.31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4,243,210.72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18,497,620.74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6,379,814.38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1,464,767,306.94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1,342,446,446.23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1,372,804,356.84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1,265,913,304.21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6"/>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16,552,529.31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15,986,655.21</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-3,523,828.37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-14,296,645.59</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8,032,000.00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2,015,707.58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308,555.17</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23,076,408.52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12,948,564.79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十五、补充资料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-30,190.85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15,606,124.71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2,756,414.49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-9,323.92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2,276,490.46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303,773.06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15,742,760.91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0.0891</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0.0253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573" w:right="0"/>
        <w:jc w:val="left"/>
        <w:rPr>
          <w:b w:val="0"/>
          <w:bCs w:val="0"/>
        </w:rPr>
      </w:pPr>
      <w:r>
        <w:rPr/>
        <w:t>本公司合并财务报表主要项目的异常情况及原因的说明</w:t>
      </w:r>
      <w:r>
        <w:rPr>
          <w:b w:val="0"/>
          <w:bCs w:val="0"/>
        </w:rPr>
      </w:r>
    </w:p>
    <w:p>
      <w:pPr>
        <w:pStyle w:val="BodyText"/>
        <w:spacing w:line="240" w:lineRule="auto" w:before="77"/>
        <w:ind w:left="573" w:right="0"/>
        <w:jc w:val="left"/>
      </w:pPr>
      <w:r>
        <w:rPr/>
        <w:t>（</w:t>
      </w:r>
      <w:r>
        <w:rPr>
          <w:rFonts w:ascii="Times New Roman" w:hAnsi="Times New Roman" w:cs="Times New Roman" w:eastAsia="Times New Roman" w:hint="default"/>
        </w:rPr>
        <w:t>1</w:t>
      </w:r>
      <w:r>
        <w:rPr/>
        <w:t>）资产负债表项目</w:t>
      </w:r>
    </w:p>
    <w:p>
      <w:pPr>
        <w:pStyle w:val="BodyText"/>
        <w:spacing w:line="240" w:lineRule="auto" w:before="63"/>
        <w:ind w:left="573" w:right="0"/>
        <w:jc w:val="left"/>
      </w:pPr>
      <w:r>
        <w:rPr/>
        <w:t>①应收票据年末数较年初增加</w:t>
      </w:r>
      <w:r>
        <w:rPr>
          <w:rFonts w:ascii="Times New Roman" w:hAnsi="Times New Roman" w:cs="Times New Roman" w:eastAsia="Times New Roman" w:hint="default"/>
        </w:rPr>
        <w:t>10,243,732.00</w:t>
      </w:r>
      <w:r>
        <w:rPr/>
        <w:t>元，增长</w:t>
      </w:r>
      <w:r>
        <w:rPr>
          <w:rFonts w:ascii="Times New Roman" w:hAnsi="Times New Roman" w:cs="Times New Roman" w:eastAsia="Times New Roman" w:hint="default"/>
        </w:rPr>
        <w:t>6803.08%</w:t>
      </w:r>
      <w:r>
        <w:rPr/>
        <w:t>，主要原因是公司当期期末应收票据未承兑或贴现；</w:t>
      </w:r>
    </w:p>
    <w:p>
      <w:pPr>
        <w:pStyle w:val="BodyText"/>
        <w:spacing w:line="240" w:lineRule="auto" w:before="63"/>
        <w:ind w:left="573" w:right="0"/>
        <w:jc w:val="left"/>
      </w:pPr>
      <w:r>
        <w:rPr/>
        <w:t>②存货年末数较年初数增加</w:t>
      </w:r>
      <w:r>
        <w:rPr>
          <w:rFonts w:ascii="Times New Roman" w:hAnsi="Times New Roman" w:cs="Times New Roman" w:eastAsia="Times New Roman" w:hint="default"/>
        </w:rPr>
        <w:t>213,098,089.52</w:t>
      </w:r>
      <w:r>
        <w:rPr/>
        <w:t>元，增长</w:t>
      </w:r>
      <w:r>
        <w:rPr>
          <w:rFonts w:ascii="Times New Roman" w:hAnsi="Times New Roman" w:cs="Times New Roman" w:eastAsia="Times New Roman" w:hint="default"/>
        </w:rPr>
        <w:t>60.96%</w:t>
      </w:r>
      <w:r>
        <w:rPr/>
        <w:t>，主要原因是由于集成、软件类业务在产品增加；</w:t>
      </w:r>
    </w:p>
    <w:p>
      <w:pPr>
        <w:pStyle w:val="BodyText"/>
        <w:spacing w:line="300" w:lineRule="auto" w:before="63"/>
        <w:ind w:right="0" w:firstLine="420"/>
        <w:jc w:val="left"/>
      </w:pPr>
      <w:r>
        <w:rPr/>
        <w:t>③可供出售金融资产年末数较年初数增长</w:t>
      </w:r>
      <w:r>
        <w:rPr>
          <w:rFonts w:ascii="Times New Roman" w:hAnsi="Times New Roman" w:cs="Times New Roman" w:eastAsia="Times New Roman" w:hint="default"/>
        </w:rPr>
        <w:t>30,000,000.00</w:t>
      </w:r>
      <w:r>
        <w:rPr/>
        <w:t>元，增长</w:t>
      </w:r>
      <w:r>
        <w:rPr>
          <w:rFonts w:ascii="Times New Roman" w:hAnsi="Times New Roman" w:cs="Times New Roman" w:eastAsia="Times New Roman" w:hint="default"/>
        </w:rPr>
        <w:t>33.05%</w:t>
      </w:r>
      <w:r>
        <w:rPr/>
        <w:t>，主要原因是公司本期新增对北京人大金仓信 息技术股份有限公司的投资；</w:t>
      </w:r>
    </w:p>
    <w:p>
      <w:pPr>
        <w:pStyle w:val="BodyText"/>
        <w:spacing w:line="300" w:lineRule="auto" w:before="31"/>
        <w:ind w:right="0" w:firstLine="420"/>
        <w:jc w:val="left"/>
      </w:pPr>
      <w:r>
        <w:rPr>
          <w:spacing w:val="-1"/>
        </w:rPr>
        <w:t>④短期借款年末数较年初数增加</w:t>
      </w:r>
      <w:r>
        <w:rPr>
          <w:rFonts w:ascii="Times New Roman" w:hAnsi="Times New Roman" w:cs="Times New Roman" w:eastAsia="Times New Roman" w:hint="default"/>
          <w:spacing w:val="-1"/>
        </w:rPr>
        <w:t>169,233,706.00</w:t>
      </w:r>
      <w:r>
        <w:rPr>
          <w:spacing w:val="-1"/>
        </w:rPr>
        <w:t>元，增长</w:t>
      </w:r>
      <w:r>
        <w:rPr>
          <w:rFonts w:ascii="Times New Roman" w:hAnsi="Times New Roman" w:cs="Times New Roman" w:eastAsia="Times New Roman" w:hint="default"/>
          <w:spacing w:val="-1"/>
        </w:rPr>
        <w:t>49.66%</w:t>
      </w:r>
      <w:r>
        <w:rPr>
          <w:spacing w:val="-1"/>
        </w:rPr>
        <w:t>，主要原因是公司长期借款在本期到期偿，公司流动资</w:t>
      </w:r>
      <w:r>
        <w:rPr/>
        <w:t> 金偏紧，新增了短期借款；</w:t>
      </w:r>
    </w:p>
    <w:p>
      <w:pPr>
        <w:pStyle w:val="BodyText"/>
        <w:spacing w:line="240" w:lineRule="auto" w:before="31"/>
        <w:ind w:left="573" w:right="0"/>
        <w:jc w:val="left"/>
      </w:pPr>
      <w:r>
        <w:rPr/>
        <w:t>⑤预收账款年末数较年初数增加</w:t>
      </w:r>
      <w:r>
        <w:rPr>
          <w:rFonts w:ascii="Times New Roman" w:hAnsi="Times New Roman" w:cs="Times New Roman" w:eastAsia="Times New Roman" w:hint="default"/>
        </w:rPr>
        <w:t>97,932,711.01</w:t>
      </w:r>
      <w:r>
        <w:rPr>
          <w:rFonts w:ascii="Times New Roman" w:hAnsi="Times New Roman" w:cs="Times New Roman" w:eastAsia="Times New Roman" w:hint="default"/>
          <w:spacing w:val="-10"/>
        </w:rPr>
        <w:t> </w:t>
      </w:r>
      <w:r>
        <w:rPr>
          <w:rFonts w:ascii="Times New Roman" w:hAnsi="Times New Roman" w:cs="Times New Roman" w:eastAsia="Times New Roman" w:hint="default"/>
        </w:rPr>
        <w:t>2</w:t>
      </w:r>
      <w:r>
        <w:rPr/>
        <w:t>元，增长</w:t>
      </w:r>
      <w:r>
        <w:rPr>
          <w:rFonts w:ascii="Times New Roman" w:hAnsi="Times New Roman" w:cs="Times New Roman" w:eastAsia="Times New Roman" w:hint="default"/>
        </w:rPr>
        <w:t>129.19%</w:t>
      </w:r>
      <w:r>
        <w:rPr/>
        <w:t>，主要原因是按照合同条款预收客户货款增加；</w:t>
      </w:r>
    </w:p>
    <w:p>
      <w:pPr>
        <w:pStyle w:val="BodyText"/>
        <w:spacing w:line="240" w:lineRule="auto" w:before="63"/>
        <w:ind w:left="573" w:right="0"/>
        <w:jc w:val="left"/>
      </w:pPr>
      <w:r>
        <w:rPr/>
        <w:t>⑥应付利息年末数较年初数减少</w:t>
      </w:r>
      <w:r>
        <w:rPr>
          <w:rFonts w:ascii="Times New Roman" w:hAnsi="Times New Roman" w:cs="Times New Roman" w:eastAsia="Times New Roman" w:hint="default"/>
        </w:rPr>
        <w:t>536,918.07</w:t>
      </w:r>
      <w:r>
        <w:rPr/>
        <w:t>元，下降</w:t>
      </w:r>
      <w:r>
        <w:rPr>
          <w:rFonts w:ascii="Times New Roman" w:hAnsi="Times New Roman" w:cs="Times New Roman" w:eastAsia="Times New Roman" w:hint="default"/>
        </w:rPr>
        <w:t>-43.82%</w:t>
      </w:r>
      <w:r>
        <w:rPr/>
        <w:t>，主要原因是本期长期借款减少；</w:t>
      </w:r>
    </w:p>
    <w:p>
      <w:pPr>
        <w:pStyle w:val="BodyText"/>
        <w:spacing w:line="300" w:lineRule="auto" w:before="63"/>
        <w:ind w:right="0" w:firstLine="420"/>
        <w:jc w:val="left"/>
      </w:pPr>
      <w:r>
        <w:rPr>
          <w:spacing w:val="-1"/>
        </w:rPr>
        <w:t>⑦一年内到期的非流动负债年末数较年初数减少</w:t>
      </w:r>
      <w:r>
        <w:rPr>
          <w:rFonts w:ascii="Times New Roman" w:hAnsi="Times New Roman" w:cs="Times New Roman" w:eastAsia="Times New Roman" w:hint="default"/>
          <w:spacing w:val="-1"/>
        </w:rPr>
        <w:t>144,294,050.31</w:t>
      </w:r>
      <w:r>
        <w:rPr>
          <w:spacing w:val="-1"/>
        </w:rPr>
        <w:t>元，下降</w:t>
      </w:r>
      <w:r>
        <w:rPr>
          <w:rFonts w:ascii="Times New Roman" w:hAnsi="Times New Roman" w:cs="Times New Roman" w:eastAsia="Times New Roman" w:hint="default"/>
          <w:spacing w:val="-1"/>
        </w:rPr>
        <w:t>99.59%</w:t>
      </w:r>
      <w:r>
        <w:rPr>
          <w:spacing w:val="-1"/>
        </w:rPr>
        <w:t>，主要原因是本期长期借款余额到期偿</w:t>
      </w:r>
      <w:r>
        <w:rPr/>
        <w:t> 还，需要重分类至一年内到期的非流动负债减少。</w:t>
      </w:r>
    </w:p>
    <w:p>
      <w:pPr>
        <w:pStyle w:val="BodyText"/>
        <w:spacing w:line="240" w:lineRule="auto" w:before="32"/>
        <w:ind w:left="573" w:right="0"/>
        <w:jc w:val="left"/>
      </w:pPr>
      <w:r>
        <w:rPr/>
        <w:t>⑧长期借款年末数较年初数减少</w:t>
      </w:r>
      <w:r>
        <w:rPr>
          <w:rFonts w:ascii="Times New Roman" w:hAnsi="Times New Roman" w:cs="Times New Roman" w:eastAsia="Times New Roman" w:hint="default"/>
        </w:rPr>
        <w:t>827,835.52</w:t>
      </w:r>
      <w:r>
        <w:rPr/>
        <w:t>元，下降</w:t>
      </w:r>
      <w:r>
        <w:rPr>
          <w:rFonts w:ascii="Times New Roman" w:hAnsi="Times New Roman" w:cs="Times New Roman" w:eastAsia="Times New Roman" w:hint="default"/>
        </w:rPr>
        <w:t>29.49%</w:t>
      </w:r>
      <w:r>
        <w:rPr/>
        <w:t>，主要原因是到期偿还；</w:t>
      </w:r>
    </w:p>
    <w:p>
      <w:pPr>
        <w:pStyle w:val="BodyText"/>
        <w:spacing w:line="240" w:lineRule="auto" w:before="63"/>
        <w:ind w:left="573" w:right="0"/>
        <w:jc w:val="left"/>
      </w:pPr>
      <w:r>
        <w:rPr/>
        <w:t>（</w:t>
      </w:r>
      <w:r>
        <w:rPr>
          <w:rFonts w:ascii="Times New Roman" w:hAnsi="Times New Roman" w:cs="Times New Roman" w:eastAsia="Times New Roman" w:hint="default"/>
        </w:rPr>
        <w:t>2</w:t>
      </w:r>
      <w:r>
        <w:rPr/>
        <w:t>）利润表、现金流量表项目：</w:t>
      </w:r>
    </w:p>
    <w:p>
      <w:pPr>
        <w:pStyle w:val="BodyText"/>
        <w:spacing w:line="240" w:lineRule="auto" w:before="63"/>
        <w:ind w:left="573" w:right="0"/>
        <w:jc w:val="left"/>
      </w:pPr>
      <w:r>
        <w:rPr/>
        <w:t>①财务费用本年数较上年数增加</w:t>
      </w:r>
      <w:r>
        <w:rPr>
          <w:rFonts w:ascii="Times New Roman" w:hAnsi="Times New Roman" w:cs="Times New Roman" w:eastAsia="Times New Roman" w:hint="default"/>
        </w:rPr>
        <w:t>5,021,980.51</w:t>
      </w:r>
      <w:r>
        <w:rPr/>
        <w:t>元，增长</w:t>
      </w:r>
      <w:r>
        <w:rPr>
          <w:rFonts w:ascii="Times New Roman" w:hAnsi="Times New Roman" w:cs="Times New Roman" w:eastAsia="Times New Roman" w:hint="default"/>
        </w:rPr>
        <w:t>37.48%</w:t>
      </w:r>
      <w:r>
        <w:rPr/>
        <w:t>，主要原因是公司本期占用的带息负债增加；</w:t>
      </w:r>
    </w:p>
    <w:p>
      <w:pPr>
        <w:pStyle w:val="BodyText"/>
        <w:spacing w:line="240" w:lineRule="auto" w:before="63"/>
        <w:ind w:left="573" w:right="0"/>
        <w:jc w:val="left"/>
      </w:pPr>
      <w:r>
        <w:rPr/>
        <w:t>②资产减值损失本年数较上年数增加</w:t>
      </w:r>
      <w:r>
        <w:rPr>
          <w:rFonts w:ascii="Times New Roman" w:hAnsi="Times New Roman" w:cs="Times New Roman" w:eastAsia="Times New Roman" w:hint="default"/>
        </w:rPr>
        <w:t>6,707,128.34</w:t>
      </w:r>
      <w:r>
        <w:rPr/>
        <w:t>元，增长</w:t>
      </w:r>
      <w:r>
        <w:rPr>
          <w:rFonts w:ascii="Times New Roman" w:hAnsi="Times New Roman" w:cs="Times New Roman" w:eastAsia="Times New Roman" w:hint="default"/>
        </w:rPr>
        <w:t>57.26%%</w:t>
      </w:r>
      <w:r>
        <w:rPr/>
        <w:t>，主要原因是本期计提的坏账准备增加；</w:t>
      </w:r>
    </w:p>
    <w:p>
      <w:pPr>
        <w:pStyle w:val="BodyText"/>
        <w:spacing w:line="300" w:lineRule="auto" w:before="63"/>
        <w:ind w:right="0" w:firstLine="420"/>
        <w:jc w:val="left"/>
      </w:pPr>
      <w:r>
        <w:rPr/>
        <w:t>③投资收益本年数较上年数增加</w:t>
      </w:r>
      <w:r>
        <w:rPr>
          <w:rFonts w:ascii="Times New Roman" w:hAnsi="Times New Roman" w:cs="Times New Roman" w:eastAsia="Times New Roman" w:hint="default"/>
        </w:rPr>
        <w:t>9,732,708.51</w:t>
      </w:r>
      <w:r>
        <w:rPr/>
        <w:t>元，增长</w:t>
      </w:r>
      <w:r>
        <w:rPr>
          <w:rFonts w:ascii="Times New Roman" w:hAnsi="Times New Roman" w:cs="Times New Roman" w:eastAsia="Times New Roman" w:hint="default"/>
        </w:rPr>
        <w:t>274.91%</w:t>
      </w:r>
      <w:r>
        <w:rPr/>
        <w:t>，主要原因是本期确认的联营企业的亏损减少，以及购 买的理财产品收益增加；</w:t>
      </w:r>
    </w:p>
    <w:p>
      <w:pPr>
        <w:pStyle w:val="BodyText"/>
        <w:spacing w:line="300" w:lineRule="auto" w:before="31"/>
        <w:ind w:right="0" w:firstLine="420"/>
        <w:jc w:val="left"/>
      </w:pPr>
      <w:r>
        <w:rPr/>
        <w:t>④营业外收入本年数较上年数减少</w:t>
      </w:r>
      <w:r>
        <w:rPr>
          <w:rFonts w:ascii="Times New Roman" w:hAnsi="Times New Roman" w:cs="Times New Roman" w:eastAsia="Times New Roman" w:hint="default"/>
        </w:rPr>
        <w:t>14,023,394.41</w:t>
      </w:r>
      <w:r>
        <w:rPr/>
        <w:t>元，下降</w:t>
      </w:r>
      <w:r>
        <w:rPr>
          <w:rFonts w:ascii="Times New Roman" w:hAnsi="Times New Roman" w:cs="Times New Roman" w:eastAsia="Times New Roman" w:hint="default"/>
        </w:rPr>
        <w:t>98.27%</w:t>
      </w:r>
      <w:r>
        <w:rPr/>
        <w:t>，主要原因是按照新的会计政策，与经营活动相关的 政府补助调整至其他收益核算；</w:t>
      </w:r>
    </w:p>
    <w:p>
      <w:pPr>
        <w:pStyle w:val="BodyText"/>
        <w:spacing w:line="300" w:lineRule="auto" w:before="31"/>
        <w:ind w:right="0" w:firstLine="420"/>
        <w:jc w:val="left"/>
      </w:pPr>
      <w:r>
        <w:rPr>
          <w:spacing w:val="-1"/>
        </w:rPr>
        <w:t>⑤经营活动产生的现金流量净额本年数较上年数减少</w:t>
      </w:r>
      <w:r>
        <w:rPr>
          <w:rFonts w:ascii="Times New Roman" w:hAnsi="Times New Roman" w:cs="Times New Roman" w:eastAsia="Times New Roman" w:hint="default"/>
          <w:spacing w:val="-1"/>
        </w:rPr>
        <w:t>125,427,052.47</w:t>
      </w:r>
      <w:r>
        <w:rPr>
          <w:spacing w:val="-1"/>
        </w:rPr>
        <w:t>元，主要原因是本期购买商品、接受劳务支付的现</w:t>
      </w:r>
      <w:r>
        <w:rPr/>
        <w:t> 金增加；</w:t>
      </w:r>
    </w:p>
    <w:p>
      <w:pPr>
        <w:pStyle w:val="BodyText"/>
        <w:spacing w:line="240" w:lineRule="auto" w:before="31"/>
        <w:ind w:left="573" w:right="0"/>
        <w:jc w:val="left"/>
      </w:pPr>
      <w:r>
        <w:rPr/>
        <w:t>⑥投资活动产生的现金流量净额本年数较上年数增加</w:t>
      </w:r>
      <w:r>
        <w:rPr>
          <w:rFonts w:ascii="Times New Roman" w:hAnsi="Times New Roman" w:cs="Times New Roman" w:eastAsia="Times New Roman" w:hint="default"/>
        </w:rPr>
        <w:t>132,071,356.50</w:t>
      </w:r>
      <w:r>
        <w:rPr/>
        <w:t>元，主要原因是本期投资支付的现金减少；</w:t>
      </w:r>
    </w:p>
    <w:p>
      <w:pPr>
        <w:pStyle w:val="BodyText"/>
        <w:spacing w:line="240" w:lineRule="auto" w:before="63"/>
        <w:ind w:left="513" w:right="0"/>
        <w:jc w:val="left"/>
      </w:pPr>
      <w:r>
        <w:rPr/>
        <w:t>⑦筹资活动产生的现金流量净额本年数较上年数增加</w:t>
      </w:r>
      <w:r>
        <w:rPr>
          <w:rFonts w:ascii="Times New Roman" w:hAnsi="Times New Roman" w:cs="Times New Roman" w:eastAsia="Times New Roman" w:hint="default"/>
        </w:rPr>
        <w:t>2,966,469.32</w:t>
      </w:r>
      <w:r>
        <w:rPr/>
        <w:t>元，主要原因是取得借款收到的现金增加。</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包括下列文件：</w:t>
      </w:r>
    </w:p>
    <w:p>
      <w:pPr>
        <w:pStyle w:val="BodyText"/>
        <w:spacing w:line="240" w:lineRule="auto" w:before="76"/>
        <w:ind w:right="0"/>
        <w:jc w:val="left"/>
      </w:pPr>
      <w:r>
        <w:rPr/>
        <w:t>（一）载有法定代表人、主管会计工作负责人、会计机构负责人签名并盖章的会计报表；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300" w:lineRule="auto" w:before="76"/>
        <w:ind w:right="138"/>
        <w:jc w:val="left"/>
      </w:pPr>
      <w:r>
        <w:rPr/>
        <w:t>（三）报告期内在《中国证券报》、《证券时报》及巨潮资讯网</w:t>
      </w:r>
      <w:hyperlink r:id="rId24">
        <w:r>
          <w:rPr>
            <w:rFonts w:ascii="Times New Roman" w:hAnsi="Times New Roman" w:cs="Times New Roman" w:eastAsia="Times New Roman" w:hint="default"/>
          </w:rPr>
          <w:t>http://www.cninfo.com.cn</w:t>
        </w:r>
        <w:r>
          <w:rPr/>
          <w:t>上公开披露过的所有公司文件的正</w:t>
        </w:r>
      </w:hyperlink>
      <w:r>
        <w:rPr/>
        <w:t> 本及公告的原稿；</w:t>
      </w:r>
    </w:p>
    <w:p>
      <w:pPr>
        <w:pStyle w:val="BodyText"/>
        <w:spacing w:line="240" w:lineRule="auto" w:before="72"/>
        <w:ind w:right="0"/>
        <w:jc w:val="left"/>
      </w:pPr>
      <w:r>
        <w:rPr/>
        <w:t>（四）文件存放地：公司董事会办公室。</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10566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5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1056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56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56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56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56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5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5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056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56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5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70007pt;margin-top:36.265610pt;width:231.75pt;height:11.5pt;mso-position-horizontal-relative:page;mso-position-vertical-relative:page;z-index:-1056664" type="#_x0000_t202" filled="false" stroked="false">
          <v:textbox inset="0,0,0,0">
            <w:txbxContent>
              <w:p>
                <w:pPr>
                  <w:pStyle w:val="BodyText"/>
                  <w:spacing w:line="214" w:lineRule="exact"/>
                  <w:ind w:left="20" w:right="0"/>
                  <w:jc w:val="left"/>
                </w:pPr>
                <w:r>
                  <w:rPr/>
                  <w:t>云南南天电子信息产业股份有限公司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681"/>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nantian.com.cn/" TargetMode="External"/><Relationship Id="rId11" Type="http://schemas.openxmlformats.org/officeDocument/2006/relationships/hyperlink" Target="mailto:000948@nantian.com.cn" TargetMode="External"/><Relationship Id="rId12" Type="http://schemas.openxmlformats.org/officeDocument/2006/relationships/hyperlink" Target="mailto:shensh@nantian.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yperlink" Target="http://www.cninfo.com.cn&#19978;&#20844;&#24320;&#25259;&#38706;&#36807;&#30340;&#25152;&#26377;&#20844;&#21496;&#25991;&#20214;&#30340;&#27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云南南天电子信息产业股份有限公司</dc:creator>
  <dc:title>云南南天电子信息产业股份有限公司2017年年度报告全文</dc:title>
  <dcterms:created xsi:type="dcterms:W3CDTF">2020-05-02T20:36:11Z</dcterms:created>
  <dcterms:modified xsi:type="dcterms:W3CDTF">2020-05-02T20:36:11Z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Microsoft® Word 2010</vt:lpwstr>
  </property>
  <property fmtid="{D5CDD505-2E9C-101B-9397-08002B2CF9AE}" pid="4" name="LastSaved">
    <vt:filetime>2020-05-02T00:00:00Z</vt:filetime>
  </property>
</Properties>
</file>