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23999pt;margin-top:49.099983pt;width:485pt;height:.1pt;mso-position-horizontal-relative:page;mso-position-vertical-relative:page;z-index:0" coordorigin="1104,982" coordsize="9700,2">
            <v:shape style="position:absolute;left:1104;top:982;width:9700;height:2" coordorigin="1104,982" coordsize="9700,0" path="m1104,982l10804,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6"/>
          <w:szCs w:val="16"/>
        </w:rPr>
      </w:pPr>
    </w:p>
    <w:p>
      <w:pPr>
        <w:spacing w:line="582" w:lineRule="exact"/>
        <w:ind w:left="4233"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1"/>
          <w:sz w:val="20"/>
          <w:szCs w:val="20"/>
        </w:rPr>
        <w:drawing>
          <wp:inline distT="0" distB="0" distL="0" distR="0">
            <wp:extent cx="941599" cy="370141"/>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7" cstate="print"/>
                    <a:stretch>
                      <a:fillRect/>
                    </a:stretch>
                  </pic:blipFill>
                  <pic:spPr>
                    <a:xfrm>
                      <a:off x="0" y="0"/>
                      <a:ext cx="941599" cy="370141"/>
                    </a:xfrm>
                    <a:prstGeom prst="rect">
                      <a:avLst/>
                    </a:prstGeom>
                  </pic:spPr>
                </pic:pic>
              </a:graphicData>
            </a:graphic>
          </wp:inline>
        </w:drawing>
      </w:r>
      <w:r>
        <w:rPr>
          <w:rFonts w:ascii="Times New Roman" w:hAnsi="Times New Roman" w:cs="Times New Roman" w:eastAsia="Times New Roman" w:hint="default"/>
          <w:position w:val="-11"/>
          <w:sz w:val="20"/>
          <w:szCs w:val="20"/>
        </w:rPr>
      </w:r>
    </w:p>
    <w:p>
      <w:pPr>
        <w:spacing w:line="240" w:lineRule="auto" w:before="7"/>
        <w:rPr>
          <w:rFonts w:ascii="Times New Roman" w:hAnsi="Times New Roman" w:cs="Times New Roman" w:eastAsia="Times New Roman" w:hint="default"/>
          <w:sz w:val="13"/>
          <w:szCs w:val="13"/>
        </w:rPr>
      </w:pPr>
    </w:p>
    <w:p>
      <w:pPr>
        <w:spacing w:line="460" w:lineRule="exact" w:before="0"/>
        <w:ind w:left="540" w:right="1522" w:firstLine="0"/>
        <w:jc w:val="center"/>
        <w:rPr>
          <w:rFonts w:ascii="宋体" w:hAnsi="宋体" w:cs="宋体" w:eastAsia="宋体" w:hint="default"/>
          <w:sz w:val="36"/>
          <w:szCs w:val="36"/>
        </w:rPr>
      </w:pPr>
      <w:r>
        <w:rPr>
          <w:rFonts w:ascii="宋体" w:hAnsi="宋体" w:cs="宋体" w:eastAsia="宋体" w:hint="default"/>
          <w:b/>
          <w:bCs/>
          <w:sz w:val="36"/>
          <w:szCs w:val="36"/>
        </w:rPr>
        <w:t>云南南天电子信息产业股份有限公司</w:t>
      </w:r>
      <w:r>
        <w:rPr>
          <w:rFonts w:ascii="宋体" w:hAnsi="宋体" w:cs="宋体" w:eastAsia="宋体" w:hint="default"/>
          <w:sz w:val="36"/>
          <w:szCs w:val="36"/>
        </w:rPr>
      </w:r>
    </w:p>
    <w:p>
      <w:pPr>
        <w:spacing w:line="240" w:lineRule="auto" w:before="4"/>
        <w:rPr>
          <w:rFonts w:ascii="宋体" w:hAnsi="宋体" w:cs="宋体" w:eastAsia="宋体" w:hint="default"/>
          <w:b/>
          <w:bCs/>
          <w:sz w:val="30"/>
          <w:szCs w:val="30"/>
        </w:rPr>
      </w:pPr>
    </w:p>
    <w:p>
      <w:pPr>
        <w:pStyle w:val="Heading1"/>
        <w:spacing w:line="240" w:lineRule="auto" w:before="0"/>
        <w:ind w:right="1518"/>
        <w:jc w:val="center"/>
        <w:rPr>
          <w:b w:val="0"/>
          <w:bCs w:val="0"/>
        </w:rPr>
      </w:pP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年年度报告</w:t>
      </w:r>
      <w:r>
        <w:rPr>
          <w:b w:val="0"/>
          <w:bCs w:val="0"/>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9"/>
        <w:rPr>
          <w:rFonts w:ascii="宋体" w:hAnsi="宋体" w:cs="宋体" w:eastAsia="宋体" w:hint="default"/>
          <w:b/>
          <w:bCs/>
          <w:sz w:val="48"/>
          <w:szCs w:val="48"/>
        </w:rPr>
      </w:pPr>
    </w:p>
    <w:p>
      <w:pPr>
        <w:spacing w:before="0"/>
        <w:ind w:left="540" w:right="1513"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2020</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年</w:t>
      </w:r>
      <w:r>
        <w:rPr>
          <w:rFonts w:ascii="宋体" w:hAnsi="宋体" w:cs="宋体" w:eastAsia="宋体" w:hint="default"/>
          <w:b/>
          <w:bCs/>
          <w:spacing w:val="-81"/>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6" w:footer="974" w:top="1060" w:bottom="1160" w:left="980" w:right="0"/>
        </w:sectPr>
      </w:pPr>
    </w:p>
    <w:p>
      <w:pPr>
        <w:spacing w:line="240" w:lineRule="auto" w:before="10"/>
        <w:rPr>
          <w:rFonts w:ascii="宋体" w:hAnsi="宋体" w:cs="宋体" w:eastAsia="宋体" w:hint="default"/>
          <w:b/>
          <w:bCs/>
          <w:sz w:val="2"/>
          <w:szCs w:val="2"/>
        </w:rPr>
      </w:pPr>
    </w:p>
    <w:p>
      <w:pPr>
        <w:spacing w:line="20" w:lineRule="exact"/>
        <w:ind w:left="117" w:right="0" w:firstLine="0"/>
        <w:rPr>
          <w:rFonts w:ascii="宋体" w:hAnsi="宋体" w:cs="宋体" w:eastAsia="宋体" w:hint="default"/>
          <w:sz w:val="2"/>
          <w:szCs w:val="2"/>
        </w:rPr>
      </w:pPr>
      <w:r>
        <w:rPr>
          <w:rFonts w:ascii="宋体" w:hAnsi="宋体" w:cs="宋体" w:eastAsia="宋体" w:hint="default"/>
          <w:sz w:val="2"/>
          <w:szCs w:val="2"/>
        </w:rPr>
        <w:pict>
          <v:group style="width:485.75pt;height:.75pt;mso-position-horizontal-relative:char;mso-position-vertical-relative:line" coordorigin="0,0" coordsize="9715,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3" w:right="855"/>
        <w:jc w:val="left"/>
        <w:rPr>
          <w:b w:val="0"/>
          <w:bCs w:val="0"/>
        </w:rPr>
      </w:pPr>
      <w:bookmarkStart w:name="_bookmark0" w:id="1"/>
      <w:bookmarkEnd w:id="1"/>
      <w:r>
        <w:rPr>
          <w:b w:val="0"/>
          <w:bCs w:val="0"/>
        </w:rPr>
      </w:r>
      <w:r>
        <w:rPr/>
        <w:t>第一节</w:t>
      </w:r>
      <w:r>
        <w:rPr>
          <w:spacing w:val="1"/>
        </w:rPr>
        <w:t> </w:t>
      </w:r>
      <w:r>
        <w:rPr/>
        <w:t>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3"/>
        <w:ind w:left="153" w:right="1141" w:firstLine="561"/>
        <w:jc w:val="both"/>
        <w:rPr>
          <w:rFonts w:ascii="宋体" w:hAnsi="宋体" w:cs="宋体" w:eastAsia="宋体" w:hint="default"/>
          <w:sz w:val="28"/>
          <w:szCs w:val="28"/>
        </w:rPr>
      </w:pPr>
      <w:r>
        <w:rPr>
          <w:rFonts w:ascii="宋体" w:hAnsi="宋体" w:cs="宋体" w:eastAsia="宋体" w:hint="default"/>
          <w:b/>
          <w:bCs/>
          <w:spacing w:val="4"/>
          <w:w w:val="95"/>
          <w:sz w:val="28"/>
          <w:szCs w:val="28"/>
        </w:rPr>
        <w:t>公司董事会、监事会及董事、监事、高级管理人员保证年度报告内容的真</w:t>
      </w:r>
      <w:r>
        <w:rPr>
          <w:rFonts w:ascii="宋体" w:hAnsi="宋体" w:cs="宋体" w:eastAsia="宋体" w:hint="default"/>
          <w:b/>
          <w:bCs/>
          <w:w w:val="99"/>
          <w:sz w:val="28"/>
          <w:szCs w:val="28"/>
        </w:rPr>
        <w:t> </w:t>
      </w:r>
      <w:r>
        <w:rPr>
          <w:rFonts w:ascii="宋体" w:hAnsi="宋体" w:cs="宋体" w:eastAsia="宋体" w:hint="default"/>
          <w:b/>
          <w:bCs/>
          <w:spacing w:val="4"/>
          <w:w w:val="95"/>
          <w:sz w:val="28"/>
          <w:szCs w:val="28"/>
        </w:rPr>
        <w:t>实、准确、完整，不存在虚假记载、误导性陈述或重大遗漏，并承担个别和连</w:t>
      </w:r>
      <w:r>
        <w:rPr>
          <w:rFonts w:ascii="宋体" w:hAnsi="宋体" w:cs="宋体" w:eastAsia="宋体" w:hint="default"/>
          <w:b/>
          <w:bCs/>
          <w:spacing w:val="124"/>
          <w:w w:val="95"/>
          <w:sz w:val="28"/>
          <w:szCs w:val="28"/>
        </w:rPr>
        <w:t> </w:t>
      </w:r>
      <w:r>
        <w:rPr>
          <w:rFonts w:ascii="宋体" w:hAnsi="宋体" w:cs="宋体" w:eastAsia="宋体" w:hint="default"/>
          <w:b/>
          <w:bCs/>
          <w:spacing w:val="124"/>
          <w:w w:val="95"/>
          <w:sz w:val="28"/>
          <w:szCs w:val="28"/>
        </w:rPr>
      </w:r>
      <w:r>
        <w:rPr>
          <w:rFonts w:ascii="宋体" w:hAnsi="宋体" w:cs="宋体" w:eastAsia="宋体" w:hint="default"/>
          <w:b/>
          <w:bCs/>
          <w:spacing w:val="2"/>
          <w:sz w:val="28"/>
          <w:szCs w:val="28"/>
        </w:rPr>
        <w:t>带的法律责任。</w:t>
      </w:r>
      <w:r>
        <w:rPr>
          <w:rFonts w:ascii="宋体" w:hAnsi="宋体" w:cs="宋体" w:eastAsia="宋体" w:hint="default"/>
          <w:spacing w:val="2"/>
          <w:sz w:val="28"/>
          <w:szCs w:val="28"/>
        </w:rPr>
      </w:r>
    </w:p>
    <w:p>
      <w:pPr>
        <w:spacing w:line="386" w:lineRule="auto" w:before="162"/>
        <w:ind w:left="153" w:right="855" w:firstLine="561"/>
        <w:jc w:val="left"/>
        <w:rPr>
          <w:rFonts w:ascii="宋体" w:hAnsi="宋体" w:cs="宋体" w:eastAsia="宋体" w:hint="default"/>
          <w:sz w:val="28"/>
          <w:szCs w:val="28"/>
        </w:rPr>
      </w:pPr>
      <w:r>
        <w:rPr>
          <w:rFonts w:ascii="宋体" w:hAnsi="宋体" w:cs="宋体" w:eastAsia="宋体" w:hint="default"/>
          <w:b/>
          <w:bCs/>
          <w:spacing w:val="2"/>
          <w:w w:val="95"/>
          <w:sz w:val="28"/>
          <w:szCs w:val="28"/>
        </w:rPr>
        <w:t>公司负责人徐宏灿、主管会计工作负责人徐宏灿及会计机构负责人</w:t>
      </w:r>
      <w:r>
        <w:rPr>
          <w:rFonts w:ascii="Times New Roman" w:hAnsi="Times New Roman" w:cs="Times New Roman" w:eastAsia="Times New Roman" w:hint="default"/>
          <w:b/>
          <w:bCs/>
          <w:spacing w:val="2"/>
          <w:w w:val="95"/>
          <w:sz w:val="28"/>
          <w:szCs w:val="28"/>
        </w:rPr>
        <w:t>(</w:t>
      </w:r>
      <w:r>
        <w:rPr>
          <w:rFonts w:ascii="宋体" w:hAnsi="宋体" w:cs="宋体" w:eastAsia="宋体" w:hint="default"/>
          <w:b/>
          <w:bCs/>
          <w:spacing w:val="2"/>
          <w:w w:val="95"/>
          <w:sz w:val="28"/>
          <w:szCs w:val="28"/>
        </w:rPr>
        <w:t>会计主</w:t>
      </w:r>
      <w:r>
        <w:rPr>
          <w:rFonts w:ascii="宋体" w:hAnsi="宋体" w:cs="宋体" w:eastAsia="宋体" w:hint="default"/>
          <w:b/>
          <w:bCs/>
          <w:w w:val="99"/>
          <w:sz w:val="28"/>
          <w:szCs w:val="28"/>
        </w:rPr>
        <w:t> </w:t>
      </w:r>
      <w:r>
        <w:rPr>
          <w:rFonts w:ascii="宋体" w:hAnsi="宋体" w:cs="宋体" w:eastAsia="宋体" w:hint="default"/>
          <w:b/>
          <w:bCs/>
          <w:spacing w:val="2"/>
          <w:sz w:val="28"/>
          <w:szCs w:val="28"/>
        </w:rPr>
        <w:t>管人员</w:t>
      </w:r>
      <w:r>
        <w:rPr>
          <w:rFonts w:ascii="Times New Roman" w:hAnsi="Times New Roman" w:cs="Times New Roman" w:eastAsia="Times New Roman" w:hint="default"/>
          <w:b/>
          <w:bCs/>
          <w:spacing w:val="2"/>
          <w:sz w:val="28"/>
          <w:szCs w:val="28"/>
        </w:rPr>
        <w:t>)</w:t>
      </w:r>
      <w:r>
        <w:rPr>
          <w:rFonts w:ascii="宋体" w:hAnsi="宋体" w:cs="宋体" w:eastAsia="宋体" w:hint="default"/>
          <w:b/>
          <w:bCs/>
          <w:spacing w:val="2"/>
          <w:sz w:val="28"/>
          <w:szCs w:val="28"/>
        </w:rPr>
        <w:t>刘涓声明：保证年度报告中财务报告的真实、准确、完整。</w:t>
      </w:r>
      <w:r>
        <w:rPr>
          <w:rFonts w:ascii="宋体" w:hAnsi="宋体" w:cs="宋体" w:eastAsia="宋体" w:hint="default"/>
          <w:spacing w:val="2"/>
          <w:sz w:val="28"/>
          <w:szCs w:val="28"/>
        </w:rPr>
      </w:r>
    </w:p>
    <w:p>
      <w:pPr>
        <w:spacing w:line="475" w:lineRule="auto" w:before="148"/>
        <w:ind w:left="714" w:right="855" w:firstLine="0"/>
        <w:jc w:val="left"/>
        <w:rPr>
          <w:rFonts w:ascii="宋体" w:hAnsi="宋体" w:cs="宋体" w:eastAsia="宋体" w:hint="default"/>
          <w:sz w:val="28"/>
          <w:szCs w:val="28"/>
        </w:rPr>
      </w:pPr>
      <w:r>
        <w:rPr>
          <w:rFonts w:ascii="宋体" w:hAnsi="宋体" w:cs="宋体" w:eastAsia="宋体" w:hint="default"/>
          <w:b/>
          <w:bCs/>
          <w:spacing w:val="2"/>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pacing w:val="4"/>
          <w:w w:val="95"/>
          <w:sz w:val="28"/>
          <w:szCs w:val="28"/>
        </w:rPr>
        <w:t>公司本年度报告中涉及的未来计划、业绩预测等方面的内容，均不构成公</w:t>
      </w:r>
      <w:r>
        <w:rPr>
          <w:rFonts w:ascii="宋体" w:hAnsi="宋体" w:cs="宋体" w:eastAsia="宋体" w:hint="default"/>
          <w:spacing w:val="4"/>
          <w:sz w:val="28"/>
          <w:szCs w:val="28"/>
        </w:rPr>
      </w:r>
    </w:p>
    <w:p>
      <w:pPr>
        <w:spacing w:line="350" w:lineRule="exact" w:before="0"/>
        <w:ind w:left="153" w:right="855" w:firstLine="0"/>
        <w:jc w:val="left"/>
        <w:rPr>
          <w:rFonts w:ascii="宋体" w:hAnsi="宋体" w:cs="宋体" w:eastAsia="宋体" w:hint="default"/>
          <w:sz w:val="28"/>
          <w:szCs w:val="28"/>
        </w:rPr>
      </w:pPr>
      <w:r>
        <w:rPr>
          <w:rFonts w:ascii="宋体" w:hAnsi="宋体" w:cs="宋体" w:eastAsia="宋体" w:hint="default"/>
          <w:b/>
          <w:bCs/>
          <w:sz w:val="28"/>
          <w:szCs w:val="28"/>
        </w:rPr>
        <w:t>司对投资者及相关人士的实质承诺，敬请投资者注意投资风险，并请理解计划、</w:t>
      </w:r>
      <w:r>
        <w:rPr>
          <w:rFonts w:ascii="宋体" w:hAnsi="宋体" w:cs="宋体" w:eastAsia="宋体" w:hint="default"/>
          <w:sz w:val="28"/>
          <w:szCs w:val="28"/>
        </w:rPr>
      </w:r>
    </w:p>
    <w:p>
      <w:pPr>
        <w:spacing w:line="240" w:lineRule="auto" w:before="9"/>
        <w:rPr>
          <w:rFonts w:ascii="宋体" w:hAnsi="宋体" w:cs="宋体" w:eastAsia="宋体" w:hint="default"/>
          <w:b/>
          <w:bCs/>
          <w:sz w:val="19"/>
          <w:szCs w:val="19"/>
        </w:rPr>
      </w:pPr>
    </w:p>
    <w:p>
      <w:pPr>
        <w:spacing w:line="398" w:lineRule="auto" w:before="0"/>
        <w:ind w:left="153" w:right="855" w:firstLine="0"/>
        <w:jc w:val="left"/>
        <w:rPr>
          <w:rFonts w:ascii="宋体" w:hAnsi="宋体" w:cs="宋体" w:eastAsia="宋体" w:hint="default"/>
          <w:sz w:val="28"/>
          <w:szCs w:val="28"/>
        </w:rPr>
      </w:pPr>
      <w:r>
        <w:rPr>
          <w:rFonts w:ascii="宋体" w:hAnsi="宋体" w:cs="宋体" w:eastAsia="宋体" w:hint="default"/>
          <w:b/>
          <w:bCs/>
          <w:spacing w:val="-15"/>
          <w:w w:val="99"/>
          <w:sz w:val="28"/>
          <w:szCs w:val="28"/>
        </w:rPr>
        <w:t>预测与承诺之间的差异。《证券时报》《中国证券报》《上海证券报》《证券日报》</w:t>
      </w:r>
      <w:r>
        <w:rPr>
          <w:rFonts w:ascii="宋体" w:hAnsi="宋体" w:cs="宋体" w:eastAsia="宋体" w:hint="default"/>
          <w:b/>
          <w:bCs/>
          <w:spacing w:val="-129"/>
          <w:w w:val="99"/>
          <w:sz w:val="28"/>
          <w:szCs w:val="28"/>
        </w:rPr>
        <w:t> </w:t>
      </w:r>
      <w:r>
        <w:rPr>
          <w:rFonts w:ascii="宋体" w:hAnsi="宋体" w:cs="宋体" w:eastAsia="宋体" w:hint="default"/>
          <w:b/>
          <w:bCs/>
          <w:spacing w:val="-129"/>
          <w:w w:val="99"/>
          <w:sz w:val="28"/>
          <w:szCs w:val="28"/>
        </w:rPr>
      </w:r>
      <w:r>
        <w:rPr>
          <w:rFonts w:ascii="宋体" w:hAnsi="宋体" w:cs="宋体" w:eastAsia="宋体" w:hint="default"/>
          <w:b/>
          <w:bCs/>
          <w:spacing w:val="3"/>
          <w:sz w:val="28"/>
          <w:szCs w:val="28"/>
        </w:rPr>
        <w:t>和巨潮资讯网（</w:t>
      </w:r>
      <w:hyperlink r:id="rId9">
        <w:r>
          <w:rPr>
            <w:rFonts w:ascii="Times New Roman" w:hAnsi="Times New Roman" w:cs="Times New Roman" w:eastAsia="Times New Roman" w:hint="default"/>
            <w:b/>
            <w:bCs/>
            <w:spacing w:val="3"/>
            <w:sz w:val="28"/>
            <w:szCs w:val="28"/>
          </w:rPr>
          <w:t>http://www.cninfo.com.cn</w:t>
        </w:r>
      </w:hyperlink>
      <w:r>
        <w:rPr>
          <w:rFonts w:ascii="宋体" w:hAnsi="宋体" w:cs="宋体" w:eastAsia="宋体" w:hint="default"/>
          <w:b/>
          <w:bCs/>
          <w:spacing w:val="3"/>
          <w:sz w:val="28"/>
          <w:szCs w:val="28"/>
        </w:rPr>
        <w:t>）为本公司选定的信息披露媒体，本</w:t>
      </w:r>
      <w:r>
        <w:rPr>
          <w:rFonts w:ascii="宋体" w:hAnsi="宋体" w:cs="宋体" w:eastAsia="宋体" w:hint="default"/>
          <w:b/>
          <w:bCs/>
          <w:w w:val="99"/>
          <w:sz w:val="28"/>
          <w:szCs w:val="28"/>
        </w:rPr>
        <w:t> </w:t>
      </w:r>
      <w:r>
        <w:rPr>
          <w:rFonts w:ascii="宋体" w:hAnsi="宋体" w:cs="宋体" w:eastAsia="宋体" w:hint="default"/>
          <w:b/>
          <w:bCs/>
          <w:w w:val="95"/>
          <w:sz w:val="28"/>
          <w:szCs w:val="28"/>
        </w:rPr>
        <w:t>公司所有信息均以在上述选定媒体刊登的信息为准，敬请投资者注意投资风险。</w:t>
      </w:r>
      <w:r>
        <w:rPr>
          <w:rFonts w:ascii="宋体" w:hAnsi="宋体" w:cs="宋体" w:eastAsia="宋体" w:hint="default"/>
          <w:sz w:val="28"/>
          <w:szCs w:val="28"/>
        </w:rPr>
      </w:r>
    </w:p>
    <w:p>
      <w:pPr>
        <w:spacing w:line="393" w:lineRule="auto" w:before="168"/>
        <w:ind w:left="153" w:right="855" w:firstLine="561"/>
        <w:jc w:val="left"/>
        <w:rPr>
          <w:rFonts w:ascii="宋体" w:hAnsi="宋体" w:cs="宋体" w:eastAsia="宋体" w:hint="default"/>
          <w:sz w:val="28"/>
          <w:szCs w:val="28"/>
        </w:rPr>
      </w:pPr>
      <w:r>
        <w:rPr>
          <w:rFonts w:ascii="宋体" w:hAnsi="宋体" w:cs="宋体" w:eastAsia="宋体" w:hint="default"/>
          <w:b/>
          <w:bCs/>
          <w:spacing w:val="4"/>
          <w:sz w:val="28"/>
          <w:szCs w:val="28"/>
        </w:rPr>
        <w:t>公司存在经济环境风险、行业政策风险、市场竞争风险、人才流失风险、</w:t>
      </w:r>
      <w:r>
        <w:rPr>
          <w:rFonts w:ascii="宋体" w:hAnsi="宋体" w:cs="宋体" w:eastAsia="宋体" w:hint="default"/>
          <w:b/>
          <w:bCs/>
          <w:w w:val="99"/>
          <w:sz w:val="28"/>
          <w:szCs w:val="28"/>
        </w:rPr>
        <w:t> </w:t>
      </w:r>
      <w:r>
        <w:rPr>
          <w:rFonts w:ascii="宋体" w:hAnsi="宋体" w:cs="宋体" w:eastAsia="宋体" w:hint="default"/>
          <w:b/>
          <w:bCs/>
          <w:sz w:val="28"/>
          <w:szCs w:val="28"/>
        </w:rPr>
        <w:t>技术风险等风险，具体内容详见公司</w:t>
      </w:r>
      <w:r>
        <w:rPr>
          <w:rFonts w:ascii="宋体" w:hAnsi="宋体" w:cs="宋体" w:eastAsia="宋体" w:hint="default"/>
          <w:b/>
          <w:bCs/>
          <w:spacing w:val="-81"/>
          <w:sz w:val="28"/>
          <w:szCs w:val="28"/>
        </w:rPr>
        <w:t> </w:t>
      </w:r>
      <w:r>
        <w:rPr>
          <w:rFonts w:ascii="Times New Roman" w:hAnsi="Times New Roman" w:cs="Times New Roman" w:eastAsia="Times New Roman" w:hint="default"/>
          <w:b/>
          <w:bCs/>
          <w:sz w:val="28"/>
          <w:szCs w:val="28"/>
        </w:rPr>
        <w:t>2019</w:t>
      </w:r>
      <w:r>
        <w:rPr>
          <w:rFonts w:ascii="Times New Roman" w:hAnsi="Times New Roman" w:cs="Times New Roman" w:eastAsia="Times New Roman" w:hint="default"/>
          <w:b/>
          <w:bCs/>
          <w:spacing w:val="-16"/>
          <w:sz w:val="28"/>
          <w:szCs w:val="28"/>
        </w:rPr>
        <w:t> </w:t>
      </w:r>
      <w:r>
        <w:rPr>
          <w:rFonts w:ascii="宋体" w:hAnsi="宋体" w:cs="宋体" w:eastAsia="宋体" w:hint="default"/>
          <w:b/>
          <w:bCs/>
          <w:spacing w:val="2"/>
          <w:sz w:val="28"/>
          <w:szCs w:val="28"/>
        </w:rPr>
        <w:t>年年度报告全文</w:t>
      </w:r>
      <w:r>
        <w:rPr>
          <w:rFonts w:ascii="Times New Roman" w:hAnsi="Times New Roman" w:cs="Times New Roman" w:eastAsia="Times New Roman" w:hint="default"/>
          <w:b/>
          <w:bCs/>
          <w:spacing w:val="2"/>
          <w:sz w:val="28"/>
          <w:szCs w:val="28"/>
        </w:rPr>
        <w:t>“</w:t>
      </w:r>
      <w:r>
        <w:rPr>
          <w:rFonts w:ascii="宋体" w:hAnsi="宋体" w:cs="宋体" w:eastAsia="宋体" w:hint="default"/>
          <w:b/>
          <w:bCs/>
          <w:spacing w:val="2"/>
          <w:sz w:val="28"/>
          <w:szCs w:val="28"/>
        </w:rPr>
        <w:t>第四节</w:t>
      </w:r>
      <w:r>
        <w:rPr>
          <w:rFonts w:ascii="宋体" w:hAnsi="宋体" w:cs="宋体" w:eastAsia="宋体" w:hint="default"/>
          <w:b/>
          <w:bCs/>
          <w:spacing w:val="-36"/>
          <w:sz w:val="28"/>
          <w:szCs w:val="28"/>
        </w:rPr>
        <w:t> </w:t>
      </w:r>
      <w:r>
        <w:rPr>
          <w:rFonts w:ascii="宋体" w:hAnsi="宋体" w:cs="宋体" w:eastAsia="宋体" w:hint="default"/>
          <w:b/>
          <w:bCs/>
          <w:spacing w:val="2"/>
          <w:sz w:val="28"/>
          <w:szCs w:val="28"/>
        </w:rPr>
        <w:t>经营情况讨</w:t>
      </w:r>
      <w:r>
        <w:rPr>
          <w:rFonts w:ascii="宋体" w:hAnsi="宋体" w:cs="宋体" w:eastAsia="宋体" w:hint="default"/>
          <w:b/>
          <w:bCs/>
          <w:w w:val="99"/>
          <w:sz w:val="28"/>
          <w:szCs w:val="28"/>
        </w:rPr>
        <w:t> </w:t>
      </w:r>
      <w:r>
        <w:rPr>
          <w:rFonts w:ascii="宋体" w:hAnsi="宋体" w:cs="宋体" w:eastAsia="宋体" w:hint="default"/>
          <w:b/>
          <w:bCs/>
          <w:spacing w:val="-4"/>
          <w:w w:val="95"/>
          <w:sz w:val="28"/>
          <w:szCs w:val="28"/>
        </w:rPr>
        <w:t>论与分析</w:t>
      </w:r>
      <w:r>
        <w:rPr>
          <w:rFonts w:ascii="Times New Roman" w:hAnsi="Times New Roman" w:cs="Times New Roman" w:eastAsia="Times New Roman" w:hint="default"/>
          <w:b/>
          <w:bCs/>
          <w:spacing w:val="-4"/>
          <w:w w:val="95"/>
          <w:sz w:val="28"/>
          <w:szCs w:val="28"/>
        </w:rPr>
        <w:t>”</w:t>
      </w:r>
      <w:r>
        <w:rPr>
          <w:rFonts w:ascii="宋体" w:hAnsi="宋体" w:cs="宋体" w:eastAsia="宋体" w:hint="default"/>
          <w:b/>
          <w:bCs/>
          <w:spacing w:val="-4"/>
          <w:w w:val="95"/>
          <w:sz w:val="28"/>
          <w:szCs w:val="28"/>
        </w:rPr>
        <w:t>之</w:t>
      </w:r>
      <w:r>
        <w:rPr>
          <w:rFonts w:ascii="Times New Roman" w:hAnsi="Times New Roman" w:cs="Times New Roman" w:eastAsia="Times New Roman" w:hint="default"/>
          <w:b/>
          <w:bCs/>
          <w:spacing w:val="-4"/>
          <w:w w:val="95"/>
          <w:sz w:val="28"/>
          <w:szCs w:val="28"/>
        </w:rPr>
        <w:t>“</w:t>
      </w:r>
      <w:r>
        <w:rPr>
          <w:rFonts w:ascii="宋体" w:hAnsi="宋体" w:cs="宋体" w:eastAsia="宋体" w:hint="default"/>
          <w:b/>
          <w:bCs/>
          <w:spacing w:val="-4"/>
          <w:w w:val="95"/>
          <w:sz w:val="28"/>
          <w:szCs w:val="28"/>
        </w:rPr>
        <w:t>九、公司未来发展的展望</w:t>
      </w:r>
      <w:r>
        <w:rPr>
          <w:rFonts w:ascii="Times New Roman" w:hAnsi="Times New Roman" w:cs="Times New Roman" w:eastAsia="Times New Roman" w:hint="default"/>
          <w:b/>
          <w:bCs/>
          <w:spacing w:val="-4"/>
          <w:w w:val="95"/>
          <w:sz w:val="28"/>
          <w:szCs w:val="28"/>
        </w:rPr>
        <w:t>”</w:t>
      </w:r>
      <w:r>
        <w:rPr>
          <w:rFonts w:ascii="宋体" w:hAnsi="宋体" w:cs="宋体" w:eastAsia="宋体" w:hint="default"/>
          <w:b/>
          <w:bCs/>
          <w:spacing w:val="-4"/>
          <w:w w:val="95"/>
          <w:sz w:val="28"/>
          <w:szCs w:val="28"/>
        </w:rPr>
        <w:t>之</w:t>
      </w:r>
      <w:r>
        <w:rPr>
          <w:rFonts w:ascii="Times New Roman" w:hAnsi="Times New Roman" w:cs="Times New Roman" w:eastAsia="Times New Roman" w:hint="default"/>
          <w:b/>
          <w:bCs/>
          <w:spacing w:val="-4"/>
          <w:w w:val="95"/>
          <w:sz w:val="28"/>
          <w:szCs w:val="28"/>
        </w:rPr>
        <w:t>“</w:t>
      </w:r>
      <w:r>
        <w:rPr>
          <w:rFonts w:ascii="宋体" w:hAnsi="宋体" w:cs="宋体" w:eastAsia="宋体" w:hint="default"/>
          <w:b/>
          <w:bCs/>
          <w:spacing w:val="-4"/>
          <w:w w:val="95"/>
          <w:sz w:val="28"/>
          <w:szCs w:val="28"/>
        </w:rPr>
        <w:t>（三）未来发展中可能存在的风险</w:t>
      </w:r>
      <w:r>
        <w:rPr>
          <w:rFonts w:ascii="Times New Roman" w:hAnsi="Times New Roman" w:cs="Times New Roman" w:eastAsia="Times New Roman" w:hint="default"/>
          <w:b/>
          <w:bCs/>
          <w:spacing w:val="-4"/>
          <w:w w:val="95"/>
          <w:sz w:val="28"/>
          <w:szCs w:val="28"/>
        </w:rPr>
        <w:t>”</w:t>
      </w:r>
      <w:r>
        <w:rPr>
          <w:rFonts w:ascii="宋体" w:hAnsi="宋体" w:cs="宋体" w:eastAsia="宋体" w:hint="default"/>
          <w:b/>
          <w:bCs/>
          <w:spacing w:val="-4"/>
          <w:w w:val="95"/>
          <w:sz w:val="28"/>
          <w:szCs w:val="28"/>
        </w:rPr>
        <w:t>，</w:t>
      </w:r>
      <w:r>
        <w:rPr>
          <w:rFonts w:ascii="宋体" w:hAnsi="宋体" w:cs="宋体" w:eastAsia="宋体" w:hint="default"/>
          <w:b/>
          <w:bCs/>
          <w:spacing w:val="50"/>
          <w:w w:val="95"/>
          <w:sz w:val="28"/>
          <w:szCs w:val="28"/>
        </w:rPr>
        <w:t> </w:t>
      </w:r>
      <w:r>
        <w:rPr>
          <w:rFonts w:ascii="宋体" w:hAnsi="宋体" w:cs="宋体" w:eastAsia="宋体" w:hint="default"/>
          <w:b/>
          <w:bCs/>
          <w:spacing w:val="2"/>
          <w:sz w:val="28"/>
          <w:szCs w:val="28"/>
        </w:rPr>
        <w:t>敬请查阅。</w:t>
      </w:r>
      <w:r>
        <w:rPr>
          <w:rFonts w:ascii="宋体" w:hAnsi="宋体" w:cs="宋体" w:eastAsia="宋体" w:hint="default"/>
          <w:spacing w:val="2"/>
          <w:sz w:val="28"/>
          <w:szCs w:val="28"/>
        </w:rPr>
      </w:r>
    </w:p>
    <w:p>
      <w:pPr>
        <w:spacing w:before="179"/>
        <w:ind w:left="714" w:right="855" w:firstLine="0"/>
        <w:jc w:val="left"/>
        <w:rPr>
          <w:rFonts w:ascii="宋体" w:hAnsi="宋体" w:cs="宋体" w:eastAsia="宋体" w:hint="default"/>
          <w:sz w:val="28"/>
          <w:szCs w:val="28"/>
        </w:rPr>
      </w:pPr>
      <w:r>
        <w:rPr>
          <w:rFonts w:ascii="宋体" w:hAnsi="宋体" w:cs="宋体" w:eastAsia="宋体" w:hint="default"/>
          <w:b/>
          <w:bCs/>
          <w:sz w:val="28"/>
          <w:szCs w:val="28"/>
        </w:rPr>
        <w:t>公司经本次董事会审议通过的利润分配预案为：以</w:t>
      </w:r>
      <w:r>
        <w:rPr>
          <w:rFonts w:ascii="宋体" w:hAnsi="宋体" w:cs="宋体" w:eastAsia="宋体" w:hint="default"/>
          <w:b/>
          <w:bCs/>
          <w:spacing w:val="-87"/>
          <w:sz w:val="28"/>
          <w:szCs w:val="28"/>
        </w:rPr>
        <w:t> </w:t>
      </w:r>
      <w:r>
        <w:rPr>
          <w:rFonts w:ascii="Times New Roman" w:hAnsi="Times New Roman" w:cs="Times New Roman" w:eastAsia="Times New Roman" w:hint="default"/>
          <w:b/>
          <w:bCs/>
          <w:sz w:val="28"/>
          <w:szCs w:val="28"/>
        </w:rPr>
        <w:t>381,165,677</w:t>
      </w:r>
      <w:r>
        <w:rPr>
          <w:rFonts w:ascii="Times New Roman" w:hAnsi="Times New Roman" w:cs="Times New Roman" w:eastAsia="Times New Roman" w:hint="default"/>
          <w:b/>
          <w:bCs/>
          <w:spacing w:val="-24"/>
          <w:sz w:val="28"/>
          <w:szCs w:val="28"/>
        </w:rPr>
        <w:t> </w:t>
      </w:r>
      <w:r>
        <w:rPr>
          <w:rFonts w:ascii="宋体" w:hAnsi="宋体" w:cs="宋体" w:eastAsia="宋体" w:hint="default"/>
          <w:b/>
          <w:bCs/>
          <w:spacing w:val="-5"/>
          <w:sz w:val="28"/>
          <w:szCs w:val="28"/>
        </w:rPr>
        <w:t>为基数，向</w:t>
      </w:r>
      <w:r>
        <w:rPr>
          <w:rFonts w:ascii="宋体" w:hAnsi="宋体" w:cs="宋体" w:eastAsia="宋体" w:hint="default"/>
          <w:spacing w:val="-5"/>
          <w:sz w:val="28"/>
          <w:szCs w:val="28"/>
        </w:rPr>
      </w:r>
    </w:p>
    <w:p>
      <w:pPr>
        <w:spacing w:line="386" w:lineRule="auto" w:before="236"/>
        <w:ind w:left="153" w:right="1128" w:firstLine="0"/>
        <w:jc w:val="left"/>
        <w:rPr>
          <w:rFonts w:ascii="宋体" w:hAnsi="宋体" w:cs="宋体" w:eastAsia="宋体" w:hint="default"/>
          <w:sz w:val="28"/>
          <w:szCs w:val="28"/>
        </w:rPr>
      </w:pPr>
      <w:r>
        <w:rPr>
          <w:rFonts w:ascii="宋体" w:hAnsi="宋体" w:cs="宋体" w:eastAsia="宋体" w:hint="default"/>
          <w:b/>
          <w:bCs/>
          <w:spacing w:val="2"/>
          <w:w w:val="99"/>
          <w:sz w:val="28"/>
          <w:szCs w:val="28"/>
        </w:rPr>
        <w:t>全体股东每</w:t>
      </w:r>
      <w:r>
        <w:rPr>
          <w:rFonts w:ascii="宋体" w:hAnsi="宋体" w:cs="宋体" w:eastAsia="宋体" w:hint="default"/>
          <w:b/>
          <w:bCs/>
          <w:spacing w:val="-59"/>
          <w:w w:val="99"/>
          <w:sz w:val="28"/>
          <w:szCs w:val="28"/>
        </w:rPr>
        <w:t> </w:t>
      </w:r>
      <w:r>
        <w:rPr>
          <w:rFonts w:ascii="Times New Roman" w:hAnsi="Times New Roman" w:cs="Times New Roman" w:eastAsia="Times New Roman" w:hint="default"/>
          <w:b/>
          <w:bCs/>
          <w:w w:val="99"/>
          <w:sz w:val="28"/>
          <w:szCs w:val="28"/>
        </w:rPr>
        <w:t>10</w:t>
      </w:r>
      <w:r>
        <w:rPr>
          <w:rFonts w:ascii="Times New Roman" w:hAnsi="Times New Roman" w:cs="Times New Roman" w:eastAsia="Times New Roman" w:hint="default"/>
          <w:b/>
          <w:bCs/>
          <w:spacing w:val="5"/>
          <w:w w:val="99"/>
          <w:sz w:val="28"/>
          <w:szCs w:val="28"/>
        </w:rPr>
        <w:t> </w:t>
      </w:r>
      <w:r>
        <w:rPr>
          <w:rFonts w:ascii="宋体" w:hAnsi="宋体" w:cs="宋体" w:eastAsia="宋体" w:hint="default"/>
          <w:b/>
          <w:bCs/>
          <w:spacing w:val="1"/>
          <w:w w:val="99"/>
          <w:sz w:val="28"/>
          <w:szCs w:val="28"/>
        </w:rPr>
        <w:t>股派发现金红利</w:t>
      </w:r>
      <w:r>
        <w:rPr>
          <w:rFonts w:ascii="宋体" w:hAnsi="宋体" w:cs="宋体" w:eastAsia="宋体" w:hint="default"/>
          <w:b/>
          <w:bCs/>
          <w:spacing w:val="-59"/>
          <w:w w:val="99"/>
          <w:sz w:val="28"/>
          <w:szCs w:val="28"/>
        </w:rPr>
        <w:t> </w:t>
      </w:r>
      <w:r>
        <w:rPr>
          <w:rFonts w:ascii="Times New Roman" w:hAnsi="Times New Roman" w:cs="Times New Roman" w:eastAsia="Times New Roman" w:hint="default"/>
          <w:b/>
          <w:bCs/>
          <w:w w:val="99"/>
          <w:sz w:val="28"/>
          <w:szCs w:val="28"/>
        </w:rPr>
        <w:t>0.5</w:t>
      </w:r>
      <w:r>
        <w:rPr>
          <w:rFonts w:ascii="Times New Roman" w:hAnsi="Times New Roman" w:cs="Times New Roman" w:eastAsia="Times New Roman" w:hint="default"/>
          <w:b/>
          <w:bCs/>
          <w:spacing w:val="5"/>
          <w:w w:val="99"/>
          <w:sz w:val="28"/>
          <w:szCs w:val="28"/>
        </w:rPr>
        <w:t> </w:t>
      </w:r>
      <w:r>
        <w:rPr>
          <w:rFonts w:ascii="宋体" w:hAnsi="宋体" w:cs="宋体" w:eastAsia="宋体" w:hint="default"/>
          <w:b/>
          <w:bCs/>
          <w:spacing w:val="-14"/>
          <w:w w:val="99"/>
          <w:sz w:val="28"/>
          <w:szCs w:val="28"/>
        </w:rPr>
        <w:t>元（含税），送红股</w:t>
      </w:r>
      <w:r>
        <w:rPr>
          <w:rFonts w:ascii="宋体" w:hAnsi="宋体" w:cs="宋体" w:eastAsia="宋体" w:hint="default"/>
          <w:b/>
          <w:bCs/>
          <w:spacing w:val="-59"/>
          <w:w w:val="99"/>
          <w:sz w:val="28"/>
          <w:szCs w:val="28"/>
        </w:rPr>
        <w:t> </w:t>
      </w:r>
      <w:r>
        <w:rPr>
          <w:rFonts w:ascii="Times New Roman" w:hAnsi="Times New Roman" w:cs="Times New Roman" w:eastAsia="Times New Roman" w:hint="default"/>
          <w:b/>
          <w:bCs/>
          <w:w w:val="99"/>
          <w:sz w:val="28"/>
          <w:szCs w:val="28"/>
        </w:rPr>
        <w:t>0</w:t>
      </w:r>
      <w:r>
        <w:rPr>
          <w:rFonts w:ascii="Times New Roman" w:hAnsi="Times New Roman" w:cs="Times New Roman" w:eastAsia="Times New Roman" w:hint="default"/>
          <w:b/>
          <w:bCs/>
          <w:spacing w:val="5"/>
          <w:w w:val="99"/>
          <w:sz w:val="28"/>
          <w:szCs w:val="28"/>
        </w:rPr>
        <w:t> </w:t>
      </w:r>
      <w:r>
        <w:rPr>
          <w:rFonts w:ascii="宋体" w:hAnsi="宋体" w:cs="宋体" w:eastAsia="宋体" w:hint="default"/>
          <w:b/>
          <w:bCs/>
          <w:spacing w:val="-13"/>
          <w:w w:val="99"/>
          <w:sz w:val="28"/>
          <w:szCs w:val="28"/>
        </w:rPr>
        <w:t>股（含税），不以公积</w:t>
      </w:r>
      <w:r>
        <w:rPr>
          <w:rFonts w:ascii="宋体" w:hAnsi="宋体" w:cs="宋体" w:eastAsia="宋体" w:hint="default"/>
          <w:b/>
          <w:bCs/>
          <w:w w:val="99"/>
          <w:sz w:val="28"/>
          <w:szCs w:val="28"/>
        </w:rPr>
        <w:t> </w:t>
      </w:r>
      <w:r>
        <w:rPr>
          <w:rFonts w:ascii="宋体" w:hAnsi="宋体" w:cs="宋体" w:eastAsia="宋体" w:hint="default"/>
          <w:b/>
          <w:bCs/>
          <w:spacing w:val="2"/>
          <w:sz w:val="28"/>
          <w:szCs w:val="28"/>
        </w:rPr>
        <w:t>金转增股本。</w:t>
      </w:r>
      <w:r>
        <w:rPr>
          <w:rFonts w:ascii="宋体" w:hAnsi="宋体" w:cs="宋体" w:eastAsia="宋体" w:hint="default"/>
          <w:spacing w:val="2"/>
          <w:sz w:val="28"/>
          <w:szCs w:val="28"/>
        </w:rPr>
      </w:r>
    </w:p>
    <w:p>
      <w:pPr>
        <w:spacing w:after="0" w:line="386" w:lineRule="auto"/>
        <w:jc w:val="left"/>
        <w:rPr>
          <w:rFonts w:ascii="宋体" w:hAnsi="宋体" w:cs="宋体" w:eastAsia="宋体" w:hint="default"/>
          <w:sz w:val="28"/>
          <w:szCs w:val="28"/>
        </w:rPr>
        <w:sectPr>
          <w:footerReference w:type="default" r:id="rId8"/>
          <w:pgSz w:w="11910" w:h="16840"/>
          <w:pgMar w:footer="974" w:header="746" w:top="1060" w:bottom="1160" w:left="980" w:right="0"/>
          <w:pgNumType w:start="2"/>
        </w:sectPr>
      </w:pPr>
    </w:p>
    <w:p>
      <w:pPr>
        <w:spacing w:line="240" w:lineRule="auto" w:before="10"/>
        <w:rPr>
          <w:rFonts w:ascii="宋体" w:hAnsi="宋体" w:cs="宋体" w:eastAsia="宋体" w:hint="default"/>
          <w:b/>
          <w:bCs/>
          <w:sz w:val="2"/>
          <w:szCs w:val="2"/>
        </w:rPr>
      </w:pPr>
    </w:p>
    <w:p>
      <w:pPr>
        <w:spacing w:line="20" w:lineRule="exact"/>
        <w:ind w:left="117" w:right="0" w:firstLine="0"/>
        <w:rPr>
          <w:rFonts w:ascii="宋体" w:hAnsi="宋体" w:cs="宋体" w:eastAsia="宋体" w:hint="default"/>
          <w:sz w:val="2"/>
          <w:szCs w:val="2"/>
        </w:rPr>
      </w:pPr>
      <w:r>
        <w:rPr>
          <w:rFonts w:ascii="宋体" w:hAnsi="宋体" w:cs="宋体" w:eastAsia="宋体" w:hint="default"/>
          <w:sz w:val="2"/>
          <w:szCs w:val="2"/>
        </w:rPr>
        <w:pict>
          <v:group style="width:485.75pt;height:.75pt;mso-position-horizontal-relative:char;mso-position-vertical-relative:line" coordorigin="0,0" coordsize="9715,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6"/>
          <w:szCs w:val="26"/>
        </w:rPr>
      </w:pPr>
    </w:p>
    <w:p>
      <w:pPr>
        <w:spacing w:line="460" w:lineRule="exact" w:before="0"/>
        <w:ind w:left="540" w:right="1513" w:firstLine="0"/>
        <w:jc w:val="center"/>
        <w:rPr>
          <w:rFonts w:ascii="宋体" w:hAnsi="宋体" w:cs="宋体" w:eastAsia="宋体" w:hint="default"/>
          <w:sz w:val="36"/>
          <w:szCs w:val="36"/>
        </w:rPr>
      </w:pPr>
      <w:r>
        <w:rPr>
          <w:rFonts w:ascii="宋体" w:hAnsi="宋体" w:cs="宋体" w:eastAsia="宋体" w:hint="default"/>
          <w:b/>
          <w:bCs/>
          <w:sz w:val="36"/>
          <w:szCs w:val="36"/>
        </w:rPr>
        <w:t>目</w:t>
      </w:r>
      <w:r>
        <w:rPr>
          <w:rFonts w:ascii="宋体" w:hAnsi="宋体" w:cs="宋体" w:eastAsia="宋体" w:hint="default"/>
          <w:b/>
          <w:bCs/>
          <w:spacing w:val="-2"/>
          <w:sz w:val="36"/>
          <w:szCs w:val="36"/>
        </w:rPr>
        <w:t> </w:t>
      </w:r>
      <w:r>
        <w:rPr>
          <w:rFonts w:ascii="宋体" w:hAnsi="宋体" w:cs="宋体" w:eastAsia="宋体" w:hint="default"/>
          <w:b/>
          <w:bCs/>
          <w:sz w:val="36"/>
          <w:szCs w:val="36"/>
        </w:rPr>
        <w:t>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5"/>
        <w:rPr>
          <w:rFonts w:ascii="宋体" w:hAnsi="宋体" w:cs="宋体" w:eastAsia="宋体" w:hint="default"/>
          <w:b/>
          <w:bCs/>
          <w:sz w:val="51"/>
          <w:szCs w:val="51"/>
        </w:rPr>
      </w:pPr>
    </w:p>
    <w:p>
      <w:pPr>
        <w:spacing w:before="0"/>
        <w:ind w:left="153" w:right="0" w:firstLine="0"/>
        <w:jc w:val="both"/>
        <w:rPr>
          <w:rFonts w:ascii="宋体" w:hAnsi="宋体" w:cs="宋体" w:eastAsia="宋体" w:hint="default"/>
          <w:sz w:val="28"/>
          <w:szCs w:val="28"/>
        </w:rPr>
      </w:pPr>
      <w:hyperlink w:history="true" w:anchor="_bookmark0">
        <w:r>
          <w:rPr>
            <w:rFonts w:ascii="宋体" w:hAnsi="宋体" w:cs="宋体" w:eastAsia="宋体" w:hint="default"/>
            <w:b/>
            <w:bCs/>
            <w:spacing w:val="2"/>
            <w:sz w:val="28"/>
            <w:szCs w:val="28"/>
          </w:rPr>
          <w:t>第一节</w:t>
        </w:r>
        <w:r>
          <w:rPr>
            <w:rFonts w:ascii="宋体" w:hAnsi="宋体" w:cs="宋体" w:eastAsia="宋体" w:hint="default"/>
            <w:b/>
            <w:bCs/>
            <w:spacing w:val="-42"/>
            <w:sz w:val="28"/>
            <w:szCs w:val="28"/>
          </w:rPr>
          <w:t> </w:t>
        </w:r>
        <w:r>
          <w:rPr>
            <w:rFonts w:ascii="宋体" w:hAnsi="宋体" w:cs="宋体" w:eastAsia="宋体" w:hint="default"/>
            <w:b/>
            <w:bCs/>
            <w:spacing w:val="-42"/>
            <w:sz w:val="28"/>
            <w:szCs w:val="28"/>
          </w:rPr>
        </w:r>
        <w:r>
          <w:rPr>
            <w:rFonts w:ascii="宋体" w:hAnsi="宋体" w:cs="宋体" w:eastAsia="宋体" w:hint="default"/>
            <w:b/>
            <w:bCs/>
            <w:spacing w:val="2"/>
            <w:sz w:val="28"/>
            <w:szCs w:val="28"/>
          </w:rPr>
          <w:t>重要提示、目录和释义</w:t>
        </w:r>
        <w:r>
          <w:rPr>
            <w:rFonts w:ascii="宋体" w:hAnsi="宋体" w:cs="宋体" w:eastAsia="宋体" w:hint="default"/>
            <w:b/>
            <w:bCs/>
            <w:spacing w:val="-59"/>
            <w:sz w:val="28"/>
            <w:szCs w:val="28"/>
          </w:rPr>
          <w:t> </w:t>
        </w:r>
        <w:r>
          <w:rPr>
            <w:rFonts w:ascii="宋体" w:hAnsi="宋体" w:cs="宋体" w:eastAsia="宋体" w:hint="default"/>
            <w:b/>
            <w:bCs/>
            <w:spacing w:val="-59"/>
            <w:sz w:val="28"/>
            <w:szCs w:val="28"/>
          </w:rPr>
        </w:r>
        <w:r>
          <w:rPr>
            <w:rFonts w:ascii="宋体" w:hAnsi="宋体" w:cs="宋体" w:eastAsia="宋体" w:hint="default"/>
            <w:b/>
            <w:bCs/>
            <w:spacing w:val="4"/>
            <w:sz w:val="28"/>
            <w:szCs w:val="28"/>
          </w:rPr>
          <w:t>......................................</w:t>
        </w:r>
        <w:r>
          <w:rPr>
            <w:rFonts w:ascii="宋体" w:hAnsi="宋体" w:cs="宋体" w:eastAsia="宋体" w:hint="default"/>
            <w:b/>
            <w:bCs/>
            <w:spacing w:val="-62"/>
            <w:sz w:val="28"/>
            <w:szCs w:val="28"/>
          </w:rPr>
          <w:t> </w:t>
        </w:r>
        <w:r>
          <w:rPr>
            <w:rFonts w:ascii="宋体" w:hAnsi="宋体" w:cs="宋体" w:eastAsia="宋体" w:hint="default"/>
            <w:b/>
            <w:bCs/>
            <w:sz w:val="28"/>
            <w:szCs w:val="28"/>
          </w:rPr>
          <w:t>2</w:t>
        </w:r>
      </w:hyperlink>
      <w:r>
        <w:rPr>
          <w:rFonts w:ascii="宋体" w:hAnsi="宋体" w:cs="宋体" w:eastAsia="宋体" w:hint="default"/>
          <w:b/>
          <w:bCs/>
          <w:sz w:val="28"/>
          <w:szCs w:val="28"/>
        </w:rPr>
        <w:t> </w:t>
      </w:r>
      <w:r>
        <w:rPr>
          <w:rFonts w:ascii="宋体" w:hAnsi="宋体" w:cs="宋体" w:eastAsia="宋体" w:hint="default"/>
          <w:sz w:val="28"/>
          <w:szCs w:val="28"/>
        </w:rPr>
      </w:r>
    </w:p>
    <w:p>
      <w:pPr>
        <w:spacing w:line="240" w:lineRule="auto" w:before="0"/>
        <w:rPr>
          <w:rFonts w:ascii="宋体" w:hAnsi="宋体" w:cs="宋体" w:eastAsia="宋体" w:hint="default"/>
          <w:b/>
          <w:bCs/>
          <w:sz w:val="23"/>
          <w:szCs w:val="23"/>
        </w:rPr>
      </w:pPr>
    </w:p>
    <w:p>
      <w:pPr>
        <w:spacing w:before="0"/>
        <w:ind w:left="153" w:right="0" w:firstLine="0"/>
        <w:jc w:val="both"/>
        <w:rPr>
          <w:rFonts w:ascii="宋体" w:hAnsi="宋体" w:cs="宋体" w:eastAsia="宋体" w:hint="default"/>
          <w:sz w:val="28"/>
          <w:szCs w:val="28"/>
        </w:rPr>
      </w:pPr>
      <w:hyperlink w:history="true" w:anchor="_bookmark1">
        <w:r>
          <w:rPr>
            <w:rFonts w:ascii="宋体" w:hAnsi="宋体" w:cs="宋体" w:eastAsia="宋体" w:hint="default"/>
            <w:b/>
            <w:bCs/>
            <w:spacing w:val="2"/>
            <w:sz w:val="28"/>
            <w:szCs w:val="28"/>
          </w:rPr>
          <w:t>第二节</w:t>
        </w:r>
        <w:r>
          <w:rPr>
            <w:rFonts w:ascii="宋体" w:hAnsi="宋体" w:cs="宋体" w:eastAsia="宋体" w:hint="default"/>
            <w:b/>
            <w:bCs/>
            <w:spacing w:val="-40"/>
            <w:sz w:val="28"/>
            <w:szCs w:val="28"/>
          </w:rPr>
          <w:t> </w:t>
        </w:r>
        <w:r>
          <w:rPr>
            <w:rFonts w:ascii="宋体" w:hAnsi="宋体" w:cs="宋体" w:eastAsia="宋体" w:hint="default"/>
            <w:b/>
            <w:bCs/>
            <w:spacing w:val="-40"/>
            <w:sz w:val="28"/>
            <w:szCs w:val="28"/>
          </w:rPr>
        </w:r>
        <w:r>
          <w:rPr>
            <w:rFonts w:ascii="宋体" w:hAnsi="宋体" w:cs="宋体" w:eastAsia="宋体" w:hint="default"/>
            <w:b/>
            <w:bCs/>
            <w:spacing w:val="2"/>
            <w:sz w:val="28"/>
            <w:szCs w:val="28"/>
          </w:rPr>
          <w:t>公司简介和主要财务指标</w:t>
        </w:r>
        <w:r>
          <w:rPr>
            <w:rFonts w:ascii="宋体" w:hAnsi="宋体" w:cs="宋体" w:eastAsia="宋体" w:hint="default"/>
            <w:b/>
            <w:bCs/>
            <w:spacing w:val="-55"/>
            <w:sz w:val="28"/>
            <w:szCs w:val="28"/>
          </w:rPr>
          <w:t> </w:t>
        </w:r>
        <w:r>
          <w:rPr>
            <w:rFonts w:ascii="宋体" w:hAnsi="宋体" w:cs="宋体" w:eastAsia="宋体" w:hint="default"/>
            <w:b/>
            <w:bCs/>
            <w:spacing w:val="-55"/>
            <w:sz w:val="28"/>
            <w:szCs w:val="28"/>
          </w:rPr>
        </w:r>
        <w:r>
          <w:rPr>
            <w:rFonts w:ascii="宋体" w:hAnsi="宋体" w:cs="宋体" w:eastAsia="宋体" w:hint="default"/>
            <w:b/>
            <w:bCs/>
            <w:spacing w:val="4"/>
            <w:sz w:val="28"/>
            <w:szCs w:val="28"/>
          </w:rPr>
          <w:t>....................................</w:t>
        </w:r>
        <w:r>
          <w:rPr>
            <w:rFonts w:ascii="宋体" w:hAnsi="宋体" w:cs="宋体" w:eastAsia="宋体" w:hint="default"/>
            <w:b/>
            <w:bCs/>
            <w:spacing w:val="-61"/>
            <w:sz w:val="28"/>
            <w:szCs w:val="28"/>
          </w:rPr>
          <w:t> </w:t>
        </w:r>
        <w:r>
          <w:rPr>
            <w:rFonts w:ascii="宋体" w:hAnsi="宋体" w:cs="宋体" w:eastAsia="宋体" w:hint="default"/>
            <w:b/>
            <w:bCs/>
            <w:sz w:val="28"/>
            <w:szCs w:val="28"/>
          </w:rPr>
          <w:t>5</w:t>
        </w:r>
      </w:hyperlink>
      <w:r>
        <w:rPr>
          <w:rFonts w:ascii="宋体" w:hAnsi="宋体" w:cs="宋体" w:eastAsia="宋体" w:hint="default"/>
          <w:b/>
          <w:bCs/>
          <w:sz w:val="28"/>
          <w:szCs w:val="28"/>
        </w:rPr>
        <w:t> </w:t>
      </w:r>
      <w:r>
        <w:rPr>
          <w:rFonts w:ascii="宋体" w:hAnsi="宋体" w:cs="宋体" w:eastAsia="宋体" w:hint="default"/>
          <w:sz w:val="28"/>
          <w:szCs w:val="28"/>
        </w:rPr>
      </w:r>
    </w:p>
    <w:p>
      <w:pPr>
        <w:spacing w:line="240" w:lineRule="auto" w:before="8"/>
        <w:rPr>
          <w:rFonts w:ascii="宋体" w:hAnsi="宋体" w:cs="宋体" w:eastAsia="宋体" w:hint="default"/>
          <w:b/>
          <w:bCs/>
          <w:sz w:val="22"/>
          <w:szCs w:val="22"/>
        </w:rPr>
      </w:pPr>
    </w:p>
    <w:p>
      <w:pPr>
        <w:spacing w:before="0"/>
        <w:ind w:left="153" w:right="0" w:firstLine="0"/>
        <w:jc w:val="both"/>
        <w:rPr>
          <w:rFonts w:ascii="宋体" w:hAnsi="宋体" w:cs="宋体" w:eastAsia="宋体" w:hint="default"/>
          <w:sz w:val="28"/>
          <w:szCs w:val="28"/>
        </w:rPr>
      </w:pPr>
      <w:hyperlink w:history="true" w:anchor="_bookmark2">
        <w:r>
          <w:rPr>
            <w:rFonts w:ascii="宋体" w:hAnsi="宋体" w:cs="宋体" w:eastAsia="宋体" w:hint="default"/>
            <w:b/>
            <w:bCs/>
            <w:spacing w:val="2"/>
            <w:sz w:val="28"/>
            <w:szCs w:val="28"/>
          </w:rPr>
          <w:t>第三节</w:t>
        </w:r>
        <w:r>
          <w:rPr>
            <w:rFonts w:ascii="宋体" w:hAnsi="宋体" w:cs="宋体" w:eastAsia="宋体" w:hint="default"/>
            <w:b/>
            <w:bCs/>
            <w:spacing w:val="-47"/>
            <w:sz w:val="28"/>
            <w:szCs w:val="28"/>
          </w:rPr>
          <w:t> </w:t>
        </w:r>
        <w:r>
          <w:rPr>
            <w:rFonts w:ascii="宋体" w:hAnsi="宋体" w:cs="宋体" w:eastAsia="宋体" w:hint="default"/>
            <w:b/>
            <w:bCs/>
            <w:spacing w:val="-47"/>
            <w:sz w:val="28"/>
            <w:szCs w:val="28"/>
          </w:rPr>
        </w:r>
        <w:r>
          <w:rPr>
            <w:rFonts w:ascii="宋体" w:hAnsi="宋体" w:cs="宋体" w:eastAsia="宋体" w:hint="default"/>
            <w:b/>
            <w:bCs/>
            <w:spacing w:val="2"/>
            <w:sz w:val="28"/>
            <w:szCs w:val="28"/>
          </w:rPr>
          <w:t>公司业务概要</w:t>
        </w:r>
        <w:r>
          <w:rPr>
            <w:rFonts w:ascii="宋体" w:hAnsi="宋体" w:cs="宋体" w:eastAsia="宋体" w:hint="default"/>
            <w:b/>
            <w:bCs/>
            <w:spacing w:val="-83"/>
            <w:sz w:val="28"/>
            <w:szCs w:val="28"/>
          </w:rPr>
          <w:t> </w:t>
        </w:r>
        <w:r>
          <w:rPr>
            <w:rFonts w:ascii="宋体" w:hAnsi="宋体" w:cs="宋体" w:eastAsia="宋体" w:hint="default"/>
            <w:b/>
            <w:bCs/>
            <w:spacing w:val="-83"/>
            <w:sz w:val="28"/>
            <w:szCs w:val="28"/>
          </w:rPr>
        </w:r>
        <w:r>
          <w:rPr>
            <w:rFonts w:ascii="宋体" w:hAnsi="宋体" w:cs="宋体" w:eastAsia="宋体" w:hint="default"/>
            <w:b/>
            <w:bCs/>
            <w:spacing w:val="4"/>
            <w:sz w:val="28"/>
            <w:szCs w:val="28"/>
          </w:rPr>
          <w:t>..............................................</w:t>
        </w:r>
        <w:r>
          <w:rPr>
            <w:rFonts w:ascii="宋体" w:hAnsi="宋体" w:cs="宋体" w:eastAsia="宋体" w:hint="default"/>
            <w:b/>
            <w:bCs/>
            <w:spacing w:val="-67"/>
            <w:sz w:val="28"/>
            <w:szCs w:val="28"/>
          </w:rPr>
          <w:t> </w:t>
        </w:r>
        <w:r>
          <w:rPr>
            <w:rFonts w:ascii="宋体" w:hAnsi="宋体" w:cs="宋体" w:eastAsia="宋体" w:hint="default"/>
            <w:b/>
            <w:bCs/>
            <w:sz w:val="28"/>
            <w:szCs w:val="28"/>
          </w:rPr>
          <w:t>9</w:t>
        </w:r>
      </w:hyperlink>
      <w:r>
        <w:rPr>
          <w:rFonts w:ascii="宋体" w:hAnsi="宋体" w:cs="宋体" w:eastAsia="宋体" w:hint="default"/>
          <w:b/>
          <w:bCs/>
          <w:sz w:val="28"/>
          <w:szCs w:val="28"/>
        </w:rPr>
        <w:t> </w:t>
      </w:r>
      <w:r>
        <w:rPr>
          <w:rFonts w:ascii="宋体" w:hAnsi="宋体" w:cs="宋体" w:eastAsia="宋体" w:hint="default"/>
          <w:sz w:val="28"/>
          <w:szCs w:val="28"/>
        </w:rPr>
      </w:r>
    </w:p>
    <w:p>
      <w:pPr>
        <w:spacing w:line="240" w:lineRule="auto" w:before="8"/>
        <w:rPr>
          <w:rFonts w:ascii="宋体" w:hAnsi="宋体" w:cs="宋体" w:eastAsia="宋体" w:hint="default"/>
          <w:b/>
          <w:bCs/>
          <w:sz w:val="22"/>
          <w:szCs w:val="22"/>
        </w:rPr>
      </w:pPr>
    </w:p>
    <w:p>
      <w:pPr>
        <w:spacing w:before="0"/>
        <w:ind w:left="153" w:right="0" w:firstLine="0"/>
        <w:jc w:val="both"/>
        <w:rPr>
          <w:rFonts w:ascii="宋体" w:hAnsi="宋体" w:cs="宋体" w:eastAsia="宋体" w:hint="default"/>
          <w:sz w:val="28"/>
          <w:szCs w:val="28"/>
        </w:rPr>
      </w:pPr>
      <w:hyperlink w:history="true" w:anchor="_bookmark3">
        <w:r>
          <w:rPr>
            <w:rFonts w:ascii="宋体" w:hAnsi="宋体" w:cs="宋体" w:eastAsia="宋体" w:hint="default"/>
            <w:b/>
            <w:bCs/>
            <w:spacing w:val="2"/>
            <w:sz w:val="28"/>
            <w:szCs w:val="28"/>
          </w:rPr>
          <w:t>第四节</w:t>
        </w:r>
        <w:r>
          <w:rPr>
            <w:rFonts w:ascii="宋体" w:hAnsi="宋体" w:cs="宋体" w:eastAsia="宋体" w:hint="default"/>
            <w:b/>
            <w:bCs/>
            <w:spacing w:val="-41"/>
            <w:sz w:val="28"/>
            <w:szCs w:val="28"/>
          </w:rPr>
          <w:t> </w:t>
        </w:r>
        <w:r>
          <w:rPr>
            <w:rFonts w:ascii="宋体" w:hAnsi="宋体" w:cs="宋体" w:eastAsia="宋体" w:hint="default"/>
            <w:b/>
            <w:bCs/>
            <w:spacing w:val="-41"/>
            <w:sz w:val="28"/>
            <w:szCs w:val="28"/>
          </w:rPr>
        </w:r>
        <w:r>
          <w:rPr>
            <w:rFonts w:ascii="宋体" w:hAnsi="宋体" w:cs="宋体" w:eastAsia="宋体" w:hint="default"/>
            <w:b/>
            <w:bCs/>
            <w:spacing w:val="2"/>
            <w:sz w:val="28"/>
            <w:szCs w:val="28"/>
          </w:rPr>
          <w:t>经营情况讨论与分析</w:t>
        </w:r>
        <w:r>
          <w:rPr>
            <w:rFonts w:ascii="宋体" w:hAnsi="宋体" w:cs="宋体" w:eastAsia="宋体" w:hint="default"/>
            <w:b/>
            <w:bCs/>
            <w:spacing w:val="-65"/>
            <w:sz w:val="28"/>
            <w:szCs w:val="28"/>
          </w:rPr>
          <w:t> </w:t>
        </w:r>
        <w:r>
          <w:rPr>
            <w:rFonts w:ascii="宋体" w:hAnsi="宋体" w:cs="宋体" w:eastAsia="宋体" w:hint="default"/>
            <w:b/>
            <w:bCs/>
            <w:spacing w:val="-65"/>
            <w:sz w:val="28"/>
            <w:szCs w:val="28"/>
          </w:rPr>
        </w:r>
        <w:r>
          <w:rPr>
            <w:rFonts w:ascii="宋体" w:hAnsi="宋体" w:cs="宋体" w:eastAsia="宋体" w:hint="default"/>
            <w:b/>
            <w:bCs/>
            <w:spacing w:val="4"/>
            <w:sz w:val="28"/>
            <w:szCs w:val="28"/>
          </w:rPr>
          <w:t>.......................................</w:t>
        </w:r>
        <w:r>
          <w:rPr>
            <w:rFonts w:ascii="宋体" w:hAnsi="宋体" w:cs="宋体" w:eastAsia="宋体" w:hint="default"/>
            <w:b/>
            <w:bCs/>
            <w:spacing w:val="-62"/>
            <w:sz w:val="28"/>
            <w:szCs w:val="28"/>
          </w:rPr>
          <w:t> </w:t>
        </w:r>
        <w:r>
          <w:rPr>
            <w:rFonts w:ascii="宋体" w:hAnsi="宋体" w:cs="宋体" w:eastAsia="宋体" w:hint="default"/>
            <w:b/>
            <w:bCs/>
            <w:sz w:val="28"/>
            <w:szCs w:val="28"/>
          </w:rPr>
          <w:t>12</w:t>
        </w:r>
      </w:hyperlink>
      <w:r>
        <w:rPr>
          <w:rFonts w:ascii="宋体" w:hAnsi="宋体" w:cs="宋体" w:eastAsia="宋体" w:hint="default"/>
          <w:b/>
          <w:bCs/>
          <w:sz w:val="28"/>
          <w:szCs w:val="28"/>
        </w:rPr>
        <w:t> </w:t>
      </w:r>
      <w:r>
        <w:rPr>
          <w:rFonts w:ascii="宋体" w:hAnsi="宋体" w:cs="宋体" w:eastAsia="宋体" w:hint="default"/>
          <w:sz w:val="28"/>
          <w:szCs w:val="28"/>
        </w:rPr>
      </w:r>
    </w:p>
    <w:p>
      <w:pPr>
        <w:spacing w:line="240" w:lineRule="auto" w:before="0"/>
        <w:rPr>
          <w:rFonts w:ascii="宋体" w:hAnsi="宋体" w:cs="宋体" w:eastAsia="宋体" w:hint="default"/>
          <w:b/>
          <w:bCs/>
          <w:sz w:val="23"/>
          <w:szCs w:val="23"/>
        </w:rPr>
      </w:pPr>
    </w:p>
    <w:p>
      <w:pPr>
        <w:spacing w:before="0"/>
        <w:ind w:left="153" w:right="0" w:firstLine="0"/>
        <w:jc w:val="both"/>
        <w:rPr>
          <w:rFonts w:ascii="宋体" w:hAnsi="宋体" w:cs="宋体" w:eastAsia="宋体" w:hint="default"/>
          <w:sz w:val="28"/>
          <w:szCs w:val="28"/>
        </w:rPr>
      </w:pPr>
      <w:hyperlink w:history="true" w:anchor="_bookmark4">
        <w:r>
          <w:rPr>
            <w:rFonts w:ascii="宋体" w:hAnsi="宋体" w:cs="宋体" w:eastAsia="宋体" w:hint="default"/>
            <w:b/>
            <w:bCs/>
            <w:spacing w:val="2"/>
            <w:sz w:val="28"/>
            <w:szCs w:val="28"/>
          </w:rPr>
          <w:t>第五节</w:t>
        </w:r>
        <w:r>
          <w:rPr>
            <w:rFonts w:ascii="宋体" w:hAnsi="宋体" w:cs="宋体" w:eastAsia="宋体" w:hint="default"/>
            <w:b/>
            <w:bCs/>
            <w:spacing w:val="-49"/>
            <w:sz w:val="28"/>
            <w:szCs w:val="28"/>
          </w:rPr>
          <w:t> </w:t>
        </w:r>
        <w:r>
          <w:rPr>
            <w:rFonts w:ascii="宋体" w:hAnsi="宋体" w:cs="宋体" w:eastAsia="宋体" w:hint="default"/>
            <w:b/>
            <w:bCs/>
            <w:spacing w:val="-49"/>
            <w:sz w:val="28"/>
            <w:szCs w:val="28"/>
          </w:rPr>
        </w:r>
        <w:r>
          <w:rPr>
            <w:rFonts w:ascii="宋体" w:hAnsi="宋体" w:cs="宋体" w:eastAsia="宋体" w:hint="default"/>
            <w:b/>
            <w:bCs/>
            <w:spacing w:val="2"/>
            <w:sz w:val="28"/>
            <w:szCs w:val="28"/>
          </w:rPr>
          <w:t>重要事项</w:t>
        </w:r>
        <w:r>
          <w:rPr>
            <w:rFonts w:ascii="宋体" w:hAnsi="宋体" w:cs="宋体" w:eastAsia="宋体" w:hint="default"/>
            <w:b/>
            <w:bCs/>
            <w:spacing w:val="-94"/>
            <w:sz w:val="28"/>
            <w:szCs w:val="28"/>
          </w:rPr>
          <w:t> </w:t>
        </w:r>
        <w:r>
          <w:rPr>
            <w:rFonts w:ascii="宋体" w:hAnsi="宋体" w:cs="宋体" w:eastAsia="宋体" w:hint="default"/>
            <w:b/>
            <w:bCs/>
            <w:spacing w:val="-94"/>
            <w:sz w:val="28"/>
            <w:szCs w:val="28"/>
          </w:rPr>
        </w:r>
        <w:r>
          <w:rPr>
            <w:rFonts w:ascii="宋体" w:hAnsi="宋体" w:cs="宋体" w:eastAsia="宋体" w:hint="default"/>
            <w:b/>
            <w:bCs/>
            <w:spacing w:val="4"/>
            <w:sz w:val="28"/>
            <w:szCs w:val="28"/>
          </w:rPr>
          <w:t>.................................................</w:t>
        </w:r>
        <w:r>
          <w:rPr>
            <w:rFonts w:ascii="宋体" w:hAnsi="宋体" w:cs="宋体" w:eastAsia="宋体" w:hint="default"/>
            <w:b/>
            <w:bCs/>
            <w:spacing w:val="-68"/>
            <w:sz w:val="28"/>
            <w:szCs w:val="28"/>
          </w:rPr>
          <w:t> </w:t>
        </w:r>
        <w:r>
          <w:rPr>
            <w:rFonts w:ascii="宋体" w:hAnsi="宋体" w:cs="宋体" w:eastAsia="宋体" w:hint="default"/>
            <w:b/>
            <w:bCs/>
            <w:sz w:val="28"/>
            <w:szCs w:val="28"/>
          </w:rPr>
          <w:t>26</w:t>
        </w:r>
      </w:hyperlink>
      <w:r>
        <w:rPr>
          <w:rFonts w:ascii="宋体" w:hAnsi="宋体" w:cs="宋体" w:eastAsia="宋体" w:hint="default"/>
          <w:b/>
          <w:bCs/>
          <w:sz w:val="28"/>
          <w:szCs w:val="28"/>
        </w:rPr>
        <w:t> </w:t>
      </w:r>
      <w:r>
        <w:rPr>
          <w:rFonts w:ascii="宋体" w:hAnsi="宋体" w:cs="宋体" w:eastAsia="宋体" w:hint="default"/>
          <w:sz w:val="28"/>
          <w:szCs w:val="28"/>
        </w:rPr>
      </w:r>
    </w:p>
    <w:p>
      <w:pPr>
        <w:spacing w:line="240" w:lineRule="auto" w:before="8"/>
        <w:rPr>
          <w:rFonts w:ascii="宋体" w:hAnsi="宋体" w:cs="宋体" w:eastAsia="宋体" w:hint="default"/>
          <w:b/>
          <w:bCs/>
          <w:sz w:val="22"/>
          <w:szCs w:val="22"/>
        </w:rPr>
      </w:pPr>
    </w:p>
    <w:p>
      <w:pPr>
        <w:spacing w:before="0"/>
        <w:ind w:left="153" w:right="0" w:firstLine="0"/>
        <w:jc w:val="both"/>
        <w:rPr>
          <w:rFonts w:ascii="宋体" w:hAnsi="宋体" w:cs="宋体" w:eastAsia="宋体" w:hint="default"/>
          <w:sz w:val="28"/>
          <w:szCs w:val="28"/>
        </w:rPr>
      </w:pPr>
      <w:hyperlink w:history="true" w:anchor="_bookmark5">
        <w:r>
          <w:rPr>
            <w:rFonts w:ascii="宋体" w:hAnsi="宋体" w:cs="宋体" w:eastAsia="宋体" w:hint="default"/>
            <w:b/>
            <w:bCs/>
            <w:spacing w:val="2"/>
            <w:sz w:val="28"/>
            <w:szCs w:val="28"/>
          </w:rPr>
          <w:t>第六节</w:t>
        </w:r>
        <w:r>
          <w:rPr>
            <w:rFonts w:ascii="宋体" w:hAnsi="宋体" w:cs="宋体" w:eastAsia="宋体" w:hint="default"/>
            <w:b/>
            <w:bCs/>
            <w:spacing w:val="-41"/>
            <w:sz w:val="28"/>
            <w:szCs w:val="28"/>
          </w:rPr>
          <w:t> </w:t>
        </w:r>
        <w:r>
          <w:rPr>
            <w:rFonts w:ascii="宋体" w:hAnsi="宋体" w:cs="宋体" w:eastAsia="宋体" w:hint="default"/>
            <w:b/>
            <w:bCs/>
            <w:spacing w:val="-41"/>
            <w:sz w:val="28"/>
            <w:szCs w:val="28"/>
          </w:rPr>
        </w:r>
        <w:r>
          <w:rPr>
            <w:rFonts w:ascii="宋体" w:hAnsi="宋体" w:cs="宋体" w:eastAsia="宋体" w:hint="default"/>
            <w:b/>
            <w:bCs/>
            <w:spacing w:val="2"/>
            <w:sz w:val="28"/>
            <w:szCs w:val="28"/>
          </w:rPr>
          <w:t>股份变动及股东情况</w:t>
        </w:r>
        <w:r>
          <w:rPr>
            <w:rFonts w:ascii="宋体" w:hAnsi="宋体" w:cs="宋体" w:eastAsia="宋体" w:hint="default"/>
            <w:b/>
            <w:bCs/>
            <w:spacing w:val="-65"/>
            <w:sz w:val="28"/>
            <w:szCs w:val="28"/>
          </w:rPr>
          <w:t> </w:t>
        </w:r>
        <w:r>
          <w:rPr>
            <w:rFonts w:ascii="宋体" w:hAnsi="宋体" w:cs="宋体" w:eastAsia="宋体" w:hint="default"/>
            <w:b/>
            <w:bCs/>
            <w:spacing w:val="-65"/>
            <w:sz w:val="28"/>
            <w:szCs w:val="28"/>
          </w:rPr>
        </w:r>
        <w:r>
          <w:rPr>
            <w:rFonts w:ascii="宋体" w:hAnsi="宋体" w:cs="宋体" w:eastAsia="宋体" w:hint="default"/>
            <w:b/>
            <w:bCs/>
            <w:spacing w:val="4"/>
            <w:sz w:val="28"/>
            <w:szCs w:val="28"/>
          </w:rPr>
          <w:t>.......................................</w:t>
        </w:r>
        <w:r>
          <w:rPr>
            <w:rFonts w:ascii="宋体" w:hAnsi="宋体" w:cs="宋体" w:eastAsia="宋体" w:hint="default"/>
            <w:b/>
            <w:bCs/>
            <w:spacing w:val="-62"/>
            <w:sz w:val="28"/>
            <w:szCs w:val="28"/>
          </w:rPr>
          <w:t> </w:t>
        </w:r>
        <w:r>
          <w:rPr>
            <w:rFonts w:ascii="宋体" w:hAnsi="宋体" w:cs="宋体" w:eastAsia="宋体" w:hint="default"/>
            <w:b/>
            <w:bCs/>
            <w:sz w:val="28"/>
            <w:szCs w:val="28"/>
          </w:rPr>
          <w:t>41</w:t>
        </w:r>
      </w:hyperlink>
      <w:r>
        <w:rPr>
          <w:rFonts w:ascii="宋体" w:hAnsi="宋体" w:cs="宋体" w:eastAsia="宋体" w:hint="default"/>
          <w:b/>
          <w:bCs/>
          <w:sz w:val="28"/>
          <w:szCs w:val="28"/>
        </w:rPr>
        <w:t> </w:t>
      </w:r>
      <w:r>
        <w:rPr>
          <w:rFonts w:ascii="宋体" w:hAnsi="宋体" w:cs="宋体" w:eastAsia="宋体" w:hint="default"/>
          <w:sz w:val="28"/>
          <w:szCs w:val="28"/>
        </w:rPr>
      </w:r>
    </w:p>
    <w:p>
      <w:pPr>
        <w:spacing w:line="240" w:lineRule="auto" w:before="9"/>
        <w:rPr>
          <w:rFonts w:ascii="宋体" w:hAnsi="宋体" w:cs="宋体" w:eastAsia="宋体" w:hint="default"/>
          <w:b/>
          <w:bCs/>
          <w:sz w:val="22"/>
          <w:szCs w:val="22"/>
        </w:rPr>
      </w:pPr>
    </w:p>
    <w:p>
      <w:pPr>
        <w:spacing w:before="0"/>
        <w:ind w:left="153" w:right="0" w:firstLine="0"/>
        <w:jc w:val="both"/>
        <w:rPr>
          <w:rFonts w:ascii="宋体" w:hAnsi="宋体" w:cs="宋体" w:eastAsia="宋体" w:hint="default"/>
          <w:sz w:val="28"/>
          <w:szCs w:val="28"/>
        </w:rPr>
      </w:pPr>
      <w:hyperlink w:history="true" w:anchor="_bookmark6">
        <w:r>
          <w:rPr>
            <w:rFonts w:ascii="宋体" w:hAnsi="宋体" w:cs="宋体" w:eastAsia="宋体" w:hint="default"/>
            <w:b/>
            <w:bCs/>
            <w:spacing w:val="2"/>
            <w:sz w:val="28"/>
            <w:szCs w:val="28"/>
          </w:rPr>
          <w:t>第七节</w:t>
        </w:r>
        <w:r>
          <w:rPr>
            <w:rFonts w:ascii="宋体" w:hAnsi="宋体" w:cs="宋体" w:eastAsia="宋体" w:hint="default"/>
            <w:b/>
            <w:bCs/>
            <w:spacing w:val="-43"/>
            <w:sz w:val="28"/>
            <w:szCs w:val="28"/>
          </w:rPr>
          <w:t> </w:t>
        </w:r>
        <w:r>
          <w:rPr>
            <w:rFonts w:ascii="宋体" w:hAnsi="宋体" w:cs="宋体" w:eastAsia="宋体" w:hint="default"/>
            <w:b/>
            <w:bCs/>
            <w:spacing w:val="-43"/>
            <w:sz w:val="28"/>
            <w:szCs w:val="28"/>
          </w:rPr>
        </w:r>
        <w:r>
          <w:rPr>
            <w:rFonts w:ascii="宋体" w:hAnsi="宋体" w:cs="宋体" w:eastAsia="宋体" w:hint="default"/>
            <w:b/>
            <w:bCs/>
            <w:spacing w:val="2"/>
            <w:sz w:val="28"/>
            <w:szCs w:val="28"/>
          </w:rPr>
          <w:t>优先股相关情况</w:t>
        </w:r>
        <w:r>
          <w:rPr>
            <w:rFonts w:ascii="宋体" w:hAnsi="宋体" w:cs="宋体" w:eastAsia="宋体" w:hint="default"/>
            <w:b/>
            <w:bCs/>
            <w:spacing w:val="-77"/>
            <w:sz w:val="28"/>
            <w:szCs w:val="28"/>
          </w:rPr>
          <w:t> </w:t>
        </w:r>
        <w:r>
          <w:rPr>
            <w:rFonts w:ascii="宋体" w:hAnsi="宋体" w:cs="宋体" w:eastAsia="宋体" w:hint="default"/>
            <w:b/>
            <w:bCs/>
            <w:spacing w:val="-77"/>
            <w:sz w:val="28"/>
            <w:szCs w:val="28"/>
          </w:rPr>
        </w:r>
        <w:r>
          <w:rPr>
            <w:rFonts w:ascii="宋体" w:hAnsi="宋体" w:cs="宋体" w:eastAsia="宋体" w:hint="default"/>
            <w:b/>
            <w:bCs/>
            <w:spacing w:val="4"/>
            <w:sz w:val="28"/>
            <w:szCs w:val="28"/>
          </w:rPr>
          <w:t>...........................................</w:t>
        </w:r>
        <w:r>
          <w:rPr>
            <w:rFonts w:ascii="宋体" w:hAnsi="宋体" w:cs="宋体" w:eastAsia="宋体" w:hint="default"/>
            <w:b/>
            <w:bCs/>
            <w:spacing w:val="-64"/>
            <w:sz w:val="28"/>
            <w:szCs w:val="28"/>
          </w:rPr>
          <w:t> </w:t>
        </w:r>
        <w:r>
          <w:rPr>
            <w:rFonts w:ascii="宋体" w:hAnsi="宋体" w:cs="宋体" w:eastAsia="宋体" w:hint="default"/>
            <w:b/>
            <w:bCs/>
            <w:sz w:val="28"/>
            <w:szCs w:val="28"/>
          </w:rPr>
          <w:t>47</w:t>
        </w:r>
      </w:hyperlink>
      <w:r>
        <w:rPr>
          <w:rFonts w:ascii="宋体" w:hAnsi="宋体" w:cs="宋体" w:eastAsia="宋体" w:hint="default"/>
          <w:b/>
          <w:bCs/>
          <w:sz w:val="28"/>
          <w:szCs w:val="28"/>
        </w:rPr>
        <w:t> </w:t>
      </w:r>
      <w:r>
        <w:rPr>
          <w:rFonts w:ascii="宋体" w:hAnsi="宋体" w:cs="宋体" w:eastAsia="宋体" w:hint="default"/>
          <w:sz w:val="28"/>
          <w:szCs w:val="28"/>
        </w:rPr>
      </w:r>
    </w:p>
    <w:p>
      <w:pPr>
        <w:spacing w:line="240" w:lineRule="auto" w:before="13"/>
        <w:rPr>
          <w:rFonts w:ascii="宋体" w:hAnsi="宋体" w:cs="宋体" w:eastAsia="宋体" w:hint="default"/>
          <w:b/>
          <w:bCs/>
          <w:sz w:val="22"/>
          <w:szCs w:val="22"/>
        </w:rPr>
      </w:pPr>
    </w:p>
    <w:p>
      <w:pPr>
        <w:spacing w:line="434" w:lineRule="auto" w:before="0"/>
        <w:ind w:left="153" w:right="996" w:firstLine="0"/>
        <w:jc w:val="both"/>
        <w:rPr>
          <w:rFonts w:ascii="宋体" w:hAnsi="宋体" w:cs="宋体" w:eastAsia="宋体" w:hint="default"/>
          <w:sz w:val="28"/>
          <w:szCs w:val="28"/>
        </w:rPr>
      </w:pPr>
      <w:hyperlink w:history="true" w:anchor="_bookmark7">
        <w:r>
          <w:rPr>
            <w:rFonts w:ascii="宋体" w:hAnsi="宋体" w:cs="宋体" w:eastAsia="宋体" w:hint="default"/>
            <w:b/>
            <w:bCs/>
            <w:spacing w:val="2"/>
            <w:sz w:val="28"/>
            <w:szCs w:val="28"/>
          </w:rPr>
          <w:t>第八节</w:t>
        </w:r>
        <w:r>
          <w:rPr>
            <w:rFonts w:ascii="宋体" w:hAnsi="宋体" w:cs="宋体" w:eastAsia="宋体" w:hint="default"/>
            <w:b/>
            <w:bCs/>
            <w:spacing w:val="-26"/>
            <w:sz w:val="28"/>
            <w:szCs w:val="28"/>
          </w:rPr>
          <w:t> </w:t>
        </w:r>
        <w:r>
          <w:rPr>
            <w:rFonts w:ascii="宋体" w:hAnsi="宋体" w:cs="宋体" w:eastAsia="宋体" w:hint="default"/>
            <w:b/>
            <w:bCs/>
            <w:spacing w:val="-26"/>
            <w:sz w:val="28"/>
            <w:szCs w:val="28"/>
          </w:rPr>
        </w:r>
        <w:r>
          <w:rPr>
            <w:rFonts w:ascii="宋体" w:hAnsi="宋体" w:cs="宋体" w:eastAsia="宋体" w:hint="default"/>
            <w:b/>
            <w:bCs/>
            <w:spacing w:val="2"/>
            <w:sz w:val="28"/>
            <w:szCs w:val="28"/>
          </w:rPr>
          <w:t>可转换公司债券相关情况</w:t>
        </w:r>
        <w:r>
          <w:rPr>
            <w:rFonts w:ascii="宋体" w:hAnsi="宋体" w:cs="宋体" w:eastAsia="宋体" w:hint="default"/>
            <w:b/>
            <w:bCs/>
            <w:spacing w:val="-43"/>
            <w:sz w:val="28"/>
            <w:szCs w:val="28"/>
          </w:rPr>
          <w:t> </w:t>
        </w:r>
        <w:r>
          <w:rPr>
            <w:rFonts w:ascii="宋体" w:hAnsi="宋体" w:cs="宋体" w:eastAsia="宋体" w:hint="default"/>
            <w:b/>
            <w:bCs/>
            <w:spacing w:val="-43"/>
            <w:sz w:val="28"/>
            <w:szCs w:val="28"/>
          </w:rPr>
        </w:r>
        <w:r>
          <w:rPr>
            <w:rFonts w:ascii="宋体" w:hAnsi="宋体" w:cs="宋体" w:eastAsia="宋体" w:hint="default"/>
            <w:b/>
            <w:bCs/>
            <w:spacing w:val="4"/>
            <w:sz w:val="28"/>
            <w:szCs w:val="28"/>
          </w:rPr>
          <w:t>...................................</w:t>
        </w:r>
        <w:r>
          <w:rPr>
            <w:rFonts w:ascii="宋体" w:hAnsi="宋体" w:cs="宋体" w:eastAsia="宋体" w:hint="default"/>
            <w:b/>
            <w:bCs/>
            <w:spacing w:val="-50"/>
            <w:sz w:val="28"/>
            <w:szCs w:val="28"/>
          </w:rPr>
          <w:t> </w:t>
        </w:r>
        <w:r>
          <w:rPr>
            <w:rFonts w:ascii="宋体" w:hAnsi="宋体" w:cs="宋体" w:eastAsia="宋体" w:hint="default"/>
            <w:b/>
            <w:bCs/>
            <w:sz w:val="28"/>
            <w:szCs w:val="28"/>
          </w:rPr>
          <w:t>48</w:t>
        </w:r>
      </w:hyperlink>
      <w:r>
        <w:rPr>
          <w:rFonts w:ascii="宋体" w:hAnsi="宋体" w:cs="宋体" w:eastAsia="宋体" w:hint="default"/>
          <w:b/>
          <w:bCs/>
          <w:w w:val="98"/>
          <w:sz w:val="28"/>
          <w:szCs w:val="28"/>
        </w:rPr>
        <w:t> </w:t>
      </w:r>
      <w:hyperlink w:history="true" w:anchor="_bookmark8">
        <w:r>
          <w:rPr>
            <w:rFonts w:ascii="宋体" w:hAnsi="宋体" w:cs="宋体" w:eastAsia="宋体" w:hint="default"/>
            <w:b/>
            <w:bCs/>
            <w:spacing w:val="2"/>
            <w:sz w:val="28"/>
            <w:szCs w:val="28"/>
          </w:rPr>
          <w:t>第九节</w:t>
        </w:r>
        <w:r>
          <w:rPr>
            <w:rFonts w:ascii="宋体" w:hAnsi="宋体" w:cs="宋体" w:eastAsia="宋体" w:hint="default"/>
            <w:b/>
            <w:bCs/>
            <w:spacing w:val="-30"/>
            <w:sz w:val="28"/>
            <w:szCs w:val="28"/>
          </w:rPr>
          <w:t> </w:t>
        </w:r>
        <w:r>
          <w:rPr>
            <w:rFonts w:ascii="宋体" w:hAnsi="宋体" w:cs="宋体" w:eastAsia="宋体" w:hint="default"/>
            <w:b/>
            <w:bCs/>
            <w:spacing w:val="-30"/>
            <w:sz w:val="28"/>
            <w:szCs w:val="28"/>
          </w:rPr>
        </w:r>
        <w:r>
          <w:rPr>
            <w:rFonts w:ascii="宋体" w:hAnsi="宋体" w:cs="宋体" w:eastAsia="宋体" w:hint="default"/>
            <w:b/>
            <w:bCs/>
            <w:spacing w:val="2"/>
            <w:sz w:val="28"/>
            <w:szCs w:val="28"/>
          </w:rPr>
          <w:t>董事、监事、高级管理人员和员工情况</w:t>
        </w:r>
        <w:r>
          <w:rPr>
            <w:rFonts w:ascii="宋体" w:hAnsi="宋体" w:cs="宋体" w:eastAsia="宋体" w:hint="default"/>
            <w:b/>
            <w:bCs/>
            <w:spacing w:val="-126"/>
            <w:sz w:val="28"/>
            <w:szCs w:val="28"/>
          </w:rPr>
          <w:t> </w:t>
        </w:r>
        <w:r>
          <w:rPr>
            <w:rFonts w:ascii="宋体" w:hAnsi="宋体" w:cs="宋体" w:eastAsia="宋体" w:hint="default"/>
            <w:b/>
            <w:bCs/>
            <w:spacing w:val="-126"/>
            <w:sz w:val="28"/>
            <w:szCs w:val="28"/>
          </w:rPr>
        </w:r>
        <w:r>
          <w:rPr>
            <w:rFonts w:ascii="宋体" w:hAnsi="宋体" w:cs="宋体" w:eastAsia="宋体" w:hint="default"/>
            <w:b/>
            <w:bCs/>
            <w:spacing w:val="4"/>
            <w:sz w:val="28"/>
            <w:szCs w:val="28"/>
          </w:rPr>
          <w:t>........................</w:t>
        </w:r>
        <w:r>
          <w:rPr>
            <w:rFonts w:ascii="宋体" w:hAnsi="宋体" w:cs="宋体" w:eastAsia="宋体" w:hint="default"/>
            <w:b/>
            <w:bCs/>
            <w:spacing w:val="-54"/>
            <w:sz w:val="28"/>
            <w:szCs w:val="28"/>
          </w:rPr>
          <w:t> </w:t>
        </w:r>
        <w:r>
          <w:rPr>
            <w:rFonts w:ascii="宋体" w:hAnsi="宋体" w:cs="宋体" w:eastAsia="宋体" w:hint="default"/>
            <w:b/>
            <w:bCs/>
            <w:sz w:val="28"/>
            <w:szCs w:val="28"/>
          </w:rPr>
          <w:t>49</w:t>
        </w:r>
      </w:hyperlink>
      <w:r>
        <w:rPr>
          <w:rFonts w:ascii="宋体" w:hAnsi="宋体" w:cs="宋体" w:eastAsia="宋体" w:hint="default"/>
          <w:b/>
          <w:bCs/>
          <w:w w:val="98"/>
          <w:sz w:val="28"/>
          <w:szCs w:val="28"/>
        </w:rPr>
        <w:t> </w:t>
      </w:r>
      <w:hyperlink w:history="true" w:anchor="_bookmark9">
        <w:r>
          <w:rPr>
            <w:rFonts w:ascii="宋体" w:hAnsi="宋体" w:cs="宋体" w:eastAsia="宋体" w:hint="default"/>
            <w:b/>
            <w:bCs/>
            <w:spacing w:val="2"/>
            <w:sz w:val="28"/>
            <w:szCs w:val="28"/>
          </w:rPr>
          <w:t>第十节</w:t>
        </w:r>
        <w:r>
          <w:rPr>
            <w:rFonts w:ascii="宋体" w:hAnsi="宋体" w:cs="宋体" w:eastAsia="宋体" w:hint="default"/>
            <w:b/>
            <w:bCs/>
            <w:spacing w:val="-49"/>
            <w:sz w:val="28"/>
            <w:szCs w:val="28"/>
          </w:rPr>
          <w:t> </w:t>
        </w:r>
        <w:r>
          <w:rPr>
            <w:rFonts w:ascii="宋体" w:hAnsi="宋体" w:cs="宋体" w:eastAsia="宋体" w:hint="default"/>
            <w:b/>
            <w:bCs/>
            <w:spacing w:val="-49"/>
            <w:sz w:val="28"/>
            <w:szCs w:val="28"/>
          </w:rPr>
        </w:r>
        <w:r>
          <w:rPr>
            <w:rFonts w:ascii="宋体" w:hAnsi="宋体" w:cs="宋体" w:eastAsia="宋体" w:hint="default"/>
            <w:b/>
            <w:bCs/>
            <w:spacing w:val="2"/>
            <w:sz w:val="28"/>
            <w:szCs w:val="28"/>
          </w:rPr>
          <w:t>公司治理</w:t>
        </w:r>
        <w:r>
          <w:rPr>
            <w:rFonts w:ascii="宋体" w:hAnsi="宋体" w:cs="宋体" w:eastAsia="宋体" w:hint="default"/>
            <w:b/>
            <w:bCs/>
            <w:spacing w:val="-94"/>
            <w:sz w:val="28"/>
            <w:szCs w:val="28"/>
          </w:rPr>
          <w:t> </w:t>
        </w:r>
        <w:r>
          <w:rPr>
            <w:rFonts w:ascii="宋体" w:hAnsi="宋体" w:cs="宋体" w:eastAsia="宋体" w:hint="default"/>
            <w:b/>
            <w:bCs/>
            <w:spacing w:val="-94"/>
            <w:sz w:val="28"/>
            <w:szCs w:val="28"/>
          </w:rPr>
        </w:r>
        <w:r>
          <w:rPr>
            <w:rFonts w:ascii="宋体" w:hAnsi="宋体" w:cs="宋体" w:eastAsia="宋体" w:hint="default"/>
            <w:b/>
            <w:bCs/>
            <w:spacing w:val="4"/>
            <w:sz w:val="28"/>
            <w:szCs w:val="28"/>
          </w:rPr>
          <w:t>.................................................</w:t>
        </w:r>
        <w:r>
          <w:rPr>
            <w:rFonts w:ascii="宋体" w:hAnsi="宋体" w:cs="宋体" w:eastAsia="宋体" w:hint="default"/>
            <w:b/>
            <w:bCs/>
            <w:spacing w:val="-68"/>
            <w:sz w:val="28"/>
            <w:szCs w:val="28"/>
          </w:rPr>
          <w:t> </w:t>
        </w:r>
        <w:r>
          <w:rPr>
            <w:rFonts w:ascii="宋体" w:hAnsi="宋体" w:cs="宋体" w:eastAsia="宋体" w:hint="default"/>
            <w:b/>
            <w:bCs/>
            <w:sz w:val="28"/>
            <w:szCs w:val="28"/>
          </w:rPr>
          <w:t>55</w:t>
        </w:r>
      </w:hyperlink>
      <w:r>
        <w:rPr>
          <w:rFonts w:ascii="宋体" w:hAnsi="宋体" w:cs="宋体" w:eastAsia="宋体" w:hint="default"/>
          <w:b/>
          <w:bCs/>
          <w:sz w:val="28"/>
          <w:szCs w:val="28"/>
        </w:rPr>
        <w:t> </w:t>
      </w:r>
      <w:r>
        <w:rPr>
          <w:rFonts w:ascii="宋体" w:hAnsi="宋体" w:cs="宋体" w:eastAsia="宋体" w:hint="default"/>
          <w:sz w:val="28"/>
          <w:szCs w:val="28"/>
        </w:rPr>
      </w:r>
    </w:p>
    <w:p>
      <w:pPr>
        <w:spacing w:before="74"/>
        <w:ind w:left="153" w:right="0" w:firstLine="0"/>
        <w:jc w:val="both"/>
        <w:rPr>
          <w:rFonts w:ascii="宋体" w:hAnsi="宋体" w:cs="宋体" w:eastAsia="宋体" w:hint="default"/>
          <w:sz w:val="28"/>
          <w:szCs w:val="28"/>
        </w:rPr>
      </w:pPr>
      <w:hyperlink w:history="true" w:anchor="_bookmark10">
        <w:r>
          <w:rPr>
            <w:rFonts w:ascii="宋体" w:hAnsi="宋体" w:cs="宋体" w:eastAsia="宋体" w:hint="default"/>
            <w:b/>
            <w:bCs/>
            <w:spacing w:val="2"/>
            <w:sz w:val="28"/>
            <w:szCs w:val="28"/>
          </w:rPr>
          <w:t>第十一节</w:t>
        </w:r>
        <w:r>
          <w:rPr>
            <w:rFonts w:ascii="宋体" w:hAnsi="宋体" w:cs="宋体" w:eastAsia="宋体" w:hint="default"/>
            <w:b/>
            <w:bCs/>
            <w:spacing w:val="-39"/>
            <w:sz w:val="28"/>
            <w:szCs w:val="28"/>
          </w:rPr>
          <w:t> </w:t>
        </w:r>
        <w:r>
          <w:rPr>
            <w:rFonts w:ascii="宋体" w:hAnsi="宋体" w:cs="宋体" w:eastAsia="宋体" w:hint="default"/>
            <w:b/>
            <w:bCs/>
            <w:spacing w:val="-39"/>
            <w:sz w:val="28"/>
            <w:szCs w:val="28"/>
          </w:rPr>
        </w:r>
        <w:r>
          <w:rPr>
            <w:rFonts w:ascii="宋体" w:hAnsi="宋体" w:cs="宋体" w:eastAsia="宋体" w:hint="default"/>
            <w:b/>
            <w:bCs/>
            <w:spacing w:val="2"/>
            <w:sz w:val="28"/>
            <w:szCs w:val="28"/>
          </w:rPr>
          <w:t>公司债券相关情况</w:t>
        </w:r>
        <w:r>
          <w:rPr>
            <w:rFonts w:ascii="宋体" w:hAnsi="宋体" w:cs="宋体" w:eastAsia="宋体" w:hint="default"/>
            <w:b/>
            <w:bCs/>
            <w:spacing w:val="-66"/>
            <w:sz w:val="28"/>
            <w:szCs w:val="28"/>
          </w:rPr>
          <w:t> </w:t>
        </w:r>
        <w:r>
          <w:rPr>
            <w:rFonts w:ascii="宋体" w:hAnsi="宋体" w:cs="宋体" w:eastAsia="宋体" w:hint="default"/>
            <w:b/>
            <w:bCs/>
            <w:spacing w:val="-66"/>
            <w:sz w:val="28"/>
            <w:szCs w:val="28"/>
          </w:rPr>
        </w:r>
        <w:r>
          <w:rPr>
            <w:rFonts w:ascii="宋体" w:hAnsi="宋体" w:cs="宋体" w:eastAsia="宋体" w:hint="default"/>
            <w:b/>
            <w:bCs/>
            <w:spacing w:val="4"/>
            <w:sz w:val="28"/>
            <w:szCs w:val="28"/>
          </w:rPr>
          <w:t>.......................................</w:t>
        </w:r>
        <w:r>
          <w:rPr>
            <w:rFonts w:ascii="宋体" w:hAnsi="宋体" w:cs="宋体" w:eastAsia="宋体" w:hint="default"/>
            <w:b/>
            <w:bCs/>
            <w:spacing w:val="-62"/>
            <w:sz w:val="28"/>
            <w:szCs w:val="28"/>
          </w:rPr>
          <w:t> </w:t>
        </w:r>
        <w:r>
          <w:rPr>
            <w:rFonts w:ascii="宋体" w:hAnsi="宋体" w:cs="宋体" w:eastAsia="宋体" w:hint="default"/>
            <w:b/>
            <w:bCs/>
            <w:sz w:val="28"/>
            <w:szCs w:val="28"/>
          </w:rPr>
          <w:t>62</w:t>
        </w:r>
      </w:hyperlink>
      <w:r>
        <w:rPr>
          <w:rFonts w:ascii="宋体" w:hAnsi="宋体" w:cs="宋体" w:eastAsia="宋体" w:hint="default"/>
          <w:b/>
          <w:bCs/>
          <w:sz w:val="28"/>
          <w:szCs w:val="28"/>
        </w:rPr>
        <w:t> </w:t>
      </w:r>
      <w:r>
        <w:rPr>
          <w:rFonts w:ascii="宋体" w:hAnsi="宋体" w:cs="宋体" w:eastAsia="宋体" w:hint="default"/>
          <w:sz w:val="28"/>
          <w:szCs w:val="28"/>
        </w:rPr>
      </w:r>
    </w:p>
    <w:p>
      <w:pPr>
        <w:spacing w:line="240" w:lineRule="auto" w:before="9"/>
        <w:rPr>
          <w:rFonts w:ascii="宋体" w:hAnsi="宋体" w:cs="宋体" w:eastAsia="宋体" w:hint="default"/>
          <w:b/>
          <w:bCs/>
          <w:sz w:val="22"/>
          <w:szCs w:val="22"/>
        </w:rPr>
      </w:pPr>
    </w:p>
    <w:p>
      <w:pPr>
        <w:spacing w:before="0"/>
        <w:ind w:left="153" w:right="0" w:firstLine="0"/>
        <w:jc w:val="both"/>
        <w:rPr>
          <w:rFonts w:ascii="宋体" w:hAnsi="宋体" w:cs="宋体" w:eastAsia="宋体" w:hint="default"/>
          <w:sz w:val="28"/>
          <w:szCs w:val="28"/>
        </w:rPr>
      </w:pPr>
      <w:hyperlink w:history="true" w:anchor="_bookmark11">
        <w:r>
          <w:rPr>
            <w:rFonts w:ascii="宋体" w:hAnsi="宋体" w:cs="宋体" w:eastAsia="宋体" w:hint="default"/>
            <w:b/>
            <w:bCs/>
            <w:spacing w:val="2"/>
            <w:sz w:val="28"/>
            <w:szCs w:val="28"/>
          </w:rPr>
          <w:t>第十二节</w:t>
        </w:r>
        <w:r>
          <w:rPr>
            <w:rFonts w:ascii="宋体" w:hAnsi="宋体" w:cs="宋体" w:eastAsia="宋体" w:hint="default"/>
            <w:b/>
            <w:bCs/>
            <w:spacing w:val="-45"/>
            <w:sz w:val="28"/>
            <w:szCs w:val="28"/>
          </w:rPr>
          <w:t> </w:t>
        </w:r>
        <w:r>
          <w:rPr>
            <w:rFonts w:ascii="宋体" w:hAnsi="宋体" w:cs="宋体" w:eastAsia="宋体" w:hint="default"/>
            <w:b/>
            <w:bCs/>
            <w:spacing w:val="-45"/>
            <w:sz w:val="28"/>
            <w:szCs w:val="28"/>
          </w:rPr>
        </w:r>
        <w:r>
          <w:rPr>
            <w:rFonts w:ascii="宋体" w:hAnsi="宋体" w:cs="宋体" w:eastAsia="宋体" w:hint="default"/>
            <w:b/>
            <w:bCs/>
            <w:spacing w:val="2"/>
            <w:sz w:val="28"/>
            <w:szCs w:val="28"/>
          </w:rPr>
          <w:t>财务报告</w:t>
        </w:r>
        <w:r>
          <w:rPr>
            <w:rFonts w:ascii="宋体" w:hAnsi="宋体" w:cs="宋体" w:eastAsia="宋体" w:hint="default"/>
            <w:b/>
            <w:bCs/>
            <w:spacing w:val="-90"/>
            <w:sz w:val="28"/>
            <w:szCs w:val="28"/>
          </w:rPr>
          <w:t> </w:t>
        </w:r>
        <w:r>
          <w:rPr>
            <w:rFonts w:ascii="宋体" w:hAnsi="宋体" w:cs="宋体" w:eastAsia="宋体" w:hint="default"/>
            <w:b/>
            <w:bCs/>
            <w:spacing w:val="-90"/>
            <w:sz w:val="28"/>
            <w:szCs w:val="28"/>
          </w:rPr>
        </w:r>
        <w:r>
          <w:rPr>
            <w:rFonts w:ascii="宋体" w:hAnsi="宋体" w:cs="宋体" w:eastAsia="宋体" w:hint="default"/>
            <w:b/>
            <w:bCs/>
            <w:spacing w:val="4"/>
            <w:sz w:val="28"/>
            <w:szCs w:val="28"/>
          </w:rPr>
          <w:t>...............................................</w:t>
        </w:r>
        <w:r>
          <w:rPr>
            <w:rFonts w:ascii="宋体" w:hAnsi="宋体" w:cs="宋体" w:eastAsia="宋体" w:hint="default"/>
            <w:b/>
            <w:bCs/>
            <w:spacing w:val="-67"/>
            <w:sz w:val="28"/>
            <w:szCs w:val="28"/>
          </w:rPr>
          <w:t> </w:t>
        </w:r>
        <w:r>
          <w:rPr>
            <w:rFonts w:ascii="宋体" w:hAnsi="宋体" w:cs="宋体" w:eastAsia="宋体" w:hint="default"/>
            <w:b/>
            <w:bCs/>
            <w:sz w:val="28"/>
            <w:szCs w:val="28"/>
          </w:rPr>
          <w:t>63</w:t>
        </w:r>
      </w:hyperlink>
      <w:r>
        <w:rPr>
          <w:rFonts w:ascii="宋体" w:hAnsi="宋体" w:cs="宋体" w:eastAsia="宋体" w:hint="default"/>
          <w:b/>
          <w:bCs/>
          <w:sz w:val="28"/>
          <w:szCs w:val="28"/>
        </w:rPr>
        <w:t> </w:t>
      </w:r>
      <w:r>
        <w:rPr>
          <w:rFonts w:ascii="宋体" w:hAnsi="宋体" w:cs="宋体" w:eastAsia="宋体" w:hint="default"/>
          <w:sz w:val="28"/>
          <w:szCs w:val="28"/>
        </w:rPr>
      </w:r>
    </w:p>
    <w:p>
      <w:pPr>
        <w:spacing w:line="240" w:lineRule="auto" w:before="8"/>
        <w:rPr>
          <w:rFonts w:ascii="宋体" w:hAnsi="宋体" w:cs="宋体" w:eastAsia="宋体" w:hint="default"/>
          <w:b/>
          <w:bCs/>
          <w:sz w:val="22"/>
          <w:szCs w:val="22"/>
        </w:rPr>
      </w:pPr>
    </w:p>
    <w:p>
      <w:pPr>
        <w:spacing w:before="0"/>
        <w:ind w:left="153" w:right="0" w:firstLine="0"/>
        <w:jc w:val="both"/>
        <w:rPr>
          <w:rFonts w:ascii="宋体" w:hAnsi="宋体" w:cs="宋体" w:eastAsia="宋体" w:hint="default"/>
          <w:sz w:val="28"/>
          <w:szCs w:val="28"/>
        </w:rPr>
      </w:pPr>
      <w:hyperlink w:history="true" w:anchor="_bookmark12">
        <w:r>
          <w:rPr>
            <w:rFonts w:ascii="宋体" w:hAnsi="宋体" w:cs="宋体" w:eastAsia="宋体" w:hint="default"/>
            <w:b/>
            <w:bCs/>
            <w:spacing w:val="2"/>
            <w:sz w:val="28"/>
            <w:szCs w:val="28"/>
          </w:rPr>
          <w:t>第十三节</w:t>
        </w:r>
        <w:r>
          <w:rPr>
            <w:rFonts w:ascii="宋体" w:hAnsi="宋体" w:cs="宋体" w:eastAsia="宋体" w:hint="default"/>
            <w:b/>
            <w:bCs/>
            <w:spacing w:val="-41"/>
            <w:sz w:val="28"/>
            <w:szCs w:val="28"/>
          </w:rPr>
          <w:t> </w:t>
        </w:r>
        <w:r>
          <w:rPr>
            <w:rFonts w:ascii="宋体" w:hAnsi="宋体" w:cs="宋体" w:eastAsia="宋体" w:hint="default"/>
            <w:b/>
            <w:bCs/>
            <w:spacing w:val="-41"/>
            <w:sz w:val="28"/>
            <w:szCs w:val="28"/>
          </w:rPr>
        </w:r>
        <w:r>
          <w:rPr>
            <w:rFonts w:ascii="宋体" w:hAnsi="宋体" w:cs="宋体" w:eastAsia="宋体" w:hint="default"/>
            <w:b/>
            <w:bCs/>
            <w:spacing w:val="2"/>
            <w:sz w:val="28"/>
            <w:szCs w:val="28"/>
          </w:rPr>
          <w:t>备查文件目录</w:t>
        </w:r>
        <w:r>
          <w:rPr>
            <w:rFonts w:ascii="宋体" w:hAnsi="宋体" w:cs="宋体" w:eastAsia="宋体" w:hint="default"/>
            <w:b/>
            <w:bCs/>
            <w:spacing w:val="-77"/>
            <w:sz w:val="28"/>
            <w:szCs w:val="28"/>
          </w:rPr>
          <w:t> </w:t>
        </w:r>
        <w:r>
          <w:rPr>
            <w:rFonts w:ascii="宋体" w:hAnsi="宋体" w:cs="宋体" w:eastAsia="宋体" w:hint="default"/>
            <w:b/>
            <w:bCs/>
            <w:spacing w:val="-77"/>
            <w:sz w:val="28"/>
            <w:szCs w:val="28"/>
          </w:rPr>
        </w:r>
        <w:r>
          <w:rPr>
            <w:rFonts w:ascii="宋体" w:hAnsi="宋体" w:cs="宋体" w:eastAsia="宋体" w:hint="default"/>
            <w:b/>
            <w:bCs/>
            <w:spacing w:val="4"/>
            <w:sz w:val="28"/>
            <w:szCs w:val="28"/>
          </w:rPr>
          <w:t>..........................................</w:t>
        </w:r>
        <w:r>
          <w:rPr>
            <w:rFonts w:ascii="宋体" w:hAnsi="宋体" w:cs="宋体" w:eastAsia="宋体" w:hint="default"/>
            <w:b/>
            <w:bCs/>
            <w:spacing w:val="-60"/>
            <w:sz w:val="28"/>
            <w:szCs w:val="28"/>
          </w:rPr>
          <w:t> </w:t>
        </w:r>
        <w:r>
          <w:rPr>
            <w:rFonts w:ascii="宋体" w:hAnsi="宋体" w:cs="宋体" w:eastAsia="宋体" w:hint="default"/>
            <w:b/>
            <w:bCs/>
            <w:sz w:val="28"/>
            <w:szCs w:val="28"/>
          </w:rPr>
          <w:t>181</w:t>
        </w:r>
      </w:hyperlink>
      <w:r>
        <w:rPr>
          <w:rFonts w:ascii="宋体" w:hAnsi="宋体" w:cs="宋体" w:eastAsia="宋体" w:hint="default"/>
          <w:b/>
          <w:bCs/>
          <w:sz w:val="28"/>
          <w:szCs w:val="28"/>
        </w:rPr>
        <w:t> </w:t>
      </w:r>
      <w:r>
        <w:rPr>
          <w:rFonts w:ascii="宋体" w:hAnsi="宋体" w:cs="宋体" w:eastAsia="宋体" w:hint="default"/>
          <w:sz w:val="28"/>
          <w:szCs w:val="28"/>
        </w:rPr>
      </w:r>
    </w:p>
    <w:p>
      <w:pPr>
        <w:spacing w:after="0"/>
        <w:jc w:val="both"/>
        <w:rPr>
          <w:rFonts w:ascii="宋体" w:hAnsi="宋体" w:cs="宋体" w:eastAsia="宋体" w:hint="default"/>
          <w:sz w:val="28"/>
          <w:szCs w:val="28"/>
        </w:rPr>
        <w:sectPr>
          <w:pgSz w:w="11910" w:h="16840"/>
          <w:pgMar w:header="746" w:footer="974" w:top="1060" w:bottom="116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Heading1"/>
        <w:spacing w:line="240" w:lineRule="auto" w:before="159"/>
        <w:ind w:right="1518"/>
        <w:jc w:val="center"/>
        <w:rPr>
          <w:b w:val="0"/>
          <w:bCs w:val="0"/>
        </w:rPr>
      </w:pPr>
      <w:r>
        <w:rPr/>
        <w:t>释</w:t>
      </w:r>
      <w:r>
        <w:rPr>
          <w:spacing w:val="-3"/>
        </w:rPr>
        <w:t> </w:t>
      </w:r>
      <w:r>
        <w:rPr/>
        <w:t>义</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525"/>
        <w:gridCol w:w="624"/>
        <w:gridCol w:w="5426"/>
      </w:tblGrid>
      <w:tr>
        <w:trPr>
          <w:trHeight w:val="398" w:hRule="exact"/>
        </w:trPr>
        <w:tc>
          <w:tcPr>
            <w:tcW w:w="3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8"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pacing w:val="-3"/>
                <w:sz w:val="18"/>
                <w:szCs w:val="18"/>
              </w:rPr>
              <w:t>中国证券监督管理委员会</w:t>
            </w:r>
          </w:p>
        </w:tc>
      </w:tr>
      <w:tr>
        <w:trPr>
          <w:trHeight w:val="399"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公司、本公司、南天信息、企业集团、南天</w:t>
            </w:r>
            <w:r>
              <w:rPr>
                <w:rFonts w:ascii="宋体" w:hAnsi="宋体" w:cs="宋体" w:eastAsia="宋体" w:hint="default"/>
                <w:sz w:val="18"/>
                <w:szCs w:val="18"/>
              </w:rPr>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pacing w:val="-3"/>
                <w:sz w:val="18"/>
                <w:szCs w:val="18"/>
              </w:rPr>
              <w:t>云南南天电子信息产业股份有限公司</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工投集团</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云南省工业投资控股集团有限责任公司</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南天集团</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南天电子信息产业集团公司</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省国资委</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云南省人民政府国有资产监督管理委员会</w:t>
            </w:r>
          </w:p>
        </w:tc>
      </w:tr>
      <w:tr>
        <w:trPr>
          <w:trHeight w:val="399"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红岭云</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pacing w:val="-3"/>
                <w:sz w:val="18"/>
                <w:szCs w:val="18"/>
              </w:rPr>
              <w:t>云南红岭云科技股份有限公司</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星立方</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北京星立方科技发展股份有限公司</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广州南天</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广州南天电脑系统有限公司</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海捷科技</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广州市海捷计算机科技有限公司</w:t>
            </w:r>
          </w:p>
        </w:tc>
      </w:tr>
      <w:tr>
        <w:trPr>
          <w:trHeight w:val="399"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易航科技</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易航科技股份有限公司</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曲靖珠江源</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云南曲靖珠江源科技股份有限公司</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《中华人民共和国公司法》</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4"/>
                <w:sz w:val="18"/>
                <w:szCs w:val="18"/>
              </w:rPr>
              <w:t>《证券法》</w:t>
            </w:r>
            <w:r>
              <w:rPr>
                <w:rFonts w:ascii="宋体" w:hAnsi="宋体" w:cs="宋体" w:eastAsia="宋体" w:hint="default"/>
                <w:sz w:val="18"/>
                <w:szCs w:val="18"/>
              </w:rPr>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《中华人民共和国证券法》</w:t>
            </w:r>
          </w:p>
        </w:tc>
      </w:tr>
      <w:tr>
        <w:trPr>
          <w:trHeight w:val="399"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pacing w:val="-3"/>
                <w:sz w:val="18"/>
                <w:szCs w:val="18"/>
              </w:rPr>
              <w:t>《云南南天电子信息产业股份有限公司章程》</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《股票上市规则》</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《深圳证券交易所股票上市规则》</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《上市公司规范运作指引》</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《深圳证券交易所主板上市公司规范运作指引》</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《股东大会议事规则》</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《云南南天电子信息产业股份有限公司股东大会议事规则》</w:t>
            </w:r>
          </w:p>
        </w:tc>
      </w:tr>
      <w:tr>
        <w:trPr>
          <w:trHeight w:val="399"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《董事会工作细则》</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pacing w:val="-3"/>
                <w:sz w:val="18"/>
                <w:szCs w:val="18"/>
              </w:rPr>
              <w:t>《云南南天电子信息产业股份有限公司董事会工作细则》</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《监事会工作细则》</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《云南南天电子信息产业股份有限公司监事会工作细则》</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《信息披露管理制度》</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《云南南天电子信息产业股份有限公司信息披露管理制度》</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薪酬委</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董事会薪酬与考核委员会</w:t>
            </w:r>
          </w:p>
        </w:tc>
      </w:tr>
      <w:tr>
        <w:trPr>
          <w:trHeight w:val="399"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北信工</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pacing w:val="-3"/>
                <w:sz w:val="18"/>
                <w:szCs w:val="18"/>
              </w:rPr>
              <w:t>北京南天信息工程有限公司</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云南佳程</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云南佳程防伪科技有限公司</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中审众环</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中审众环会计师事务所（特殊普通合伙）</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信永中和</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信永中和会计师事务所（特殊普通合伙）</w:t>
            </w:r>
          </w:p>
        </w:tc>
      </w:tr>
    </w:tbl>
    <w:p>
      <w:pPr>
        <w:spacing w:after="0" w:line="240" w:lineRule="auto"/>
        <w:jc w:val="left"/>
        <w:rPr>
          <w:rFonts w:ascii="宋体" w:hAnsi="宋体" w:cs="宋体" w:eastAsia="宋体" w:hint="default"/>
          <w:sz w:val="18"/>
          <w:szCs w:val="18"/>
        </w:rPr>
        <w:sectPr>
          <w:pgSz w:w="11910" w:h="16840"/>
          <w:pgMar w:header="746" w:footer="974" w:top="1060" w:bottom="1160" w:left="980" w:right="0"/>
        </w:sectPr>
      </w:pPr>
    </w:p>
    <w:p>
      <w:pPr>
        <w:spacing w:line="240" w:lineRule="auto" w:before="0"/>
        <w:rPr>
          <w:rFonts w:ascii="宋体" w:hAnsi="宋体" w:cs="宋体" w:eastAsia="宋体" w:hint="default"/>
          <w:b/>
          <w:bCs/>
          <w:sz w:val="20"/>
          <w:szCs w:val="20"/>
        </w:rPr>
      </w:pPr>
      <w:r>
        <w:rPr/>
        <w:pict>
          <v:shape style="position:absolute;margin-left:165.154572pt;margin-top:272.715973pt;width:370.05pt;height:19.75pt;mso-position-horizontal-relative:page;mso-position-vertical-relative:page;z-index:-982792" type="#_x0000_t202" filled="false" stroked="false">
            <v:textbox inset="0,0,0,0">
              <w:txbxContent>
                <w:p>
                  <w:pPr>
                    <w:pStyle w:val="BodyText"/>
                    <w:spacing w:line="240" w:lineRule="auto" w:before="53"/>
                    <w:ind w:left="0" w:right="0"/>
                    <w:jc w:val="left"/>
                  </w:pPr>
                  <w:r>
                    <w:rPr>
                      <w:w w:val="101"/>
                    </w:rPr>
                    <w:t>）</w:t>
                  </w:r>
                  <w:r>
                    <w:rPr/>
                  </w:r>
                </w:p>
              </w:txbxContent>
            </v:textbox>
            <w10:wrap type="none"/>
          </v:shape>
        </w:pict>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Heading1"/>
        <w:spacing w:line="240" w:lineRule="auto"/>
        <w:ind w:left="2645" w:right="855"/>
        <w:jc w:val="left"/>
        <w:rPr>
          <w:b w:val="0"/>
          <w:bCs w:val="0"/>
        </w:rPr>
      </w:pPr>
      <w:bookmarkStart w:name="_bookmark1" w:id="2"/>
      <w:bookmarkEnd w:id="2"/>
      <w:r>
        <w:rPr>
          <w:b w:val="0"/>
          <w:bCs w:val="0"/>
        </w:rPr>
      </w:r>
      <w:r>
        <w:rPr/>
        <w:t>第二节</w:t>
      </w:r>
      <w:r>
        <w:rPr>
          <w:spacing w:val="1"/>
        </w:rPr>
        <w:t> </w:t>
      </w:r>
      <w:r>
        <w:rPr/>
        <w:t>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7"/>
          <w:szCs w:val="17"/>
        </w:rPr>
      </w:pPr>
    </w:p>
    <w:p>
      <w:pPr>
        <w:pStyle w:val="Heading2"/>
        <w:spacing w:line="240" w:lineRule="auto" w:before="26"/>
        <w:ind w:right="855"/>
        <w:jc w:val="left"/>
        <w:rPr>
          <w:b w:val="0"/>
          <w:bCs w:val="0"/>
        </w:rPr>
      </w:pP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2286"/>
        <w:gridCol w:w="2953"/>
        <w:gridCol w:w="2156"/>
        <w:gridCol w:w="2180"/>
      </w:tblGrid>
      <w:tr>
        <w:trPr>
          <w:trHeight w:val="398"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南天信息</w:t>
            </w:r>
          </w:p>
        </w:tc>
        <w:tc>
          <w:tcPr>
            <w:tcW w:w="21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000948</w:t>
            </w:r>
          </w:p>
        </w:tc>
      </w:tr>
      <w:tr>
        <w:trPr>
          <w:trHeight w:val="404"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股票上市证券交易所</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深圳证券交易所</w:t>
            </w:r>
          </w:p>
        </w:tc>
      </w:tr>
      <w:tr>
        <w:trPr>
          <w:trHeight w:val="403"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公司的中文名称</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云南南天电子信息产业股份有限公司</w:t>
            </w:r>
          </w:p>
        </w:tc>
      </w:tr>
      <w:tr>
        <w:trPr>
          <w:trHeight w:val="403"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公司的中文简称</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南天信息</w:t>
            </w:r>
          </w:p>
        </w:tc>
      </w:tr>
      <w:tr>
        <w:trPr>
          <w:trHeight w:val="398"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公司的外文名称（如有）</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YUNNAN NANTIAN ELECTRONICS </w:t>
            </w:r>
            <w:r>
              <w:rPr>
                <w:rFonts w:ascii="Times New Roman"/>
                <w:spacing w:val="-4"/>
                <w:sz w:val="18"/>
              </w:rPr>
              <w:t>INFORMATION</w:t>
            </w:r>
            <w:r>
              <w:rPr>
                <w:rFonts w:ascii="Times New Roman"/>
                <w:spacing w:val="22"/>
                <w:sz w:val="18"/>
              </w:rPr>
              <w:t> </w:t>
            </w:r>
            <w:r>
              <w:rPr>
                <w:rFonts w:ascii="Times New Roman"/>
                <w:spacing w:val="-4"/>
                <w:sz w:val="18"/>
              </w:rPr>
              <w:t>CO.,LTD</w:t>
            </w:r>
          </w:p>
        </w:tc>
      </w:tr>
      <w:tr>
        <w:trPr>
          <w:trHeight w:val="404" w:hRule="exact"/>
        </w:trPr>
        <w:tc>
          <w:tcPr>
            <w:tcW w:w="2286"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p>
        </w:tc>
        <w:tc>
          <w:tcPr>
            <w:tcW w:w="7289" w:type="dxa"/>
            <w:gridSpan w:val="3"/>
            <w:tcBorders>
              <w:top w:val="single" w:sz="4" w:space="0" w:color="000000"/>
              <w:left w:val="single" w:sz="13" w:space="0" w:color="FFFFFF"/>
              <w:bottom w:val="single" w:sz="4" w:space="0" w:color="000000"/>
              <w:right w:val="single" w:sz="14" w:space="0" w:color="FFFFFF"/>
            </w:tcBorders>
          </w:tcPr>
          <w:p>
            <w:pPr>
              <w:pStyle w:val="TableParagraph"/>
              <w:spacing w:line="240" w:lineRule="auto" w:before="96"/>
              <w:ind w:left="11" w:right="0"/>
              <w:jc w:val="left"/>
              <w:rPr>
                <w:rFonts w:ascii="Times New Roman" w:hAnsi="Times New Roman" w:cs="Times New Roman" w:eastAsia="Times New Roman" w:hint="default"/>
                <w:sz w:val="18"/>
                <w:szCs w:val="18"/>
              </w:rPr>
            </w:pPr>
            <w:r>
              <w:rPr>
                <w:rFonts w:ascii="Times New Roman"/>
                <w:sz w:val="18"/>
              </w:rPr>
              <w:t>NANTIAN</w:t>
            </w:r>
          </w:p>
        </w:tc>
      </w:tr>
      <w:tr>
        <w:trPr>
          <w:trHeight w:val="403"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徐宏灿</w:t>
            </w:r>
          </w:p>
        </w:tc>
      </w:tr>
      <w:tr>
        <w:trPr>
          <w:trHeight w:val="403"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云南省昆明市高新技术产业开发区产业研发基地</w:t>
            </w:r>
          </w:p>
        </w:tc>
      </w:tr>
      <w:tr>
        <w:trPr>
          <w:trHeight w:val="398"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注册地址的邮政编码</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650000</w:t>
            </w:r>
          </w:p>
        </w:tc>
      </w:tr>
      <w:tr>
        <w:trPr>
          <w:trHeight w:val="404"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昆明市环城东路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455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3"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办公地址的邮政编码</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650041</w:t>
            </w:r>
          </w:p>
        </w:tc>
      </w:tr>
      <w:tr>
        <w:trPr>
          <w:trHeight w:val="403"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hyperlink r:id="rId10">
              <w:r>
                <w:rPr>
                  <w:rFonts w:ascii="Times New Roman"/>
                  <w:sz w:val="18"/>
                </w:rPr>
                <w:t>http://www.nantian.com.cn</w:t>
              </w:r>
            </w:hyperlink>
          </w:p>
        </w:tc>
      </w:tr>
      <w:tr>
        <w:trPr>
          <w:trHeight w:val="398"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hyperlink r:id="rId11">
              <w:r>
                <w:rPr>
                  <w:rFonts w:ascii="Times New Roman"/>
                  <w:sz w:val="18"/>
                </w:rPr>
                <w:t>000948@nantian.com.cn</w:t>
              </w:r>
            </w:hyperlink>
          </w:p>
        </w:tc>
      </w:tr>
    </w:tbl>
    <w:p>
      <w:pPr>
        <w:spacing w:line="240" w:lineRule="auto" w:before="1"/>
        <w:rPr>
          <w:rFonts w:ascii="宋体" w:hAnsi="宋体" w:cs="宋体" w:eastAsia="宋体" w:hint="default"/>
          <w:b/>
          <w:bCs/>
          <w:sz w:val="18"/>
          <w:szCs w:val="18"/>
        </w:rPr>
      </w:pPr>
    </w:p>
    <w:p>
      <w:pPr>
        <w:spacing w:before="26"/>
        <w:ind w:left="153" w:right="855" w:firstLine="0"/>
        <w:jc w:val="left"/>
        <w:rPr>
          <w:rFonts w:ascii="宋体" w:hAnsi="宋体" w:cs="宋体" w:eastAsia="宋体" w:hint="default"/>
          <w:sz w:val="24"/>
          <w:szCs w:val="24"/>
        </w:rPr>
      </w:pPr>
      <w:r>
        <w:rPr>
          <w:rFonts w:ascii="宋体" w:hAnsi="宋体" w:cs="宋体" w:eastAsia="宋体" w:hint="default"/>
          <w:b/>
          <w:bCs/>
          <w:sz w:val="24"/>
          <w:szCs w:val="24"/>
        </w:rPr>
        <w:t>二、联系人和联系方式</w:t>
      </w:r>
      <w:r>
        <w:rPr>
          <w:rFonts w:ascii="宋体" w:hAnsi="宋体" w:cs="宋体" w:eastAsia="宋体" w:hint="default"/>
          <w:sz w:val="24"/>
          <w:szCs w:val="24"/>
        </w:rPr>
      </w:r>
    </w:p>
    <w:p>
      <w:pPr>
        <w:spacing w:line="240" w:lineRule="auto" w:before="0"/>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3"/>
      </w:tblGrid>
      <w:tr>
        <w:trPr>
          <w:trHeight w:val="398"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1"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赵起高</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沈硕</w:t>
            </w:r>
          </w:p>
        </w:tc>
      </w:tr>
      <w:tr>
        <w:trPr>
          <w:trHeight w:val="40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昆明市环城东路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455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昆明市环城东路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455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0871</w:t>
            </w:r>
            <w:r>
              <w:rPr>
                <w:rFonts w:ascii="宋体" w:hAnsi="宋体" w:cs="宋体" w:eastAsia="宋体" w:hint="default"/>
                <w:sz w:val="18"/>
                <w:szCs w:val="18"/>
              </w:rPr>
              <w:t>）</w:t>
            </w:r>
            <w:r>
              <w:rPr>
                <w:rFonts w:ascii="Times New Roman" w:hAnsi="Times New Roman" w:cs="Times New Roman" w:eastAsia="Times New Roman" w:hint="default"/>
                <w:sz w:val="18"/>
                <w:szCs w:val="18"/>
              </w:rPr>
              <w:t>63366327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0871</w:t>
            </w:r>
            <w:r>
              <w:rPr>
                <w:rFonts w:ascii="宋体" w:hAnsi="宋体" w:cs="宋体" w:eastAsia="宋体" w:hint="default"/>
                <w:sz w:val="18"/>
                <w:szCs w:val="18"/>
              </w:rPr>
              <w:t>）</w:t>
            </w:r>
            <w:r>
              <w:rPr>
                <w:rFonts w:ascii="Times New Roman" w:hAnsi="Times New Roman" w:cs="Times New Roman" w:eastAsia="Times New Roman" w:hint="default"/>
                <w:sz w:val="18"/>
                <w:szCs w:val="18"/>
              </w:rPr>
              <w:t>68279182</w:t>
            </w:r>
          </w:p>
        </w:tc>
      </w:tr>
      <w:tr>
        <w:trPr>
          <w:trHeight w:val="398"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0871</w:t>
            </w:r>
            <w:r>
              <w:rPr>
                <w:rFonts w:ascii="宋体" w:hAnsi="宋体" w:cs="宋体" w:eastAsia="宋体" w:hint="default"/>
                <w:sz w:val="18"/>
                <w:szCs w:val="18"/>
              </w:rPr>
              <w:t>）</w:t>
            </w:r>
            <w:r>
              <w:rPr>
                <w:rFonts w:ascii="Times New Roman" w:hAnsi="Times New Roman" w:cs="Times New Roman" w:eastAsia="Times New Roman" w:hint="default"/>
                <w:sz w:val="18"/>
                <w:szCs w:val="18"/>
              </w:rPr>
              <w:t>63317397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0871</w:t>
            </w:r>
            <w:r>
              <w:rPr>
                <w:rFonts w:ascii="宋体" w:hAnsi="宋体" w:cs="宋体" w:eastAsia="宋体" w:hint="default"/>
                <w:sz w:val="18"/>
                <w:szCs w:val="18"/>
              </w:rPr>
              <w:t>）</w:t>
            </w:r>
            <w:r>
              <w:rPr>
                <w:rFonts w:ascii="Times New Roman" w:hAnsi="Times New Roman" w:cs="Times New Roman" w:eastAsia="Times New Roman" w:hint="default"/>
                <w:sz w:val="18"/>
                <w:szCs w:val="18"/>
              </w:rPr>
              <w:t>63317397</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hyperlink r:id="rId11">
              <w:r>
                <w:rPr>
                  <w:rFonts w:ascii="Times New Roman"/>
                  <w:sz w:val="18"/>
                </w:rPr>
                <w:t>000948@nantian.com.cn</w:t>
              </w:r>
            </w:hyperlink>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hyperlink r:id="rId12">
              <w:r>
                <w:rPr>
                  <w:rFonts w:ascii="Times New Roman"/>
                  <w:sz w:val="18"/>
                </w:rPr>
                <w:t>shensh@nantian.com.cn</w:t>
              </w:r>
            </w:hyperlink>
          </w:p>
        </w:tc>
      </w:tr>
    </w:tbl>
    <w:p>
      <w:pPr>
        <w:spacing w:line="240" w:lineRule="auto" w:before="1"/>
        <w:rPr>
          <w:rFonts w:ascii="宋体" w:hAnsi="宋体" w:cs="宋体" w:eastAsia="宋体" w:hint="default"/>
          <w:b/>
          <w:bCs/>
          <w:sz w:val="18"/>
          <w:szCs w:val="18"/>
        </w:rPr>
      </w:pPr>
    </w:p>
    <w:p>
      <w:pPr>
        <w:spacing w:before="26"/>
        <w:ind w:left="153" w:right="855" w:firstLine="0"/>
        <w:jc w:val="left"/>
        <w:rPr>
          <w:rFonts w:ascii="宋体" w:hAnsi="宋体" w:cs="宋体" w:eastAsia="宋体" w:hint="default"/>
          <w:sz w:val="24"/>
          <w:szCs w:val="24"/>
        </w:rPr>
      </w:pPr>
      <w:r>
        <w:rPr>
          <w:rFonts w:ascii="宋体" w:hAnsi="宋体" w:cs="宋体" w:eastAsia="宋体" w:hint="default"/>
          <w:b/>
          <w:bCs/>
          <w:sz w:val="24"/>
          <w:szCs w:val="24"/>
        </w:rPr>
        <w:t>三、信息披露及备置地点</w:t>
      </w:r>
      <w:r>
        <w:rPr>
          <w:rFonts w:ascii="宋体" w:hAnsi="宋体" w:cs="宋体" w:eastAsia="宋体" w:hint="default"/>
          <w:sz w:val="24"/>
          <w:szCs w:val="24"/>
        </w:rPr>
      </w:r>
    </w:p>
    <w:p>
      <w:pPr>
        <w:spacing w:line="240" w:lineRule="auto" w:before="0"/>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3996"/>
        <w:gridCol w:w="5575"/>
      </w:tblGrid>
      <w:tr>
        <w:trPr>
          <w:trHeight w:val="398" w:hRule="exact"/>
        </w:trPr>
        <w:tc>
          <w:tcPr>
            <w:tcW w:w="3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公司选定的信息披露媒体的名称</w:t>
            </w:r>
          </w:p>
        </w:tc>
        <w:tc>
          <w:tcPr>
            <w:tcW w:w="5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pacing w:val="-5"/>
                <w:w w:val="101"/>
                <w:sz w:val="18"/>
                <w:szCs w:val="18"/>
              </w:rPr>
              <w:t>证</w:t>
            </w:r>
            <w:r>
              <w:rPr>
                <w:rFonts w:ascii="宋体" w:hAnsi="宋体" w:cs="宋体" w:eastAsia="宋体" w:hint="default"/>
                <w:w w:val="101"/>
                <w:sz w:val="18"/>
                <w:szCs w:val="18"/>
              </w:rPr>
              <w:t>券</w:t>
            </w:r>
            <w:r>
              <w:rPr>
                <w:rFonts w:ascii="宋体" w:hAnsi="宋体" w:cs="宋体" w:eastAsia="宋体" w:hint="default"/>
                <w:spacing w:val="-5"/>
                <w:w w:val="101"/>
                <w:sz w:val="18"/>
                <w:szCs w:val="18"/>
              </w:rPr>
              <w:t>时</w:t>
            </w:r>
            <w:r>
              <w:rPr>
                <w:rFonts w:ascii="宋体" w:hAnsi="宋体" w:cs="宋体" w:eastAsia="宋体" w:hint="default"/>
                <w:w w:val="101"/>
                <w:sz w:val="18"/>
                <w:szCs w:val="18"/>
              </w:rPr>
              <w:t>报</w:t>
            </w:r>
            <w:r>
              <w:rPr>
                <w:rFonts w:ascii="宋体" w:hAnsi="宋体" w:cs="宋体" w:eastAsia="宋体" w:hint="default"/>
                <w:spacing w:val="-92"/>
                <w:w w:val="101"/>
                <w:sz w:val="18"/>
                <w:szCs w:val="18"/>
              </w:rPr>
              <w:t>》</w:t>
            </w:r>
            <w:r>
              <w:rPr>
                <w:rFonts w:ascii="宋体" w:hAnsi="宋体" w:cs="宋体" w:eastAsia="宋体" w:hint="default"/>
                <w:spacing w:val="-5"/>
                <w:w w:val="101"/>
                <w:sz w:val="18"/>
                <w:szCs w:val="18"/>
              </w:rPr>
              <w:t>《</w:t>
            </w:r>
            <w:r>
              <w:rPr>
                <w:rFonts w:ascii="宋体" w:hAnsi="宋体" w:cs="宋体" w:eastAsia="宋体" w:hint="default"/>
                <w:w w:val="101"/>
                <w:sz w:val="18"/>
                <w:szCs w:val="18"/>
              </w:rPr>
              <w:t>中</w:t>
            </w:r>
            <w:r>
              <w:rPr>
                <w:rFonts w:ascii="宋体" w:hAnsi="宋体" w:cs="宋体" w:eastAsia="宋体" w:hint="default"/>
                <w:spacing w:val="-5"/>
                <w:w w:val="101"/>
                <w:sz w:val="18"/>
                <w:szCs w:val="18"/>
              </w:rPr>
              <w:t>国</w:t>
            </w:r>
            <w:r>
              <w:rPr>
                <w:rFonts w:ascii="宋体" w:hAnsi="宋体" w:cs="宋体" w:eastAsia="宋体" w:hint="default"/>
                <w:w w:val="101"/>
                <w:sz w:val="18"/>
                <w:szCs w:val="18"/>
              </w:rPr>
              <w:t>证</w:t>
            </w:r>
            <w:r>
              <w:rPr>
                <w:rFonts w:ascii="宋体" w:hAnsi="宋体" w:cs="宋体" w:eastAsia="宋体" w:hint="default"/>
                <w:spacing w:val="-5"/>
                <w:w w:val="101"/>
                <w:sz w:val="18"/>
                <w:szCs w:val="18"/>
              </w:rPr>
              <w:t>券</w:t>
            </w:r>
            <w:r>
              <w:rPr>
                <w:rFonts w:ascii="宋体" w:hAnsi="宋体" w:cs="宋体" w:eastAsia="宋体" w:hint="default"/>
                <w:w w:val="101"/>
                <w:sz w:val="18"/>
                <w:szCs w:val="18"/>
              </w:rPr>
              <w:t>报</w:t>
            </w:r>
            <w:r>
              <w:rPr>
                <w:rFonts w:ascii="宋体" w:hAnsi="宋体" w:cs="宋体" w:eastAsia="宋体" w:hint="default"/>
                <w:spacing w:val="-96"/>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上</w:t>
            </w:r>
            <w:r>
              <w:rPr>
                <w:rFonts w:ascii="宋体" w:hAnsi="宋体" w:cs="宋体" w:eastAsia="宋体" w:hint="default"/>
                <w:w w:val="101"/>
                <w:sz w:val="18"/>
                <w:szCs w:val="18"/>
              </w:rPr>
              <w:t>海</w:t>
            </w:r>
            <w:r>
              <w:rPr>
                <w:rFonts w:ascii="宋体" w:hAnsi="宋体" w:cs="宋体" w:eastAsia="宋体" w:hint="default"/>
                <w:spacing w:val="-5"/>
                <w:w w:val="101"/>
                <w:sz w:val="18"/>
                <w:szCs w:val="18"/>
              </w:rPr>
              <w:t>证</w:t>
            </w:r>
            <w:r>
              <w:rPr>
                <w:rFonts w:ascii="宋体" w:hAnsi="宋体" w:cs="宋体" w:eastAsia="宋体" w:hint="default"/>
                <w:w w:val="101"/>
                <w:sz w:val="18"/>
                <w:szCs w:val="18"/>
              </w:rPr>
              <w:t>券报</w:t>
            </w:r>
            <w:r>
              <w:rPr>
                <w:rFonts w:ascii="宋体" w:hAnsi="宋体" w:cs="宋体" w:eastAsia="宋体" w:hint="default"/>
                <w:spacing w:val="-96"/>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证</w:t>
            </w:r>
            <w:r>
              <w:rPr>
                <w:rFonts w:ascii="宋体" w:hAnsi="宋体" w:cs="宋体" w:eastAsia="宋体" w:hint="default"/>
                <w:w w:val="101"/>
                <w:sz w:val="18"/>
                <w:szCs w:val="18"/>
              </w:rPr>
              <w:t>券</w:t>
            </w:r>
            <w:r>
              <w:rPr>
                <w:rFonts w:ascii="宋体" w:hAnsi="宋体" w:cs="宋体" w:eastAsia="宋体" w:hint="default"/>
                <w:spacing w:val="-5"/>
                <w:w w:val="101"/>
                <w:sz w:val="18"/>
                <w:szCs w:val="18"/>
              </w:rPr>
              <w:t>日</w:t>
            </w:r>
            <w:r>
              <w:rPr>
                <w:rFonts w:ascii="宋体" w:hAnsi="宋体" w:cs="宋体" w:eastAsia="宋体" w:hint="default"/>
                <w:w w:val="101"/>
                <w:sz w:val="18"/>
                <w:szCs w:val="18"/>
              </w:rPr>
              <w:t>报》</w:t>
            </w:r>
            <w:r>
              <w:rPr>
                <w:rFonts w:ascii="宋体" w:hAnsi="宋体" w:cs="宋体" w:eastAsia="宋体" w:hint="default"/>
                <w:sz w:val="18"/>
                <w:szCs w:val="18"/>
              </w:rPr>
            </w:r>
          </w:p>
        </w:tc>
      </w:tr>
      <w:tr>
        <w:trPr>
          <w:trHeight w:val="403" w:hRule="exact"/>
        </w:trPr>
        <w:tc>
          <w:tcPr>
            <w:tcW w:w="3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登载年度报告的中国证监会指定网站的网址</w:t>
            </w:r>
          </w:p>
        </w:tc>
        <w:tc>
          <w:tcPr>
            <w:tcW w:w="5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hyperlink r:id="rId9">
              <w:r>
                <w:rPr>
                  <w:rFonts w:ascii="Times New Roman"/>
                  <w:sz w:val="18"/>
                </w:rPr>
                <w:t>http://www.cninfo.com.cn</w:t>
              </w:r>
            </w:hyperlink>
          </w:p>
        </w:tc>
      </w:tr>
      <w:tr>
        <w:trPr>
          <w:trHeight w:val="404" w:hRule="exact"/>
        </w:trPr>
        <w:tc>
          <w:tcPr>
            <w:tcW w:w="3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公司董事会办公室</w:t>
            </w:r>
          </w:p>
        </w:tc>
      </w:tr>
    </w:tbl>
    <w:p>
      <w:pPr>
        <w:spacing w:after="0" w:line="240" w:lineRule="auto"/>
        <w:jc w:val="left"/>
        <w:rPr>
          <w:rFonts w:ascii="宋体" w:hAnsi="宋体" w:cs="宋体" w:eastAsia="宋体" w:hint="default"/>
          <w:sz w:val="18"/>
          <w:szCs w:val="18"/>
        </w:rPr>
        <w:sectPr>
          <w:pgSz w:w="11910" w:h="16840"/>
          <w:pgMar w:header="746" w:footer="974" w:top="1060" w:bottom="1160" w:left="980" w:right="0"/>
        </w:sectPr>
      </w:pPr>
    </w:p>
    <w:p>
      <w:pPr>
        <w:spacing w:line="240" w:lineRule="auto" w:before="10"/>
        <w:rPr>
          <w:rFonts w:ascii="宋体" w:hAnsi="宋体" w:cs="宋体" w:eastAsia="宋体" w:hint="default"/>
          <w:b/>
          <w:bCs/>
          <w:sz w:val="23"/>
          <w:szCs w:val="23"/>
        </w:rPr>
      </w:pPr>
      <w:r>
        <w:rPr/>
        <w:pict>
          <v:shape style="position:absolute;margin-left:192.760803pt;margin-top:644.589966pt;width:97.8pt;height:19.7pt;mso-position-horizontal-relative:page;mso-position-vertical-relative:page;z-index:-982744" type="#_x0000_t202" filled="false" stroked="false">
            <v:textbox inset="0,0,0,0">
              <w:txbxContent>
                <w:p>
                  <w:pPr>
                    <w:pStyle w:val="BodyText"/>
                    <w:spacing w:line="240" w:lineRule="auto" w:before="53"/>
                    <w:ind w:left="0" w:right="0"/>
                    <w:jc w:val="left"/>
                  </w:pPr>
                  <w:r>
                    <w:rPr>
                      <w:w w:val="101"/>
                    </w:rPr>
                    <w:t>）</w:t>
                  </w:r>
                  <w:r>
                    <w:rPr/>
                  </w:r>
                </w:p>
              </w:txbxContent>
            </v:textbox>
            <w10:wrap type="none"/>
          </v:shape>
        </w:pict>
      </w:r>
    </w:p>
    <w:p>
      <w:pPr>
        <w:pStyle w:val="Heading2"/>
        <w:spacing w:line="240" w:lineRule="auto" w:before="26"/>
        <w:ind w:right="855"/>
        <w:jc w:val="left"/>
        <w:rPr>
          <w:b w:val="0"/>
          <w:bCs w:val="0"/>
        </w:rPr>
      </w:pPr>
      <w:r>
        <w:rPr/>
        <w:t>四、注册变更情况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844"/>
        <w:gridCol w:w="7726"/>
      </w:tblGrid>
      <w:tr>
        <w:trPr>
          <w:trHeight w:val="403"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7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91530000713401509F</w:t>
            </w:r>
          </w:p>
        </w:tc>
      </w:tr>
      <w:tr>
        <w:trPr>
          <w:trHeight w:val="711"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4"/>
              <w:ind w:left="24" w:right="3"/>
              <w:jc w:val="left"/>
              <w:rPr>
                <w:rFonts w:ascii="宋体" w:hAnsi="宋体" w:cs="宋体" w:eastAsia="宋体" w:hint="default"/>
                <w:sz w:val="18"/>
                <w:szCs w:val="18"/>
              </w:rPr>
            </w:pPr>
            <w:r>
              <w:rPr>
                <w:rFonts w:ascii="宋体" w:hAnsi="宋体" w:cs="宋体" w:eastAsia="宋体" w:hint="default"/>
                <w:spacing w:val="-3"/>
                <w:sz w:val="18"/>
                <w:szCs w:val="18"/>
              </w:rPr>
              <w:t>公司上市以来主营业</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务的变化情况（如有）</w:t>
            </w:r>
          </w:p>
        </w:tc>
        <w:tc>
          <w:tcPr>
            <w:tcW w:w="7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无变更</w:t>
            </w:r>
          </w:p>
        </w:tc>
      </w:tr>
      <w:tr>
        <w:trPr>
          <w:trHeight w:val="2276"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2" w:lineRule="auto" w:before="130"/>
              <w:ind w:left="24" w:right="185"/>
              <w:jc w:val="left"/>
              <w:rPr>
                <w:rFonts w:ascii="宋体" w:hAnsi="宋体" w:cs="宋体" w:eastAsia="宋体" w:hint="default"/>
                <w:sz w:val="18"/>
                <w:szCs w:val="18"/>
              </w:rPr>
            </w:pPr>
            <w:r>
              <w:rPr>
                <w:rFonts w:ascii="宋体" w:hAnsi="宋体" w:cs="宋体" w:eastAsia="宋体" w:hint="default"/>
                <w:spacing w:val="-3"/>
                <w:sz w:val="18"/>
                <w:szCs w:val="18"/>
              </w:rPr>
              <w:t>历次控股股东的变更</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情况（如有）</w:t>
            </w:r>
          </w:p>
        </w:tc>
        <w:tc>
          <w:tcPr>
            <w:tcW w:w="772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23" w:right="12"/>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28"/>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r>
              <w:rPr>
                <w:rFonts w:ascii="宋体" w:hAnsi="宋体" w:cs="宋体" w:eastAsia="宋体" w:hint="default"/>
                <w:spacing w:val="-28"/>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0"/>
                <w:sz w:val="18"/>
                <w:szCs w:val="18"/>
              </w:rPr>
              <w:t> </w:t>
            </w:r>
            <w:r>
              <w:rPr>
                <w:rFonts w:ascii="宋体" w:hAnsi="宋体" w:cs="宋体" w:eastAsia="宋体" w:hint="default"/>
                <w:spacing w:val="-3"/>
                <w:sz w:val="18"/>
                <w:szCs w:val="18"/>
              </w:rPr>
              <w:t>日，公司收到原第二大股东工投集团通知，决定将其全资子公司南天集团持有的南</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天信息</w:t>
            </w:r>
            <w:r>
              <w:rPr>
                <w:rFonts w:ascii="宋体" w:hAnsi="宋体" w:cs="宋体" w:eastAsia="宋体" w:hint="default"/>
                <w:spacing w:val="-31"/>
                <w:sz w:val="18"/>
                <w:szCs w:val="18"/>
              </w:rPr>
              <w:t> </w:t>
            </w:r>
            <w:r>
              <w:rPr>
                <w:rFonts w:ascii="Times New Roman" w:hAnsi="Times New Roman" w:cs="Times New Roman" w:eastAsia="Times New Roman" w:hint="default"/>
                <w:sz w:val="18"/>
                <w:szCs w:val="18"/>
              </w:rPr>
              <w:t>64,367,006</w:t>
            </w:r>
            <w:r>
              <w:rPr>
                <w:rFonts w:ascii="Times New Roman" w:hAnsi="Times New Roman" w:cs="Times New Roman" w:eastAsia="Times New Roman" w:hint="default"/>
                <w:spacing w:val="8"/>
                <w:sz w:val="18"/>
                <w:szCs w:val="18"/>
              </w:rPr>
              <w:t> </w:t>
            </w:r>
            <w:r>
              <w:rPr>
                <w:rFonts w:ascii="宋体" w:hAnsi="宋体" w:cs="宋体" w:eastAsia="宋体" w:hint="default"/>
                <w:spacing w:val="-3"/>
                <w:sz w:val="18"/>
                <w:szCs w:val="18"/>
              </w:rPr>
              <w:t>股股票（全部为无限售流通股，占南天信息总股本的</w:t>
            </w:r>
            <w:r>
              <w:rPr>
                <w:rFonts w:ascii="宋体" w:hAnsi="宋体" w:cs="宋体" w:eastAsia="宋体" w:hint="default"/>
                <w:spacing w:val="-30"/>
                <w:sz w:val="18"/>
                <w:szCs w:val="18"/>
              </w:rPr>
              <w:t> </w:t>
            </w:r>
            <w:r>
              <w:rPr>
                <w:rFonts w:ascii="Times New Roman" w:hAnsi="Times New Roman" w:cs="Times New Roman" w:eastAsia="Times New Roman" w:hint="default"/>
                <w:sz w:val="18"/>
                <w:szCs w:val="18"/>
              </w:rPr>
              <w:t>26.10%</w:t>
            </w:r>
            <w:r>
              <w:rPr>
                <w:rFonts w:ascii="宋体" w:hAnsi="宋体" w:cs="宋体" w:eastAsia="宋体" w:hint="default"/>
                <w:sz w:val="18"/>
                <w:szCs w:val="18"/>
              </w:rPr>
              <w:t>）无偿划转至工投</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集团。</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31"/>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31"/>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7"/>
                <w:sz w:val="18"/>
                <w:szCs w:val="18"/>
              </w:rPr>
              <w:t> </w:t>
            </w:r>
            <w:r>
              <w:rPr>
                <w:rFonts w:ascii="宋体" w:hAnsi="宋体" w:cs="宋体" w:eastAsia="宋体" w:hint="default"/>
                <w:spacing w:val="-3"/>
                <w:sz w:val="18"/>
                <w:szCs w:val="18"/>
              </w:rPr>
              <w:t>日，上述事宜已办理完成股份过户登记手续。至此，工投集团直接持有南天</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w w:val="101"/>
                <w:sz w:val="18"/>
                <w:szCs w:val="18"/>
              </w:rPr>
              <w:t>信息</w:t>
            </w:r>
            <w:r>
              <w:rPr>
                <w:rFonts w:ascii="宋体" w:hAnsi="宋体" w:cs="宋体" w:eastAsia="宋体" w:hint="default"/>
                <w:spacing w:val="-40"/>
                <w:w w:val="101"/>
                <w:sz w:val="18"/>
                <w:szCs w:val="18"/>
              </w:rPr>
              <w:t> </w:t>
            </w:r>
            <w:r>
              <w:rPr>
                <w:rFonts w:ascii="Times New Roman" w:hAnsi="Times New Roman" w:cs="Times New Roman" w:eastAsia="Times New Roman" w:hint="default"/>
                <w:spacing w:val="-2"/>
                <w:w w:val="101"/>
                <w:sz w:val="18"/>
                <w:szCs w:val="18"/>
              </w:rPr>
              <w:t>87,237,219</w:t>
            </w:r>
            <w:r>
              <w:rPr>
                <w:rFonts w:ascii="Times New Roman" w:hAnsi="Times New Roman" w:cs="Times New Roman" w:eastAsia="Times New Roman" w:hint="default"/>
                <w:spacing w:val="6"/>
                <w:w w:val="101"/>
                <w:sz w:val="18"/>
                <w:szCs w:val="18"/>
              </w:rPr>
              <w:t> </w:t>
            </w:r>
            <w:r>
              <w:rPr>
                <w:rFonts w:ascii="宋体" w:hAnsi="宋体" w:cs="宋体" w:eastAsia="宋体" w:hint="default"/>
                <w:spacing w:val="-8"/>
                <w:w w:val="101"/>
                <w:sz w:val="18"/>
                <w:szCs w:val="18"/>
              </w:rPr>
              <w:t>股股份（全部为无限售流通股），占南天信息总股本的</w:t>
            </w:r>
            <w:r>
              <w:rPr>
                <w:rFonts w:ascii="宋体" w:hAnsi="宋体" w:cs="宋体" w:eastAsia="宋体" w:hint="default"/>
                <w:spacing w:val="-39"/>
                <w:w w:val="101"/>
                <w:sz w:val="18"/>
                <w:szCs w:val="18"/>
              </w:rPr>
              <w:t> </w:t>
            </w:r>
            <w:r>
              <w:rPr>
                <w:rFonts w:ascii="Times New Roman" w:hAnsi="Times New Roman" w:cs="Times New Roman" w:eastAsia="Times New Roman" w:hint="default"/>
                <w:spacing w:val="-3"/>
                <w:w w:val="101"/>
                <w:sz w:val="18"/>
                <w:szCs w:val="18"/>
              </w:rPr>
              <w:t>35.38%</w:t>
            </w:r>
            <w:r>
              <w:rPr>
                <w:rFonts w:ascii="宋体" w:hAnsi="宋体" w:cs="宋体" w:eastAsia="宋体" w:hint="default"/>
                <w:spacing w:val="-3"/>
                <w:w w:val="101"/>
                <w:sz w:val="18"/>
                <w:szCs w:val="18"/>
              </w:rPr>
              <w:t>，成为南天信息的控</w:t>
            </w:r>
            <w:r>
              <w:rPr>
                <w:rFonts w:ascii="宋体" w:hAnsi="宋体" w:cs="宋体" w:eastAsia="宋体" w:hint="default"/>
                <w:spacing w:val="-88"/>
                <w:w w:val="101"/>
                <w:sz w:val="18"/>
                <w:szCs w:val="18"/>
              </w:rPr>
              <w:t> </w:t>
            </w:r>
            <w:r>
              <w:rPr>
                <w:rFonts w:ascii="宋体" w:hAnsi="宋体" w:cs="宋体" w:eastAsia="宋体" w:hint="default"/>
                <w:spacing w:val="-88"/>
                <w:w w:val="101"/>
                <w:sz w:val="18"/>
                <w:szCs w:val="18"/>
              </w:rPr>
            </w:r>
            <w:r>
              <w:rPr>
                <w:rFonts w:ascii="宋体" w:hAnsi="宋体" w:cs="宋体" w:eastAsia="宋体" w:hint="default"/>
                <w:spacing w:val="-3"/>
                <w:sz w:val="18"/>
                <w:szCs w:val="18"/>
              </w:rPr>
              <w:t>股股东；南天集团持有南天信息 </w:t>
            </w:r>
            <w:r>
              <w:rPr>
                <w:rFonts w:ascii="Times New Roman" w:hAnsi="Times New Roman" w:cs="Times New Roman" w:eastAsia="Times New Roman" w:hint="default"/>
                <w:sz w:val="18"/>
                <w:szCs w:val="18"/>
              </w:rPr>
              <w:t>1,914,025 </w:t>
            </w:r>
            <w:r>
              <w:rPr>
                <w:rFonts w:ascii="宋体" w:hAnsi="宋体" w:cs="宋体" w:eastAsia="宋体" w:hint="default"/>
                <w:spacing w:val="-3"/>
                <w:sz w:val="18"/>
                <w:szCs w:val="18"/>
              </w:rPr>
              <w:t>股股份（全部为无限售流通股，含南天信息管理层委托</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w w:val="101"/>
                <w:sz w:val="18"/>
                <w:szCs w:val="18"/>
              </w:rPr>
              <w:t>南天集团通过其资产管理计划增持的股份</w:t>
            </w:r>
            <w:r>
              <w:rPr>
                <w:rFonts w:ascii="宋体" w:hAnsi="宋体" w:cs="宋体" w:eastAsia="宋体" w:hint="default"/>
                <w:spacing w:val="-41"/>
                <w:w w:val="101"/>
                <w:sz w:val="18"/>
                <w:szCs w:val="18"/>
              </w:rPr>
              <w:t> </w:t>
            </w:r>
            <w:r>
              <w:rPr>
                <w:rFonts w:ascii="Times New Roman" w:hAnsi="Times New Roman" w:cs="Times New Roman" w:eastAsia="Times New Roman" w:hint="default"/>
                <w:spacing w:val="-1"/>
                <w:w w:val="101"/>
                <w:sz w:val="18"/>
                <w:szCs w:val="18"/>
              </w:rPr>
              <w:t>9,047</w:t>
            </w:r>
            <w:r>
              <w:rPr>
                <w:rFonts w:ascii="Times New Roman" w:hAnsi="Times New Roman" w:cs="Times New Roman" w:eastAsia="Times New Roman" w:hint="default"/>
                <w:spacing w:val="-2"/>
                <w:w w:val="101"/>
                <w:sz w:val="18"/>
                <w:szCs w:val="18"/>
              </w:rPr>
              <w:t> </w:t>
            </w:r>
            <w:r>
              <w:rPr>
                <w:rFonts w:ascii="宋体" w:hAnsi="宋体" w:cs="宋体" w:eastAsia="宋体" w:hint="default"/>
                <w:spacing w:val="-13"/>
                <w:w w:val="101"/>
                <w:sz w:val="18"/>
                <w:szCs w:val="18"/>
              </w:rPr>
              <w:t>股），占南天信息总股本的</w:t>
            </w:r>
            <w:r>
              <w:rPr>
                <w:rFonts w:ascii="宋体" w:hAnsi="宋体" w:cs="宋体" w:eastAsia="宋体" w:hint="default"/>
                <w:spacing w:val="-41"/>
                <w:w w:val="101"/>
                <w:sz w:val="18"/>
                <w:szCs w:val="18"/>
              </w:rPr>
              <w:t> </w:t>
            </w:r>
            <w:r>
              <w:rPr>
                <w:rFonts w:ascii="Times New Roman" w:hAnsi="Times New Roman" w:cs="Times New Roman" w:eastAsia="Times New Roman" w:hint="default"/>
                <w:spacing w:val="-6"/>
                <w:w w:val="101"/>
                <w:sz w:val="18"/>
                <w:szCs w:val="18"/>
              </w:rPr>
              <w:t>0.78%</w:t>
            </w:r>
            <w:r>
              <w:rPr>
                <w:rFonts w:ascii="宋体" w:hAnsi="宋体" w:cs="宋体" w:eastAsia="宋体" w:hint="default"/>
                <w:spacing w:val="-6"/>
                <w:w w:val="101"/>
                <w:sz w:val="18"/>
                <w:szCs w:val="18"/>
              </w:rPr>
              <w:t>。公司控股股东由</w:t>
            </w:r>
            <w:r>
              <w:rPr>
                <w:rFonts w:ascii="宋体" w:hAnsi="宋体" w:cs="宋体" w:eastAsia="宋体" w:hint="default"/>
                <w:spacing w:val="-88"/>
                <w:w w:val="101"/>
                <w:sz w:val="18"/>
                <w:szCs w:val="18"/>
              </w:rPr>
              <w:t> </w:t>
            </w:r>
            <w:r>
              <w:rPr>
                <w:rFonts w:ascii="宋体" w:hAnsi="宋体" w:cs="宋体" w:eastAsia="宋体" w:hint="default"/>
                <w:spacing w:val="-88"/>
                <w:w w:val="101"/>
                <w:sz w:val="18"/>
                <w:szCs w:val="18"/>
              </w:rPr>
            </w:r>
            <w:r>
              <w:rPr>
                <w:rFonts w:ascii="宋体" w:hAnsi="宋体" w:cs="宋体" w:eastAsia="宋体" w:hint="default"/>
                <w:spacing w:val="-3"/>
                <w:sz w:val="18"/>
                <w:szCs w:val="18"/>
              </w:rPr>
              <w:t>南天集团变为工投集团，公司实际控制人无变化，仍为云南省国资委。</w:t>
            </w:r>
          </w:p>
        </w:tc>
      </w:tr>
    </w:tbl>
    <w:p>
      <w:pPr>
        <w:spacing w:line="240" w:lineRule="auto" w:before="1"/>
        <w:rPr>
          <w:rFonts w:ascii="宋体" w:hAnsi="宋体" w:cs="宋体" w:eastAsia="宋体" w:hint="default"/>
          <w:b/>
          <w:bCs/>
          <w:sz w:val="18"/>
          <w:szCs w:val="18"/>
        </w:rPr>
      </w:pPr>
    </w:p>
    <w:p>
      <w:pPr>
        <w:spacing w:before="26"/>
        <w:ind w:left="153" w:right="855" w:firstLine="0"/>
        <w:jc w:val="left"/>
        <w:rPr>
          <w:rFonts w:ascii="宋体" w:hAnsi="宋体" w:cs="宋体" w:eastAsia="宋体" w:hint="default"/>
          <w:sz w:val="24"/>
          <w:szCs w:val="24"/>
        </w:rPr>
      </w:pPr>
      <w:r>
        <w:rPr>
          <w:rFonts w:ascii="宋体" w:hAnsi="宋体" w:cs="宋体" w:eastAsia="宋体" w:hint="default"/>
          <w:b/>
          <w:bCs/>
          <w:sz w:val="24"/>
          <w:szCs w:val="24"/>
        </w:rPr>
        <w:t>五、其他有关资料</w:t>
      </w:r>
      <w:r>
        <w:rPr>
          <w:rFonts w:ascii="宋体" w:hAnsi="宋体" w:cs="宋体" w:eastAsia="宋体" w:hint="default"/>
          <w:sz w:val="24"/>
          <w:szCs w:val="24"/>
        </w:rPr>
      </w:r>
    </w:p>
    <w:p>
      <w:pPr>
        <w:spacing w:line="240" w:lineRule="auto" w:before="6"/>
        <w:rPr>
          <w:rFonts w:ascii="宋体" w:hAnsi="宋体" w:cs="宋体" w:eastAsia="宋体" w:hint="default"/>
          <w:b/>
          <w:bCs/>
          <w:sz w:val="26"/>
          <w:szCs w:val="26"/>
        </w:rPr>
      </w:pPr>
    </w:p>
    <w:p>
      <w:pPr>
        <w:pStyle w:val="BodyText"/>
        <w:spacing w:line="240" w:lineRule="auto"/>
        <w:ind w:right="855"/>
        <w:jc w:val="left"/>
      </w:pPr>
      <w:r>
        <w:rPr>
          <w:spacing w:val="-3"/>
        </w:rPr>
        <w:t>公司聘请的会计师事务所</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665"/>
        <w:gridCol w:w="6905"/>
      </w:tblGrid>
      <w:tr>
        <w:trPr>
          <w:trHeight w:val="398" w:hRule="exact"/>
        </w:trPr>
        <w:tc>
          <w:tcPr>
            <w:tcW w:w="2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信永中和会计师事务所（特殊普通合伙）</w:t>
            </w:r>
          </w:p>
        </w:tc>
      </w:tr>
      <w:tr>
        <w:trPr>
          <w:trHeight w:val="404" w:hRule="exact"/>
        </w:trPr>
        <w:tc>
          <w:tcPr>
            <w:tcW w:w="2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pacing w:val="-3"/>
                <w:sz w:val="18"/>
                <w:szCs w:val="18"/>
              </w:rPr>
              <w:t>北京市东城区朝阳门北大街</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号富华大厦</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座</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层</w:t>
            </w:r>
          </w:p>
        </w:tc>
      </w:tr>
      <w:tr>
        <w:trPr>
          <w:trHeight w:val="403" w:hRule="exact"/>
        </w:trPr>
        <w:tc>
          <w:tcPr>
            <w:tcW w:w="2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签字会计师姓名</w:t>
            </w:r>
          </w:p>
        </w:tc>
        <w:tc>
          <w:tcPr>
            <w:tcW w:w="6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张为、何诚</w:t>
            </w:r>
          </w:p>
        </w:tc>
      </w:tr>
    </w:tbl>
    <w:p>
      <w:pPr>
        <w:pStyle w:val="BodyText"/>
        <w:spacing w:line="240" w:lineRule="auto" w:before="53"/>
        <w:ind w:right="855"/>
        <w:jc w:val="left"/>
      </w:pPr>
      <w:r>
        <w:rPr>
          <w:spacing w:val="-3"/>
        </w:rPr>
        <w:t>公司聘请的报告期内履行持续督导职责的保荐机构</w:t>
      </w:r>
    </w:p>
    <w:p>
      <w:pPr>
        <w:pStyle w:val="BodyText"/>
        <w:spacing w:line="338" w:lineRule="auto" w:before="115"/>
        <w:ind w:right="611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公司聘请的报告期内履行持续督导职责的财务顾问</w:t>
      </w:r>
    </w:p>
    <w:p>
      <w:pPr>
        <w:pStyle w:val="BodyText"/>
        <w:spacing w:line="240" w:lineRule="auto" w:before="41"/>
        <w:ind w:right="855"/>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5"/>
        <w:rPr>
          <w:rFonts w:ascii="宋体" w:hAnsi="宋体" w:cs="宋体" w:eastAsia="宋体" w:hint="default"/>
          <w:sz w:val="24"/>
          <w:szCs w:val="24"/>
        </w:rPr>
      </w:pPr>
    </w:p>
    <w:p>
      <w:pPr>
        <w:pStyle w:val="Heading2"/>
        <w:spacing w:line="240" w:lineRule="auto"/>
        <w:ind w:right="855"/>
        <w:jc w:val="left"/>
        <w:rPr>
          <w:b w:val="0"/>
          <w:bCs w:val="0"/>
        </w:rPr>
      </w:pPr>
      <w:r>
        <w:rPr/>
        <w:t>六、主要会计数据和财务指标</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855"/>
        <w:jc w:val="left"/>
      </w:pPr>
      <w:r>
        <w:rPr>
          <w:spacing w:val="-3"/>
        </w:rPr>
        <w:t>公司是否需追溯调整或重述以前年度会计数据</w:t>
      </w:r>
    </w:p>
    <w:p>
      <w:pPr>
        <w:pStyle w:val="BodyText"/>
        <w:spacing w:line="240" w:lineRule="auto" w:before="115"/>
        <w:ind w:right="855"/>
        <w:jc w:val="left"/>
      </w:pPr>
      <w:r>
        <w:rPr/>
        <w:pict>
          <v:shape style="position:absolute;margin-left:192.760803pt;margin-top:63.541718pt;width:97.8pt;height:19.7pt;mso-position-horizontal-relative:page;mso-position-vertical-relative:paragraph;z-index:-982768" type="#_x0000_t202" filled="false" stroked="false">
            <v:textbox inset="0,0,0,0">
              <w:txbxContent>
                <w:p>
                  <w:pPr>
                    <w:pStyle w:val="BodyText"/>
                    <w:spacing w:line="240" w:lineRule="auto" w:before="53"/>
                    <w:ind w:left="0" w:right="0"/>
                    <w:jc w:val="left"/>
                  </w:pPr>
                  <w:r>
                    <w:rPr>
                      <w:w w:val="101"/>
                    </w:rPr>
                    <w:t>）</w:t>
                  </w:r>
                  <w:r>
                    <w:rPr/>
                  </w:r>
                </w:p>
              </w:txbxContent>
            </v:textbox>
            <w10:wrap type="none"/>
          </v:shape>
        </w:pict>
      </w: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2838"/>
        <w:gridCol w:w="348"/>
        <w:gridCol w:w="1496"/>
        <w:gridCol w:w="1700"/>
        <w:gridCol w:w="1700"/>
        <w:gridCol w:w="1493"/>
      </w:tblGrid>
      <w:tr>
        <w:trPr>
          <w:trHeight w:val="403" w:hRule="exact"/>
        </w:trPr>
        <w:tc>
          <w:tcPr>
            <w:tcW w:w="283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84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5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6" w:right="0"/>
              <w:jc w:val="left"/>
              <w:rPr>
                <w:rFonts w:ascii="宋体" w:hAnsi="宋体" w:cs="宋体" w:eastAsia="宋体" w:hint="default"/>
                <w:sz w:val="18"/>
                <w:szCs w:val="18"/>
              </w:rPr>
            </w:pPr>
            <w:r>
              <w:rPr>
                <w:rFonts w:ascii="宋体" w:hAnsi="宋体" w:cs="宋体" w:eastAsia="宋体" w:hint="default"/>
                <w:spacing w:val="-3"/>
                <w:sz w:val="18"/>
                <w:szCs w:val="18"/>
              </w:rPr>
              <w:t>本年比上年增减</w:t>
            </w:r>
          </w:p>
        </w:tc>
        <w:tc>
          <w:tcPr>
            <w:tcW w:w="1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4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r>
      <w:tr>
        <w:trPr>
          <w:trHeight w:val="403" w:hRule="exact"/>
        </w:trPr>
        <w:tc>
          <w:tcPr>
            <w:tcW w:w="2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营业收入（元）</w:t>
            </w:r>
          </w:p>
        </w:tc>
        <w:tc>
          <w:tcPr>
            <w:tcW w:w="18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52" w:right="0"/>
              <w:jc w:val="left"/>
              <w:rPr>
                <w:rFonts w:ascii="Times New Roman" w:hAnsi="Times New Roman" w:cs="Times New Roman" w:eastAsia="Times New Roman" w:hint="default"/>
                <w:sz w:val="18"/>
                <w:szCs w:val="18"/>
              </w:rPr>
            </w:pPr>
            <w:r>
              <w:rPr>
                <w:rFonts w:ascii="Times New Roman"/>
                <w:sz w:val="18"/>
              </w:rPr>
              <w:t>3,303,367,428.19</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2,779,803,154.27</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18.83%</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2,315,809,791.16</w:t>
            </w:r>
          </w:p>
        </w:tc>
      </w:tr>
      <w:tr>
        <w:trPr>
          <w:trHeight w:val="403" w:hRule="exact"/>
        </w:trPr>
        <w:tc>
          <w:tcPr>
            <w:tcW w:w="2838" w:type="dxa"/>
            <w:tcBorders>
              <w:top w:val="single" w:sz="4" w:space="0" w:color="000000"/>
              <w:left w:val="single" w:sz="4" w:space="0" w:color="000000"/>
              <w:bottom w:val="single" w:sz="4" w:space="0" w:color="000000"/>
              <w:right w:val="single" w:sz="10" w:space="0" w:color="FFFFFF"/>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归属于上市公司股东的净利润（元</w:t>
            </w:r>
          </w:p>
        </w:tc>
        <w:tc>
          <w:tcPr>
            <w:tcW w:w="348" w:type="dxa"/>
            <w:tcBorders>
              <w:top w:val="single" w:sz="4" w:space="0" w:color="000000"/>
              <w:left w:val="single" w:sz="10" w:space="0" w:color="FFFFFF"/>
              <w:bottom w:val="single" w:sz="4" w:space="0" w:color="000000"/>
              <w:right w:val="nil" w:sz="6" w:space="0" w:color="auto"/>
            </w:tcBorders>
          </w:tcPr>
          <w:p>
            <w:pPr/>
          </w:p>
        </w:tc>
        <w:tc>
          <w:tcPr>
            <w:tcW w:w="1496" w:type="dxa"/>
            <w:tcBorders>
              <w:top w:val="single" w:sz="4" w:space="0" w:color="000000"/>
              <w:left w:val="nil" w:sz="6" w:space="0" w:color="auto"/>
              <w:bottom w:val="single" w:sz="4" w:space="0" w:color="000000"/>
              <w:right w:val="single" w:sz="13" w:space="0" w:color="FFFFFF"/>
            </w:tcBorders>
          </w:tcPr>
          <w:p>
            <w:pPr>
              <w:pStyle w:val="TableParagraph"/>
              <w:spacing w:line="240" w:lineRule="auto" w:before="96"/>
              <w:ind w:right="6"/>
              <w:jc w:val="right"/>
              <w:rPr>
                <w:rFonts w:ascii="Times New Roman" w:hAnsi="Times New Roman" w:cs="Times New Roman" w:eastAsia="Times New Roman" w:hint="default"/>
                <w:sz w:val="18"/>
                <w:szCs w:val="18"/>
              </w:rPr>
            </w:pPr>
            <w:r>
              <w:rPr>
                <w:rFonts w:ascii="Times New Roman"/>
                <w:spacing w:val="-1"/>
                <w:sz w:val="18"/>
              </w:rPr>
              <w:t>59,178,171.08</w:t>
            </w:r>
          </w:p>
        </w:tc>
        <w:tc>
          <w:tcPr>
            <w:tcW w:w="1700"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74,771,358.39</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-20.85%</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21,984,499.53</w:t>
            </w:r>
          </w:p>
        </w:tc>
      </w:tr>
      <w:tr>
        <w:trPr>
          <w:trHeight w:val="711" w:hRule="exact"/>
        </w:trPr>
        <w:tc>
          <w:tcPr>
            <w:tcW w:w="2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4"/>
              <w:ind w:left="24" w:right="99"/>
              <w:jc w:val="left"/>
              <w:rPr>
                <w:rFonts w:ascii="宋体" w:hAnsi="宋体" w:cs="宋体" w:eastAsia="宋体" w:hint="default"/>
                <w:sz w:val="18"/>
                <w:szCs w:val="18"/>
              </w:rPr>
            </w:pPr>
            <w:r>
              <w:rPr>
                <w:rFonts w:ascii="宋体" w:hAnsi="宋体" w:cs="宋体" w:eastAsia="宋体" w:hint="default"/>
                <w:spacing w:val="-3"/>
                <w:sz w:val="18"/>
                <w:szCs w:val="18"/>
              </w:rPr>
              <w:t>归属于上市公司股东的扣除非经常</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性损益的净利润（元）</w:t>
            </w:r>
          </w:p>
        </w:tc>
        <w:tc>
          <w:tcPr>
            <w:tcW w:w="1844"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66" w:right="0"/>
              <w:jc w:val="left"/>
              <w:rPr>
                <w:rFonts w:ascii="Times New Roman" w:hAnsi="Times New Roman" w:cs="Times New Roman" w:eastAsia="Times New Roman" w:hint="default"/>
                <w:sz w:val="18"/>
                <w:szCs w:val="18"/>
              </w:rPr>
            </w:pPr>
            <w:r>
              <w:rPr>
                <w:rFonts w:ascii="Times New Roman"/>
                <w:sz w:val="18"/>
              </w:rPr>
              <w:t>57,963,921.03</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14,127,575.22</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2"/>
                <w:sz w:val="18"/>
              </w:rPr>
              <w:t>310.29%</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6,241,738.62</w:t>
            </w:r>
          </w:p>
        </w:tc>
      </w:tr>
      <w:tr>
        <w:trPr>
          <w:trHeight w:val="403" w:hRule="exact"/>
        </w:trPr>
        <w:tc>
          <w:tcPr>
            <w:tcW w:w="2838" w:type="dxa"/>
            <w:tcBorders>
              <w:top w:val="single" w:sz="4" w:space="0" w:color="000000"/>
              <w:left w:val="single" w:sz="4" w:space="0" w:color="000000"/>
              <w:bottom w:val="single" w:sz="4" w:space="0" w:color="000000"/>
              <w:right w:val="single" w:sz="10" w:space="0" w:color="FFFFFF"/>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经营活动产生的现金流量净额（元</w:t>
            </w:r>
          </w:p>
        </w:tc>
        <w:tc>
          <w:tcPr>
            <w:tcW w:w="348" w:type="dxa"/>
            <w:tcBorders>
              <w:top w:val="single" w:sz="4" w:space="0" w:color="000000"/>
              <w:left w:val="single" w:sz="10" w:space="0" w:color="FFFFFF"/>
              <w:bottom w:val="single" w:sz="4" w:space="0" w:color="000000"/>
              <w:right w:val="nil" w:sz="6" w:space="0" w:color="auto"/>
            </w:tcBorders>
          </w:tcPr>
          <w:p>
            <w:pPr/>
          </w:p>
        </w:tc>
        <w:tc>
          <w:tcPr>
            <w:tcW w:w="1496" w:type="dxa"/>
            <w:tcBorders>
              <w:top w:val="single" w:sz="4" w:space="0" w:color="000000"/>
              <w:left w:val="nil" w:sz="6" w:space="0" w:color="auto"/>
              <w:bottom w:val="single" w:sz="4" w:space="0" w:color="000000"/>
              <w:right w:val="single" w:sz="13" w:space="0" w:color="FFFFFF"/>
            </w:tcBorders>
          </w:tcPr>
          <w:p>
            <w:pPr>
              <w:pStyle w:val="TableParagraph"/>
              <w:spacing w:line="240" w:lineRule="auto" w:before="96"/>
              <w:ind w:right="5"/>
              <w:jc w:val="right"/>
              <w:rPr>
                <w:rFonts w:ascii="Times New Roman" w:hAnsi="Times New Roman" w:cs="Times New Roman" w:eastAsia="Times New Roman" w:hint="default"/>
                <w:sz w:val="18"/>
                <w:szCs w:val="18"/>
              </w:rPr>
            </w:pPr>
            <w:r>
              <w:rPr>
                <w:rFonts w:ascii="Times New Roman"/>
                <w:spacing w:val="-1"/>
                <w:sz w:val="18"/>
              </w:rPr>
              <w:t>-138,408,692.26</w:t>
            </w:r>
          </w:p>
        </w:tc>
        <w:tc>
          <w:tcPr>
            <w:tcW w:w="1700"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53,020,569.34</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-361.05%</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-56,143,819.07</w:t>
            </w:r>
          </w:p>
        </w:tc>
      </w:tr>
      <w:tr>
        <w:trPr>
          <w:trHeight w:val="403" w:hRule="exact"/>
        </w:trPr>
        <w:tc>
          <w:tcPr>
            <w:tcW w:w="2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基本每股收益（元</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股）</w:t>
            </w:r>
            <w:r>
              <w:rPr>
                <w:rFonts w:ascii="宋体" w:hAnsi="宋体" w:cs="宋体" w:eastAsia="宋体" w:hint="default"/>
                <w:sz w:val="18"/>
                <w:szCs w:val="18"/>
              </w:rPr>
            </w:r>
          </w:p>
        </w:tc>
        <w:tc>
          <w:tcPr>
            <w:tcW w:w="18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0.1846</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0.3032</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-39.12%</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0.0891</w:t>
            </w:r>
          </w:p>
        </w:tc>
      </w:tr>
      <w:tr>
        <w:trPr>
          <w:trHeight w:val="404" w:hRule="exact"/>
        </w:trPr>
        <w:tc>
          <w:tcPr>
            <w:tcW w:w="2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稀释每股收益（元</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股）</w:t>
            </w:r>
            <w:r>
              <w:rPr>
                <w:rFonts w:ascii="宋体" w:hAnsi="宋体" w:cs="宋体" w:eastAsia="宋体" w:hint="default"/>
                <w:sz w:val="18"/>
                <w:szCs w:val="18"/>
              </w:rPr>
            </w:r>
          </w:p>
        </w:tc>
        <w:tc>
          <w:tcPr>
            <w:tcW w:w="18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0.1846</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0.3032</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-39.12%</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0.0891</w:t>
            </w:r>
          </w:p>
        </w:tc>
      </w:tr>
      <w:tr>
        <w:trPr>
          <w:trHeight w:val="398" w:hRule="exact"/>
        </w:trPr>
        <w:tc>
          <w:tcPr>
            <w:tcW w:w="2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8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3.85%</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5.03%</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-1.18%</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1.51%</w:t>
            </w:r>
          </w:p>
        </w:tc>
      </w:tr>
      <w:tr>
        <w:trPr>
          <w:trHeight w:val="403" w:hRule="exact"/>
        </w:trPr>
        <w:tc>
          <w:tcPr>
            <w:tcW w:w="283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84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3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年末</w:t>
            </w:r>
            <w:r>
              <w:rPr>
                <w:rFonts w:ascii="宋体" w:hAnsi="宋体" w:cs="宋体" w:eastAsia="宋体" w:hint="default"/>
                <w:sz w:val="18"/>
                <w:szCs w:val="18"/>
              </w:rPr>
            </w:r>
          </w:p>
        </w:tc>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年末</w:t>
            </w:r>
            <w:r>
              <w:rPr>
                <w:rFonts w:ascii="宋体" w:hAnsi="宋体" w:cs="宋体" w:eastAsia="宋体" w:hint="default"/>
                <w:sz w:val="18"/>
                <w:szCs w:val="18"/>
              </w:rPr>
            </w:r>
          </w:p>
        </w:tc>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6"/>
              <w:jc w:val="right"/>
              <w:rPr>
                <w:rFonts w:ascii="宋体" w:hAnsi="宋体" w:cs="宋体" w:eastAsia="宋体" w:hint="default"/>
                <w:sz w:val="18"/>
                <w:szCs w:val="18"/>
              </w:rPr>
            </w:pPr>
            <w:r>
              <w:rPr>
                <w:rFonts w:ascii="宋体" w:hAnsi="宋体" w:cs="宋体" w:eastAsia="宋体" w:hint="default"/>
                <w:spacing w:val="-3"/>
                <w:sz w:val="18"/>
                <w:szCs w:val="18"/>
              </w:rPr>
              <w:t>本年末比上年末增减</w:t>
            </w:r>
          </w:p>
        </w:tc>
        <w:tc>
          <w:tcPr>
            <w:tcW w:w="1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5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年末</w:t>
            </w:r>
            <w:r>
              <w:rPr>
                <w:rFonts w:ascii="宋体" w:hAnsi="宋体" w:cs="宋体" w:eastAsia="宋体" w:hint="default"/>
                <w:sz w:val="18"/>
                <w:szCs w:val="18"/>
              </w:rPr>
            </w:r>
          </w:p>
        </w:tc>
      </w:tr>
      <w:tr>
        <w:trPr>
          <w:trHeight w:val="403" w:hRule="exact"/>
        </w:trPr>
        <w:tc>
          <w:tcPr>
            <w:tcW w:w="2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8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52" w:right="0"/>
              <w:jc w:val="left"/>
              <w:rPr>
                <w:rFonts w:ascii="Times New Roman" w:hAnsi="Times New Roman" w:cs="Times New Roman" w:eastAsia="Times New Roman" w:hint="default"/>
                <w:sz w:val="18"/>
                <w:szCs w:val="18"/>
              </w:rPr>
            </w:pPr>
            <w:r>
              <w:rPr>
                <w:rFonts w:ascii="Times New Roman"/>
                <w:sz w:val="18"/>
              </w:rPr>
              <w:t>4,036,304,040.40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3,096,930,849.18</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30.33%</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2,775,101,769.97</w:t>
            </w:r>
          </w:p>
        </w:tc>
      </w:tr>
    </w:tbl>
    <w:p>
      <w:pPr>
        <w:spacing w:after="0" w:line="240" w:lineRule="auto"/>
        <w:jc w:val="right"/>
        <w:rPr>
          <w:rFonts w:ascii="Times New Roman" w:hAnsi="Times New Roman" w:cs="Times New Roman" w:eastAsia="Times New Roman" w:hint="default"/>
          <w:sz w:val="18"/>
          <w:szCs w:val="18"/>
        </w:rPr>
        <w:sectPr>
          <w:pgSz w:w="11910" w:h="16840"/>
          <w:pgMar w:header="746" w:footer="974"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850"/>
        <w:gridCol w:w="1820"/>
        <w:gridCol w:w="1712"/>
        <w:gridCol w:w="1700"/>
        <w:gridCol w:w="1493"/>
      </w:tblGrid>
      <w:tr>
        <w:trPr>
          <w:trHeight w:val="403" w:hRule="exact"/>
        </w:trPr>
        <w:tc>
          <w:tcPr>
            <w:tcW w:w="2850" w:type="dxa"/>
            <w:tcBorders>
              <w:top w:val="single" w:sz="4" w:space="0" w:color="000000"/>
              <w:left w:val="single" w:sz="4" w:space="0" w:color="000000"/>
              <w:bottom w:val="single" w:sz="4" w:space="0" w:color="000000"/>
              <w:right w:val="single" w:sz="10" w:space="0" w:color="FFFFFF"/>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归属于上市公司股东的净资产（元</w:t>
            </w:r>
          </w:p>
        </w:tc>
        <w:tc>
          <w:tcPr>
            <w:tcW w:w="1820" w:type="dxa"/>
            <w:tcBorders>
              <w:top w:val="single" w:sz="4" w:space="0" w:color="000000"/>
              <w:left w:val="single" w:sz="10" w:space="0" w:color="FFFFFF"/>
              <w:bottom w:val="single" w:sz="4" w:space="0" w:color="000000"/>
              <w:right w:val="single" w:sz="13" w:space="0" w:color="FFFFFF"/>
            </w:tcBorders>
          </w:tcPr>
          <w:p>
            <w:pPr>
              <w:pStyle w:val="TableParagraph"/>
              <w:spacing w:line="240" w:lineRule="auto" w:before="96"/>
              <w:ind w:left="532" w:right="-4"/>
              <w:jc w:val="left"/>
              <w:rPr>
                <w:rFonts w:ascii="Times New Roman" w:hAnsi="Times New Roman" w:cs="Times New Roman" w:eastAsia="Times New Roman" w:hint="default"/>
                <w:sz w:val="18"/>
                <w:szCs w:val="18"/>
              </w:rPr>
            </w:pPr>
            <w:r>
              <w:rPr>
                <w:rFonts w:ascii="Times New Roman"/>
                <w:sz w:val="18"/>
              </w:rPr>
              <w:t>1,558,301,273.84</w:t>
            </w:r>
          </w:p>
        </w:tc>
        <w:tc>
          <w:tcPr>
            <w:tcW w:w="1712"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96"/>
              <w:ind w:left="412" w:right="0"/>
              <w:jc w:val="left"/>
              <w:rPr>
                <w:rFonts w:ascii="Times New Roman" w:hAnsi="Times New Roman" w:cs="Times New Roman" w:eastAsia="Times New Roman" w:hint="default"/>
                <w:sz w:val="18"/>
                <w:szCs w:val="18"/>
              </w:rPr>
            </w:pPr>
            <w:r>
              <w:rPr>
                <w:rFonts w:ascii="Times New Roman"/>
                <w:sz w:val="18"/>
              </w:rPr>
              <w:t>1,515,040,308.16</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2.86%</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01" w:right="0"/>
              <w:jc w:val="left"/>
              <w:rPr>
                <w:rFonts w:ascii="Times New Roman" w:hAnsi="Times New Roman" w:cs="Times New Roman" w:eastAsia="Times New Roman" w:hint="default"/>
                <w:sz w:val="18"/>
                <w:szCs w:val="18"/>
              </w:rPr>
            </w:pPr>
            <w:r>
              <w:rPr>
                <w:rFonts w:ascii="Times New Roman"/>
                <w:sz w:val="18"/>
              </w:rPr>
              <w:t>1,456,485,453.90</w:t>
            </w:r>
          </w:p>
        </w:tc>
      </w:tr>
    </w:tbl>
    <w:p>
      <w:pPr>
        <w:spacing w:line="240" w:lineRule="auto" w:before="1"/>
        <w:rPr>
          <w:rFonts w:ascii="宋体" w:hAnsi="宋体" w:cs="宋体" w:eastAsia="宋体" w:hint="default"/>
          <w:sz w:val="18"/>
          <w:szCs w:val="18"/>
        </w:rPr>
      </w:pPr>
    </w:p>
    <w:p>
      <w:pPr>
        <w:pStyle w:val="Heading2"/>
        <w:spacing w:line="240" w:lineRule="auto" w:before="26"/>
        <w:ind w:right="855"/>
        <w:jc w:val="left"/>
        <w:rPr>
          <w:b w:val="0"/>
          <w:bCs w:val="0"/>
        </w:rPr>
      </w:pPr>
      <w:r>
        <w:rPr/>
        <w:pict>
          <v:shape style="position:absolute;margin-left:192.760803pt;margin-top:-31.964361pt;width:97.8pt;height:19.7pt;mso-position-horizontal-relative:page;mso-position-vertical-relative:paragraph;z-index:-982720" type="#_x0000_t202" filled="false" stroked="false">
            <v:textbox inset="0,0,0,0">
              <w:txbxContent>
                <w:p>
                  <w:pPr>
                    <w:pStyle w:val="BodyText"/>
                    <w:spacing w:line="240" w:lineRule="auto" w:before="53"/>
                    <w:ind w:left="0" w:right="0"/>
                    <w:jc w:val="left"/>
                  </w:pPr>
                  <w:r>
                    <w:rPr>
                      <w:w w:val="101"/>
                    </w:rPr>
                    <w:t>）</w:t>
                  </w:r>
                  <w:r>
                    <w:rPr/>
                  </w:r>
                </w:p>
              </w:txbxContent>
            </v:textbox>
            <w10:wrap type="none"/>
          </v:shape>
        </w:pict>
      </w:r>
      <w:r>
        <w:rPr/>
        <w:t>七、境内外会计准则下会计数据差异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855"/>
        <w:jc w:val="left"/>
        <w:rPr>
          <w:b w:val="0"/>
          <w:bCs w:val="0"/>
        </w:rPr>
      </w:pP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2115"/>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公司报告期不存在按照国际会计准则与按照中国会计准则披露的财务报告中净利润和净资产差异情况。</w:t>
      </w:r>
    </w:p>
    <w:p>
      <w:pPr>
        <w:spacing w:line="240" w:lineRule="auto" w:before="5"/>
        <w:rPr>
          <w:rFonts w:ascii="宋体" w:hAnsi="宋体" w:cs="宋体" w:eastAsia="宋体" w:hint="default"/>
          <w:sz w:val="21"/>
          <w:szCs w:val="21"/>
        </w:rPr>
      </w:pPr>
    </w:p>
    <w:p>
      <w:pPr>
        <w:pStyle w:val="Heading4"/>
        <w:spacing w:line="240" w:lineRule="auto"/>
        <w:ind w:right="855"/>
        <w:jc w:val="left"/>
        <w:rPr>
          <w:b w:val="0"/>
          <w:bCs w:val="0"/>
        </w:rPr>
      </w:pP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4"/>
        <w:rPr>
          <w:rFonts w:ascii="宋体" w:hAnsi="宋体" w:cs="宋体" w:eastAsia="宋体" w:hint="default"/>
          <w:b/>
          <w:bCs/>
          <w:sz w:val="26"/>
          <w:szCs w:val="26"/>
        </w:rPr>
      </w:pPr>
    </w:p>
    <w:p>
      <w:pPr>
        <w:pStyle w:val="BodyText"/>
        <w:spacing w:line="343" w:lineRule="auto"/>
        <w:ind w:right="2115"/>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公司报告期不存在按照境外会计准则与按照中国会计准则披露的财务报告中净利润和净资产差异情况。</w:t>
      </w:r>
    </w:p>
    <w:p>
      <w:pPr>
        <w:spacing w:line="240" w:lineRule="auto" w:before="3"/>
        <w:rPr>
          <w:rFonts w:ascii="宋体" w:hAnsi="宋体" w:cs="宋体" w:eastAsia="宋体" w:hint="default"/>
          <w:sz w:val="19"/>
          <w:szCs w:val="19"/>
        </w:rPr>
      </w:pPr>
    </w:p>
    <w:p>
      <w:pPr>
        <w:pStyle w:val="Heading2"/>
        <w:spacing w:line="240" w:lineRule="auto"/>
        <w:ind w:right="855"/>
        <w:jc w:val="left"/>
        <w:rPr>
          <w:b w:val="0"/>
          <w:bCs w:val="0"/>
        </w:rPr>
      </w:pPr>
      <w:r>
        <w:rPr/>
        <w:t>八、分季度主要财务指标</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6"/>
        <w:ind w:left="0" w:right="1121"/>
        <w:jc w:val="right"/>
      </w:pPr>
      <w:r>
        <w:rPr>
          <w:spacing w:val="-2"/>
        </w:rPr>
        <w:t>单位：元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622"/>
        <w:gridCol w:w="1743"/>
        <w:gridCol w:w="1738"/>
        <w:gridCol w:w="1739"/>
        <w:gridCol w:w="1733"/>
      </w:tblGrid>
      <w:tr>
        <w:trPr>
          <w:trHeight w:val="403"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04"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04"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4"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439,239,432.65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765,052,373.54</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893,964,257.63</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1,205,111,364.37</w:t>
            </w:r>
          </w:p>
        </w:tc>
      </w:tr>
      <w:tr>
        <w:trPr>
          <w:trHeight w:val="403"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归属于上市公司股东的净利润</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-49,666,137.43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11,655,187.50</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18,477,936.09</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78,711,184.92</w:t>
            </w:r>
          </w:p>
        </w:tc>
      </w:tr>
      <w:tr>
        <w:trPr>
          <w:trHeight w:val="710"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24" w:right="60"/>
              <w:jc w:val="left"/>
              <w:rPr>
                <w:rFonts w:ascii="宋体" w:hAnsi="宋体" w:cs="宋体" w:eastAsia="宋体" w:hint="default"/>
                <w:sz w:val="18"/>
                <w:szCs w:val="18"/>
              </w:rPr>
            </w:pPr>
            <w:r>
              <w:rPr>
                <w:rFonts w:ascii="宋体" w:hAnsi="宋体" w:cs="宋体" w:eastAsia="宋体" w:hint="default"/>
                <w:spacing w:val="-3"/>
                <w:sz w:val="18"/>
                <w:szCs w:val="18"/>
              </w:rPr>
              <w:t>归属于上市公司股东的扣除非经</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常性损益的净利润</w:t>
            </w:r>
          </w:p>
        </w:tc>
        <w:tc>
          <w:tcPr>
            <w:tcW w:w="174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-50,698,236.74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7,613,187.36</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18,681,774.00</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82,367,196.41</w:t>
            </w:r>
          </w:p>
        </w:tc>
      </w:tr>
      <w:tr>
        <w:trPr>
          <w:trHeight w:val="404"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经营活动产生的现金流量净额</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-558,758,376.81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-287,155,041.95</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-119,757,722.81</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827,262,449.31</w:t>
            </w:r>
          </w:p>
        </w:tc>
      </w:tr>
    </w:tbl>
    <w:p>
      <w:pPr>
        <w:pStyle w:val="BodyText"/>
        <w:spacing w:line="240" w:lineRule="auto" w:before="53"/>
        <w:ind w:right="855"/>
        <w:jc w:val="left"/>
      </w:pPr>
      <w:r>
        <w:rPr>
          <w:spacing w:val="-3"/>
        </w:rPr>
        <w:t>上述财务指标或其加总数是否与公司已披露季度报告、半年度报告相关财务指标存在重大差异</w:t>
      </w:r>
    </w:p>
    <w:p>
      <w:pPr>
        <w:pStyle w:val="BodyText"/>
        <w:spacing w:line="240" w:lineRule="auto" w:before="115"/>
        <w:ind w:right="855"/>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24"/>
          <w:szCs w:val="24"/>
        </w:rPr>
      </w:pPr>
    </w:p>
    <w:p>
      <w:pPr>
        <w:pStyle w:val="Heading2"/>
        <w:spacing w:line="240" w:lineRule="auto"/>
        <w:ind w:right="855"/>
        <w:jc w:val="left"/>
        <w:rPr>
          <w:b w:val="0"/>
          <w:bCs w:val="0"/>
        </w:rPr>
      </w:pPr>
      <w:r>
        <w:rPr/>
        <w:t>九、非经常性损益项目及金额</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6"/>
        <w:ind w:right="855"/>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1"/>
        </w:rPr>
        <w:t> </w:t>
      </w:r>
      <w:r>
        <w:rPr/>
        <w:t>不适用</w:t>
      </w:r>
    </w:p>
    <w:p>
      <w:pPr>
        <w:pStyle w:val="BodyText"/>
        <w:spacing w:line="240" w:lineRule="auto" w:before="106"/>
        <w:ind w:left="0" w:right="1121"/>
        <w:jc w:val="right"/>
      </w:pPr>
      <w:r>
        <w:rPr>
          <w:spacing w:val="-2"/>
        </w:rPr>
        <w:t>单位：元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299"/>
        <w:gridCol w:w="1666"/>
        <w:gridCol w:w="1983"/>
        <w:gridCol w:w="1560"/>
        <w:gridCol w:w="1061"/>
      </w:tblGrid>
      <w:tr>
        <w:trPr>
          <w:trHeight w:val="403" w:hRule="exact"/>
        </w:trPr>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5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年金额</w:t>
            </w:r>
          </w:p>
        </w:tc>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年金额</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年金额</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46" w:right="0"/>
              <w:jc w:val="left"/>
              <w:rPr>
                <w:rFonts w:ascii="宋体" w:hAnsi="宋体" w:cs="宋体" w:eastAsia="宋体" w:hint="default"/>
                <w:sz w:val="18"/>
                <w:szCs w:val="18"/>
              </w:rPr>
            </w:pPr>
            <w:r>
              <w:rPr>
                <w:rFonts w:ascii="宋体" w:hAnsi="宋体" w:cs="宋体" w:eastAsia="宋体" w:hint="default"/>
                <w:sz w:val="18"/>
                <w:szCs w:val="18"/>
              </w:rPr>
              <w:t>说明</w:t>
            </w:r>
          </w:p>
        </w:tc>
      </w:tr>
      <w:tr>
        <w:trPr>
          <w:trHeight w:val="711" w:hRule="exact"/>
        </w:trPr>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18"/>
              <w:jc w:val="left"/>
              <w:rPr>
                <w:rFonts w:ascii="宋体" w:hAnsi="宋体" w:cs="宋体" w:eastAsia="宋体" w:hint="default"/>
                <w:sz w:val="18"/>
                <w:szCs w:val="18"/>
              </w:rPr>
            </w:pPr>
            <w:r>
              <w:rPr>
                <w:rFonts w:ascii="宋体" w:hAnsi="宋体" w:cs="宋体" w:eastAsia="宋体" w:hint="default"/>
                <w:spacing w:val="-3"/>
                <w:sz w:val="18"/>
                <w:szCs w:val="18"/>
              </w:rPr>
              <w:t>非流动资产处置损益（包括已计提资产减</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值准备的冲销部分）</w:t>
            </w:r>
          </w:p>
        </w:tc>
        <w:tc>
          <w:tcPr>
            <w:tcW w:w="16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161.98</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83,410,827.37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-30,190.85</w:t>
            </w: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8"/>
              <w:jc w:val="both"/>
              <w:rPr>
                <w:rFonts w:ascii="宋体" w:hAnsi="宋体" w:cs="宋体" w:eastAsia="宋体" w:hint="default"/>
                <w:sz w:val="18"/>
                <w:szCs w:val="18"/>
              </w:rPr>
            </w:pPr>
            <w:r>
              <w:rPr>
                <w:rFonts w:ascii="宋体" w:hAnsi="宋体" w:cs="宋体" w:eastAsia="宋体" w:hint="default"/>
                <w:spacing w:val="-3"/>
                <w:sz w:val="18"/>
                <w:szCs w:val="18"/>
              </w:rPr>
              <w:t>计入当期损益的政府补助（与企业业务密</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切相关，按照国家统一标准定额或定量享</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受的政府补助除外）</w:t>
            </w:r>
          </w:p>
        </w:tc>
        <w:tc>
          <w:tcPr>
            <w:tcW w:w="16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1,688,419.01</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2"/>
                <w:sz w:val="18"/>
              </w:rPr>
              <w:t>20,800,117.44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15,606,124.71</w:t>
            </w: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委托他人投资或管理资产的损益</w:t>
            </w:r>
          </w:p>
        </w:tc>
        <w:tc>
          <w:tcPr>
            <w:tcW w:w="1666"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364,850.21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2,756,414.49</w:t>
            </w: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除上述各项之外的其他营业外收入和支出</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-322,113.68</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200,067.57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-9,323.92</w:t>
            </w: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其他符合非经常性损益定义的损益项目</w:t>
            </w:r>
          </w:p>
        </w:tc>
        <w:tc>
          <w:tcPr>
            <w:tcW w:w="1666"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-1,230,800.21</w:t>
            </w:r>
          </w:p>
        </w:tc>
        <w:tc>
          <w:tcPr>
            <w:tcW w:w="1560"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r>
        <w:trPr>
          <w:trHeight w:val="403" w:hRule="exact"/>
        </w:trPr>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68,355.63</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41,795,998.93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2,276,490.46</w:t>
            </w:r>
          </w:p>
        </w:tc>
        <w:tc>
          <w:tcPr>
            <w:tcW w:w="106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6" w:footer="974"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299"/>
        <w:gridCol w:w="1666"/>
        <w:gridCol w:w="1983"/>
        <w:gridCol w:w="1560"/>
        <w:gridCol w:w="1061"/>
      </w:tblGrid>
      <w:tr>
        <w:trPr>
          <w:trHeight w:val="403" w:hRule="exact"/>
        </w:trPr>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少数股东权益影响额（税后）</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83,861.63</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1,105,280.28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303,773.06</w:t>
            </w: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1,214,250.05</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60,643,783.17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15,742,760.91</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5"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4"/>
        <w:ind w:right="855"/>
        <w:jc w:val="left"/>
      </w:pPr>
      <w:r>
        <w:rPr>
          <w:w w:val="101"/>
        </w:rPr>
        <w:t>对</w:t>
      </w:r>
      <w:r>
        <w:rPr>
          <w:spacing w:val="-5"/>
          <w:w w:val="101"/>
        </w:rPr>
        <w:t>公</w:t>
      </w:r>
      <w:r>
        <w:rPr>
          <w:w w:val="101"/>
        </w:rPr>
        <w:t>司</w:t>
      </w:r>
      <w:r>
        <w:rPr>
          <w:spacing w:val="-5"/>
          <w:w w:val="101"/>
        </w:rPr>
        <w:t>根</w:t>
      </w:r>
      <w:r>
        <w:rPr>
          <w:spacing w:val="-68"/>
          <w:w w:val="101"/>
        </w:rPr>
        <w:t>据</w:t>
      </w:r>
      <w:r>
        <w:rPr>
          <w:w w:val="101"/>
        </w:rPr>
        <w:t>《</w:t>
      </w:r>
      <w:r>
        <w:rPr>
          <w:spacing w:val="-5"/>
          <w:w w:val="101"/>
        </w:rPr>
        <w:t>公</w:t>
      </w:r>
      <w:r>
        <w:rPr>
          <w:w w:val="101"/>
        </w:rPr>
        <w:t>开</w:t>
      </w:r>
      <w:r>
        <w:rPr>
          <w:spacing w:val="-5"/>
          <w:w w:val="101"/>
        </w:rPr>
        <w:t>发</w:t>
      </w:r>
      <w:r>
        <w:rPr>
          <w:w w:val="101"/>
        </w:rPr>
        <w:t>行</w:t>
      </w:r>
      <w:r>
        <w:rPr>
          <w:spacing w:val="-5"/>
          <w:w w:val="101"/>
        </w:rPr>
        <w:t>证</w:t>
      </w:r>
      <w:r>
        <w:rPr>
          <w:w w:val="101"/>
        </w:rPr>
        <w:t>券</w:t>
      </w:r>
      <w:r>
        <w:rPr>
          <w:spacing w:val="-5"/>
          <w:w w:val="101"/>
        </w:rPr>
        <w:t>的</w:t>
      </w:r>
      <w:r>
        <w:rPr>
          <w:w w:val="101"/>
        </w:rPr>
        <w:t>公</w:t>
      </w:r>
      <w:r>
        <w:rPr>
          <w:spacing w:val="-5"/>
          <w:w w:val="101"/>
        </w:rPr>
        <w:t>司</w:t>
      </w:r>
      <w:r>
        <w:rPr>
          <w:w w:val="101"/>
        </w:rPr>
        <w:t>信</w:t>
      </w:r>
      <w:r>
        <w:rPr>
          <w:spacing w:val="-5"/>
          <w:w w:val="101"/>
        </w:rPr>
        <w:t>息</w:t>
      </w:r>
      <w:r>
        <w:rPr>
          <w:w w:val="101"/>
        </w:rPr>
        <w:t>披</w:t>
      </w:r>
      <w:r>
        <w:rPr>
          <w:spacing w:val="-5"/>
          <w:w w:val="101"/>
        </w:rPr>
        <w:t>露</w:t>
      </w:r>
      <w:r>
        <w:rPr>
          <w:w w:val="101"/>
        </w:rPr>
        <w:t>解</w:t>
      </w:r>
      <w:r>
        <w:rPr>
          <w:spacing w:val="-5"/>
          <w:w w:val="101"/>
        </w:rPr>
        <w:t>释</w:t>
      </w:r>
      <w:r>
        <w:rPr>
          <w:w w:val="101"/>
        </w:rPr>
        <w:t>性</w:t>
      </w:r>
      <w:r>
        <w:rPr>
          <w:spacing w:val="-5"/>
          <w:w w:val="101"/>
        </w:rPr>
        <w:t>公</w:t>
      </w:r>
      <w:r>
        <w:rPr>
          <w:w w:val="101"/>
        </w:rPr>
        <w:t>告第</w:t>
      </w:r>
      <w:r>
        <w:rPr>
          <w:spacing w:val="-46"/>
        </w:rPr>
        <w:t> </w:t>
      </w:r>
      <w:r>
        <w:rPr>
          <w:rFonts w:ascii="Times New Roman" w:hAnsi="Times New Roman" w:cs="Times New Roman" w:eastAsia="Times New Roman" w:hint="default"/>
          <w:w w:val="101"/>
        </w:rPr>
        <w:t>1</w:t>
      </w:r>
      <w:r>
        <w:rPr>
          <w:rFonts w:ascii="Times New Roman" w:hAnsi="Times New Roman" w:cs="Times New Roman" w:eastAsia="Times New Roman" w:hint="default"/>
          <w:spacing w:val="-2"/>
        </w:rPr>
        <w:t> </w:t>
      </w:r>
      <w:r>
        <w:rPr>
          <w:spacing w:val="-5"/>
          <w:w w:val="101"/>
        </w:rPr>
        <w:t>号</w:t>
      </w:r>
      <w:r>
        <w:rPr>
          <w:rFonts w:ascii="Times New Roman" w:hAnsi="Times New Roman" w:cs="Times New Roman" w:eastAsia="Times New Roman" w:hint="default"/>
          <w:w w:val="101"/>
        </w:rPr>
        <w:t>—</w:t>
      </w:r>
      <w:r>
        <w:rPr>
          <w:rFonts w:ascii="Times New Roman" w:hAnsi="Times New Roman" w:cs="Times New Roman" w:eastAsia="Times New Roman" w:hint="default"/>
          <w:spacing w:val="-5"/>
          <w:w w:val="101"/>
        </w:rPr>
        <w:t>—</w:t>
      </w:r>
      <w:r>
        <w:rPr>
          <w:w w:val="101"/>
        </w:rPr>
        <w:t>非</w:t>
      </w:r>
      <w:r>
        <w:rPr>
          <w:spacing w:val="-5"/>
          <w:w w:val="101"/>
        </w:rPr>
        <w:t>经</w:t>
      </w:r>
      <w:r>
        <w:rPr>
          <w:w w:val="101"/>
        </w:rPr>
        <w:t>常</w:t>
      </w:r>
      <w:r>
        <w:rPr>
          <w:spacing w:val="-5"/>
          <w:w w:val="101"/>
        </w:rPr>
        <w:t>性</w:t>
      </w:r>
      <w:r>
        <w:rPr>
          <w:w w:val="101"/>
        </w:rPr>
        <w:t>损</w:t>
      </w:r>
      <w:r>
        <w:rPr>
          <w:spacing w:val="-1"/>
          <w:w w:val="101"/>
        </w:rPr>
        <w:t>益</w:t>
      </w:r>
      <w:r>
        <w:rPr>
          <w:spacing w:val="-73"/>
          <w:w w:val="101"/>
        </w:rPr>
        <w:t>》</w:t>
      </w:r>
      <w:r>
        <w:rPr>
          <w:w w:val="101"/>
        </w:rPr>
        <w:t>定</w:t>
      </w:r>
      <w:r>
        <w:rPr>
          <w:spacing w:val="-5"/>
          <w:w w:val="101"/>
        </w:rPr>
        <w:t>义</w:t>
      </w:r>
      <w:r>
        <w:rPr>
          <w:w w:val="101"/>
        </w:rPr>
        <w:t>界</w:t>
      </w:r>
      <w:r>
        <w:rPr>
          <w:spacing w:val="-5"/>
          <w:w w:val="101"/>
        </w:rPr>
        <w:t>定</w:t>
      </w:r>
      <w:r>
        <w:rPr>
          <w:w w:val="101"/>
        </w:rPr>
        <w:t>的</w:t>
      </w:r>
      <w:r>
        <w:rPr>
          <w:spacing w:val="-5"/>
          <w:w w:val="101"/>
        </w:rPr>
        <w:t>非</w:t>
      </w:r>
      <w:r>
        <w:rPr>
          <w:w w:val="101"/>
        </w:rPr>
        <w:t>经</w:t>
      </w:r>
      <w:r>
        <w:rPr>
          <w:spacing w:val="-5"/>
          <w:w w:val="101"/>
        </w:rPr>
        <w:t>常</w:t>
      </w:r>
      <w:r>
        <w:rPr>
          <w:w w:val="101"/>
        </w:rPr>
        <w:t>性</w:t>
      </w:r>
      <w:r>
        <w:rPr>
          <w:spacing w:val="-5"/>
          <w:w w:val="101"/>
        </w:rPr>
        <w:t>损</w:t>
      </w:r>
      <w:r>
        <w:rPr>
          <w:w w:val="101"/>
        </w:rPr>
        <w:t>益</w:t>
      </w:r>
      <w:r>
        <w:rPr>
          <w:spacing w:val="-5"/>
          <w:w w:val="101"/>
        </w:rPr>
        <w:t>项</w:t>
      </w:r>
      <w:r>
        <w:rPr>
          <w:w w:val="101"/>
        </w:rPr>
        <w:t>目</w:t>
      </w:r>
      <w:r>
        <w:rPr>
          <w:spacing w:val="-68"/>
          <w:w w:val="101"/>
        </w:rPr>
        <w:t>，</w:t>
      </w:r>
      <w:r>
        <w:rPr>
          <w:spacing w:val="-5"/>
          <w:w w:val="101"/>
        </w:rPr>
        <w:t>以</w:t>
      </w:r>
      <w:r>
        <w:rPr>
          <w:w w:val="101"/>
        </w:rPr>
        <w:t>及</w:t>
      </w:r>
      <w:r>
        <w:rPr>
          <w:spacing w:val="-73"/>
          <w:w w:val="101"/>
        </w:rPr>
        <w:t>把</w:t>
      </w:r>
      <w:r>
        <w:rPr>
          <w:w w:val="101"/>
        </w:rPr>
        <w:t>《公</w:t>
      </w:r>
      <w:r>
        <w:rPr/>
      </w:r>
    </w:p>
    <w:p>
      <w:pPr>
        <w:pStyle w:val="BodyText"/>
        <w:spacing w:line="300" w:lineRule="auto" w:before="58"/>
        <w:ind w:right="855"/>
        <w:jc w:val="left"/>
      </w:pPr>
      <w:r>
        <w:rPr>
          <w:spacing w:val="-3"/>
        </w:rPr>
        <w:t>开发行证券的公司信息披露解释性公告第 </w:t>
      </w:r>
      <w:r>
        <w:rPr>
          <w:rFonts w:ascii="Times New Roman" w:hAnsi="Times New Roman" w:cs="Times New Roman" w:eastAsia="Times New Roman" w:hint="default"/>
        </w:rPr>
        <w:t>1 </w:t>
      </w:r>
      <w:r>
        <w:rPr>
          <w:spacing w:val="-5"/>
        </w:rPr>
        <w:t>号</w:t>
      </w:r>
      <w:r>
        <w:rPr>
          <w:rFonts w:ascii="Times New Roman" w:hAnsi="Times New Roman" w:cs="Times New Roman" w:eastAsia="Times New Roman" w:hint="default"/>
          <w:spacing w:val="-5"/>
        </w:rPr>
        <w:t>——</w:t>
      </w:r>
      <w:r>
        <w:rPr>
          <w:spacing w:val="-5"/>
        </w:rPr>
        <w:t>非经常性损益》中列举的非经常性损益项目界定为经常性损益的项目，应</w:t>
      </w:r>
      <w:r>
        <w:rPr>
          <w:spacing w:val="-35"/>
        </w:rPr>
        <w:t> </w:t>
      </w:r>
      <w:r>
        <w:rPr>
          <w:spacing w:val="-35"/>
        </w:rPr>
      </w:r>
      <w:r>
        <w:rPr/>
        <w:t>说明原因</w:t>
      </w:r>
    </w:p>
    <w:p>
      <w:pPr>
        <w:pStyle w:val="BodyText"/>
        <w:spacing w:line="240" w:lineRule="auto" w:before="70"/>
        <w:ind w:right="855"/>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pStyle w:val="BodyText"/>
        <w:spacing w:line="300" w:lineRule="auto" w:before="106"/>
        <w:ind w:right="855"/>
        <w:jc w:val="left"/>
      </w:pPr>
      <w:r>
        <w:rPr>
          <w:spacing w:val="-4"/>
        </w:rPr>
        <w:t>公司报告期不存在将根据《公开发行证券的公司信息披露解释性公告第 </w:t>
      </w:r>
      <w:r>
        <w:rPr>
          <w:rFonts w:ascii="Times New Roman" w:hAnsi="Times New Roman" w:cs="Times New Roman" w:eastAsia="Times New Roman" w:hint="default"/>
        </w:rPr>
        <w:t>1 </w:t>
      </w:r>
      <w:r>
        <w:rPr>
          <w:spacing w:val="-5"/>
        </w:rPr>
        <w:t>号</w:t>
      </w:r>
      <w:r>
        <w:rPr>
          <w:rFonts w:ascii="Times New Roman" w:hAnsi="Times New Roman" w:cs="Times New Roman" w:eastAsia="Times New Roman" w:hint="default"/>
          <w:spacing w:val="-5"/>
        </w:rPr>
        <w:t>——</w:t>
      </w:r>
      <w:r>
        <w:rPr>
          <w:spacing w:val="-5"/>
        </w:rPr>
        <w:t>非经常性损益》定义、列举的非经常性损益</w:t>
      </w:r>
      <w:r>
        <w:rPr>
          <w:spacing w:val="-24"/>
        </w:rPr>
        <w:t> </w:t>
      </w:r>
      <w:r>
        <w:rPr>
          <w:spacing w:val="-24"/>
        </w:rPr>
      </w:r>
      <w:r>
        <w:rPr>
          <w:spacing w:val="-3"/>
        </w:rPr>
        <w:t>项目界定为经常性损益的项目的情形。</w:t>
      </w:r>
    </w:p>
    <w:p>
      <w:pPr>
        <w:spacing w:after="0" w:line="300" w:lineRule="auto"/>
        <w:jc w:val="left"/>
        <w:sectPr>
          <w:pgSz w:w="11910" w:h="16840"/>
          <w:pgMar w:header="746" w:footer="974"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1513"/>
        <w:jc w:val="center"/>
        <w:rPr>
          <w:b w:val="0"/>
          <w:bCs w:val="0"/>
        </w:rPr>
      </w:pPr>
      <w:bookmarkStart w:name="_bookmark2" w:id="3"/>
      <w:bookmarkEnd w:id="3"/>
      <w:r>
        <w:rPr>
          <w:b w:val="0"/>
          <w:bCs w:val="0"/>
        </w:rPr>
      </w:r>
      <w:r>
        <w:rPr/>
        <w:t>第三节 公司业务概要</w:t>
      </w:r>
      <w:r>
        <w:rPr>
          <w:b w:val="0"/>
          <w:bCs w:val="0"/>
        </w:rPr>
      </w:r>
    </w:p>
    <w:p>
      <w:pPr>
        <w:spacing w:line="240" w:lineRule="auto" w:before="0"/>
        <w:rPr>
          <w:rFonts w:ascii="宋体" w:hAnsi="宋体" w:cs="宋体" w:eastAsia="宋体" w:hint="default"/>
          <w:b/>
          <w:bCs/>
          <w:sz w:val="39"/>
          <w:szCs w:val="39"/>
        </w:rPr>
      </w:pPr>
    </w:p>
    <w:p>
      <w:pPr>
        <w:pStyle w:val="Heading2"/>
        <w:spacing w:line="240" w:lineRule="auto"/>
        <w:ind w:right="855"/>
        <w:jc w:val="left"/>
        <w:rPr>
          <w:b w:val="0"/>
          <w:bCs w:val="0"/>
        </w:rPr>
      </w:pPr>
      <w:r>
        <w:rPr/>
        <w:t>一、报告期内公司从事的主要业务</w:t>
      </w:r>
      <w:r>
        <w:rPr>
          <w:b w:val="0"/>
          <w:bCs w:val="0"/>
        </w:rPr>
      </w:r>
    </w:p>
    <w:p>
      <w:pPr>
        <w:spacing w:line="240" w:lineRule="auto" w:before="6"/>
        <w:rPr>
          <w:rFonts w:ascii="宋体" w:hAnsi="宋体" w:cs="宋体" w:eastAsia="宋体" w:hint="default"/>
          <w:b/>
          <w:bCs/>
          <w:sz w:val="26"/>
          <w:szCs w:val="26"/>
        </w:rPr>
      </w:pPr>
    </w:p>
    <w:p>
      <w:pPr>
        <w:pStyle w:val="BodyText"/>
        <w:spacing w:line="338" w:lineRule="auto"/>
        <w:ind w:left="513" w:right="855" w:hanging="360"/>
        <w:jc w:val="left"/>
      </w:pPr>
      <w:r>
        <w:rPr>
          <w:spacing w:val="-3"/>
        </w:rPr>
        <w:t>公司需遵守《深圳证券交易所行业信息披露指引第 </w:t>
      </w:r>
      <w:r>
        <w:rPr>
          <w:rFonts w:ascii="Times New Roman" w:hAnsi="Times New Roman" w:cs="Times New Roman" w:eastAsia="Times New Roman" w:hint="default"/>
        </w:rPr>
        <w:t>12 </w:t>
      </w:r>
      <w:r>
        <w:rPr>
          <w:spacing w:val="-3"/>
        </w:rPr>
        <w:t>号</w:t>
      </w:r>
      <w:r>
        <w:rPr>
          <w:rFonts w:ascii="Times New Roman" w:hAnsi="Times New Roman" w:cs="Times New Roman" w:eastAsia="Times New Roman" w:hint="default"/>
          <w:spacing w:val="-3"/>
        </w:rPr>
        <w:t>——</w:t>
      </w:r>
      <w:r>
        <w:rPr>
          <w:spacing w:val="-3"/>
        </w:rPr>
        <w:t>上市公司从事软件与信息技术服务业务》的披露要求</w:t>
      </w:r>
      <w:r>
        <w:rPr>
          <w:spacing w:val="11"/>
        </w:rPr>
        <w:t> </w:t>
      </w:r>
      <w:r>
        <w:rPr>
          <w:spacing w:val="11"/>
        </w:rPr>
      </w:r>
      <w:r>
        <w:rPr>
          <w:spacing w:val="-4"/>
        </w:rPr>
        <w:t>南天信息持续深耕金融科技</w:t>
      </w:r>
      <w:r>
        <w:rPr>
          <w:rFonts w:ascii="Times New Roman" w:hAnsi="Times New Roman" w:cs="Times New Roman" w:eastAsia="Times New Roman" w:hint="default"/>
          <w:spacing w:val="-4"/>
        </w:rPr>
        <w:t>30</w:t>
      </w:r>
      <w:r>
        <w:rPr>
          <w:spacing w:val="-4"/>
        </w:rPr>
        <w:t>余年，拥有丰富的技术积累和创新应用，是具有市场影响力的金融及行业软硬件产品和解</w:t>
      </w:r>
    </w:p>
    <w:p>
      <w:pPr>
        <w:pStyle w:val="BodyText"/>
        <w:spacing w:line="231" w:lineRule="exact"/>
        <w:ind w:right="855"/>
        <w:jc w:val="left"/>
      </w:pPr>
      <w:r>
        <w:rPr/>
        <w:t>决方案提供商、数字化服务提供商，致力于为客户提供贯穿其</w:t>
      </w:r>
      <w:r>
        <w:rPr>
          <w:rFonts w:ascii="Times New Roman" w:hAnsi="Times New Roman" w:cs="Times New Roman" w:eastAsia="Times New Roman" w:hint="default"/>
        </w:rPr>
        <w:t>IT</w:t>
      </w:r>
      <w:r>
        <w:rPr/>
        <w:t>建设全生命周期的</w:t>
      </w:r>
      <w:r>
        <w:rPr>
          <w:rFonts w:ascii="Times New Roman" w:hAnsi="Times New Roman" w:cs="Times New Roman" w:eastAsia="Times New Roman" w:hint="default"/>
        </w:rPr>
        <w:t>“</w:t>
      </w:r>
      <w:r>
        <w:rPr/>
        <w:t>一站式</w:t>
      </w:r>
      <w:r>
        <w:rPr>
          <w:rFonts w:ascii="Times New Roman" w:hAnsi="Times New Roman" w:cs="Times New Roman" w:eastAsia="Times New Roman" w:hint="default"/>
        </w:rPr>
        <w:t>”</w:t>
      </w:r>
      <w:r>
        <w:rPr/>
        <w:t>数字化服务，以</w:t>
      </w:r>
      <w:r>
        <w:rPr>
          <w:rFonts w:ascii="Times New Roman" w:hAnsi="Times New Roman" w:cs="Times New Roman" w:eastAsia="Times New Roman" w:hint="default"/>
        </w:rPr>
        <w:t>“</w:t>
      </w:r>
      <w:r>
        <w:rPr/>
        <w:t>产品服务化，</w:t>
      </w:r>
    </w:p>
    <w:p>
      <w:pPr>
        <w:pStyle w:val="BodyText"/>
        <w:spacing w:line="312" w:lineRule="auto" w:before="63"/>
        <w:ind w:right="855"/>
        <w:jc w:val="left"/>
      </w:pPr>
      <w:r>
        <w:rPr>
          <w:spacing w:val="-4"/>
        </w:rPr>
        <w:t>服务产品化</w:t>
      </w:r>
      <w:r>
        <w:rPr>
          <w:rFonts w:ascii="Times New Roman" w:hAnsi="Times New Roman" w:cs="Times New Roman" w:eastAsia="Times New Roman" w:hint="default"/>
          <w:spacing w:val="-4"/>
        </w:rPr>
        <w:t>”</w:t>
      </w:r>
      <w:r>
        <w:rPr>
          <w:spacing w:val="-4"/>
        </w:rPr>
        <w:t>为理念，持续为行业客户提供成熟、高效、标准化、可信赖的数字化服务，赋能客户转型与升级，实现与客户、</w:t>
      </w:r>
      <w:r>
        <w:rPr>
          <w:spacing w:val="50"/>
        </w:rPr>
        <w:t> </w:t>
      </w:r>
      <w:r>
        <w:rPr>
          <w:spacing w:val="50"/>
        </w:rPr>
      </w:r>
      <w:r>
        <w:rPr>
          <w:spacing w:val="-3"/>
        </w:rPr>
        <w:t>合作伙伴的多方共赢。公司坚定地选择金融行业作为公司发展的主赛道，深入挖掘金融科技与产业融合的潜力，以云计算、</w:t>
      </w:r>
      <w:r>
        <w:rPr>
          <w:spacing w:val="66"/>
        </w:rPr>
        <w:t> </w:t>
      </w:r>
      <w:r>
        <w:rPr>
          <w:spacing w:val="66"/>
        </w:rPr>
      </w:r>
      <w:r>
        <w:rPr>
          <w:spacing w:val="-4"/>
        </w:rPr>
        <w:t>大数据、互联网金融、人工智能、区块链等新技术不断创新应用，探索数字化转型路径与实践，通过技术与场景、业务与科</w:t>
      </w:r>
      <w:r>
        <w:rPr>
          <w:spacing w:val="39"/>
        </w:rPr>
        <w:t> </w:t>
      </w:r>
      <w:r>
        <w:rPr>
          <w:spacing w:val="39"/>
        </w:rPr>
      </w:r>
      <w:r>
        <w:rPr>
          <w:spacing w:val="-3"/>
        </w:rPr>
        <w:t>技的深度融合，实现科技赋能。</w:t>
      </w:r>
    </w:p>
    <w:p>
      <w:pPr>
        <w:pStyle w:val="Heading6"/>
        <w:spacing w:line="240" w:lineRule="auto" w:before="143"/>
        <w:ind w:right="855"/>
        <w:jc w:val="left"/>
        <w:rPr>
          <w:b w:val="0"/>
          <w:bCs w:val="0"/>
        </w:rPr>
      </w:pPr>
      <w:r>
        <w:rPr/>
        <w:t>（一）公司主营业务情况</w:t>
      </w:r>
      <w:r>
        <w:rPr>
          <w:b w:val="0"/>
          <w:bCs w:val="0"/>
        </w:rPr>
      </w:r>
    </w:p>
    <w:p>
      <w:pPr>
        <w:spacing w:line="240" w:lineRule="auto" w:before="0"/>
        <w:rPr>
          <w:rFonts w:ascii="宋体" w:hAnsi="宋体" w:cs="宋体" w:eastAsia="宋体" w:hint="default"/>
          <w:b/>
          <w:bCs/>
          <w:sz w:val="15"/>
          <w:szCs w:val="15"/>
        </w:rPr>
      </w:pPr>
    </w:p>
    <w:p>
      <w:pPr>
        <w:pStyle w:val="BodyText"/>
        <w:spacing w:line="309" w:lineRule="auto"/>
        <w:ind w:right="1047" w:firstLine="360"/>
        <w:jc w:val="both"/>
      </w:pPr>
      <w:r>
        <w:rPr>
          <w:rFonts w:ascii="Times New Roman" w:hAnsi="Times New Roman" w:cs="Times New Roman" w:eastAsia="Times New Roman" w:hint="default"/>
          <w:spacing w:val="-3"/>
        </w:rPr>
        <w:t>1</w:t>
      </w:r>
      <w:r>
        <w:rPr>
          <w:spacing w:val="-3"/>
        </w:rPr>
        <w:t>、软件开发及服务：公司的软件开发及服务业务，包括为客户量身定制成熟的解决方案、自有软件产品销售、软件开</w:t>
      </w:r>
      <w:r>
        <w:rPr>
          <w:w w:val="101"/>
        </w:rPr>
        <w:t> </w:t>
      </w:r>
      <w:r>
        <w:rPr>
          <w:spacing w:val="-4"/>
        </w:rPr>
        <w:t>发与</w:t>
      </w:r>
      <w:r>
        <w:rPr>
          <w:rFonts w:ascii="Times New Roman" w:hAnsi="Times New Roman" w:cs="Times New Roman" w:eastAsia="Times New Roman" w:hint="default"/>
          <w:spacing w:val="-4"/>
        </w:rPr>
        <w:t>IT</w:t>
      </w:r>
      <w:r>
        <w:rPr>
          <w:spacing w:val="-4"/>
        </w:rPr>
        <w:t>服务等，能够基于商业和开源软件向用户交付一体化的云数据中心运维管理软件及服务。目前公司的软件开发及服务</w:t>
      </w:r>
      <w:r>
        <w:rPr>
          <w:spacing w:val="56"/>
        </w:rPr>
        <w:t> </w:t>
      </w:r>
      <w:r>
        <w:rPr>
          <w:spacing w:val="56"/>
        </w:rPr>
      </w:r>
      <w:r>
        <w:rPr>
          <w:spacing w:val="-4"/>
        </w:rPr>
        <w:t>客户以金融行业的银行业为主，公司的自有软件产品和解决方案已可全面覆盖银行业务系统中的前、中、后台业务体系，广</w:t>
      </w:r>
      <w:r>
        <w:rPr>
          <w:spacing w:val="40"/>
        </w:rPr>
        <w:t> </w:t>
      </w:r>
      <w:r>
        <w:rPr>
          <w:spacing w:val="40"/>
        </w:rPr>
      </w:r>
      <w:r>
        <w:rPr>
          <w:spacing w:val="-4"/>
        </w:rPr>
        <w:t>泛应用于国内大、中、小银行，其中银行核心系统、银行渠道类平台、大数据平台和移动开发管理平台具有重要的行业影响</w:t>
      </w:r>
      <w:r>
        <w:rPr>
          <w:spacing w:val="40"/>
        </w:rPr>
        <w:t> </w:t>
      </w:r>
      <w:r>
        <w:rPr>
          <w:spacing w:val="40"/>
        </w:rPr>
      </w:r>
      <w:r>
        <w:rPr>
          <w:spacing w:val="-4"/>
        </w:rPr>
        <w:t>力，在众多金融机构推广使用；公司智慧党建致力于党建信息化应用领域的理论研究、技术创新和模式实践；智慧教育以做</w:t>
      </w:r>
      <w:r>
        <w:rPr>
          <w:spacing w:val="40"/>
        </w:rPr>
        <w:t> </w:t>
      </w:r>
      <w:r>
        <w:rPr>
          <w:spacing w:val="40"/>
        </w:rPr>
      </w:r>
      <w:r>
        <w:rPr>
          <w:rFonts w:ascii="Times New Roman" w:hAnsi="Times New Roman" w:cs="Times New Roman" w:eastAsia="Times New Roman" w:hint="default"/>
          <w:spacing w:val="-4"/>
        </w:rPr>
        <w:t>“</w:t>
      </w:r>
      <w:r>
        <w:rPr>
          <w:spacing w:val="-4"/>
        </w:rPr>
        <w:t>最专业的教育大数据运营服务商</w:t>
      </w:r>
      <w:r>
        <w:rPr>
          <w:rFonts w:ascii="Times New Roman" w:hAnsi="Times New Roman" w:cs="Times New Roman" w:eastAsia="Times New Roman" w:hint="default"/>
          <w:spacing w:val="-4"/>
        </w:rPr>
        <w:t>”</w:t>
      </w:r>
      <w:r>
        <w:rPr>
          <w:spacing w:val="-4"/>
        </w:rPr>
        <w:t>为目标，成功研发智能作业数据系统。南天信息持续探索软件驱动下的数字化变革，结合</w:t>
      </w:r>
      <w:r>
        <w:rPr>
          <w:spacing w:val="64"/>
        </w:rPr>
        <w:t> </w:t>
      </w:r>
      <w:r>
        <w:rPr>
          <w:spacing w:val="64"/>
        </w:rPr>
      </w:r>
      <w:r>
        <w:rPr>
          <w:spacing w:val="-3"/>
        </w:rPr>
        <w:t>多年行业信息化工程的丰富经验，以先进技术为支撑，不断创新产品与解决方案，赋能行业客户在转型的征程中加速前行。</w:t>
      </w:r>
    </w:p>
    <w:p>
      <w:pPr>
        <w:pStyle w:val="BodyText"/>
        <w:spacing w:line="312" w:lineRule="auto" w:before="62"/>
        <w:ind w:right="1124" w:firstLine="360"/>
        <w:jc w:val="both"/>
      </w:pPr>
      <w:r>
        <w:rPr>
          <w:rFonts w:ascii="Times New Roman" w:hAnsi="Times New Roman" w:cs="Times New Roman" w:eastAsia="Times New Roman" w:hint="default"/>
          <w:spacing w:val="-3"/>
        </w:rPr>
        <w:t>2</w:t>
      </w:r>
      <w:r>
        <w:rPr>
          <w:spacing w:val="-3"/>
        </w:rPr>
        <w:t>、智能渠道解决方案：南天信息是国内少数集软硬件数字化产品研发与生产实施能力于一身的综合性解决方案及服务</w:t>
      </w:r>
      <w:r>
        <w:rPr>
          <w:w w:val="101"/>
        </w:rPr>
        <w:t> </w:t>
      </w:r>
      <w:r>
        <w:rPr>
          <w:spacing w:val="-4"/>
        </w:rPr>
        <w:t>提供商，公司智能渠道解决方案主要为金融行业客户提供智慧化、渠道化解决方案。主要包括自助终端解决方案、具有自主</w:t>
      </w:r>
      <w:r>
        <w:rPr>
          <w:spacing w:val="40"/>
        </w:rPr>
        <w:t> </w:t>
      </w:r>
      <w:r>
        <w:rPr>
          <w:spacing w:val="40"/>
        </w:rPr>
      </w:r>
      <w:r>
        <w:rPr>
          <w:spacing w:val="-4"/>
        </w:rPr>
        <w:t>知识产权的行业专用软硬件一体化产品行业解决方案，并不断拓展药店、教育、司法、公安户籍终端等非金融行业智慧渠道</w:t>
      </w:r>
      <w:r>
        <w:rPr>
          <w:spacing w:val="40"/>
        </w:rPr>
        <w:t> </w:t>
      </w:r>
      <w:r>
        <w:rPr>
          <w:spacing w:val="40"/>
        </w:rPr>
      </w:r>
      <w:r>
        <w:rPr>
          <w:spacing w:val="-3"/>
        </w:rPr>
        <w:t>解决方案。金融渠道解决方案全面覆盖国内各大中小银行。</w:t>
      </w:r>
    </w:p>
    <w:p>
      <w:pPr>
        <w:pStyle w:val="BodyText"/>
        <w:spacing w:line="309" w:lineRule="auto" w:before="65"/>
        <w:ind w:right="1123" w:firstLine="360"/>
        <w:jc w:val="both"/>
      </w:pPr>
      <w:r>
        <w:rPr>
          <w:rFonts w:ascii="Times New Roman" w:hAnsi="Times New Roman" w:cs="Times New Roman" w:eastAsia="Times New Roman" w:hint="default"/>
          <w:spacing w:val="-3"/>
        </w:rPr>
        <w:t>3</w:t>
      </w:r>
      <w:r>
        <w:rPr>
          <w:spacing w:val="-3"/>
        </w:rPr>
        <w:t>、集成解决方案：公司集成业务以数据中心为场景，为用户提供建云、业务上云及运营管理整体解决方案，包括网络</w:t>
      </w:r>
      <w:r>
        <w:rPr>
          <w:w w:val="101"/>
        </w:rPr>
        <w:t> </w:t>
      </w:r>
      <w:r>
        <w:rPr>
          <w:spacing w:val="-4"/>
        </w:rPr>
        <w:t>平台、系统平台、存储平台、代理软硬件产品等的集成解决方案，根据行业发展趋势，构建了基于云技术的数据中心咨询规</w:t>
      </w:r>
      <w:r>
        <w:rPr>
          <w:spacing w:val="40"/>
        </w:rPr>
        <w:t> </w:t>
      </w:r>
      <w:r>
        <w:rPr>
          <w:spacing w:val="40"/>
        </w:rPr>
      </w:r>
      <w:r>
        <w:rPr>
          <w:spacing w:val="-4"/>
        </w:rPr>
        <w:t>划、数据中心集成建设、数据中心管理平台等全产品链业务。近几年南天信息紧紧围绕软件定义数据中心深耕，形成一批优</w:t>
      </w:r>
      <w:r>
        <w:rPr>
          <w:spacing w:val="41"/>
        </w:rPr>
        <w:t> </w:t>
      </w:r>
      <w:r>
        <w:rPr>
          <w:spacing w:val="41"/>
        </w:rPr>
      </w:r>
      <w:r>
        <w:rPr>
          <w:spacing w:val="-4"/>
        </w:rPr>
        <w:t>秀解决方案，与国内外知名</w:t>
      </w:r>
      <w:r>
        <w:rPr>
          <w:rFonts w:ascii="Times New Roman" w:hAnsi="Times New Roman" w:cs="Times New Roman" w:eastAsia="Times New Roman" w:hint="default"/>
          <w:spacing w:val="-4"/>
        </w:rPr>
        <w:t>IT</w:t>
      </w:r>
      <w:r>
        <w:rPr>
          <w:spacing w:val="-4"/>
        </w:rPr>
        <w:t>企业、互联网企业建立战略合作伙伴关系，客户涵盖金融、交通、电力、能源、政府及科研所</w:t>
      </w:r>
      <w:r>
        <w:rPr>
          <w:spacing w:val="54"/>
        </w:rPr>
        <w:t> </w:t>
      </w:r>
      <w:r>
        <w:rPr>
          <w:spacing w:val="54"/>
        </w:rPr>
      </w:r>
      <w:r>
        <w:rPr/>
        <w:t>等。</w:t>
      </w:r>
    </w:p>
    <w:p>
      <w:pPr>
        <w:pStyle w:val="Heading6"/>
        <w:spacing w:line="240" w:lineRule="auto" w:before="144"/>
        <w:ind w:right="855"/>
        <w:jc w:val="left"/>
        <w:rPr>
          <w:b w:val="0"/>
          <w:bCs w:val="0"/>
        </w:rPr>
      </w:pPr>
      <w:r>
        <w:rPr/>
        <w:t>（二）公司经营模式</w:t>
      </w:r>
      <w:r>
        <w:rPr>
          <w:b w:val="0"/>
          <w:bCs w:val="0"/>
        </w:rPr>
      </w:r>
    </w:p>
    <w:p>
      <w:pPr>
        <w:spacing w:line="240" w:lineRule="auto" w:before="0"/>
        <w:rPr>
          <w:rFonts w:ascii="宋体" w:hAnsi="宋体" w:cs="宋体" w:eastAsia="宋体" w:hint="default"/>
          <w:b/>
          <w:bCs/>
          <w:sz w:val="15"/>
          <w:szCs w:val="15"/>
        </w:rPr>
      </w:pPr>
    </w:p>
    <w:p>
      <w:pPr>
        <w:pStyle w:val="BodyText"/>
        <w:spacing w:line="309" w:lineRule="auto"/>
        <w:ind w:right="1124" w:firstLine="360"/>
        <w:jc w:val="both"/>
      </w:pPr>
      <w:r>
        <w:rPr>
          <w:rFonts w:ascii="Times New Roman" w:hAnsi="Times New Roman" w:cs="Times New Roman" w:eastAsia="Times New Roman" w:hint="default"/>
          <w:spacing w:val="-3"/>
        </w:rPr>
        <w:t>1</w:t>
      </w:r>
      <w:r>
        <w:rPr>
          <w:spacing w:val="-3"/>
        </w:rPr>
        <w:t>、销售模式：公司目前的主营业务中，对于银行总行级客户及其他大型企业集团客户、国内银行的海外分支机构，均</w:t>
      </w:r>
      <w:r>
        <w:rPr>
          <w:w w:val="101"/>
        </w:rPr>
        <w:t> </w:t>
      </w:r>
      <w:r>
        <w:rPr>
          <w:spacing w:val="-4"/>
        </w:rPr>
        <w:t>采取直销模式进行销售。经销模式销售主要是针对少数客户分散且单一客户业务量较小，难以进行统一管理的地区，从节约</w:t>
      </w:r>
      <w:r>
        <w:rPr>
          <w:spacing w:val="43"/>
        </w:rPr>
        <w:t> </w:t>
      </w:r>
      <w:r>
        <w:rPr>
          <w:spacing w:val="43"/>
        </w:rPr>
      </w:r>
      <w:r>
        <w:rPr>
          <w:spacing w:val="-3"/>
        </w:rPr>
        <w:t>销售和服务成本的角度，公司发展了具有相应区域的渠道和服务优势的几家经销商进行销售。</w:t>
      </w:r>
    </w:p>
    <w:p>
      <w:pPr>
        <w:pStyle w:val="BodyText"/>
        <w:spacing w:line="309" w:lineRule="auto" w:before="62"/>
        <w:ind w:right="1123" w:firstLine="360"/>
        <w:jc w:val="both"/>
      </w:pPr>
      <w:r>
        <w:rPr>
          <w:rFonts w:ascii="Times New Roman" w:hAnsi="Times New Roman" w:cs="Times New Roman" w:eastAsia="Times New Roman" w:hint="default"/>
          <w:spacing w:val="-3"/>
        </w:rPr>
        <w:t>2</w:t>
      </w:r>
      <w:r>
        <w:rPr>
          <w:spacing w:val="-3"/>
        </w:rPr>
        <w:t>、生产模式：公司的软件开发及服务业务、智能渠道解决方案业务、集成解决方案业务过程受质量管理体系的控制，</w:t>
      </w:r>
      <w:r>
        <w:rPr>
          <w:w w:val="101"/>
        </w:rPr>
        <w:t> </w:t>
      </w:r>
      <w:r>
        <w:rPr>
          <w:spacing w:val="-4"/>
        </w:rPr>
        <w:t>整个过程以最大限度满足客户需求为目标，并在对客户服务中进一步获取关于系统的性能、功能信息，为公司技术研发、业</w:t>
      </w:r>
      <w:r>
        <w:rPr>
          <w:spacing w:val="40"/>
        </w:rPr>
        <w:t> </w:t>
      </w:r>
      <w:r>
        <w:rPr>
          <w:spacing w:val="40"/>
        </w:rPr>
      </w:r>
      <w:r>
        <w:rPr/>
        <w:t>务策划提供依据。</w:t>
      </w:r>
    </w:p>
    <w:p>
      <w:pPr>
        <w:pStyle w:val="BodyText"/>
        <w:spacing w:line="312" w:lineRule="auto" w:before="62"/>
        <w:ind w:right="1122" w:firstLine="360"/>
        <w:jc w:val="both"/>
      </w:pPr>
      <w:r>
        <w:rPr>
          <w:rFonts w:ascii="Times New Roman" w:hAnsi="Times New Roman" w:cs="Times New Roman" w:eastAsia="Times New Roman" w:hint="default"/>
          <w:spacing w:val="-3"/>
        </w:rPr>
        <w:t>3</w:t>
      </w:r>
      <w:r>
        <w:rPr>
          <w:spacing w:val="-3"/>
        </w:rPr>
        <w:t>、采购模式：目前公司的采购由公司采购中心统筹协调，具体由下辖各子公司的渠道商务部负责实施。为保证采购物</w:t>
      </w:r>
      <w:r>
        <w:rPr>
          <w:w w:val="101"/>
        </w:rPr>
        <w:t> </w:t>
      </w:r>
      <w:r>
        <w:rPr>
          <w:spacing w:val="-4"/>
        </w:rPr>
        <w:t>料的质量，公司明确规定采购要求，包含材料清单、技术要求、对供方的要求、是否需要送样确认等，特殊要求如：安全和</w:t>
      </w:r>
      <w:r>
        <w:rPr>
          <w:spacing w:val="40"/>
        </w:rPr>
        <w:t> </w:t>
      </w:r>
      <w:r>
        <w:rPr>
          <w:spacing w:val="40"/>
        </w:rPr>
      </w:r>
      <w:r>
        <w:rPr>
          <w:spacing w:val="-4"/>
        </w:rPr>
        <w:t>电磁兼容关键件，需要在材料清单或技术要求中加以说明。对于采购物料，必要时，在采购要求中明确验收标准、关键过程</w:t>
      </w:r>
      <w:r>
        <w:rPr>
          <w:spacing w:val="42"/>
        </w:rPr>
        <w:t> </w:t>
      </w:r>
      <w:r>
        <w:rPr>
          <w:spacing w:val="42"/>
        </w:rPr>
      </w:r>
      <w:r>
        <w:rPr>
          <w:spacing w:val="-3"/>
        </w:rPr>
        <w:t>控制要点、设备和人员资格要求、质量和环境管理体系要求等。</w:t>
      </w:r>
    </w:p>
    <w:p>
      <w:pPr>
        <w:spacing w:after="0" w:line="312" w:lineRule="auto"/>
        <w:jc w:val="both"/>
        <w:sectPr>
          <w:pgSz w:w="11910" w:h="16840"/>
          <w:pgMar w:header="746" w:footer="974" w:top="1060" w:bottom="1160" w:left="980" w:right="0"/>
        </w:sectPr>
      </w:pPr>
    </w:p>
    <w:p>
      <w:pPr>
        <w:spacing w:line="240" w:lineRule="auto" w:before="9"/>
        <w:rPr>
          <w:rFonts w:ascii="宋体" w:hAnsi="宋体" w:cs="宋体" w:eastAsia="宋体" w:hint="default"/>
          <w:sz w:val="25"/>
          <w:szCs w:val="25"/>
        </w:rPr>
      </w:pPr>
    </w:p>
    <w:p>
      <w:pPr>
        <w:pStyle w:val="Heading6"/>
        <w:spacing w:line="240" w:lineRule="auto" w:before="46"/>
        <w:ind w:right="855"/>
        <w:jc w:val="left"/>
        <w:rPr>
          <w:b w:val="0"/>
          <w:bCs w:val="0"/>
        </w:rPr>
      </w:pPr>
      <w:r>
        <w:rPr/>
        <w:t>（三）公司所属行业分析</w:t>
      </w:r>
      <w:r>
        <w:rPr>
          <w:b w:val="0"/>
          <w:bCs w:val="0"/>
        </w:rPr>
      </w:r>
    </w:p>
    <w:p>
      <w:pPr>
        <w:spacing w:line="240" w:lineRule="auto" w:before="0"/>
        <w:rPr>
          <w:rFonts w:ascii="宋体" w:hAnsi="宋体" w:cs="宋体" w:eastAsia="宋体" w:hint="default"/>
          <w:b/>
          <w:bCs/>
          <w:sz w:val="15"/>
          <w:szCs w:val="15"/>
        </w:rPr>
      </w:pPr>
    </w:p>
    <w:p>
      <w:pPr>
        <w:pStyle w:val="BodyText"/>
        <w:spacing w:line="312" w:lineRule="auto"/>
        <w:ind w:right="1122" w:firstLine="360"/>
        <w:jc w:val="both"/>
      </w:pPr>
      <w:r>
        <w:rPr>
          <w:spacing w:val="-5"/>
        </w:rPr>
        <w:t>公司所属行业为软件和信息技术服务业，是国民经济的基础性、战略性、先导性产业，是建设制造强国、网络强国的关</w:t>
      </w:r>
      <w:r>
        <w:rPr>
          <w:w w:val="101"/>
        </w:rPr>
        <w:t> </w:t>
      </w:r>
      <w:r>
        <w:rPr>
          <w:spacing w:val="-4"/>
        </w:rPr>
        <w:t>键支撑，是引领国家科技创新、经济社会转型发展的重要力量。根据工业和信息化部公布的数据，我国软件和信息技术服务</w:t>
      </w:r>
      <w:r>
        <w:rPr>
          <w:spacing w:val="40"/>
        </w:rPr>
        <w:t> </w:t>
      </w:r>
      <w:r>
        <w:rPr>
          <w:spacing w:val="40"/>
        </w:rPr>
      </w:r>
      <w:r>
        <w:rPr/>
        <w:t>业近年来呈现显著增长态势，软件业务收入自</w:t>
      </w:r>
      <w:r>
        <w:rPr>
          <w:rFonts w:ascii="Times New Roman" w:hAnsi="Times New Roman" w:cs="Times New Roman" w:eastAsia="Times New Roman" w:hint="default"/>
        </w:rPr>
        <w:t>2009</w:t>
      </w:r>
      <w:r>
        <w:rPr/>
        <w:t>年的</w:t>
      </w:r>
      <w:r>
        <w:rPr>
          <w:rFonts w:ascii="Times New Roman" w:hAnsi="Times New Roman" w:cs="Times New Roman" w:eastAsia="Times New Roman" w:hint="default"/>
        </w:rPr>
        <w:t>9,513.10</w:t>
      </w:r>
      <w:r>
        <w:rPr/>
        <w:t>亿元增长至</w:t>
      </w:r>
      <w:r>
        <w:rPr>
          <w:rFonts w:ascii="Times New Roman" w:hAnsi="Times New Roman" w:cs="Times New Roman" w:eastAsia="Times New Roman" w:hint="default"/>
        </w:rPr>
        <w:t>2019</w:t>
      </w:r>
      <w:r>
        <w:rPr/>
        <w:t>年底的</w:t>
      </w:r>
      <w:r>
        <w:rPr>
          <w:rFonts w:ascii="Times New Roman" w:hAnsi="Times New Roman" w:cs="Times New Roman" w:eastAsia="Times New Roman" w:hint="default"/>
        </w:rPr>
        <w:t>71,768.00</w:t>
      </w:r>
      <w:r>
        <w:rPr/>
        <w:t>亿元</w:t>
      </w:r>
      <w:r>
        <w:rPr>
          <w:rFonts w:ascii="Times New Roman" w:hAnsi="Times New Roman" w:cs="Times New Roman" w:eastAsia="Times New Roman" w:hint="default"/>
        </w:rPr>
        <w:t>,</w:t>
      </w:r>
      <w:r>
        <w:rPr/>
        <w:t>年均复合增长率约 </w:t>
      </w:r>
      <w:r>
        <w:rPr>
          <w:spacing w:val="27"/>
        </w:rPr>
        <w:t> </w:t>
      </w:r>
      <w:r>
        <w:rPr>
          <w:rFonts w:ascii="Times New Roman" w:hAnsi="Times New Roman" w:cs="Times New Roman" w:eastAsia="Times New Roman" w:hint="default"/>
        </w:rPr>
        <w:t>25%</w:t>
      </w:r>
      <w:r>
        <w:rPr/>
        <w:t>。</w:t>
      </w:r>
    </w:p>
    <w:p>
      <w:pPr>
        <w:pStyle w:val="BodyText"/>
        <w:spacing w:line="309" w:lineRule="auto" w:before="41"/>
        <w:ind w:right="1121" w:firstLine="360"/>
        <w:jc w:val="both"/>
      </w:pPr>
      <w:r>
        <w:rPr>
          <w:spacing w:val="-4"/>
        </w:rPr>
        <w:t>在国家高度重视和大力扶持下，软件行业相关产业促进政策不断细化，资金扶持力度不断加大，知识产权保护措施逐步</w:t>
      </w:r>
      <w:r>
        <w:rPr>
          <w:w w:val="101"/>
        </w:rPr>
        <w:t> </w:t>
      </w:r>
      <w:r>
        <w:rPr>
          <w:spacing w:val="-4"/>
        </w:rPr>
        <w:t>加强，软件行业在国民经济中的战略地位不断提升，信息技术加快向传统产业、现代制造业和现代服务业等领域渗透，将推</w:t>
      </w:r>
      <w:r>
        <w:rPr>
          <w:spacing w:val="40"/>
        </w:rPr>
        <w:t> </w:t>
      </w:r>
      <w:r>
        <w:rPr>
          <w:spacing w:val="40"/>
        </w:rPr>
      </w:r>
      <w:r>
        <w:rPr>
          <w:spacing w:val="-4"/>
        </w:rPr>
        <w:t>动行业间的融合渗透，促进战略性新兴产业、面向生产的信息服务业的发展，行业规模也将不断扩大。此外，</w:t>
      </w:r>
      <w:r>
        <w:rPr>
          <w:rFonts w:ascii="Times New Roman" w:hAnsi="Times New Roman" w:cs="Times New Roman" w:eastAsia="Times New Roman" w:hint="default"/>
          <w:spacing w:val="-4"/>
        </w:rPr>
        <w:t>2020</w:t>
      </w:r>
      <w:r>
        <w:rPr>
          <w:spacing w:val="-4"/>
        </w:rPr>
        <w:t>年将是信</w:t>
      </w:r>
      <w:r>
        <w:rPr>
          <w:spacing w:val="50"/>
        </w:rPr>
        <w:t> </w:t>
      </w:r>
      <w:r>
        <w:rPr>
          <w:spacing w:val="50"/>
        </w:rPr>
      </w:r>
      <w:r>
        <w:rPr>
          <w:spacing w:val="-4"/>
        </w:rPr>
        <w:t>息技术应用创新的落地元年，产品化拐点出现，国产替代空间巨大，信息安全压力和大监管趋势凸显</w:t>
      </w:r>
      <w:r>
        <w:rPr>
          <w:rFonts w:ascii="Times New Roman" w:hAnsi="Times New Roman" w:cs="Times New Roman" w:eastAsia="Times New Roman" w:hint="default"/>
          <w:spacing w:val="-4"/>
        </w:rPr>
        <w:t>IT</w:t>
      </w:r>
      <w:r>
        <w:rPr>
          <w:spacing w:val="-4"/>
        </w:rPr>
        <w:t>建设重要性，在行业</w:t>
      </w:r>
      <w:r>
        <w:rPr>
          <w:spacing w:val="56"/>
        </w:rPr>
        <w:t> </w:t>
      </w:r>
      <w:r>
        <w:rPr>
          <w:spacing w:val="56"/>
        </w:rPr>
      </w:r>
      <w:r>
        <w:rPr>
          <w:spacing w:val="-3"/>
        </w:rPr>
        <w:t>政策的催化下，软件和信息技术服务业将继续保持快速增长态势。</w:t>
      </w:r>
    </w:p>
    <w:p>
      <w:pPr>
        <w:pStyle w:val="BodyText"/>
        <w:spacing w:line="428" w:lineRule="exact" w:before="17"/>
        <w:ind w:left="513" w:right="855"/>
        <w:jc w:val="left"/>
      </w:pPr>
      <w:r>
        <w:rPr>
          <w:rFonts w:ascii="宋体" w:hAnsi="宋体" w:cs="宋体" w:eastAsia="宋体" w:hint="default"/>
          <w:b/>
          <w:bCs/>
        </w:rPr>
        <w:t>（四）客户所处行业分析</w:t>
      </w:r>
      <w:r>
        <w:rPr>
          <w:rFonts w:ascii="宋体" w:hAnsi="宋体" w:cs="宋体" w:eastAsia="宋体" w:hint="default"/>
          <w:b/>
          <w:bCs/>
          <w:spacing w:val="-88"/>
        </w:rPr>
        <w:t> </w:t>
      </w:r>
      <w:r>
        <w:rPr>
          <w:rFonts w:ascii="宋体" w:hAnsi="宋体" w:cs="宋体" w:eastAsia="宋体" w:hint="default"/>
          <w:b/>
          <w:bCs/>
          <w:spacing w:val="-88"/>
        </w:rPr>
      </w:r>
      <w:r>
        <w:rPr>
          <w:spacing w:val="-6"/>
        </w:rPr>
        <w:t>公司目前的客户重点为金融行业，以银行业为主。银行业是国民经济体系重要的组成部分和核心产业，对促进经济发展、</w:t>
      </w:r>
    </w:p>
    <w:p>
      <w:pPr>
        <w:pStyle w:val="BodyText"/>
        <w:spacing w:line="309" w:lineRule="auto" w:before="16"/>
        <w:ind w:right="1118"/>
        <w:jc w:val="both"/>
      </w:pPr>
      <w:r>
        <w:rPr>
          <w:spacing w:val="-4"/>
        </w:rPr>
        <w:t>完善投融资体系的作用显著。近年来，随着国内金融市场化程度的不断提高，以及社会对金融服务需求的不断增长，也推动</w:t>
      </w:r>
      <w:r>
        <w:rPr>
          <w:spacing w:val="40"/>
        </w:rPr>
        <w:t> </w:t>
      </w:r>
      <w:r>
        <w:rPr>
          <w:spacing w:val="40"/>
        </w:rPr>
      </w:r>
      <w:r>
        <w:rPr>
          <w:spacing w:val="2"/>
        </w:rPr>
        <w:t>了银行业的持续、快速发展。根据</w:t>
      </w:r>
      <w:r>
        <w:rPr>
          <w:rFonts w:ascii="Times New Roman" w:hAnsi="Times New Roman" w:cs="Times New Roman" w:eastAsia="Times New Roman" w:hint="default"/>
          <w:spacing w:val="2"/>
        </w:rPr>
        <w:t>IDC</w:t>
      </w:r>
      <w:r>
        <w:rPr>
          <w:spacing w:val="2"/>
        </w:rPr>
        <w:t>等咨询公司预计数据，银行</w:t>
      </w:r>
      <w:r>
        <w:rPr>
          <w:rFonts w:ascii="Times New Roman" w:hAnsi="Times New Roman" w:cs="Times New Roman" w:eastAsia="Times New Roman" w:hint="default"/>
          <w:spacing w:val="2"/>
        </w:rPr>
        <w:t>IT</w:t>
      </w:r>
      <w:r>
        <w:rPr>
          <w:spacing w:val="2"/>
        </w:rPr>
        <w:t>解决方案市场在未来的数年内复合年均增长率将在</w:t>
      </w:r>
      <w:r>
        <w:rPr>
          <w:spacing w:val="19"/>
        </w:rPr>
        <w:t> </w:t>
      </w:r>
      <w:r>
        <w:rPr>
          <w:spacing w:val="19"/>
        </w:rPr>
      </w:r>
      <w:r>
        <w:rPr>
          <w:rFonts w:ascii="Times New Roman" w:hAnsi="Times New Roman" w:cs="Times New Roman" w:eastAsia="Times New Roman" w:hint="default"/>
        </w:rPr>
        <w:t>18%-20%</w:t>
      </w:r>
      <w:r>
        <w:rPr/>
        <w:t>，至</w:t>
      </w:r>
      <w:r>
        <w:rPr>
          <w:rFonts w:ascii="Times New Roman" w:hAnsi="Times New Roman" w:cs="Times New Roman" w:eastAsia="Times New Roman" w:hint="default"/>
        </w:rPr>
        <w:t>2022</w:t>
      </w:r>
      <w:r>
        <w:rPr/>
        <w:t>达到超过</w:t>
      </w:r>
      <w:r>
        <w:rPr>
          <w:rFonts w:ascii="Times New Roman" w:hAnsi="Times New Roman" w:cs="Times New Roman" w:eastAsia="Times New Roman" w:hint="default"/>
        </w:rPr>
        <w:t>800</w:t>
      </w:r>
      <w:r>
        <w:rPr/>
        <w:t>亿的市场规模，呈现不断延续增长的趋势。</w:t>
      </w:r>
    </w:p>
    <w:p>
      <w:pPr>
        <w:pStyle w:val="BodyText"/>
        <w:spacing w:line="307" w:lineRule="auto" w:before="5"/>
        <w:ind w:right="855" w:firstLine="360"/>
        <w:jc w:val="left"/>
      </w:pP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8</w:t>
      </w:r>
      <w:r>
        <w:rPr>
          <w:spacing w:val="-3"/>
        </w:rPr>
        <w:t>月，中国人民银行印发《金融科技（</w:t>
      </w:r>
      <w:r>
        <w:rPr>
          <w:rFonts w:ascii="Times New Roman" w:hAnsi="Times New Roman" w:cs="Times New Roman" w:eastAsia="Times New Roman" w:hint="default"/>
          <w:spacing w:val="-3"/>
        </w:rPr>
        <w:t>FinTech</w:t>
      </w:r>
      <w:r>
        <w:rPr>
          <w:spacing w:val="-3"/>
        </w:rPr>
        <w:t>）发展规划（</w:t>
      </w:r>
      <w:r>
        <w:rPr>
          <w:rFonts w:ascii="Times New Roman" w:hAnsi="Times New Roman" w:cs="Times New Roman" w:eastAsia="Times New Roman" w:hint="default"/>
          <w:spacing w:val="-3"/>
        </w:rPr>
        <w:t>2019-2021</w:t>
      </w:r>
      <w:r>
        <w:rPr>
          <w:spacing w:val="-3"/>
        </w:rPr>
        <w:t>年）》，明确提出加强金融科技战略部署、</w:t>
      </w:r>
      <w:r>
        <w:rPr>
          <w:w w:val="101"/>
        </w:rPr>
        <w:t> </w:t>
      </w:r>
      <w:r>
        <w:rPr>
          <w:spacing w:val="-4"/>
        </w:rPr>
        <w:t>强化金融科技合理应用、赋能金融服务提质增效、增强金融风险技防能力、强化金融科技监管、夯实金融科技基础支撑等六</w:t>
      </w:r>
      <w:r>
        <w:rPr>
          <w:spacing w:val="40"/>
        </w:rPr>
        <w:t> </w:t>
      </w:r>
      <w:r>
        <w:rPr>
          <w:spacing w:val="40"/>
        </w:rPr>
      </w:r>
      <w:r>
        <w:rPr>
          <w:spacing w:val="-3"/>
        </w:rPr>
        <w:t>大任务，充分发挥金融科技赋能作用，推动金融业高质量发展。并提出，到</w:t>
      </w:r>
      <w:r>
        <w:rPr>
          <w:rFonts w:ascii="Times New Roman" w:hAnsi="Times New Roman" w:cs="Times New Roman" w:eastAsia="Times New Roman" w:hint="default"/>
          <w:spacing w:val="-3"/>
        </w:rPr>
        <w:t>2021</w:t>
      </w:r>
      <w:r>
        <w:rPr>
          <w:spacing w:val="-3"/>
        </w:rPr>
        <w:t>年，建立健全我国金融科技发展的</w:t>
      </w:r>
      <w:r>
        <w:rPr>
          <w:rFonts w:ascii="Times New Roman" w:hAnsi="Times New Roman" w:cs="Times New Roman" w:eastAsia="Times New Roman" w:hint="default"/>
          <w:spacing w:val="-3"/>
        </w:rPr>
        <w:t>“</w:t>
      </w:r>
      <w:r>
        <w:rPr>
          <w:spacing w:val="-3"/>
        </w:rPr>
        <w:t>四梁八</w:t>
      </w:r>
      <w:r>
        <w:rPr>
          <w:spacing w:val="5"/>
        </w:rPr>
        <w:t> </w:t>
      </w:r>
      <w:r>
        <w:rPr>
          <w:spacing w:val="5"/>
        </w:rPr>
      </w:r>
      <w:r>
        <w:rPr>
          <w:spacing w:val="-3"/>
        </w:rPr>
        <w:t>柱</w:t>
      </w:r>
      <w:r>
        <w:rPr>
          <w:rFonts w:ascii="Times New Roman" w:hAnsi="Times New Roman" w:cs="Times New Roman" w:eastAsia="Times New Roman" w:hint="default"/>
          <w:spacing w:val="-3"/>
        </w:rPr>
        <w:t>”</w:t>
      </w:r>
      <w:r>
        <w:rPr>
          <w:spacing w:val="-3"/>
        </w:rPr>
        <w:t>，进一步增强金融业科技应用能力，实现金融与科技深度融合、协调发展，明显增强人民群众对数字化、网络化、智能</w:t>
      </w:r>
      <w:r>
        <w:rPr>
          <w:spacing w:val="-2"/>
        </w:rPr>
        <w:t> </w:t>
      </w:r>
      <w:r>
        <w:rPr>
          <w:spacing w:val="-2"/>
        </w:rPr>
      </w:r>
      <w:r>
        <w:rPr>
          <w:spacing w:val="-4"/>
        </w:rPr>
        <w:t>化金融产品和服务的满意度，推动我国金融科技发展居于国际领先水平。未来在金融方面的</w:t>
      </w:r>
      <w:r>
        <w:rPr>
          <w:rFonts w:ascii="Times New Roman" w:hAnsi="Times New Roman" w:cs="Times New Roman" w:eastAsia="Times New Roman" w:hint="default"/>
          <w:spacing w:val="-4"/>
        </w:rPr>
        <w:t>IT</w:t>
      </w:r>
      <w:r>
        <w:rPr>
          <w:spacing w:val="-4"/>
        </w:rPr>
        <w:t>投入力度将不断加大，中国银</w:t>
      </w:r>
      <w:r>
        <w:rPr>
          <w:spacing w:val="51"/>
        </w:rPr>
        <w:t> </w:t>
      </w:r>
      <w:r>
        <w:rPr>
          <w:spacing w:val="51"/>
        </w:rPr>
      </w:r>
      <w:r>
        <w:rPr>
          <w:spacing w:val="-4"/>
        </w:rPr>
        <w:t>行业与金融科技深度融合的时代正在到来，金融科技在银行业的应用正逐步呈现出金融服务场景化、平台化、智能化的发展</w:t>
      </w:r>
      <w:r>
        <w:rPr>
          <w:spacing w:val="45"/>
        </w:rPr>
        <w:t> </w:t>
      </w:r>
      <w:r>
        <w:rPr>
          <w:spacing w:val="45"/>
        </w:rPr>
      </w:r>
      <w:r>
        <w:rPr/>
        <w:t>趋势。</w:t>
      </w:r>
    </w:p>
    <w:p>
      <w:pPr>
        <w:spacing w:line="240" w:lineRule="auto" w:before="3"/>
        <w:rPr>
          <w:rFonts w:ascii="宋体" w:hAnsi="宋体" w:cs="宋体" w:eastAsia="宋体" w:hint="default"/>
          <w:sz w:val="21"/>
          <w:szCs w:val="21"/>
        </w:rPr>
      </w:pPr>
    </w:p>
    <w:p>
      <w:pPr>
        <w:pStyle w:val="Heading2"/>
        <w:spacing w:line="240" w:lineRule="auto"/>
        <w:ind w:right="0"/>
        <w:jc w:val="both"/>
        <w:rPr>
          <w:b w:val="0"/>
          <w:bCs w:val="0"/>
        </w:rPr>
      </w:pPr>
      <w:r>
        <w:rPr/>
        <w:t>二、主要资产重大变化情况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both"/>
        <w:rPr>
          <w:b w:val="0"/>
          <w:bCs w:val="0"/>
        </w:rPr>
      </w:pPr>
      <w:r>
        <w:rPr>
          <w:rFonts w:ascii="Times New Roman" w:hAnsi="Times New Roman" w:cs="Times New Roman" w:eastAsia="Times New Roman" w:hint="default"/>
        </w:rPr>
        <w:t>1</w:t>
      </w:r>
      <w:r>
        <w:rPr/>
        <w:t>、主要资产重大变化情况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054"/>
        <w:gridCol w:w="6516"/>
      </w:tblGrid>
      <w:tr>
        <w:trPr>
          <w:trHeight w:val="187" w:hRule="exact"/>
        </w:trPr>
        <w:tc>
          <w:tcPr>
            <w:tcW w:w="3054"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4" w:hRule="exact"/>
        </w:trPr>
        <w:tc>
          <w:tcPr>
            <w:tcW w:w="305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7" w:hRule="exact"/>
        </w:trPr>
        <w:tc>
          <w:tcPr>
            <w:tcW w:w="3054"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8" w:hRule="exact"/>
        </w:trPr>
        <w:tc>
          <w:tcPr>
            <w:tcW w:w="3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受让海捷科技</w:t>
            </w:r>
            <w:r>
              <w:rPr>
                <w:rFonts w:ascii="宋体" w:hAnsi="宋体" w:cs="宋体" w:eastAsia="宋体" w:hint="default"/>
                <w:spacing w:val="-22"/>
                <w:sz w:val="18"/>
                <w:szCs w:val="18"/>
              </w:rPr>
              <w:t> </w:t>
            </w:r>
            <w:r>
              <w:rPr>
                <w:rFonts w:ascii="Times New Roman" w:hAnsi="Times New Roman" w:cs="Times New Roman" w:eastAsia="Times New Roman" w:hint="default"/>
                <w:spacing w:val="-3"/>
                <w:sz w:val="18"/>
                <w:szCs w:val="18"/>
              </w:rPr>
              <w:t>60%</w:t>
            </w:r>
            <w:r>
              <w:rPr>
                <w:rFonts w:ascii="宋体" w:hAnsi="宋体" w:cs="宋体" w:eastAsia="宋体" w:hint="default"/>
                <w:spacing w:val="-3"/>
                <w:sz w:val="18"/>
                <w:szCs w:val="18"/>
              </w:rPr>
              <w:t>股权</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纳入合并报表，支付股权转让款</w:t>
            </w:r>
            <w:r>
              <w:rPr>
                <w:rFonts w:ascii="宋体" w:hAnsi="宋体" w:cs="宋体" w:eastAsia="宋体" w:hint="default"/>
                <w:spacing w:val="-29"/>
                <w:sz w:val="18"/>
                <w:szCs w:val="18"/>
              </w:rPr>
              <w:t> </w:t>
            </w:r>
            <w:r>
              <w:rPr>
                <w:rFonts w:ascii="Times New Roman" w:hAnsi="Times New Roman" w:cs="Times New Roman" w:eastAsia="Times New Roman" w:hint="default"/>
                <w:sz w:val="18"/>
                <w:szCs w:val="18"/>
              </w:rPr>
              <w:t>1,920</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万元。</w:t>
            </w:r>
          </w:p>
        </w:tc>
      </w:tr>
      <w:tr>
        <w:trPr>
          <w:trHeight w:val="403" w:hRule="exact"/>
        </w:trPr>
        <w:tc>
          <w:tcPr>
            <w:tcW w:w="3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403" w:hRule="exact"/>
        </w:trPr>
        <w:tc>
          <w:tcPr>
            <w:tcW w:w="3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404" w:hRule="exact"/>
        </w:trPr>
        <w:tc>
          <w:tcPr>
            <w:tcW w:w="3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bl>
    <w:p>
      <w:pPr>
        <w:spacing w:line="240" w:lineRule="auto" w:before="3"/>
        <w:rPr>
          <w:rFonts w:ascii="宋体" w:hAnsi="宋体" w:cs="宋体" w:eastAsia="宋体" w:hint="default"/>
          <w:b/>
          <w:bCs/>
          <w:sz w:val="19"/>
          <w:szCs w:val="19"/>
        </w:rPr>
      </w:pPr>
    </w:p>
    <w:p>
      <w:pPr>
        <w:spacing w:before="36"/>
        <w:ind w:left="153" w:right="85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、主要境外资产情况</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pStyle w:val="BodyText"/>
        <w:spacing w:line="240" w:lineRule="auto"/>
        <w:ind w:right="855"/>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1"/>
        <w:rPr>
          <w:rFonts w:ascii="宋体" w:hAnsi="宋体" w:cs="宋体" w:eastAsia="宋体" w:hint="default"/>
          <w:sz w:val="24"/>
          <w:szCs w:val="24"/>
        </w:rPr>
      </w:pPr>
    </w:p>
    <w:p>
      <w:pPr>
        <w:pStyle w:val="Heading2"/>
        <w:spacing w:line="240" w:lineRule="auto"/>
        <w:ind w:right="855"/>
        <w:jc w:val="left"/>
        <w:rPr>
          <w:b w:val="0"/>
          <w:bCs w:val="0"/>
        </w:rPr>
      </w:pPr>
      <w:r>
        <w:rPr/>
        <w:t>三、核心竞争力分析</w:t>
      </w:r>
      <w:r>
        <w:rPr>
          <w:b w:val="0"/>
          <w:bCs w:val="0"/>
        </w:rPr>
      </w:r>
    </w:p>
    <w:p>
      <w:pPr>
        <w:spacing w:line="240" w:lineRule="auto" w:before="6"/>
        <w:rPr>
          <w:rFonts w:ascii="宋体" w:hAnsi="宋体" w:cs="宋体" w:eastAsia="宋体" w:hint="default"/>
          <w:b/>
          <w:bCs/>
          <w:sz w:val="26"/>
          <w:szCs w:val="26"/>
        </w:rPr>
      </w:pPr>
    </w:p>
    <w:p>
      <w:pPr>
        <w:pStyle w:val="BodyText"/>
        <w:spacing w:line="300" w:lineRule="auto"/>
        <w:ind w:right="855" w:firstLine="360"/>
        <w:jc w:val="left"/>
      </w:pPr>
      <w:r>
        <w:rPr>
          <w:spacing w:val="-4"/>
        </w:rPr>
        <w:t>南天信息深耕金融特别是银行业</w:t>
      </w:r>
      <w:r>
        <w:rPr>
          <w:rFonts w:ascii="Times New Roman" w:hAnsi="Times New Roman" w:cs="Times New Roman" w:eastAsia="Times New Roman" w:hint="default"/>
          <w:spacing w:val="-4"/>
        </w:rPr>
        <w:t>30</w:t>
      </w:r>
      <w:r>
        <w:rPr>
          <w:spacing w:val="-4"/>
        </w:rPr>
        <w:t>多年，对行业有着的深刻理解；积累了一大批专业领域内的业务和技术人才；拥有良</w:t>
      </w:r>
      <w:r>
        <w:rPr>
          <w:w w:val="101"/>
        </w:rPr>
        <w:t> </w:t>
      </w:r>
      <w:r>
        <w:rPr>
          <w:spacing w:val="-3"/>
        </w:rPr>
        <w:t>好的客群基础，覆盖所有的政策性银行、六家大型商业银行（工农中建交邮）、大多数全国性股份制商业银行和大量农信、</w:t>
      </w:r>
    </w:p>
    <w:p>
      <w:pPr>
        <w:spacing w:after="0" w:line="300" w:lineRule="auto"/>
        <w:jc w:val="left"/>
        <w:sectPr>
          <w:pgSz w:w="11910" w:h="16840"/>
          <w:pgMar w:header="746" w:footer="974" w:top="1060" w:bottom="1160" w:left="980" w:right="0"/>
        </w:sectPr>
      </w:pPr>
    </w:p>
    <w:p>
      <w:pPr>
        <w:spacing w:line="240" w:lineRule="auto" w:before="9"/>
        <w:rPr>
          <w:rFonts w:ascii="宋体" w:hAnsi="宋体" w:cs="宋体" w:eastAsia="宋体" w:hint="default"/>
          <w:sz w:val="25"/>
          <w:szCs w:val="25"/>
        </w:rPr>
      </w:pPr>
    </w:p>
    <w:p>
      <w:pPr>
        <w:pStyle w:val="BodyText"/>
        <w:spacing w:line="316" w:lineRule="auto" w:before="46"/>
        <w:ind w:right="855"/>
        <w:jc w:val="left"/>
      </w:pPr>
      <w:r>
        <w:rPr>
          <w:spacing w:val="-4"/>
        </w:rPr>
        <w:t>城商、农商行和一批大型保险公司；在生态圈中建立了广泛的合作基础。同时，南天一直在技术研发方面不断投入，拥有很</w:t>
      </w:r>
      <w:r>
        <w:rPr>
          <w:spacing w:val="40"/>
        </w:rPr>
        <w:t> </w:t>
      </w:r>
      <w:r>
        <w:rPr>
          <w:spacing w:val="40"/>
        </w:rPr>
      </w:r>
      <w:r>
        <w:rPr>
          <w:spacing w:val="-3"/>
        </w:rPr>
        <w:t>强的创新能力。在银行核心应用、渠道智能、数据中心综合服务、金融智能柜台等细分领域可以做到龙头地位。</w:t>
      </w:r>
    </w:p>
    <w:p>
      <w:pPr>
        <w:pStyle w:val="BodyText"/>
        <w:spacing w:line="300" w:lineRule="auto" w:before="57"/>
        <w:ind w:right="1121" w:firstLine="360"/>
        <w:jc w:val="both"/>
      </w:pPr>
      <w:r>
        <w:rPr>
          <w:spacing w:val="-4"/>
        </w:rPr>
        <w:t>（</w:t>
      </w:r>
      <w:r>
        <w:rPr>
          <w:rFonts w:ascii="Times New Roman" w:hAnsi="Times New Roman" w:cs="Times New Roman" w:eastAsia="Times New Roman" w:hint="default"/>
          <w:spacing w:val="-4"/>
        </w:rPr>
        <w:t>1</w:t>
      </w:r>
      <w:r>
        <w:rPr>
          <w:spacing w:val="-4"/>
        </w:rPr>
        <w:t>）技术优势：南天信息是国家发改委、科技部、财政部、海关总署及国家税务局五部委联合认定的</w:t>
      </w:r>
      <w:r>
        <w:rPr>
          <w:rFonts w:ascii="Times New Roman" w:hAnsi="Times New Roman" w:cs="Times New Roman" w:eastAsia="Times New Roman" w:hint="default"/>
          <w:spacing w:val="-4"/>
        </w:rPr>
        <w:t>“</w:t>
      </w:r>
      <w:r>
        <w:rPr>
          <w:spacing w:val="-4"/>
        </w:rPr>
        <w:t>国家认定企业技</w:t>
      </w:r>
      <w:r>
        <w:rPr>
          <w:w w:val="101"/>
        </w:rPr>
        <w:t> </w:t>
      </w:r>
      <w:r>
        <w:rPr>
          <w:spacing w:val="-3"/>
        </w:rPr>
        <w:t>术中心</w:t>
      </w:r>
      <w:r>
        <w:rPr>
          <w:rFonts w:ascii="Times New Roman" w:hAnsi="Times New Roman" w:cs="Times New Roman" w:eastAsia="Times New Roman" w:hint="default"/>
          <w:spacing w:val="-3"/>
        </w:rPr>
        <w:t>”</w:t>
      </w:r>
      <w:r>
        <w:rPr>
          <w:spacing w:val="-3"/>
        </w:rPr>
        <w:t>，连续多年被政府认定为</w:t>
      </w:r>
      <w:r>
        <w:rPr>
          <w:rFonts w:ascii="Times New Roman" w:hAnsi="Times New Roman" w:cs="Times New Roman" w:eastAsia="Times New Roman" w:hint="default"/>
          <w:spacing w:val="-3"/>
        </w:rPr>
        <w:t>“</w:t>
      </w:r>
      <w:r>
        <w:rPr>
          <w:spacing w:val="-3"/>
        </w:rPr>
        <w:t>软件企业</w:t>
      </w:r>
      <w:r>
        <w:rPr>
          <w:rFonts w:ascii="Times New Roman" w:hAnsi="Times New Roman" w:cs="Times New Roman" w:eastAsia="Times New Roman" w:hint="default"/>
          <w:spacing w:val="-3"/>
        </w:rPr>
        <w:t>”</w:t>
      </w:r>
      <w:r>
        <w:rPr>
          <w:spacing w:val="-3"/>
        </w:rPr>
        <w:t>。公司通过国际软件成熟度模型最高级</w:t>
      </w:r>
      <w:r>
        <w:rPr>
          <w:rFonts w:ascii="Times New Roman" w:hAnsi="Times New Roman" w:cs="Times New Roman" w:eastAsia="Times New Roman" w:hint="default"/>
          <w:spacing w:val="-3"/>
        </w:rPr>
        <w:t>CMMI5</w:t>
      </w:r>
      <w:r>
        <w:rPr>
          <w:spacing w:val="-3"/>
        </w:rPr>
        <w:t>级成熟度评估，是信息系统集成</w:t>
      </w:r>
      <w:r>
        <w:rPr>
          <w:spacing w:val="60"/>
        </w:rPr>
        <w:t> </w:t>
      </w:r>
      <w:r>
        <w:rPr>
          <w:spacing w:val="60"/>
        </w:rPr>
      </w:r>
      <w:r>
        <w:rPr>
          <w:spacing w:val="-1"/>
        </w:rPr>
        <w:t>及服务行业大型骨干企业。南天信息作为</w:t>
      </w:r>
      <w:r>
        <w:rPr>
          <w:rFonts w:ascii="Times New Roman" w:hAnsi="Times New Roman" w:cs="Times New Roman" w:eastAsia="Times New Roman" w:hint="default"/>
          <w:spacing w:val="-1"/>
        </w:rPr>
        <w:t>ITSS</w:t>
      </w:r>
      <w:r>
        <w:rPr>
          <w:spacing w:val="-1"/>
        </w:rPr>
        <w:t>标准的制定方之一，深度参与</w:t>
      </w:r>
      <w:r>
        <w:rPr>
          <w:rFonts w:ascii="Times New Roman" w:hAnsi="Times New Roman" w:cs="Times New Roman" w:eastAsia="Times New Roman" w:hint="default"/>
          <w:spacing w:val="-1"/>
        </w:rPr>
        <w:t>ITSS</w:t>
      </w:r>
      <w:r>
        <w:rPr>
          <w:spacing w:val="-1"/>
        </w:rPr>
        <w:t>标准研制与推广，</w:t>
      </w:r>
      <w:r>
        <w:rPr>
          <w:rFonts w:ascii="Times New Roman" w:hAnsi="Times New Roman" w:cs="Times New Roman" w:eastAsia="Times New Roman" w:hint="default"/>
          <w:spacing w:val="-1"/>
        </w:rPr>
        <w:t>2019</w:t>
      </w:r>
      <w:r>
        <w:rPr>
          <w:spacing w:val="-1"/>
        </w:rPr>
        <w:t>年，获得</w:t>
      </w:r>
      <w:r>
        <w:rPr>
          <w:rFonts w:ascii="Times New Roman" w:hAnsi="Times New Roman" w:cs="Times New Roman" w:eastAsia="Times New Roman" w:hint="default"/>
          <w:spacing w:val="-1"/>
        </w:rPr>
        <w:t>ITSS</w:t>
      </w:r>
      <w:r>
        <w:rPr>
          <w:spacing w:val="-1"/>
        </w:rPr>
        <w:t>云计</w:t>
      </w:r>
      <w:r>
        <w:rPr>
          <w:spacing w:val="35"/>
        </w:rPr>
        <w:t> </w:t>
      </w:r>
      <w:r>
        <w:rPr>
          <w:spacing w:val="-4"/>
        </w:rPr>
        <w:t>算</w:t>
      </w:r>
      <w:r>
        <w:rPr>
          <w:rFonts w:ascii="Times New Roman" w:hAnsi="Times New Roman" w:cs="Times New Roman" w:eastAsia="Times New Roman" w:hint="default"/>
          <w:spacing w:val="-4"/>
        </w:rPr>
        <w:t>SaaS</w:t>
      </w:r>
      <w:r>
        <w:rPr>
          <w:spacing w:val="-4"/>
        </w:rPr>
        <w:t>服务能力二级资质（目前全国共</w:t>
      </w:r>
      <w:r>
        <w:rPr>
          <w:rFonts w:ascii="Times New Roman" w:hAnsi="Times New Roman" w:cs="Times New Roman" w:eastAsia="Times New Roman" w:hint="default"/>
          <w:spacing w:val="-4"/>
        </w:rPr>
        <w:t>19</w:t>
      </w:r>
      <w:r>
        <w:rPr>
          <w:spacing w:val="-4"/>
        </w:rPr>
        <w:t>家，且尚无一级资质企业）。公司已实施金融应用软件产品解决方案和计算机应用</w:t>
      </w:r>
      <w:r>
        <w:rPr>
          <w:spacing w:val="51"/>
        </w:rPr>
        <w:t> </w:t>
      </w:r>
      <w:r>
        <w:rPr>
          <w:spacing w:val="51"/>
        </w:rPr>
      </w:r>
      <w:r>
        <w:rPr>
          <w:spacing w:val="-3"/>
        </w:rPr>
        <w:t>系统</w:t>
      </w:r>
      <w:r>
        <w:rPr>
          <w:rFonts w:ascii="Times New Roman" w:hAnsi="Times New Roman" w:cs="Times New Roman" w:eastAsia="Times New Roman" w:hint="default"/>
          <w:spacing w:val="-3"/>
        </w:rPr>
        <w:t>1,000</w:t>
      </w:r>
      <w:r>
        <w:rPr>
          <w:spacing w:val="-3"/>
        </w:rPr>
        <w:t>多个，应用网点达</w:t>
      </w:r>
      <w:r>
        <w:rPr>
          <w:rFonts w:ascii="Times New Roman" w:hAnsi="Times New Roman" w:cs="Times New Roman" w:eastAsia="Times New Roman" w:hint="default"/>
          <w:spacing w:val="-3"/>
        </w:rPr>
        <w:t>5</w:t>
      </w:r>
      <w:r>
        <w:rPr>
          <w:spacing w:val="-3"/>
        </w:rPr>
        <w:t>万个，产品的先进性和实用性已受到国内银行的认同。目前公司共拥有专利</w:t>
      </w:r>
      <w:r>
        <w:rPr>
          <w:rFonts w:ascii="Times New Roman" w:hAnsi="Times New Roman" w:cs="Times New Roman" w:eastAsia="Times New Roman" w:hint="default"/>
          <w:spacing w:val="-3"/>
        </w:rPr>
        <w:t>86</w:t>
      </w:r>
      <w:r>
        <w:rPr>
          <w:spacing w:val="-3"/>
        </w:rPr>
        <w:t>项，其中发明专</w:t>
      </w:r>
      <w:r>
        <w:rPr>
          <w:spacing w:val="40"/>
        </w:rPr>
        <w:t> </w:t>
      </w:r>
      <w:r>
        <w:rPr>
          <w:spacing w:val="40"/>
        </w:rPr>
      </w:r>
      <w:r>
        <w:rPr>
          <w:spacing w:val="-3"/>
        </w:rPr>
        <w:t>利</w:t>
      </w:r>
      <w:r>
        <w:rPr>
          <w:rFonts w:ascii="Times New Roman" w:hAnsi="Times New Roman" w:cs="Times New Roman" w:eastAsia="Times New Roman" w:hint="default"/>
          <w:spacing w:val="-3"/>
        </w:rPr>
        <w:t>11</w:t>
      </w:r>
      <w:r>
        <w:rPr>
          <w:spacing w:val="-3"/>
        </w:rPr>
        <w:t>项，获得计算机软件著作权</w:t>
      </w:r>
      <w:r>
        <w:rPr>
          <w:rFonts w:ascii="Times New Roman" w:hAnsi="Times New Roman" w:cs="Times New Roman" w:eastAsia="Times New Roman" w:hint="default"/>
          <w:spacing w:val="-3"/>
        </w:rPr>
        <w:t>512</w:t>
      </w:r>
      <w:r>
        <w:rPr>
          <w:spacing w:val="-3"/>
        </w:rPr>
        <w:t>项。</w:t>
      </w:r>
      <w:r>
        <w:rPr/>
      </w:r>
    </w:p>
    <w:p>
      <w:pPr>
        <w:pStyle w:val="BodyText"/>
        <w:spacing w:line="300" w:lineRule="auto" w:before="56"/>
        <w:ind w:right="1127" w:firstLine="360"/>
        <w:jc w:val="both"/>
      </w:pPr>
      <w:r>
        <w:rPr>
          <w:spacing w:val="-3"/>
        </w:rPr>
        <w:t>（</w:t>
      </w:r>
      <w:r>
        <w:rPr>
          <w:rFonts w:ascii="Times New Roman" w:hAnsi="Times New Roman" w:cs="Times New Roman" w:eastAsia="Times New Roman" w:hint="default"/>
          <w:spacing w:val="-3"/>
        </w:rPr>
        <w:t>2</w:t>
      </w:r>
      <w:r>
        <w:rPr>
          <w:spacing w:val="-3"/>
        </w:rPr>
        <w:t>）金融行业地位优势：南天信息持续</w:t>
      </w:r>
      <w:r>
        <w:rPr>
          <w:rFonts w:ascii="Times New Roman" w:hAnsi="Times New Roman" w:cs="Times New Roman" w:eastAsia="Times New Roman" w:hint="default"/>
          <w:spacing w:val="-3"/>
        </w:rPr>
        <w:t>30</w:t>
      </w:r>
      <w:r>
        <w:rPr>
          <w:spacing w:val="-3"/>
        </w:rPr>
        <w:t>余年深耕金融</w:t>
      </w:r>
      <w:r>
        <w:rPr>
          <w:rFonts w:ascii="Times New Roman" w:hAnsi="Times New Roman" w:cs="Times New Roman" w:eastAsia="Times New Roman" w:hint="default"/>
          <w:spacing w:val="-3"/>
        </w:rPr>
        <w:t>IT</w:t>
      </w:r>
      <w:r>
        <w:rPr>
          <w:spacing w:val="-3"/>
        </w:rPr>
        <w:t>市场，选择金融行业作为发展的主赛道，伴随金融科技高速</w:t>
      </w:r>
      <w:r>
        <w:rPr>
          <w:w w:val="101"/>
        </w:rPr>
        <w:t> </w:t>
      </w:r>
      <w:r>
        <w:rPr>
          <w:spacing w:val="-4"/>
        </w:rPr>
        <w:t>发展，金融</w:t>
      </w:r>
      <w:r>
        <w:rPr>
          <w:rFonts w:ascii="Times New Roman" w:hAnsi="Times New Roman" w:cs="Times New Roman" w:eastAsia="Times New Roman" w:hint="default"/>
          <w:spacing w:val="-4"/>
        </w:rPr>
        <w:t>IT</w:t>
      </w:r>
      <w:r>
        <w:rPr>
          <w:spacing w:val="-4"/>
        </w:rPr>
        <w:t>市场增长空间广大，南天信息的业务也会长期、持续增长；公司长期专注自主软件创新与研发，积极响应国家</w:t>
      </w:r>
      <w:r>
        <w:rPr>
          <w:spacing w:val="50"/>
        </w:rPr>
        <w:t> </w:t>
      </w:r>
      <w:r>
        <w:rPr>
          <w:spacing w:val="50"/>
        </w:rPr>
      </w:r>
      <w:r>
        <w:rPr>
          <w:spacing w:val="-3"/>
        </w:rPr>
        <w:t>信息技术应用创新的号召与要求，与国家信息发展战略吻合，给公司利润的持续增长提供了政策和环境支持。</w:t>
      </w:r>
    </w:p>
    <w:p>
      <w:pPr>
        <w:pStyle w:val="BodyText"/>
        <w:spacing w:line="309" w:lineRule="auto" w:before="70"/>
        <w:ind w:right="1066" w:firstLine="360"/>
        <w:jc w:val="both"/>
      </w:pPr>
      <w:r>
        <w:rPr>
          <w:spacing w:val="-2"/>
        </w:rPr>
        <w:t>（</w:t>
      </w:r>
      <w:r>
        <w:rPr>
          <w:rFonts w:ascii="Times New Roman" w:hAnsi="Times New Roman" w:cs="Times New Roman" w:eastAsia="Times New Roman" w:hint="default"/>
          <w:spacing w:val="-2"/>
        </w:rPr>
        <w:t>3</w:t>
      </w:r>
      <w:r>
        <w:rPr>
          <w:spacing w:val="-2"/>
        </w:rPr>
        <w:t>）区域优势：南天信息是云南省唯一一家主板</w:t>
      </w:r>
      <w:r>
        <w:rPr>
          <w:rFonts w:ascii="Times New Roman" w:hAnsi="Times New Roman" w:cs="Times New Roman" w:eastAsia="Times New Roman" w:hint="default"/>
          <w:spacing w:val="-2"/>
        </w:rPr>
        <w:t>IT</w:t>
      </w:r>
      <w:r>
        <w:rPr>
          <w:spacing w:val="-2"/>
        </w:rPr>
        <w:t>上市公司，是云南省的信息产业龙头企业。</w:t>
      </w:r>
      <w:r>
        <w:rPr>
          <w:rFonts w:ascii="Times New Roman" w:hAnsi="Times New Roman" w:cs="Times New Roman" w:eastAsia="Times New Roman" w:hint="default"/>
          <w:spacing w:val="-2"/>
        </w:rPr>
        <w:t>“</w:t>
      </w:r>
      <w:r>
        <w:rPr>
          <w:spacing w:val="-2"/>
        </w:rPr>
        <w:t>数字云南</w:t>
      </w:r>
      <w:r>
        <w:rPr>
          <w:rFonts w:ascii="Times New Roman" w:hAnsi="Times New Roman" w:cs="Times New Roman" w:eastAsia="Times New Roman" w:hint="default"/>
          <w:spacing w:val="-2"/>
        </w:rPr>
        <w:t>”</w:t>
      </w:r>
      <w:r>
        <w:rPr>
          <w:spacing w:val="-2"/>
        </w:rPr>
        <w:t>被写入云南</w:t>
      </w:r>
      <w:r>
        <w:rPr>
          <w:w w:val="101"/>
        </w:rPr>
        <w:t> </w:t>
      </w:r>
      <w:r>
        <w:rPr>
          <w:spacing w:val="-4"/>
        </w:rPr>
        <w:t>省政府工作报告，并首次将信息产业列为全省八大支柱产业之一，云南省也着力推动新一代信息技术与八大重点产业和世界</w:t>
      </w:r>
      <w:r>
        <w:rPr>
          <w:spacing w:val="42"/>
        </w:rPr>
        <w:t> </w:t>
      </w:r>
      <w:r>
        <w:rPr>
          <w:spacing w:val="42"/>
        </w:rPr>
      </w:r>
      <w:r>
        <w:rPr>
          <w:spacing w:val="-3"/>
        </w:rPr>
        <w:t>一流</w:t>
      </w:r>
      <w:r>
        <w:rPr>
          <w:rFonts w:ascii="Times New Roman" w:hAnsi="Times New Roman" w:cs="Times New Roman" w:eastAsia="Times New Roman" w:hint="default"/>
          <w:spacing w:val="-3"/>
        </w:rPr>
        <w:t>“</w:t>
      </w:r>
      <w:r>
        <w:rPr>
          <w:spacing w:val="-3"/>
        </w:rPr>
        <w:t>三张牌</w:t>
      </w:r>
      <w:r>
        <w:rPr>
          <w:rFonts w:ascii="Times New Roman" w:hAnsi="Times New Roman" w:cs="Times New Roman" w:eastAsia="Times New Roman" w:hint="default"/>
          <w:spacing w:val="-3"/>
        </w:rPr>
        <w:t>”</w:t>
      </w:r>
      <w:r>
        <w:rPr>
          <w:spacing w:val="-3"/>
        </w:rPr>
        <w:t>融合创新发展。根据云南省的安排，同时背靠控股股东云南省工投集团，南天信息有望获得较多的发展机会。</w:t>
      </w:r>
    </w:p>
    <w:p>
      <w:pPr>
        <w:pStyle w:val="BodyText"/>
        <w:spacing w:line="309" w:lineRule="auto" w:before="43"/>
        <w:ind w:right="1124" w:firstLine="360"/>
        <w:jc w:val="both"/>
      </w:pPr>
      <w:r>
        <w:rPr>
          <w:spacing w:val="-3"/>
        </w:rPr>
        <w:t>（</w:t>
      </w:r>
      <w:r>
        <w:rPr>
          <w:rFonts w:ascii="Times New Roman" w:hAnsi="Times New Roman" w:cs="Times New Roman" w:eastAsia="Times New Roman" w:hint="default"/>
          <w:spacing w:val="-3"/>
        </w:rPr>
        <w:t>4</w:t>
      </w:r>
      <w:r>
        <w:rPr>
          <w:spacing w:val="-3"/>
        </w:rPr>
        <w:t>）产业渗透优势：金融行业自带数字化属性，依托南天在金融行业的数字化服务能力，积极向教育、政务、党建、</w:t>
      </w:r>
      <w:r>
        <w:rPr>
          <w:w w:val="101"/>
        </w:rPr>
        <w:t> </w:t>
      </w:r>
      <w:r>
        <w:rPr>
          <w:spacing w:val="-4"/>
        </w:rPr>
        <w:t>医疗等领域进行快速渗透；同时以自身在信息技术产业的积累和优势，在加速推进信息技术与产业的融合、有效推动产业发</w:t>
      </w:r>
      <w:r>
        <w:rPr>
          <w:spacing w:val="43"/>
        </w:rPr>
        <w:t> </w:t>
      </w:r>
      <w:r>
        <w:rPr>
          <w:spacing w:val="43"/>
        </w:rPr>
      </w:r>
      <w:r>
        <w:rPr>
          <w:spacing w:val="-3"/>
        </w:rPr>
        <w:t>展和社会进步方面，前景广阔。</w:t>
      </w:r>
    </w:p>
    <w:p>
      <w:pPr>
        <w:spacing w:after="0" w:line="309" w:lineRule="auto"/>
        <w:jc w:val="both"/>
        <w:sectPr>
          <w:pgSz w:w="11910" w:h="16840"/>
          <w:pgMar w:header="746" w:footer="974"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pStyle w:val="Heading1"/>
        <w:spacing w:line="240" w:lineRule="auto"/>
        <w:ind w:left="2967" w:right="855"/>
        <w:jc w:val="left"/>
        <w:rPr>
          <w:b w:val="0"/>
          <w:bCs w:val="0"/>
        </w:rPr>
      </w:pPr>
      <w:bookmarkStart w:name="_bookmark3" w:id="4"/>
      <w:bookmarkEnd w:id="4"/>
      <w:r>
        <w:rPr>
          <w:b w:val="0"/>
          <w:bCs w:val="0"/>
        </w:rPr>
      </w:r>
      <w:r>
        <w:rPr/>
        <w:t>第四节</w:t>
      </w:r>
      <w:r>
        <w:rPr>
          <w:spacing w:val="1"/>
        </w:rPr>
        <w:t> </w:t>
      </w:r>
      <w:r>
        <w:rPr/>
        <w:t>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7"/>
          <w:szCs w:val="17"/>
        </w:rPr>
      </w:pPr>
    </w:p>
    <w:p>
      <w:pPr>
        <w:pStyle w:val="Heading2"/>
        <w:spacing w:line="240" w:lineRule="auto" w:before="26"/>
        <w:ind w:right="855"/>
        <w:jc w:val="left"/>
        <w:rPr>
          <w:b w:val="0"/>
          <w:bCs w:val="0"/>
        </w:rPr>
      </w:pPr>
      <w:r>
        <w:rPr/>
        <w:t>一、概述</w:t>
      </w:r>
      <w:r>
        <w:rPr>
          <w:b w:val="0"/>
          <w:bCs w:val="0"/>
        </w:rPr>
      </w:r>
    </w:p>
    <w:p>
      <w:pPr>
        <w:spacing w:line="240" w:lineRule="auto" w:before="6"/>
        <w:rPr>
          <w:rFonts w:ascii="宋体" w:hAnsi="宋体" w:cs="宋体" w:eastAsia="宋体" w:hint="default"/>
          <w:b/>
          <w:bCs/>
          <w:sz w:val="26"/>
          <w:szCs w:val="26"/>
        </w:rPr>
      </w:pPr>
    </w:p>
    <w:p>
      <w:pPr>
        <w:pStyle w:val="BodyText"/>
        <w:spacing w:line="307" w:lineRule="auto"/>
        <w:ind w:right="1122" w:firstLine="360"/>
        <w:jc w:val="both"/>
      </w:pPr>
      <w:r>
        <w:rPr>
          <w:spacing w:val="-5"/>
        </w:rPr>
        <w:t>南天信息作为具有市场影响力的金融及行业软硬件产品和解决方案提供商、数字化服务提供商，报告期内战略聚焦数字</w:t>
      </w:r>
      <w:r>
        <w:rPr>
          <w:w w:val="101"/>
        </w:rPr>
        <w:t> </w:t>
      </w:r>
      <w:r>
        <w:rPr>
          <w:spacing w:val="-4"/>
        </w:rPr>
        <w:t>化发展，深入挖掘金融科技与产业融合的潜力，通过技术与场景、业务与科技的深度融合，实现科技赋能，全力为客户提供</w:t>
      </w:r>
      <w:r>
        <w:rPr>
          <w:spacing w:val="41"/>
        </w:rPr>
        <w:t> </w:t>
      </w:r>
      <w:r>
        <w:rPr>
          <w:spacing w:val="41"/>
        </w:rPr>
      </w:r>
      <w:r>
        <w:rPr>
          <w:spacing w:val="-1"/>
        </w:rPr>
        <w:t>贯穿其</w:t>
      </w:r>
      <w:r>
        <w:rPr>
          <w:rFonts w:ascii="Times New Roman" w:hAnsi="Times New Roman" w:cs="Times New Roman" w:eastAsia="Times New Roman" w:hint="default"/>
          <w:spacing w:val="-1"/>
        </w:rPr>
        <w:t>IT</w:t>
      </w:r>
      <w:r>
        <w:rPr>
          <w:spacing w:val="-1"/>
        </w:rPr>
        <w:t>建设全生命周期的</w:t>
      </w:r>
      <w:r>
        <w:rPr>
          <w:rFonts w:ascii="Times New Roman" w:hAnsi="Times New Roman" w:cs="Times New Roman" w:eastAsia="Times New Roman" w:hint="default"/>
          <w:spacing w:val="-1"/>
        </w:rPr>
        <w:t>“</w:t>
      </w:r>
      <w:r>
        <w:rPr>
          <w:spacing w:val="-1"/>
        </w:rPr>
        <w:t>一站式</w:t>
      </w:r>
      <w:r>
        <w:rPr>
          <w:rFonts w:ascii="Times New Roman" w:hAnsi="Times New Roman" w:cs="Times New Roman" w:eastAsia="Times New Roman" w:hint="default"/>
          <w:spacing w:val="-1"/>
        </w:rPr>
        <w:t>”</w:t>
      </w:r>
      <w:r>
        <w:rPr>
          <w:spacing w:val="-1"/>
        </w:rPr>
        <w:t>数字化服务，赋能客户转型与升级。报告期内，公司实现营业收入</w:t>
      </w:r>
      <w:r>
        <w:rPr>
          <w:rFonts w:ascii="Times New Roman" w:hAnsi="Times New Roman" w:cs="Times New Roman" w:eastAsia="Times New Roman" w:hint="default"/>
          <w:spacing w:val="-1"/>
        </w:rPr>
        <w:t>33.03</w:t>
      </w:r>
      <w:r>
        <w:rPr>
          <w:spacing w:val="-1"/>
        </w:rPr>
        <w:t>亿元，比上年</w:t>
      </w:r>
      <w:r>
        <w:rPr>
          <w:spacing w:val="48"/>
        </w:rPr>
        <w:t> </w:t>
      </w:r>
      <w:r>
        <w:rPr>
          <w:spacing w:val="48"/>
        </w:rPr>
      </w:r>
      <w:r>
        <w:rPr>
          <w:spacing w:val="-3"/>
        </w:rPr>
        <w:t>同期增长</w:t>
      </w:r>
      <w:r>
        <w:rPr>
          <w:rFonts w:ascii="Times New Roman" w:hAnsi="Times New Roman" w:cs="Times New Roman" w:eastAsia="Times New Roman" w:hint="default"/>
          <w:spacing w:val="-3"/>
        </w:rPr>
        <w:t>18.83%</w:t>
      </w:r>
      <w:r>
        <w:rPr>
          <w:spacing w:val="-3"/>
        </w:rPr>
        <w:t>；实现利润总额</w:t>
      </w:r>
      <w:r>
        <w:rPr>
          <w:rFonts w:ascii="Times New Roman" w:hAnsi="Times New Roman" w:cs="Times New Roman" w:eastAsia="Times New Roman" w:hint="default"/>
          <w:spacing w:val="-3"/>
        </w:rPr>
        <w:t>9,216.62</w:t>
      </w:r>
      <w:r>
        <w:rPr>
          <w:spacing w:val="-3"/>
        </w:rPr>
        <w:t>万元（扣除公司</w:t>
      </w:r>
      <w:r>
        <w:rPr>
          <w:rFonts w:ascii="Times New Roman" w:hAnsi="Times New Roman" w:cs="Times New Roman" w:eastAsia="Times New Roman" w:hint="default"/>
          <w:spacing w:val="-3"/>
        </w:rPr>
        <w:t>2018</w:t>
      </w:r>
      <w:r>
        <w:rPr>
          <w:spacing w:val="-3"/>
        </w:rPr>
        <w:t>年度处置联营企业云南医药工业股份有限公司股权取得投资收</w:t>
      </w:r>
      <w:r>
        <w:rPr>
          <w:spacing w:val="-1"/>
        </w:rPr>
        <w:t> </w:t>
      </w:r>
      <w:r>
        <w:rPr>
          <w:spacing w:val="-1"/>
        </w:rPr>
        <w:t>益</w:t>
      </w:r>
      <w:r>
        <w:rPr>
          <w:rFonts w:ascii="Times New Roman" w:hAnsi="Times New Roman" w:cs="Times New Roman" w:eastAsia="Times New Roman" w:hint="default"/>
          <w:spacing w:val="-1"/>
        </w:rPr>
        <w:t>8,350.68</w:t>
      </w:r>
      <w:r>
        <w:rPr>
          <w:spacing w:val="-1"/>
        </w:rPr>
        <w:t>万元影响后，同比增长</w:t>
      </w:r>
      <w:r>
        <w:rPr>
          <w:rFonts w:ascii="Times New Roman" w:hAnsi="Times New Roman" w:cs="Times New Roman" w:eastAsia="Times New Roman" w:hint="default"/>
          <w:spacing w:val="-1"/>
        </w:rPr>
        <w:t>63.41%</w:t>
      </w:r>
      <w:r>
        <w:rPr>
          <w:spacing w:val="-1"/>
        </w:rPr>
        <w:t>），归属于母公司所有者的净利润</w:t>
      </w:r>
      <w:r>
        <w:rPr>
          <w:rFonts w:ascii="Times New Roman" w:hAnsi="Times New Roman" w:cs="Times New Roman" w:eastAsia="Times New Roman" w:hint="default"/>
          <w:spacing w:val="-1"/>
        </w:rPr>
        <w:t>5,917.82</w:t>
      </w:r>
      <w:r>
        <w:rPr>
          <w:spacing w:val="-1"/>
        </w:rPr>
        <w:t>万元，同比降低</w:t>
      </w:r>
      <w:r>
        <w:rPr>
          <w:rFonts w:ascii="Times New Roman" w:hAnsi="Times New Roman" w:cs="Times New Roman" w:eastAsia="Times New Roman" w:hint="default"/>
          <w:spacing w:val="-1"/>
        </w:rPr>
        <w:t>20.85%</w:t>
      </w:r>
      <w:r>
        <w:rPr>
          <w:spacing w:val="-1"/>
        </w:rPr>
        <w:t>。报告期内，公</w:t>
      </w:r>
      <w:r>
        <w:rPr>
          <w:spacing w:val="45"/>
        </w:rPr>
        <w:t> </w:t>
      </w:r>
      <w:r>
        <w:rPr>
          <w:spacing w:val="45"/>
        </w:rPr>
      </w:r>
      <w:r>
        <w:rPr>
          <w:spacing w:val="-3"/>
        </w:rPr>
        <w:t>司各项重点工作开展情况如下：</w:t>
      </w:r>
    </w:p>
    <w:p>
      <w:pPr>
        <w:pStyle w:val="Heading6"/>
        <w:spacing w:line="240" w:lineRule="auto" w:before="146"/>
        <w:ind w:right="855"/>
        <w:jc w:val="left"/>
        <w:rPr>
          <w:b w:val="0"/>
          <w:bCs w:val="0"/>
        </w:rPr>
      </w:pPr>
      <w:r>
        <w:rPr/>
        <w:t>（一）战略引领，主营业务持续增长</w:t>
      </w:r>
      <w:r>
        <w:rPr>
          <w:b w:val="0"/>
          <w:bCs w:val="0"/>
        </w:rPr>
      </w:r>
    </w:p>
    <w:p>
      <w:pPr>
        <w:spacing w:line="240" w:lineRule="auto" w:before="1"/>
        <w:rPr>
          <w:rFonts w:ascii="宋体" w:hAnsi="宋体" w:cs="宋体" w:eastAsia="宋体" w:hint="default"/>
          <w:b/>
          <w:bCs/>
          <w:sz w:val="15"/>
          <w:szCs w:val="15"/>
        </w:rPr>
      </w:pPr>
    </w:p>
    <w:p>
      <w:pPr>
        <w:pStyle w:val="BodyText"/>
        <w:spacing w:line="314" w:lineRule="auto"/>
        <w:ind w:right="855" w:firstLine="360"/>
        <w:jc w:val="left"/>
      </w:pPr>
      <w:r>
        <w:rPr>
          <w:rFonts w:ascii="Times New Roman" w:hAnsi="Times New Roman" w:cs="Times New Roman" w:eastAsia="Times New Roman" w:hint="default"/>
          <w:spacing w:val="-4"/>
        </w:rPr>
        <w:t>1</w:t>
      </w:r>
      <w:r>
        <w:rPr>
          <w:spacing w:val="-4"/>
        </w:rPr>
        <w:t>、软件开发及服务：公司持续深耕金融科技，以银行</w:t>
      </w:r>
      <w:r>
        <w:rPr>
          <w:rFonts w:ascii="Times New Roman" w:hAnsi="Times New Roman" w:cs="Times New Roman" w:eastAsia="Times New Roman" w:hint="default"/>
          <w:spacing w:val="-4"/>
        </w:rPr>
        <w:t>IT</w:t>
      </w:r>
      <w:r>
        <w:rPr>
          <w:spacing w:val="-4"/>
        </w:rPr>
        <w:t>解决方案为核心，加大研发力度，向</w:t>
      </w:r>
      <w:r>
        <w:rPr>
          <w:rFonts w:ascii="Times New Roman" w:hAnsi="Times New Roman" w:cs="Times New Roman" w:eastAsia="Times New Roman" w:hint="default"/>
          <w:spacing w:val="-4"/>
        </w:rPr>
        <w:t>“</w:t>
      </w:r>
      <w:r>
        <w:rPr>
          <w:spacing w:val="-4"/>
        </w:rPr>
        <w:t>大项目</w:t>
      </w:r>
      <w:r>
        <w:rPr>
          <w:rFonts w:ascii="Times New Roman" w:hAnsi="Times New Roman" w:cs="Times New Roman" w:eastAsia="Times New Roman" w:hint="default"/>
          <w:spacing w:val="-4"/>
        </w:rPr>
        <w:t>+</w:t>
      </w:r>
      <w:r>
        <w:rPr>
          <w:spacing w:val="-4"/>
        </w:rPr>
        <w:t>强产品</w:t>
      </w:r>
      <w:r>
        <w:rPr>
          <w:rFonts w:ascii="Times New Roman" w:hAnsi="Times New Roman" w:cs="Times New Roman" w:eastAsia="Times New Roman" w:hint="default"/>
          <w:spacing w:val="-4"/>
        </w:rPr>
        <w:t>”</w:t>
      </w:r>
      <w:r>
        <w:rPr>
          <w:spacing w:val="-4"/>
        </w:rPr>
        <w:t>业务模式</w:t>
      </w:r>
      <w:r>
        <w:rPr>
          <w:w w:val="101"/>
        </w:rPr>
        <w:t> </w:t>
      </w:r>
      <w:r>
        <w:rPr>
          <w:spacing w:val="-6"/>
        </w:rPr>
        <w:t>转变，覆盖大、中、小型银行。报告期内，公司不断推进与邮储银行、光大银行、建设银行及建信金科的金融科技战略合作；</w:t>
      </w:r>
      <w:r>
        <w:rPr>
          <w:spacing w:val="64"/>
        </w:rPr>
        <w:t> </w:t>
      </w:r>
      <w:r>
        <w:rPr>
          <w:spacing w:val="64"/>
        </w:rPr>
      </w:r>
      <w:r>
        <w:rPr>
          <w:spacing w:val="-4"/>
        </w:rPr>
        <w:t>参与邮储银行新一代核心系统建设。坚持研发赋能，研发的一体化智能云管理平台、生物特征识别系统在多家银行及公安等</w:t>
      </w:r>
      <w:r>
        <w:rPr>
          <w:spacing w:val="43"/>
        </w:rPr>
        <w:t> </w:t>
      </w:r>
      <w:r>
        <w:rPr>
          <w:spacing w:val="43"/>
        </w:rPr>
      </w:r>
      <w:r>
        <w:rPr>
          <w:spacing w:val="-4"/>
        </w:rPr>
        <w:t>行业持续推广，拓展非金融客户，实施北京京投集团轨道交通规划建设运营一体化管理系统。报告期内，公司软件开发及服</w:t>
      </w:r>
      <w:r>
        <w:rPr>
          <w:spacing w:val="40"/>
        </w:rPr>
        <w:t> </w:t>
      </w:r>
      <w:r>
        <w:rPr>
          <w:spacing w:val="40"/>
        </w:rPr>
      </w:r>
      <w:r>
        <w:rPr>
          <w:spacing w:val="-2"/>
        </w:rPr>
        <w:t>务业务实现收入</w:t>
      </w:r>
      <w:r>
        <w:rPr>
          <w:rFonts w:ascii="Times New Roman" w:hAnsi="Times New Roman" w:cs="Times New Roman" w:eastAsia="Times New Roman" w:hint="default"/>
          <w:spacing w:val="-2"/>
        </w:rPr>
        <w:t>15.19</w:t>
      </w:r>
      <w:r>
        <w:rPr>
          <w:spacing w:val="-2"/>
        </w:rPr>
        <w:t>亿元，同比增长</w:t>
      </w:r>
      <w:r>
        <w:rPr>
          <w:rFonts w:ascii="Times New Roman" w:hAnsi="Times New Roman" w:cs="Times New Roman" w:eastAsia="Times New Roman" w:hint="default"/>
          <w:spacing w:val="-2"/>
        </w:rPr>
        <w:t>22.06%</w:t>
      </w:r>
      <w:r>
        <w:rPr>
          <w:spacing w:val="-2"/>
        </w:rPr>
        <w:t>。</w:t>
      </w:r>
    </w:p>
    <w:p>
      <w:pPr>
        <w:pStyle w:val="BodyText"/>
        <w:spacing w:line="314" w:lineRule="auto" w:before="40"/>
        <w:ind w:right="1123" w:firstLine="360"/>
        <w:jc w:val="both"/>
      </w:pPr>
      <w:r>
        <w:rPr>
          <w:rFonts w:ascii="Times New Roman" w:hAnsi="Times New Roman" w:cs="Times New Roman" w:eastAsia="Times New Roman" w:hint="default"/>
          <w:spacing w:val="-3"/>
        </w:rPr>
        <w:t>2</w:t>
      </w:r>
      <w:r>
        <w:rPr>
          <w:spacing w:val="-3"/>
        </w:rPr>
        <w:t>、智能渠道解决方案：南天信息是国内少数集软硬件数字化产品研发与生产实施能力于一身的综合性解决方案及服务</w:t>
      </w:r>
      <w:r>
        <w:rPr>
          <w:w w:val="101"/>
        </w:rPr>
        <w:t> </w:t>
      </w:r>
      <w:r>
        <w:rPr>
          <w:spacing w:val="-4"/>
        </w:rPr>
        <w:t>提供商，公司抢抓银行推动营业网点智慧转型的契机，推出了一系列智慧渠道解决方案；同时在创新安全的战略指引下，推</w:t>
      </w:r>
      <w:r>
        <w:rPr>
          <w:spacing w:val="40"/>
        </w:rPr>
        <w:t> </w:t>
      </w:r>
      <w:r>
        <w:rPr>
          <w:spacing w:val="40"/>
        </w:rPr>
      </w:r>
      <w:r>
        <w:rPr>
          <w:spacing w:val="-4"/>
        </w:rPr>
        <w:t>出了一系列国产化产品，实现了芯片和控制软件的国产化，并均已实现批量销售，保持了在六大十二小银行市场份额；作为</w:t>
      </w:r>
      <w:r>
        <w:rPr>
          <w:spacing w:val="40"/>
        </w:rPr>
        <w:t> </w:t>
      </w:r>
      <w:r>
        <w:rPr>
          <w:spacing w:val="40"/>
        </w:rPr>
      </w:r>
      <w:r>
        <w:rPr>
          <w:spacing w:val="-4"/>
        </w:rPr>
        <w:t>第一中标人实施中国邮政智能柜员机项目。公司智能渠道业务整合梳理供应链、优化运维服务系统，提高服务响应速度和服</w:t>
      </w:r>
      <w:r>
        <w:rPr>
          <w:spacing w:val="43"/>
        </w:rPr>
        <w:t> </w:t>
      </w:r>
      <w:r>
        <w:rPr>
          <w:spacing w:val="43"/>
        </w:rPr>
      </w:r>
      <w:r>
        <w:rPr>
          <w:spacing w:val="-3"/>
        </w:rPr>
        <w:t>务质量，提升客户满意度。报告期内，公司智能渠道解决方案实现收入</w:t>
      </w:r>
      <w:r>
        <w:rPr>
          <w:rFonts w:ascii="Times New Roman" w:hAnsi="Times New Roman" w:cs="Times New Roman" w:eastAsia="Times New Roman" w:hint="default"/>
          <w:spacing w:val="-3"/>
        </w:rPr>
        <w:t>3.68</w:t>
      </w:r>
      <w:r>
        <w:rPr>
          <w:spacing w:val="-3"/>
        </w:rPr>
        <w:t>亿元，较上年同期增长</w:t>
      </w:r>
      <w:r>
        <w:rPr>
          <w:rFonts w:ascii="Times New Roman" w:hAnsi="Times New Roman" w:cs="Times New Roman" w:eastAsia="Times New Roman" w:hint="default"/>
          <w:spacing w:val="-3"/>
        </w:rPr>
        <w:t>14.88%</w:t>
      </w:r>
      <w:r>
        <w:rPr>
          <w:spacing w:val="-3"/>
        </w:rPr>
        <w:t>。</w:t>
      </w:r>
    </w:p>
    <w:p>
      <w:pPr>
        <w:pStyle w:val="BodyText"/>
        <w:spacing w:line="309" w:lineRule="auto" w:before="44"/>
        <w:ind w:right="1124" w:firstLine="360"/>
        <w:jc w:val="both"/>
      </w:pPr>
      <w:r>
        <w:rPr>
          <w:rFonts w:ascii="Times New Roman" w:hAnsi="Times New Roman" w:cs="Times New Roman" w:eastAsia="Times New Roman" w:hint="default"/>
          <w:spacing w:val="-3"/>
        </w:rPr>
        <w:t>3</w:t>
      </w:r>
      <w:r>
        <w:rPr>
          <w:spacing w:val="-3"/>
        </w:rPr>
        <w:t>、集成解决方案：公司在保证高通量、高可靠性、高安全性的基础上，结合国家信息技术应用创新产业的发展，研发</w:t>
      </w:r>
      <w:r>
        <w:rPr>
          <w:w w:val="101"/>
        </w:rPr>
        <w:t> </w:t>
      </w:r>
      <w:r>
        <w:rPr>
          <w:spacing w:val="-4"/>
        </w:rPr>
        <w:t>具有核心的集成技术支撑系统，构建基于云数据中心的全产品线模式；报告期内，公司集成解决方案业务继续深耕细作行业</w:t>
      </w:r>
      <w:r>
        <w:rPr>
          <w:spacing w:val="43"/>
        </w:rPr>
        <w:t> </w:t>
      </w:r>
      <w:r>
        <w:rPr>
          <w:spacing w:val="43"/>
        </w:rPr>
      </w:r>
      <w:r>
        <w:rPr>
          <w:spacing w:val="-4"/>
        </w:rPr>
        <w:t>客户，打造集成业务核心能力，提升项目规划、实施、运营能力，加强数据中心智能化建设和管理。拓展公安、军工、电力</w:t>
      </w:r>
      <w:r>
        <w:rPr>
          <w:spacing w:val="40"/>
        </w:rPr>
        <w:t> </w:t>
      </w:r>
      <w:r>
        <w:rPr>
          <w:spacing w:val="40"/>
        </w:rPr>
      </w:r>
      <w:r>
        <w:rPr>
          <w:spacing w:val="-4"/>
        </w:rPr>
        <w:t>等行业，推进创新项目落地，建设北京大兴国际机场</w:t>
      </w:r>
      <w:r>
        <w:rPr>
          <w:rFonts w:ascii="Times New Roman" w:hAnsi="Times New Roman" w:cs="Times New Roman" w:eastAsia="Times New Roman" w:hint="default"/>
          <w:spacing w:val="-4"/>
        </w:rPr>
        <w:t>“</w:t>
      </w:r>
      <w:r>
        <w:rPr>
          <w:spacing w:val="-4"/>
        </w:rPr>
        <w:t>智慧机场</w:t>
      </w:r>
      <w:r>
        <w:rPr>
          <w:rFonts w:ascii="Times New Roman" w:hAnsi="Times New Roman" w:cs="Times New Roman" w:eastAsia="Times New Roman" w:hint="default"/>
          <w:spacing w:val="-4"/>
        </w:rPr>
        <w:t>”</w:t>
      </w:r>
      <w:r>
        <w:rPr>
          <w:spacing w:val="-4"/>
        </w:rPr>
        <w:t>离港系统；持续构建合作伙伴生态。报告期内，公司集成服</w:t>
      </w:r>
      <w:r>
        <w:rPr>
          <w:spacing w:val="59"/>
        </w:rPr>
        <w:t> </w:t>
      </w:r>
      <w:r>
        <w:rPr>
          <w:spacing w:val="59"/>
        </w:rPr>
      </w:r>
      <w:r>
        <w:rPr/>
        <w:t>务业务实现收入</w:t>
      </w:r>
      <w:r>
        <w:rPr>
          <w:rFonts w:ascii="Times New Roman" w:hAnsi="Times New Roman" w:cs="Times New Roman" w:eastAsia="Times New Roman" w:hint="default"/>
        </w:rPr>
        <w:t>13.90</w:t>
      </w:r>
      <w:r>
        <w:rPr/>
        <w:t>亿元，较上年同期增长</w:t>
      </w:r>
      <w:r>
        <w:rPr>
          <w:rFonts w:ascii="Times New Roman" w:hAnsi="Times New Roman" w:cs="Times New Roman" w:eastAsia="Times New Roman" w:hint="default"/>
        </w:rPr>
        <w:t>16.90%</w:t>
      </w:r>
      <w:r>
        <w:rPr/>
        <w:t>。</w:t>
      </w:r>
    </w:p>
    <w:p>
      <w:pPr>
        <w:pStyle w:val="Heading6"/>
        <w:spacing w:line="240" w:lineRule="auto" w:before="125"/>
        <w:ind w:right="855"/>
        <w:jc w:val="left"/>
        <w:rPr>
          <w:b w:val="0"/>
          <w:bCs w:val="0"/>
        </w:rPr>
      </w:pPr>
      <w:r>
        <w:rPr/>
        <w:t>（二）创新驱动，赋能行业数字化转型</w:t>
      </w:r>
      <w:r>
        <w:rPr>
          <w:b w:val="0"/>
          <w:bCs w:val="0"/>
        </w:rPr>
      </w:r>
    </w:p>
    <w:p>
      <w:pPr>
        <w:spacing w:line="240" w:lineRule="auto" w:before="0"/>
        <w:rPr>
          <w:rFonts w:ascii="宋体" w:hAnsi="宋体" w:cs="宋体" w:eastAsia="宋体" w:hint="default"/>
          <w:b/>
          <w:bCs/>
          <w:sz w:val="15"/>
          <w:szCs w:val="15"/>
        </w:rPr>
      </w:pPr>
    </w:p>
    <w:p>
      <w:pPr>
        <w:pStyle w:val="BodyText"/>
        <w:spacing w:line="304" w:lineRule="auto"/>
        <w:ind w:right="855" w:firstLine="360"/>
        <w:jc w:val="left"/>
      </w:pPr>
      <w:r>
        <w:rPr>
          <w:spacing w:val="-5"/>
        </w:rPr>
        <w:t>报告期内，公司重点发展云计算、大数据、互联网金融、人工智能、区块链等前瞻热点领域，跟进行业内高端数据解决</w:t>
      </w:r>
      <w:r>
        <w:rPr>
          <w:w w:val="101"/>
        </w:rPr>
        <w:t> </w:t>
      </w:r>
      <w:r>
        <w:rPr>
          <w:spacing w:val="-3"/>
        </w:rPr>
        <w:t>方案，探索数字化转型路径与实践。入围建总行大数据资源池、参与多家银行</w:t>
      </w:r>
      <w:r>
        <w:rPr>
          <w:rFonts w:ascii="Times New Roman" w:hAnsi="Times New Roman" w:cs="Times New Roman" w:eastAsia="Times New Roman" w:hint="default"/>
          <w:spacing w:val="-3"/>
        </w:rPr>
        <w:t>ETC</w:t>
      </w:r>
      <w:r>
        <w:rPr>
          <w:spacing w:val="-3"/>
        </w:rPr>
        <w:t>智能营销解决方案建设；完成涉及金融、</w:t>
      </w:r>
      <w:r>
        <w:rPr>
          <w:spacing w:val="69"/>
        </w:rPr>
        <w:t> </w:t>
      </w:r>
      <w:r>
        <w:rPr>
          <w:spacing w:val="69"/>
        </w:rPr>
      </w:r>
      <w:r>
        <w:rPr>
          <w:spacing w:val="-4"/>
        </w:rPr>
        <w:t>园区、安防等领域</w:t>
      </w:r>
      <w:r>
        <w:rPr>
          <w:rFonts w:ascii="Times New Roman" w:hAnsi="Times New Roman" w:cs="Times New Roman" w:eastAsia="Times New Roman" w:hint="default"/>
          <w:spacing w:val="-4"/>
        </w:rPr>
        <w:t>20</w:t>
      </w:r>
      <w:r>
        <w:rPr>
          <w:spacing w:val="-4"/>
        </w:rPr>
        <w:t>多个人工智能相关项目推广。公司结合行业发展趋势，立项研发生物平台视频结构化、网络服务智能分</w:t>
      </w:r>
      <w:r>
        <w:rPr>
          <w:spacing w:val="44"/>
        </w:rPr>
        <w:t> </w:t>
      </w:r>
      <w:r>
        <w:rPr>
          <w:spacing w:val="44"/>
        </w:rPr>
      </w:r>
      <w:r>
        <w:rPr>
          <w:spacing w:val="-3"/>
        </w:rPr>
        <w:t>析平台、基于微服务和云服务架构的数字烟草信息系统等</w:t>
      </w:r>
      <w:r>
        <w:rPr>
          <w:rFonts w:ascii="Times New Roman" w:hAnsi="Times New Roman" w:cs="Times New Roman" w:eastAsia="Times New Roman" w:hint="default"/>
          <w:spacing w:val="-3"/>
        </w:rPr>
        <w:t>9</w:t>
      </w:r>
      <w:r>
        <w:rPr>
          <w:spacing w:val="-3"/>
        </w:rPr>
        <w:t>个项目，加大研发投入和研发成果的市场转化，培育新的利润增</w:t>
      </w:r>
      <w:r>
        <w:rPr>
          <w:spacing w:val="76"/>
        </w:rPr>
        <w:t> </w:t>
      </w:r>
      <w:r>
        <w:rPr>
          <w:spacing w:val="76"/>
        </w:rPr>
      </w:r>
      <w:r>
        <w:rPr/>
        <w:t>长点。</w:t>
      </w:r>
    </w:p>
    <w:p>
      <w:pPr>
        <w:pStyle w:val="BodyText"/>
        <w:spacing w:line="309" w:lineRule="auto" w:before="66"/>
        <w:ind w:right="1121" w:firstLine="360"/>
        <w:jc w:val="both"/>
      </w:pPr>
      <w:r>
        <w:rPr>
          <w:spacing w:val="-4"/>
        </w:rPr>
        <w:t>公司在海外金融市场实现新突破，成功中标并实施缅甸亚洲仰光银行核心业务系统一期项目，系统覆盖总行和</w:t>
      </w:r>
      <w:r>
        <w:rPr>
          <w:rFonts w:ascii="Times New Roman" w:hAnsi="Times New Roman" w:cs="Times New Roman" w:eastAsia="Times New Roman" w:hint="default"/>
          <w:spacing w:val="-4"/>
        </w:rPr>
        <w:t>13</w:t>
      </w:r>
      <w:r>
        <w:rPr>
          <w:spacing w:val="-4"/>
        </w:rPr>
        <w:t>个分支</w:t>
      </w:r>
      <w:r>
        <w:rPr>
          <w:w w:val="101"/>
        </w:rPr>
        <w:t> </w:t>
      </w:r>
      <w:r>
        <w:rPr>
          <w:spacing w:val="-4"/>
        </w:rPr>
        <w:t>机构，系统运行稳定，得到了客户认可，为南天布局南亚东南亚金融业务奠定基础。同时公司与昆明理工成立时空智能联合</w:t>
      </w:r>
      <w:r>
        <w:rPr>
          <w:spacing w:val="40"/>
        </w:rPr>
        <w:t> </w:t>
      </w:r>
      <w:r>
        <w:rPr>
          <w:spacing w:val="40"/>
        </w:rPr>
      </w:r>
      <w:r>
        <w:rPr>
          <w:spacing w:val="-3"/>
        </w:rPr>
        <w:t>创新实验室，利用产学研优势，共同研究政务大数据、自然资源库、宏观经济库的建设可行性。</w:t>
      </w:r>
    </w:p>
    <w:p>
      <w:pPr>
        <w:spacing w:line="432" w:lineRule="exact" w:before="9"/>
        <w:ind w:left="513" w:right="855" w:firstLine="0"/>
        <w:jc w:val="left"/>
        <w:rPr>
          <w:rFonts w:ascii="宋体" w:hAnsi="宋体" w:cs="宋体" w:eastAsia="宋体" w:hint="default"/>
          <w:sz w:val="18"/>
          <w:szCs w:val="18"/>
        </w:rPr>
      </w:pPr>
      <w:r>
        <w:rPr>
          <w:rFonts w:ascii="宋体" w:hAnsi="宋体" w:cs="宋体" w:eastAsia="宋体" w:hint="default"/>
          <w:b/>
          <w:bCs/>
          <w:sz w:val="18"/>
          <w:szCs w:val="18"/>
        </w:rPr>
        <w:t>（三）资本运作，推进定向增发和投资并购</w:t>
      </w:r>
      <w:r>
        <w:rPr>
          <w:rFonts w:ascii="宋体" w:hAnsi="宋体" w:cs="宋体" w:eastAsia="宋体" w:hint="default"/>
          <w:b/>
          <w:bCs/>
          <w:spacing w:val="-89"/>
          <w:sz w:val="18"/>
          <w:szCs w:val="18"/>
        </w:rPr>
        <w:t> </w:t>
      </w:r>
      <w:r>
        <w:rPr>
          <w:rFonts w:ascii="宋体" w:hAnsi="宋体" w:cs="宋体" w:eastAsia="宋体" w:hint="default"/>
          <w:b/>
          <w:bCs/>
          <w:spacing w:val="-89"/>
          <w:sz w:val="18"/>
          <w:szCs w:val="18"/>
        </w:rPr>
      </w:r>
      <w:r>
        <w:rPr>
          <w:rFonts w:ascii="宋体" w:hAnsi="宋体" w:cs="宋体" w:eastAsia="宋体" w:hint="default"/>
          <w:spacing w:val="-3"/>
          <w:sz w:val="18"/>
          <w:szCs w:val="18"/>
        </w:rPr>
        <w:t>报告期内，公司推动实施</w:t>
      </w:r>
      <w:r>
        <w:rPr>
          <w:rFonts w:ascii="Times New Roman" w:hAnsi="Times New Roman" w:cs="Times New Roman" w:eastAsia="Times New Roman" w:hint="default"/>
          <w:spacing w:val="-3"/>
          <w:sz w:val="18"/>
          <w:szCs w:val="18"/>
        </w:rPr>
        <w:t>2019</w:t>
      </w:r>
      <w:r>
        <w:rPr>
          <w:rFonts w:ascii="宋体" w:hAnsi="宋体" w:cs="宋体" w:eastAsia="宋体" w:hint="default"/>
          <w:spacing w:val="-3"/>
          <w:sz w:val="18"/>
          <w:szCs w:val="18"/>
        </w:rPr>
        <w:t>年度非公开发行股票事宜，本次非公开发行股票的数量不超过</w:t>
      </w:r>
      <w:r>
        <w:rPr>
          <w:rFonts w:ascii="Times New Roman" w:hAnsi="Times New Roman" w:cs="Times New Roman" w:eastAsia="Times New Roman" w:hint="default"/>
          <w:spacing w:val="-3"/>
          <w:sz w:val="18"/>
          <w:szCs w:val="18"/>
        </w:rPr>
        <w:t>6,411.7571</w:t>
      </w:r>
      <w:r>
        <w:rPr>
          <w:rFonts w:ascii="宋体" w:hAnsi="宋体" w:cs="宋体" w:eastAsia="宋体" w:hint="default"/>
          <w:spacing w:val="-3"/>
          <w:sz w:val="18"/>
          <w:szCs w:val="18"/>
        </w:rPr>
        <w:t>万股，募集资金</w:t>
      </w:r>
    </w:p>
    <w:p>
      <w:pPr>
        <w:pStyle w:val="BodyText"/>
        <w:spacing w:line="300" w:lineRule="auto" w:before="15"/>
        <w:ind w:right="855"/>
        <w:jc w:val="left"/>
      </w:pPr>
      <w:r>
        <w:rPr>
          <w:spacing w:val="-2"/>
        </w:rPr>
        <w:t>不超过</w:t>
      </w:r>
      <w:r>
        <w:rPr>
          <w:rFonts w:ascii="Times New Roman" w:hAnsi="Times New Roman" w:cs="Times New Roman" w:eastAsia="Times New Roman" w:hint="default"/>
          <w:spacing w:val="-2"/>
        </w:rPr>
        <w:t>6.5</w:t>
      </w:r>
      <w:r>
        <w:rPr>
          <w:spacing w:val="-2"/>
        </w:rPr>
        <w:t>亿元，用于金融行业智能化云平台项目建设以及补充未来三年营运资金。本次非公开发行股票已经公司第七届董</w:t>
      </w:r>
      <w:r>
        <w:rPr>
          <w:spacing w:val="74"/>
        </w:rPr>
        <w:t> </w:t>
      </w:r>
      <w:r>
        <w:rPr>
          <w:spacing w:val="74"/>
        </w:rPr>
      </w:r>
      <w:r>
        <w:rPr>
          <w:spacing w:val="-4"/>
        </w:rPr>
        <w:t>事会第二十一次会议、</w:t>
      </w:r>
      <w:r>
        <w:rPr>
          <w:rFonts w:ascii="Times New Roman" w:hAnsi="Times New Roman" w:cs="Times New Roman" w:eastAsia="Times New Roman" w:hint="default"/>
          <w:spacing w:val="-4"/>
        </w:rPr>
        <w:t>2019</w:t>
      </w:r>
      <w:r>
        <w:rPr>
          <w:spacing w:val="-4"/>
        </w:rPr>
        <w:t>年第一次临时股东大会、第七届董事会第二十七次会议审议通过，于</w:t>
      </w: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27</w:t>
      </w:r>
      <w:r>
        <w:rPr>
          <w:spacing w:val="-4"/>
        </w:rPr>
        <w:t>日获得中国证</w:t>
      </w:r>
    </w:p>
    <w:p>
      <w:pPr>
        <w:spacing w:after="0" w:line="300" w:lineRule="auto"/>
        <w:jc w:val="left"/>
        <w:sectPr>
          <w:pgSz w:w="11910" w:h="16840"/>
          <w:pgMar w:header="746" w:footer="974" w:top="1060" w:bottom="1160" w:left="980" w:right="0"/>
        </w:sectPr>
      </w:pPr>
    </w:p>
    <w:p>
      <w:pPr>
        <w:spacing w:line="240" w:lineRule="auto" w:before="9"/>
        <w:rPr>
          <w:rFonts w:ascii="宋体" w:hAnsi="宋体" w:cs="宋体" w:eastAsia="宋体" w:hint="default"/>
          <w:sz w:val="25"/>
          <w:szCs w:val="25"/>
        </w:rPr>
      </w:pPr>
    </w:p>
    <w:p>
      <w:pPr>
        <w:pStyle w:val="BodyText"/>
        <w:spacing w:line="300" w:lineRule="auto" w:before="46"/>
        <w:ind w:right="1127"/>
        <w:jc w:val="both"/>
      </w:pPr>
      <w:r>
        <w:rPr>
          <w:spacing w:val="-3"/>
        </w:rPr>
        <w:t>监会发行审核委员会审核通过，并于</w:t>
      </w:r>
      <w:r>
        <w:rPr>
          <w:rFonts w:ascii="Times New Roman" w:hAnsi="Times New Roman" w:cs="Times New Roman" w:eastAsia="Times New Roman" w:hint="default"/>
          <w:spacing w:val="-3"/>
        </w:rPr>
        <w:t>2020</w:t>
      </w:r>
      <w:r>
        <w:rPr>
          <w:spacing w:val="-3"/>
        </w:rPr>
        <w:t>年</w:t>
      </w:r>
      <w:r>
        <w:rPr>
          <w:rFonts w:ascii="Times New Roman" w:hAnsi="Times New Roman" w:cs="Times New Roman" w:eastAsia="Times New Roman" w:hint="default"/>
          <w:spacing w:val="-3"/>
        </w:rPr>
        <w:t>2</w:t>
      </w:r>
      <w:r>
        <w:rPr>
          <w:spacing w:val="-3"/>
        </w:rPr>
        <w:t>月</w:t>
      </w:r>
      <w:r>
        <w:rPr>
          <w:rFonts w:ascii="Times New Roman" w:hAnsi="Times New Roman" w:cs="Times New Roman" w:eastAsia="Times New Roman" w:hint="default"/>
          <w:spacing w:val="-3"/>
        </w:rPr>
        <w:t>19</w:t>
      </w:r>
      <w:r>
        <w:rPr>
          <w:spacing w:val="-3"/>
        </w:rPr>
        <w:t>日收到证监会书面核准的正式文件。经过公司精心组织和周密安排，公司 本次非公开发行的新增股份</w:t>
      </w:r>
      <w:r>
        <w:rPr>
          <w:rFonts w:ascii="Times New Roman" w:hAnsi="Times New Roman" w:cs="Times New Roman" w:eastAsia="Times New Roman" w:hint="default"/>
          <w:spacing w:val="-3"/>
        </w:rPr>
        <w:t>60,577,818</w:t>
      </w:r>
      <w:r>
        <w:rPr>
          <w:spacing w:val="-3"/>
        </w:rPr>
        <w:t>股股票已于</w:t>
      </w:r>
      <w:r>
        <w:rPr>
          <w:rFonts w:ascii="Times New Roman" w:hAnsi="Times New Roman" w:cs="Times New Roman" w:eastAsia="Times New Roman" w:hint="default"/>
          <w:spacing w:val="-3"/>
        </w:rPr>
        <w:t>2020</w:t>
      </w:r>
      <w:r>
        <w:rPr>
          <w:spacing w:val="-3"/>
        </w:rPr>
        <w:t>年</w:t>
      </w:r>
      <w:r>
        <w:rPr>
          <w:rFonts w:ascii="Times New Roman" w:hAnsi="Times New Roman" w:cs="Times New Roman" w:eastAsia="Times New Roman" w:hint="default"/>
          <w:spacing w:val="-3"/>
        </w:rPr>
        <w:t>4</w:t>
      </w:r>
      <w:r>
        <w:rPr>
          <w:spacing w:val="-3"/>
        </w:rPr>
        <w:t>月</w:t>
      </w:r>
      <w:r>
        <w:rPr>
          <w:rFonts w:ascii="Times New Roman" w:hAnsi="Times New Roman" w:cs="Times New Roman" w:eastAsia="Times New Roman" w:hint="default"/>
          <w:spacing w:val="-3"/>
        </w:rPr>
        <w:t>9</w:t>
      </w:r>
      <w:r>
        <w:rPr>
          <w:spacing w:val="-3"/>
        </w:rPr>
        <w:t>日在深圳证券交易所上市，公司足额募集</w:t>
      </w:r>
      <w:r>
        <w:rPr>
          <w:rFonts w:ascii="Times New Roman" w:hAnsi="Times New Roman" w:cs="Times New Roman" w:eastAsia="Times New Roman" w:hint="default"/>
          <w:spacing w:val="-3"/>
        </w:rPr>
        <w:t>6.5</w:t>
      </w:r>
      <w:r>
        <w:rPr>
          <w:spacing w:val="-3"/>
        </w:rPr>
        <w:t>亿元资金。</w:t>
      </w:r>
    </w:p>
    <w:p>
      <w:pPr>
        <w:pStyle w:val="BodyText"/>
        <w:spacing w:line="309" w:lineRule="auto" w:before="51"/>
        <w:ind w:right="855" w:firstLine="360"/>
        <w:jc w:val="left"/>
      </w:pPr>
      <w:r>
        <w:rPr>
          <w:spacing w:val="-4"/>
        </w:rPr>
        <w:t>报告期内，收购专业大数据公司海捷科技</w:t>
      </w:r>
      <w:r>
        <w:rPr>
          <w:rFonts w:ascii="Times New Roman" w:hAnsi="Times New Roman" w:cs="Times New Roman" w:eastAsia="Times New Roman" w:hint="default"/>
          <w:spacing w:val="-4"/>
        </w:rPr>
        <w:t>60%</w:t>
      </w:r>
      <w:r>
        <w:rPr>
          <w:spacing w:val="-4"/>
        </w:rPr>
        <w:t>股权，海捷科技核心团队具有多年数据仓库、数据挖掘、大数据等相关领</w:t>
      </w:r>
      <w:r>
        <w:rPr>
          <w:w w:val="101"/>
        </w:rPr>
        <w:t> </w:t>
      </w:r>
      <w:r>
        <w:rPr>
          <w:spacing w:val="-6"/>
        </w:rPr>
        <w:t>域的技术、销售和管理经验，对大数据行业具有深刻的理解，并拥有金融、快消零售、综合物流等行业客户，在技术、业务、</w:t>
      </w:r>
      <w:r>
        <w:rPr>
          <w:spacing w:val="66"/>
        </w:rPr>
        <w:t> </w:t>
      </w:r>
      <w:r>
        <w:rPr>
          <w:spacing w:val="66"/>
        </w:rPr>
      </w:r>
      <w:r>
        <w:rPr>
          <w:spacing w:val="-3"/>
        </w:rPr>
        <w:t>资源等多领域可与南天信息产生协同作用。</w:t>
      </w:r>
    </w:p>
    <w:p>
      <w:pPr>
        <w:spacing w:line="428" w:lineRule="exact" w:before="17"/>
        <w:ind w:left="513" w:right="855" w:firstLine="0"/>
        <w:jc w:val="left"/>
        <w:rPr>
          <w:rFonts w:ascii="宋体" w:hAnsi="宋体" w:cs="宋体" w:eastAsia="宋体" w:hint="default"/>
          <w:sz w:val="18"/>
          <w:szCs w:val="18"/>
        </w:rPr>
      </w:pPr>
      <w:r>
        <w:rPr>
          <w:rFonts w:ascii="宋体" w:hAnsi="宋体" w:cs="宋体" w:eastAsia="宋体" w:hint="default"/>
          <w:b/>
          <w:bCs/>
          <w:sz w:val="18"/>
          <w:szCs w:val="18"/>
        </w:rPr>
        <w:t>（四）优化股本结构，进一步完善公司治理</w:t>
      </w:r>
      <w:r>
        <w:rPr>
          <w:rFonts w:ascii="宋体" w:hAnsi="宋体" w:cs="宋体" w:eastAsia="宋体" w:hint="default"/>
          <w:b/>
          <w:bCs/>
          <w:spacing w:val="-89"/>
          <w:sz w:val="18"/>
          <w:szCs w:val="18"/>
        </w:rPr>
        <w:t> </w:t>
      </w:r>
      <w:r>
        <w:rPr>
          <w:rFonts w:ascii="宋体" w:hAnsi="宋体" w:cs="宋体" w:eastAsia="宋体" w:hint="default"/>
          <w:b/>
          <w:bCs/>
          <w:spacing w:val="-89"/>
          <w:sz w:val="18"/>
          <w:szCs w:val="18"/>
        </w:rPr>
      </w:r>
      <w:r>
        <w:rPr>
          <w:rFonts w:ascii="宋体" w:hAnsi="宋体" w:cs="宋体" w:eastAsia="宋体" w:hint="default"/>
          <w:spacing w:val="-5"/>
          <w:sz w:val="18"/>
          <w:szCs w:val="18"/>
        </w:rPr>
        <w:t>报告期内，积极合理回报广大投资者、优化股本结构、增强公司股票流动性，公司实施了资本公积转增股本；积极主动</w:t>
      </w:r>
    </w:p>
    <w:p>
      <w:pPr>
        <w:pStyle w:val="BodyText"/>
        <w:spacing w:line="309" w:lineRule="auto" w:before="16"/>
        <w:ind w:right="1030"/>
        <w:jc w:val="both"/>
      </w:pPr>
      <w:r>
        <w:rPr>
          <w:spacing w:val="-6"/>
        </w:rPr>
        <w:t>适应证券和国资监管要求变化，结合公司实际经营管理，修订公司章程，增加经营范围，进一步规范上市公司法人治理体系。</w:t>
      </w:r>
      <w:r>
        <w:rPr>
          <w:spacing w:val="63"/>
        </w:rPr>
        <w:t> </w:t>
      </w:r>
      <w:r>
        <w:rPr>
          <w:spacing w:val="63"/>
        </w:rPr>
      </w:r>
      <w:r>
        <w:rPr>
          <w:spacing w:val="-5"/>
          <w:w w:val="101"/>
        </w:rPr>
        <w:t>根据公司战略及经营发展需要，贯彻和落实安全的信息技术应用创新的国家战略，公司成立</w:t>
      </w:r>
      <w:r>
        <w:rPr>
          <w:rFonts w:ascii="Times New Roman" w:hAnsi="Times New Roman" w:cs="Times New Roman" w:eastAsia="Times New Roman" w:hint="default"/>
          <w:spacing w:val="-5"/>
          <w:w w:val="101"/>
        </w:rPr>
        <w:t>“</w:t>
      </w:r>
      <w:r>
        <w:rPr>
          <w:spacing w:val="-5"/>
          <w:w w:val="101"/>
        </w:rPr>
        <w:t>信息技术应用创新工作委员会</w:t>
      </w:r>
      <w:r>
        <w:rPr>
          <w:rFonts w:ascii="Times New Roman" w:hAnsi="Times New Roman" w:cs="Times New Roman" w:eastAsia="Times New Roman" w:hint="default"/>
          <w:spacing w:val="-5"/>
          <w:w w:val="101"/>
        </w:rPr>
        <w:t>”</w:t>
      </w:r>
      <w:r>
        <w:rPr>
          <w:spacing w:val="-5"/>
          <w:w w:val="101"/>
        </w:rPr>
        <w:t>；</w:t>
      </w:r>
      <w:r>
        <w:rPr>
          <w:w w:val="101"/>
        </w:rPr>
        <w:t> </w:t>
      </w:r>
      <w:r>
        <w:rPr>
          <w:spacing w:val="-3"/>
        </w:rPr>
        <w:t>继续推行阿米巴经营管理，发布《自主经营体经营责任制管理制度》系列文件，持续完善经营管理及分析系统。</w:t>
      </w:r>
    </w:p>
    <w:p>
      <w:pPr>
        <w:spacing w:line="428" w:lineRule="exact" w:before="17"/>
        <w:ind w:left="513" w:right="855" w:firstLine="0"/>
        <w:jc w:val="left"/>
        <w:rPr>
          <w:rFonts w:ascii="宋体" w:hAnsi="宋体" w:cs="宋体" w:eastAsia="宋体" w:hint="default"/>
          <w:sz w:val="18"/>
          <w:szCs w:val="18"/>
        </w:rPr>
      </w:pPr>
      <w:r>
        <w:rPr>
          <w:rFonts w:ascii="宋体" w:hAnsi="宋体" w:cs="宋体" w:eastAsia="宋体" w:hint="default"/>
          <w:b/>
          <w:bCs/>
          <w:sz w:val="18"/>
          <w:szCs w:val="18"/>
        </w:rPr>
        <w:t>（五）内外兼修，提升资质竞争力和品牌价值</w:t>
      </w:r>
      <w:r>
        <w:rPr>
          <w:rFonts w:ascii="宋体" w:hAnsi="宋体" w:cs="宋体" w:eastAsia="宋体" w:hint="default"/>
          <w:b/>
          <w:bCs/>
          <w:spacing w:val="-87"/>
          <w:sz w:val="18"/>
          <w:szCs w:val="18"/>
        </w:rPr>
        <w:t> </w:t>
      </w:r>
      <w:r>
        <w:rPr>
          <w:rFonts w:ascii="宋体" w:hAnsi="宋体" w:cs="宋体" w:eastAsia="宋体" w:hint="default"/>
          <w:b/>
          <w:bCs/>
          <w:spacing w:val="-87"/>
          <w:sz w:val="18"/>
          <w:szCs w:val="18"/>
        </w:rPr>
      </w:r>
      <w:r>
        <w:rPr>
          <w:rFonts w:ascii="宋体" w:hAnsi="宋体" w:cs="宋体" w:eastAsia="宋体" w:hint="default"/>
          <w:spacing w:val="-5"/>
          <w:sz w:val="18"/>
          <w:szCs w:val="18"/>
        </w:rPr>
        <w:t>报告期内，公司顺利通过国家企业技术中心大评价；完成省级企业技术中心、高新技术企业、省工程技术研究中心、省</w:t>
      </w:r>
    </w:p>
    <w:p>
      <w:pPr>
        <w:pStyle w:val="BodyText"/>
        <w:spacing w:line="300" w:lineRule="auto" w:before="16"/>
        <w:ind w:right="1121"/>
        <w:jc w:val="both"/>
      </w:pPr>
      <w:r>
        <w:rPr>
          <w:spacing w:val="-2"/>
        </w:rPr>
        <w:t>生产力促进中心等年审。南天信息作为</w:t>
      </w:r>
      <w:r>
        <w:rPr>
          <w:rFonts w:ascii="Times New Roman" w:hAnsi="Times New Roman" w:cs="Times New Roman" w:eastAsia="Times New Roman" w:hint="default"/>
          <w:spacing w:val="-2"/>
        </w:rPr>
        <w:t>ITSS</w:t>
      </w:r>
      <w:r>
        <w:rPr>
          <w:spacing w:val="-2"/>
        </w:rPr>
        <w:t>标准的制定方之一，深度参与</w:t>
      </w:r>
      <w:r>
        <w:rPr>
          <w:rFonts w:ascii="Times New Roman" w:hAnsi="Times New Roman" w:cs="Times New Roman" w:eastAsia="Times New Roman" w:hint="default"/>
          <w:spacing w:val="-2"/>
        </w:rPr>
        <w:t>ITSS</w:t>
      </w:r>
      <w:r>
        <w:rPr>
          <w:spacing w:val="-2"/>
        </w:rPr>
        <w:t>标准研制与推广，获得</w:t>
      </w:r>
      <w:r>
        <w:rPr>
          <w:rFonts w:ascii="Times New Roman" w:hAnsi="Times New Roman" w:cs="Times New Roman" w:eastAsia="Times New Roman" w:hint="default"/>
          <w:spacing w:val="-2"/>
        </w:rPr>
        <w:t>ITSS</w:t>
      </w:r>
      <w:r>
        <w:rPr>
          <w:spacing w:val="-2"/>
        </w:rPr>
        <w:t>云计算</w:t>
      </w:r>
      <w:r>
        <w:rPr>
          <w:rFonts w:ascii="Times New Roman" w:hAnsi="Times New Roman" w:cs="Times New Roman" w:eastAsia="Times New Roman" w:hint="default"/>
          <w:spacing w:val="-2"/>
        </w:rPr>
        <w:t>SaaS</w:t>
      </w:r>
      <w:r>
        <w:rPr>
          <w:spacing w:val="-2"/>
        </w:rPr>
        <w:t>服务</w:t>
      </w:r>
      <w:r>
        <w:rPr>
          <w:spacing w:val="4"/>
        </w:rPr>
        <w:t> </w:t>
      </w:r>
      <w:r>
        <w:rPr>
          <w:spacing w:val="-1"/>
        </w:rPr>
        <w:t>能力二级资质，通过</w:t>
      </w:r>
      <w:r>
        <w:rPr>
          <w:rFonts w:ascii="Times New Roman" w:hAnsi="Times New Roman" w:cs="Times New Roman" w:eastAsia="Times New Roman" w:hint="default"/>
          <w:spacing w:val="-1"/>
        </w:rPr>
        <w:t>ITSS</w:t>
      </w:r>
      <w:r>
        <w:rPr>
          <w:spacing w:val="-1"/>
        </w:rPr>
        <w:t>运维成熟度一级监督审核；并参加了首届信息技术服务业高质量发展论坛暨</w:t>
      </w:r>
      <w:r>
        <w:rPr>
          <w:rFonts w:ascii="Times New Roman" w:hAnsi="Times New Roman" w:cs="Times New Roman" w:eastAsia="Times New Roman" w:hint="default"/>
          <w:spacing w:val="-1"/>
        </w:rPr>
        <w:t>ITSS</w:t>
      </w:r>
      <w:r>
        <w:rPr>
          <w:spacing w:val="-1"/>
        </w:rPr>
        <w:t>体系建设十年大</w:t>
      </w:r>
      <w:r>
        <w:rPr>
          <w:spacing w:val="45"/>
        </w:rPr>
        <w:t> </w:t>
      </w:r>
      <w:r>
        <w:rPr>
          <w:spacing w:val="45"/>
        </w:rPr>
      </w:r>
      <w:r>
        <w:rPr/>
        <w:t>会。</w:t>
      </w:r>
    </w:p>
    <w:p>
      <w:pPr>
        <w:pStyle w:val="BodyText"/>
        <w:spacing w:line="300" w:lineRule="auto" w:before="74"/>
        <w:ind w:right="1083" w:firstLine="360"/>
        <w:jc w:val="both"/>
      </w:pPr>
      <w:r>
        <w:rPr>
          <w:spacing w:val="-3"/>
        </w:rPr>
        <w:t>报告期内，南天信息连续入选</w:t>
      </w:r>
      <w:r>
        <w:rPr>
          <w:rFonts w:ascii="Times New Roman" w:hAnsi="Times New Roman" w:cs="Times New Roman" w:eastAsia="Times New Roman" w:hint="default"/>
          <w:spacing w:val="-3"/>
        </w:rPr>
        <w:t>“</w:t>
      </w:r>
      <w:r>
        <w:rPr>
          <w:spacing w:val="-3"/>
        </w:rPr>
        <w:t>中国软件业务收入百强</w:t>
      </w:r>
      <w:r>
        <w:rPr>
          <w:rFonts w:ascii="Times New Roman" w:hAnsi="Times New Roman" w:cs="Times New Roman" w:eastAsia="Times New Roman" w:hint="default"/>
          <w:spacing w:val="-3"/>
        </w:rPr>
        <w:t>”</w:t>
      </w:r>
      <w:r>
        <w:rPr>
          <w:spacing w:val="-3"/>
        </w:rPr>
        <w:t>、</w:t>
      </w:r>
      <w:r>
        <w:rPr>
          <w:rFonts w:ascii="Times New Roman" w:hAnsi="Times New Roman" w:cs="Times New Roman" w:eastAsia="Times New Roman" w:hint="default"/>
          <w:spacing w:val="-3"/>
        </w:rPr>
        <w:t>“</w:t>
      </w:r>
      <w:r>
        <w:rPr>
          <w:spacing w:val="-3"/>
        </w:rPr>
        <w:t>中国软件和信息技术服务综合竞争力百强企业</w:t>
      </w:r>
      <w:r>
        <w:rPr>
          <w:rFonts w:ascii="Times New Roman" w:hAnsi="Times New Roman" w:cs="Times New Roman" w:eastAsia="Times New Roman" w:hint="default"/>
          <w:spacing w:val="-3"/>
        </w:rPr>
        <w:t>”</w:t>
      </w:r>
      <w:r>
        <w:rPr>
          <w:spacing w:val="-3"/>
        </w:rPr>
        <w:t>（第</w:t>
      </w:r>
      <w:r>
        <w:rPr>
          <w:rFonts w:ascii="Times New Roman" w:hAnsi="Times New Roman" w:cs="Times New Roman" w:eastAsia="Times New Roman" w:hint="default"/>
          <w:spacing w:val="-3"/>
        </w:rPr>
        <w:t>62</w:t>
      </w:r>
      <w:r>
        <w:rPr>
          <w:spacing w:val="-3"/>
        </w:rPr>
        <w:t>名）、</w:t>
      </w:r>
      <w:r>
        <w:rPr>
          <w:w w:val="101"/>
        </w:rPr>
        <w:t> </w:t>
      </w:r>
      <w:r>
        <w:rPr>
          <w:rFonts w:ascii="Times New Roman" w:hAnsi="Times New Roman" w:cs="Times New Roman" w:eastAsia="Times New Roman" w:hint="default"/>
          <w:spacing w:val="-3"/>
        </w:rPr>
        <w:t>“</w:t>
      </w:r>
      <w:r>
        <w:rPr>
          <w:spacing w:val="-3"/>
        </w:rPr>
        <w:t>中国方案商百强</w:t>
      </w:r>
      <w:r>
        <w:rPr>
          <w:rFonts w:ascii="Times New Roman" w:hAnsi="Times New Roman" w:cs="Times New Roman" w:eastAsia="Times New Roman" w:hint="default"/>
          <w:spacing w:val="-3"/>
        </w:rPr>
        <w:t>”</w:t>
      </w:r>
      <w:r>
        <w:rPr>
          <w:spacing w:val="-3"/>
        </w:rPr>
        <w:t>（第</w:t>
      </w:r>
      <w:r>
        <w:rPr>
          <w:rFonts w:ascii="Times New Roman" w:hAnsi="Times New Roman" w:cs="Times New Roman" w:eastAsia="Times New Roman" w:hint="default"/>
          <w:spacing w:val="-3"/>
        </w:rPr>
        <w:t>38</w:t>
      </w:r>
      <w:r>
        <w:rPr>
          <w:spacing w:val="-3"/>
        </w:rPr>
        <w:t>名）、入选</w:t>
      </w:r>
      <w:r>
        <w:rPr>
          <w:rFonts w:ascii="Times New Roman" w:hAnsi="Times New Roman" w:cs="Times New Roman" w:eastAsia="Times New Roman" w:hint="default"/>
          <w:spacing w:val="-3"/>
        </w:rPr>
        <w:t>“2019</w:t>
      </w:r>
      <w:r>
        <w:rPr>
          <w:spacing w:val="-3"/>
        </w:rPr>
        <w:t>年中国软件和信息服务业十大领军企业</w:t>
      </w:r>
      <w:r>
        <w:rPr>
          <w:rFonts w:ascii="Times New Roman" w:hAnsi="Times New Roman" w:cs="Times New Roman" w:eastAsia="Times New Roman" w:hint="default"/>
          <w:spacing w:val="-3"/>
        </w:rPr>
        <w:t>”</w:t>
      </w:r>
      <w:r>
        <w:rPr>
          <w:spacing w:val="-3"/>
        </w:rPr>
        <w:t>、获得</w:t>
      </w:r>
      <w:r>
        <w:rPr>
          <w:rFonts w:ascii="Times New Roman" w:hAnsi="Times New Roman" w:cs="Times New Roman" w:eastAsia="Times New Roman" w:hint="default"/>
          <w:spacing w:val="-3"/>
        </w:rPr>
        <w:t>“</w:t>
      </w:r>
      <w:r>
        <w:rPr>
          <w:spacing w:val="-3"/>
        </w:rPr>
        <w:t>年度最具影响力数字化服务商</w:t>
      </w:r>
      <w:r>
        <w:rPr>
          <w:rFonts w:ascii="Times New Roman" w:hAnsi="Times New Roman" w:cs="Times New Roman" w:eastAsia="Times New Roman" w:hint="default"/>
          <w:spacing w:val="-3"/>
        </w:rPr>
        <w:t>”</w:t>
      </w:r>
      <w:r>
        <w:rPr>
          <w:spacing w:val="-3"/>
        </w:rPr>
        <w:t>、</w:t>
      </w:r>
      <w:r>
        <w:rPr>
          <w:spacing w:val="78"/>
        </w:rPr>
        <w:t> </w:t>
      </w:r>
      <w:r>
        <w:rPr>
          <w:rFonts w:ascii="Times New Roman" w:hAnsi="Times New Roman" w:cs="Times New Roman" w:eastAsia="Times New Roman" w:hint="default"/>
          <w:spacing w:val="-1"/>
        </w:rPr>
        <w:t>“2019</w:t>
      </w:r>
      <w:r>
        <w:rPr>
          <w:spacing w:val="-1"/>
        </w:rPr>
        <w:t>中国软件和信息服务业最有价值品牌</w:t>
      </w:r>
      <w:r>
        <w:rPr>
          <w:rFonts w:ascii="Times New Roman" w:hAnsi="Times New Roman" w:cs="Times New Roman" w:eastAsia="Times New Roman" w:hint="default"/>
          <w:spacing w:val="-1"/>
        </w:rPr>
        <w:t>”</w:t>
      </w:r>
      <w:r>
        <w:rPr>
          <w:spacing w:val="-1"/>
        </w:rPr>
        <w:t>等诸多行业荣誉。据赛迪顾问发布的《</w:t>
      </w:r>
      <w:r>
        <w:rPr>
          <w:rFonts w:ascii="Times New Roman" w:hAnsi="Times New Roman" w:cs="Times New Roman" w:eastAsia="Times New Roman" w:hint="default"/>
          <w:spacing w:val="-1"/>
        </w:rPr>
        <w:t>2018-2019</w:t>
      </w:r>
      <w:r>
        <w:rPr>
          <w:spacing w:val="-1"/>
        </w:rPr>
        <w:t>年中国金融</w:t>
      </w:r>
      <w:r>
        <w:rPr>
          <w:rFonts w:ascii="Times New Roman" w:hAnsi="Times New Roman" w:cs="Times New Roman" w:eastAsia="Times New Roman" w:hint="default"/>
          <w:spacing w:val="-1"/>
        </w:rPr>
        <w:t>IT</w:t>
      </w:r>
      <w:r>
        <w:rPr>
          <w:spacing w:val="-1"/>
        </w:rPr>
        <w:t>应用市场研究年</w:t>
      </w:r>
      <w:r>
        <w:rPr>
          <w:spacing w:val="41"/>
        </w:rPr>
        <w:t> </w:t>
      </w:r>
      <w:r>
        <w:rPr>
          <w:spacing w:val="41"/>
        </w:rPr>
      </w:r>
      <w:r>
        <w:rPr>
          <w:spacing w:val="-3"/>
        </w:rPr>
        <w:t>度报告》，南天信息在中国金融</w:t>
      </w:r>
      <w:r>
        <w:rPr>
          <w:rFonts w:ascii="Times New Roman" w:hAnsi="Times New Roman" w:cs="Times New Roman" w:eastAsia="Times New Roman" w:hint="default"/>
          <w:spacing w:val="-3"/>
        </w:rPr>
        <w:t>IT</w:t>
      </w:r>
      <w:r>
        <w:rPr>
          <w:spacing w:val="-3"/>
        </w:rPr>
        <w:t>应用市场领导者象限排名第三，在银行</w:t>
      </w:r>
      <w:r>
        <w:rPr>
          <w:rFonts w:ascii="Times New Roman" w:hAnsi="Times New Roman" w:cs="Times New Roman" w:eastAsia="Times New Roman" w:hint="default"/>
          <w:spacing w:val="-3"/>
        </w:rPr>
        <w:t>IT</w:t>
      </w:r>
      <w:r>
        <w:rPr>
          <w:spacing w:val="-3"/>
        </w:rPr>
        <w:t>解决方案市场领导者象限排名第二。</w:t>
      </w:r>
    </w:p>
    <w:p>
      <w:pPr>
        <w:pStyle w:val="BodyText"/>
        <w:spacing w:line="312" w:lineRule="auto" w:before="51"/>
        <w:ind w:right="1122" w:firstLine="360"/>
        <w:jc w:val="both"/>
      </w:pPr>
      <w:r>
        <w:rPr>
          <w:rFonts w:ascii="Times New Roman" w:hAnsi="Times New Roman" w:cs="Times New Roman" w:eastAsia="Times New Roman" w:hint="default"/>
          <w:spacing w:val="-4"/>
        </w:rPr>
        <w:t>2020</w:t>
      </w:r>
      <w:r>
        <w:rPr>
          <w:spacing w:val="-4"/>
        </w:rPr>
        <w:t>年，公司将继续秉承持续稳健的经营理念，深入贯彻公司的发展战略，</w:t>
      </w:r>
      <w:r>
        <w:rPr>
          <w:rFonts w:ascii="Times New Roman" w:hAnsi="Times New Roman" w:cs="Times New Roman" w:eastAsia="Times New Roman" w:hint="default"/>
          <w:spacing w:val="-4"/>
        </w:rPr>
        <w:t>“</w:t>
      </w:r>
      <w:r>
        <w:rPr>
          <w:spacing w:val="-4"/>
        </w:rPr>
        <w:t>认知、聚变、智领</w:t>
      </w:r>
      <w:r>
        <w:rPr>
          <w:rFonts w:ascii="Times New Roman" w:hAnsi="Times New Roman" w:cs="Times New Roman" w:eastAsia="Times New Roman" w:hint="default"/>
          <w:spacing w:val="-4"/>
        </w:rPr>
        <w:t>”</w:t>
      </w:r>
      <w:r>
        <w:rPr>
          <w:spacing w:val="-4"/>
        </w:rPr>
        <w:t>，用数字化服务赋能客</w:t>
      </w:r>
      <w:r>
        <w:rPr>
          <w:w w:val="101"/>
        </w:rPr>
        <w:t> </w:t>
      </w:r>
      <w:r>
        <w:rPr>
          <w:spacing w:val="-4"/>
        </w:rPr>
        <w:t>户业务的转型和升级，做专做强做大存量业务，加大资源整合力度，持续完善公司治理结构，规范公司运作水平，强化内控</w:t>
      </w:r>
      <w:r>
        <w:rPr>
          <w:spacing w:val="40"/>
        </w:rPr>
        <w:t> </w:t>
      </w:r>
      <w:r>
        <w:rPr>
          <w:spacing w:val="40"/>
        </w:rPr>
      </w:r>
      <w:r>
        <w:rPr>
          <w:spacing w:val="-4"/>
        </w:rPr>
        <w:t>制度建设，控制经营风险，不断提高决策效率和管理水平，提升创新驱动能力，合理配置优质资源，调整优化产业结构，强</w:t>
      </w:r>
      <w:r>
        <w:rPr>
          <w:spacing w:val="40"/>
        </w:rPr>
        <w:t> </w:t>
      </w:r>
      <w:r>
        <w:rPr>
          <w:spacing w:val="40"/>
        </w:rPr>
      </w:r>
      <w:r>
        <w:rPr>
          <w:spacing w:val="-3"/>
        </w:rPr>
        <w:t>化人才队伍建设，进一步提升公司的核心竞争力，推动公司长期、稳健、可持续发展。</w:t>
      </w:r>
    </w:p>
    <w:p>
      <w:pPr>
        <w:spacing w:line="240" w:lineRule="auto" w:before="12"/>
        <w:rPr>
          <w:rFonts w:ascii="宋体" w:hAnsi="宋体" w:cs="宋体" w:eastAsia="宋体" w:hint="default"/>
          <w:sz w:val="20"/>
          <w:szCs w:val="20"/>
        </w:rPr>
      </w:pPr>
    </w:p>
    <w:p>
      <w:pPr>
        <w:pStyle w:val="Heading2"/>
        <w:spacing w:line="240" w:lineRule="auto"/>
        <w:ind w:right="0"/>
        <w:jc w:val="both"/>
        <w:rPr>
          <w:b w:val="0"/>
          <w:bCs w:val="0"/>
        </w:rPr>
      </w:pPr>
      <w:r>
        <w:rPr/>
        <w:t>二、主营业务分析</w:t>
      </w:r>
      <w:r>
        <w:rPr>
          <w:b w:val="0"/>
          <w:bCs w:val="0"/>
        </w:rPr>
      </w:r>
    </w:p>
    <w:p>
      <w:pPr>
        <w:spacing w:line="240" w:lineRule="auto" w:before="7"/>
        <w:rPr>
          <w:rFonts w:ascii="宋体" w:hAnsi="宋体" w:cs="宋体" w:eastAsia="宋体" w:hint="default"/>
          <w:b/>
          <w:bCs/>
          <w:sz w:val="24"/>
          <w:szCs w:val="24"/>
        </w:rPr>
      </w:pPr>
    </w:p>
    <w:p>
      <w:pPr>
        <w:spacing w:line="544" w:lineRule="auto" w:before="0"/>
        <w:ind w:left="153" w:right="611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w w:val="100"/>
          <w:sz w:val="21"/>
          <w:szCs w:val="21"/>
        </w:rPr>
        <w:t> </w:t>
      </w:r>
      <w:r>
        <w:rPr>
          <w:rFonts w:ascii="宋体" w:hAnsi="宋体" w:cs="宋体" w:eastAsia="宋体" w:hint="default"/>
          <w:spacing w:val="-3"/>
          <w:sz w:val="18"/>
          <w:szCs w:val="18"/>
        </w:rPr>
        <w:t>参见</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经营情况讨论与分析</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中的</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一、概述</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相关内容。</w:t>
      </w:r>
      <w:r>
        <w:rPr>
          <w:rFonts w:ascii="宋体" w:hAnsi="宋体" w:cs="宋体" w:eastAsia="宋体" w:hint="default"/>
          <w:spacing w:val="-15"/>
          <w:sz w:val="18"/>
          <w:szCs w:val="18"/>
        </w:rPr>
        <w:t> </w:t>
      </w:r>
      <w:r>
        <w:rPr>
          <w:rFonts w:ascii="宋体" w:hAnsi="宋体" w:cs="宋体" w:eastAsia="宋体" w:hint="default"/>
          <w:spacing w:val="-15"/>
          <w:sz w:val="18"/>
          <w:szCs w:val="18"/>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pStyle w:val="Heading4"/>
        <w:spacing w:line="240" w:lineRule="auto" w:before="28"/>
        <w:ind w:right="0"/>
        <w:jc w:val="both"/>
        <w:rPr>
          <w:b w:val="0"/>
          <w:bCs w:val="0"/>
        </w:rPr>
      </w:pPr>
      <w:r>
        <w:rPr/>
        <w:t>（</w:t>
      </w:r>
      <w:r>
        <w:rPr>
          <w:rFonts w:ascii="Times New Roman" w:hAnsi="Times New Roman" w:cs="Times New Roman" w:eastAsia="Times New Roman" w:hint="default"/>
        </w:rPr>
        <w:t>1</w:t>
      </w:r>
      <w:r>
        <w:rPr/>
        <w:t>）营业收入构成</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21"/>
        <w:jc w:val="right"/>
      </w:pPr>
      <w:r>
        <w:rPr>
          <w:spacing w:val="-2"/>
        </w:rPr>
        <w:t>单位：元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700"/>
        <w:gridCol w:w="1561"/>
        <w:gridCol w:w="1704"/>
        <w:gridCol w:w="1417"/>
        <w:gridCol w:w="1701"/>
        <w:gridCol w:w="1487"/>
      </w:tblGrid>
      <w:tr>
        <w:trPr>
          <w:trHeight w:val="403" w:hRule="exact"/>
        </w:trPr>
        <w:tc>
          <w:tcPr>
            <w:tcW w:w="1700" w:type="dxa"/>
            <w:vMerge w:val="restart"/>
            <w:tcBorders>
              <w:top w:val="single" w:sz="4" w:space="0" w:color="000000"/>
              <w:left w:val="single" w:sz="4" w:space="0" w:color="000000"/>
              <w:right w:val="single" w:sz="4" w:space="0" w:color="000000"/>
            </w:tcBorders>
            <w:shd w:val="clear" w:color="auto" w:fill="D2D2D2"/>
          </w:tcPr>
          <w:p>
            <w:pPr/>
          </w:p>
        </w:tc>
        <w:tc>
          <w:tcPr>
            <w:tcW w:w="326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311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48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7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1700" w:type="dxa"/>
            <w:vMerge/>
            <w:tcBorders>
              <w:left w:val="single" w:sz="4" w:space="0" w:color="000000"/>
              <w:bottom w:val="single" w:sz="4" w:space="0" w:color="000000"/>
              <w:right w:val="single" w:sz="4" w:space="0" w:color="000000"/>
            </w:tcBorders>
            <w:shd w:val="clear" w:color="auto" w:fill="D2D2D2"/>
          </w:tcPr>
          <w:p>
            <w:pP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7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6" w:right="0"/>
              <w:jc w:val="left"/>
              <w:rPr>
                <w:rFonts w:ascii="宋体" w:hAnsi="宋体" w:cs="宋体" w:eastAsia="宋体" w:hint="default"/>
                <w:sz w:val="18"/>
                <w:szCs w:val="18"/>
              </w:rPr>
            </w:pPr>
            <w:r>
              <w:rPr>
                <w:rFonts w:ascii="宋体" w:hAnsi="宋体" w:cs="宋体" w:eastAsia="宋体" w:hint="default"/>
                <w:spacing w:val="-3"/>
                <w:sz w:val="18"/>
                <w:szCs w:val="18"/>
              </w:rPr>
              <w:t>占营业收入比重</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6" w:right="0"/>
              <w:jc w:val="left"/>
              <w:rPr>
                <w:rFonts w:ascii="宋体" w:hAnsi="宋体" w:cs="宋体" w:eastAsia="宋体" w:hint="default"/>
                <w:sz w:val="18"/>
                <w:szCs w:val="18"/>
              </w:rPr>
            </w:pPr>
            <w:r>
              <w:rPr>
                <w:rFonts w:ascii="宋体" w:hAnsi="宋体" w:cs="宋体" w:eastAsia="宋体" w:hint="default"/>
                <w:spacing w:val="-3"/>
                <w:sz w:val="18"/>
                <w:szCs w:val="18"/>
              </w:rPr>
              <w:t>占营业收入比重</w:t>
            </w:r>
          </w:p>
        </w:tc>
        <w:tc>
          <w:tcPr>
            <w:tcW w:w="1487" w:type="dxa"/>
            <w:vMerge/>
            <w:tcBorders>
              <w:left w:val="single" w:sz="4" w:space="0" w:color="000000"/>
              <w:bottom w:val="single" w:sz="4" w:space="0" w:color="000000"/>
              <w:right w:val="single" w:sz="4" w:space="0" w:color="000000"/>
            </w:tcBorders>
            <w:shd w:val="clear" w:color="auto" w:fill="D2D2D2"/>
          </w:tcPr>
          <w:p>
            <w:pPr/>
          </w:p>
        </w:tc>
      </w:tr>
      <w:tr>
        <w:trPr>
          <w:trHeight w:val="409" w:hRule="exact"/>
        </w:trPr>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3,303,367,428.19</w:t>
            </w:r>
          </w:p>
        </w:tc>
        <w:tc>
          <w:tcPr>
            <w:tcW w:w="17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2,779,803,154.27</w:t>
            </w:r>
          </w:p>
        </w:tc>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15"/>
              <w:jc w:val="right"/>
              <w:rPr>
                <w:rFonts w:ascii="Times New Roman" w:hAnsi="Times New Roman" w:cs="Times New Roman" w:eastAsia="Times New Roman" w:hint="default"/>
                <w:sz w:val="18"/>
                <w:szCs w:val="18"/>
              </w:rPr>
            </w:pPr>
            <w:r>
              <w:rPr>
                <w:rFonts w:ascii="Times New Roman"/>
                <w:spacing w:val="-2"/>
                <w:sz w:val="18"/>
              </w:rPr>
              <w:t>100%</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18.83%</w:t>
            </w:r>
          </w:p>
        </w:tc>
      </w:tr>
      <w:tr>
        <w:trPr>
          <w:trHeight w:val="394" w:hRule="exact"/>
        </w:trPr>
        <w:tc>
          <w:tcPr>
            <w:tcW w:w="9570"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3" w:hRule="exact"/>
        </w:trPr>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软件和信息技术服务</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3,276,115,014.84</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99.18%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2,753,094,617.21</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5"/>
              <w:jc w:val="right"/>
              <w:rPr>
                <w:rFonts w:ascii="Times New Roman" w:hAnsi="Times New Roman" w:cs="Times New Roman" w:eastAsia="Times New Roman" w:hint="default"/>
                <w:sz w:val="18"/>
                <w:szCs w:val="18"/>
              </w:rPr>
            </w:pPr>
            <w:r>
              <w:rPr>
                <w:rFonts w:ascii="Times New Roman"/>
                <w:spacing w:val="-1"/>
                <w:sz w:val="18"/>
              </w:rPr>
              <w:t>99.04%</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19.00%</w:t>
            </w:r>
          </w:p>
        </w:tc>
      </w:tr>
      <w:tr>
        <w:trPr>
          <w:trHeight w:val="403" w:hRule="exact"/>
        </w:trPr>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27,252,413.35</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0.82%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26,708,537.06</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5"/>
              <w:jc w:val="right"/>
              <w:rPr>
                <w:rFonts w:ascii="Times New Roman" w:hAnsi="Times New Roman" w:cs="Times New Roman" w:eastAsia="Times New Roman" w:hint="default"/>
                <w:sz w:val="18"/>
                <w:szCs w:val="18"/>
              </w:rPr>
            </w:pPr>
            <w:r>
              <w:rPr>
                <w:rFonts w:ascii="Times New Roman"/>
                <w:spacing w:val="-1"/>
                <w:sz w:val="18"/>
              </w:rPr>
              <w:t>0.96%</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2.04%</w:t>
            </w:r>
          </w:p>
        </w:tc>
      </w:tr>
    </w:tbl>
    <w:p>
      <w:pPr>
        <w:spacing w:after="0" w:line="240" w:lineRule="auto"/>
        <w:jc w:val="right"/>
        <w:rPr>
          <w:rFonts w:ascii="Times New Roman" w:hAnsi="Times New Roman" w:cs="Times New Roman" w:eastAsia="Times New Roman" w:hint="default"/>
          <w:sz w:val="18"/>
          <w:szCs w:val="18"/>
        </w:rPr>
        <w:sectPr>
          <w:pgSz w:w="11910" w:h="16840"/>
          <w:pgMar w:header="746" w:footer="974"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700"/>
        <w:gridCol w:w="1561"/>
        <w:gridCol w:w="1704"/>
        <w:gridCol w:w="1417"/>
        <w:gridCol w:w="1700"/>
        <w:gridCol w:w="1489"/>
      </w:tblGrid>
      <w:tr>
        <w:trPr>
          <w:trHeight w:val="403" w:hRule="exact"/>
        </w:trPr>
        <w:tc>
          <w:tcPr>
            <w:tcW w:w="9570"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398" w:hRule="exact"/>
        </w:trPr>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软件开发及服务</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1,518,516,199.29</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45.98%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1,244,037,322.45</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44.75%</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22.06%</w:t>
            </w:r>
          </w:p>
        </w:tc>
      </w:tr>
      <w:tr>
        <w:trPr>
          <w:trHeight w:val="404" w:hRule="exact"/>
        </w:trPr>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智能渠道解决方案</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8"/>
                <w:szCs w:val="18"/>
              </w:rPr>
            </w:pPr>
            <w:r>
              <w:rPr>
                <w:rFonts w:ascii="Times New Roman"/>
                <w:spacing w:val="-1"/>
                <w:sz w:val="18"/>
              </w:rPr>
              <w:t>368,060,175.28</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8"/>
                <w:szCs w:val="18"/>
              </w:rPr>
            </w:pPr>
            <w:r>
              <w:rPr>
                <w:rFonts w:ascii="Times New Roman"/>
                <w:spacing w:val="-3"/>
                <w:sz w:val="18"/>
              </w:rPr>
              <w:t>11.14%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8"/>
                <w:szCs w:val="18"/>
              </w:rPr>
            </w:pPr>
            <w:r>
              <w:rPr>
                <w:rFonts w:ascii="Times New Roman"/>
                <w:spacing w:val="-1"/>
                <w:sz w:val="18"/>
              </w:rPr>
              <w:t>320,374,888.19</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pacing w:val="-3"/>
                <w:sz w:val="18"/>
              </w:rPr>
              <w:t>11.53%</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9"/>
              <w:jc w:val="right"/>
              <w:rPr>
                <w:rFonts w:ascii="Times New Roman" w:hAnsi="Times New Roman" w:cs="Times New Roman" w:eastAsia="Times New Roman" w:hint="default"/>
                <w:sz w:val="18"/>
                <w:szCs w:val="18"/>
              </w:rPr>
            </w:pPr>
            <w:r>
              <w:rPr>
                <w:rFonts w:ascii="Times New Roman"/>
                <w:spacing w:val="-1"/>
                <w:sz w:val="18"/>
              </w:rPr>
              <w:t>14.88%</w:t>
            </w:r>
          </w:p>
        </w:tc>
      </w:tr>
      <w:tr>
        <w:trPr>
          <w:trHeight w:val="403" w:hRule="exact"/>
        </w:trPr>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集成解决方案</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1,389,538,640.27</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42.06%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1,188,682,406.57</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42.76%</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16.90%</w:t>
            </w:r>
          </w:p>
        </w:tc>
      </w:tr>
      <w:tr>
        <w:trPr>
          <w:trHeight w:val="403" w:hRule="exact"/>
        </w:trPr>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27,252,413.35</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0.82%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26,708,537.06</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0.96%</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2.04%</w:t>
            </w:r>
          </w:p>
        </w:tc>
      </w:tr>
      <w:tr>
        <w:trPr>
          <w:trHeight w:val="398" w:hRule="exact"/>
        </w:trPr>
        <w:tc>
          <w:tcPr>
            <w:tcW w:w="9570"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4" w:hRule="exact"/>
        </w:trPr>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2"/>
                <w:sz w:val="18"/>
              </w:rPr>
              <w:t>1,560,805,991.27</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47.24%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2"/>
                <w:sz w:val="18"/>
              </w:rPr>
              <w:t>1,318,755,340.31</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1"/>
                <w:sz w:val="18"/>
              </w:rPr>
              <w:t>47.43%</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18.35%</w:t>
            </w:r>
          </w:p>
        </w:tc>
      </w:tr>
      <w:tr>
        <w:trPr>
          <w:trHeight w:val="403" w:hRule="exact"/>
        </w:trPr>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450,473,929.06</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13.64%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422,118,289.57</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15.19%</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6.72%</w:t>
            </w:r>
          </w:p>
        </w:tc>
      </w:tr>
      <w:tr>
        <w:trPr>
          <w:trHeight w:val="403" w:hRule="exact"/>
        </w:trPr>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770,522,037.36</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23.33%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553,789,247.62</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19.92%</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39.14%</w:t>
            </w:r>
          </w:p>
        </w:tc>
      </w:tr>
      <w:tr>
        <w:trPr>
          <w:trHeight w:val="398" w:hRule="exact"/>
        </w:trPr>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西南地区</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433,582,514.30</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13.13%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432,439,182.98</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15.56%</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0.26%</w:t>
            </w:r>
          </w:p>
        </w:tc>
      </w:tr>
      <w:tr>
        <w:trPr>
          <w:trHeight w:val="404" w:hRule="exact"/>
        </w:trPr>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华中地区</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29,035,795.73</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0.88%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6,283,932.17</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1"/>
                <w:sz w:val="18"/>
              </w:rPr>
              <w:t>0.23%</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2"/>
                <w:sz w:val="18"/>
              </w:rPr>
              <w:t>362.06%</w:t>
            </w:r>
          </w:p>
        </w:tc>
      </w:tr>
      <w:tr>
        <w:trPr>
          <w:trHeight w:val="403" w:hRule="exact"/>
        </w:trPr>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西北地区</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31,694,747.12</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0.96%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19,708,624.56</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0.71%</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60.82%</w:t>
            </w:r>
          </w:p>
        </w:tc>
      </w:tr>
      <w:tr>
        <w:trPr>
          <w:trHeight w:val="403" w:hRule="exact"/>
        </w:trPr>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27,252,413.35</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0.82%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26,708,537.06</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0.96%</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2.04%</w:t>
            </w:r>
          </w:p>
        </w:tc>
      </w:tr>
    </w:tbl>
    <w:p>
      <w:pPr>
        <w:pStyle w:val="BodyText"/>
        <w:spacing w:line="240" w:lineRule="auto" w:before="53"/>
        <w:ind w:right="855"/>
        <w:jc w:val="left"/>
      </w:pPr>
      <w:r>
        <w:rPr>
          <w:spacing w:val="-3"/>
        </w:rPr>
        <w:t>公司需遵守《深圳证券交易所行业信息披露指引第 </w:t>
      </w:r>
      <w:r>
        <w:rPr>
          <w:rFonts w:ascii="Times New Roman" w:hAnsi="Times New Roman" w:cs="Times New Roman" w:eastAsia="Times New Roman" w:hint="default"/>
        </w:rPr>
        <w:t>12  </w:t>
      </w:r>
      <w:r>
        <w:rPr>
          <w:rFonts w:ascii="Times New Roman" w:hAnsi="Times New Roman" w:cs="Times New Roman" w:eastAsia="Times New Roman" w:hint="default"/>
          <w:spacing w:val="11"/>
        </w:rPr>
        <w:t> </w:t>
      </w:r>
      <w:r>
        <w:rPr>
          <w:spacing w:val="-3"/>
        </w:rPr>
        <w:t>号</w:t>
      </w:r>
      <w:r>
        <w:rPr>
          <w:rFonts w:ascii="Times New Roman" w:hAnsi="Times New Roman" w:cs="Times New Roman" w:eastAsia="Times New Roman" w:hint="default"/>
          <w:spacing w:val="-3"/>
        </w:rPr>
        <w:t>——</w:t>
      </w:r>
      <w:r>
        <w:rPr>
          <w:spacing w:val="-3"/>
        </w:rPr>
        <w:t>上市公司从事软件与信息技术服务业务》的披露要求</w:t>
      </w:r>
    </w:p>
    <w:p>
      <w:pPr>
        <w:pStyle w:val="BodyText"/>
        <w:spacing w:line="240" w:lineRule="auto" w:before="96"/>
        <w:ind w:left="0" w:right="1121"/>
        <w:jc w:val="right"/>
      </w:pPr>
      <w:r>
        <w:rPr>
          <w:spacing w:val="-2"/>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17"/>
        <w:gridCol w:w="1008"/>
        <w:gridCol w:w="1013"/>
        <w:gridCol w:w="1008"/>
        <w:gridCol w:w="1013"/>
        <w:gridCol w:w="1004"/>
        <w:gridCol w:w="1004"/>
        <w:gridCol w:w="1004"/>
        <w:gridCol w:w="1003"/>
      </w:tblGrid>
      <w:tr>
        <w:trPr>
          <w:trHeight w:val="404" w:hRule="exact"/>
        </w:trPr>
        <w:tc>
          <w:tcPr>
            <w:tcW w:w="1517" w:type="dxa"/>
            <w:vMerge w:val="restart"/>
            <w:tcBorders>
              <w:top w:val="single" w:sz="4" w:space="0" w:color="000000"/>
              <w:left w:val="single" w:sz="4" w:space="0" w:color="000000"/>
              <w:right w:val="single" w:sz="4" w:space="0" w:color="000000"/>
            </w:tcBorders>
            <w:shd w:val="clear" w:color="auto" w:fill="D2D2D2"/>
          </w:tcPr>
          <w:p>
            <w:pPr/>
          </w:p>
        </w:tc>
        <w:tc>
          <w:tcPr>
            <w:tcW w:w="404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c>
          <w:tcPr>
            <w:tcW w:w="401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r>
      <w:tr>
        <w:trPr>
          <w:trHeight w:val="398" w:hRule="exact"/>
        </w:trPr>
        <w:tc>
          <w:tcPr>
            <w:tcW w:w="1517" w:type="dxa"/>
            <w:vMerge/>
            <w:tcBorders>
              <w:left w:val="single" w:sz="4" w:space="0" w:color="000000"/>
              <w:bottom w:val="single" w:sz="4" w:space="0" w:color="000000"/>
              <w:right w:val="single" w:sz="4" w:space="0" w:color="000000"/>
            </w:tcBorders>
            <w:shd w:val="clear" w:color="auto" w:fill="D2D2D2"/>
          </w:tcPr>
          <w:p>
            <w:pPr/>
          </w:p>
        </w:tc>
        <w:tc>
          <w:tcPr>
            <w:tcW w:w="10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39"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0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39"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0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39"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0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39" w:right="0"/>
              <w:jc w:val="left"/>
              <w:rPr>
                <w:rFonts w:ascii="宋体" w:hAnsi="宋体" w:cs="宋体" w:eastAsia="宋体" w:hint="default"/>
                <w:sz w:val="18"/>
                <w:szCs w:val="18"/>
              </w:rPr>
            </w:pPr>
            <w:r>
              <w:rPr>
                <w:rFonts w:ascii="宋体" w:hAnsi="宋体" w:cs="宋体" w:eastAsia="宋体" w:hint="default"/>
                <w:sz w:val="18"/>
                <w:szCs w:val="18"/>
              </w:rPr>
              <w:t>第四季度</w:t>
            </w:r>
          </w:p>
        </w:tc>
        <w:tc>
          <w:tcPr>
            <w:tcW w:w="10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34"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0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34"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0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34"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0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34"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715" w:hRule="exact"/>
        </w:trPr>
        <w:tc>
          <w:tcPr>
            <w:tcW w:w="1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439,239,432.</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65</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765,052,373.</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54</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893,964,257.</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63</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 w:right="0"/>
              <w:jc w:val="left"/>
              <w:rPr>
                <w:rFonts w:ascii="Times New Roman" w:hAnsi="Times New Roman" w:cs="Times New Roman" w:eastAsia="Times New Roman" w:hint="default"/>
                <w:sz w:val="18"/>
                <w:szCs w:val="18"/>
              </w:rPr>
            </w:pPr>
            <w:r>
              <w:rPr>
                <w:rFonts w:ascii="Times New Roman"/>
                <w:spacing w:val="-3"/>
                <w:sz w:val="18"/>
              </w:rPr>
              <w:t>1,205,111,36</w:t>
            </w:r>
          </w:p>
          <w:p>
            <w:pPr>
              <w:pStyle w:val="TableParagraph"/>
              <w:spacing w:line="240" w:lineRule="auto" w:before="110"/>
              <w:ind w:left="662" w:right="0"/>
              <w:jc w:val="left"/>
              <w:rPr>
                <w:rFonts w:ascii="Times New Roman" w:hAnsi="Times New Roman" w:cs="Times New Roman" w:eastAsia="Times New Roman" w:hint="default"/>
                <w:sz w:val="18"/>
                <w:szCs w:val="18"/>
              </w:rPr>
            </w:pPr>
            <w:r>
              <w:rPr>
                <w:rFonts w:ascii="Times New Roman"/>
                <w:sz w:val="18"/>
              </w:rPr>
              <w:t>4.37</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373,681,324.</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56</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620,864,223.</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09</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712,896,392.</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59</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1,072,361,21</w:t>
            </w:r>
          </w:p>
          <w:p>
            <w:pPr>
              <w:pStyle w:val="TableParagraph"/>
              <w:spacing w:line="240" w:lineRule="auto" w:before="110"/>
              <w:ind w:left="652" w:right="0"/>
              <w:jc w:val="left"/>
              <w:rPr>
                <w:rFonts w:ascii="Times New Roman" w:hAnsi="Times New Roman" w:cs="Times New Roman" w:eastAsia="Times New Roman" w:hint="default"/>
                <w:sz w:val="18"/>
                <w:szCs w:val="18"/>
              </w:rPr>
            </w:pPr>
            <w:r>
              <w:rPr>
                <w:rFonts w:ascii="Times New Roman"/>
                <w:sz w:val="18"/>
              </w:rPr>
              <w:t>4.03</w:t>
            </w:r>
          </w:p>
        </w:tc>
      </w:tr>
      <w:tr>
        <w:trPr>
          <w:trHeight w:val="716" w:hRule="exact"/>
        </w:trPr>
        <w:tc>
          <w:tcPr>
            <w:tcW w:w="1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4"/>
              <w:ind w:left="24" w:right="36"/>
              <w:jc w:val="left"/>
              <w:rPr>
                <w:rFonts w:ascii="宋体" w:hAnsi="宋体" w:cs="宋体" w:eastAsia="宋体" w:hint="default"/>
                <w:sz w:val="18"/>
                <w:szCs w:val="18"/>
              </w:rPr>
            </w:pPr>
            <w:r>
              <w:rPr>
                <w:rFonts w:ascii="宋体" w:hAnsi="宋体" w:cs="宋体" w:eastAsia="宋体" w:hint="default"/>
                <w:spacing w:val="-2"/>
                <w:sz w:val="18"/>
                <w:szCs w:val="18"/>
              </w:rPr>
              <w:t>归属于上市公司股</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东的净利润</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-49,666,137.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43</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2"/>
                <w:sz w:val="18"/>
              </w:rPr>
              <w:t>11,655,187.5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18,477,936.0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2"/>
                <w:sz w:val="18"/>
              </w:rPr>
              <w:t>78,711,184.9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-53,322,192.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43</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2"/>
                <w:sz w:val="18"/>
              </w:rPr>
              <w:t>11,358,393.2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61,922,738.6</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54,812,418.9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r>
    </w:tbl>
    <w:p>
      <w:pPr>
        <w:pStyle w:val="BodyText"/>
        <w:spacing w:line="357" w:lineRule="auto" w:before="53"/>
        <w:ind w:left="374" w:right="855" w:hanging="221"/>
        <w:jc w:val="left"/>
      </w:pPr>
      <w:r>
        <w:rPr>
          <w:spacing w:val="-3"/>
        </w:rPr>
        <w:t>说明经营季节性（或周期性）发生的原因及波动风险</w:t>
      </w:r>
      <w:r>
        <w:rPr>
          <w:spacing w:val="-21"/>
        </w:rPr>
        <w:t> </w:t>
      </w:r>
      <w:r>
        <w:rPr>
          <w:spacing w:val="-21"/>
        </w:rPr>
      </w:r>
      <w:r>
        <w:rPr>
          <w:spacing w:val="-3"/>
        </w:rPr>
        <w:t>公司季度经营活动波动较大主要与公司行业周期特点相关，因为公司主要客户为银行企业，大中型银行主要是在一季度</w:t>
      </w:r>
    </w:p>
    <w:p>
      <w:pPr>
        <w:pStyle w:val="BodyText"/>
        <w:spacing w:line="224" w:lineRule="exact"/>
        <w:ind w:right="0"/>
        <w:jc w:val="both"/>
      </w:pPr>
      <w:r>
        <w:rPr>
          <w:spacing w:val="-6"/>
        </w:rPr>
        <w:t>提交采购申请审批等程序，二三季度开始招标，谈判，签订合同，四季度开始集中采购付款，因此第一季度为公司销售淡季，</w:t>
      </w:r>
    </w:p>
    <w:p>
      <w:pPr>
        <w:pStyle w:val="BodyText"/>
        <w:spacing w:line="316" w:lineRule="auto" w:before="77"/>
        <w:ind w:right="1123"/>
        <w:jc w:val="both"/>
      </w:pPr>
      <w:r>
        <w:rPr>
          <w:spacing w:val="-4"/>
        </w:rPr>
        <w:t>开票较少，公司一般进行采购备货，而由于费用发生的均衡性，导致上半年利润一般为负数，二三季度为公司采购和销售的</w:t>
      </w:r>
      <w:r>
        <w:rPr>
          <w:spacing w:val="40"/>
        </w:rPr>
        <w:t> </w:t>
      </w:r>
      <w:r>
        <w:rPr>
          <w:spacing w:val="40"/>
        </w:rPr>
      </w:r>
      <w:r>
        <w:rPr>
          <w:spacing w:val="-4"/>
        </w:rPr>
        <w:t>稳定期。四季度为缴付和确认密集期，大中型银行一般上半年做计划和招投标，下半年开始集中采购，四季度完成缴付和验</w:t>
      </w:r>
      <w:r>
        <w:rPr>
          <w:spacing w:val="40"/>
        </w:rPr>
        <w:t> </w:t>
      </w:r>
      <w:r>
        <w:rPr>
          <w:spacing w:val="40"/>
        </w:rPr>
      </w:r>
      <w:r>
        <w:rPr>
          <w:spacing w:val="-3"/>
        </w:rPr>
        <w:t>收，公司上半年组织生产和订货，收入确认基本上在四季度较为集中，也通常在四季度实现累计利润盈利。</w:t>
      </w:r>
    </w:p>
    <w:p>
      <w:pPr>
        <w:spacing w:line="240" w:lineRule="auto" w:before="8"/>
        <w:rPr>
          <w:rFonts w:ascii="宋体" w:hAnsi="宋体" w:cs="宋体" w:eastAsia="宋体" w:hint="default"/>
          <w:sz w:val="22"/>
          <w:szCs w:val="22"/>
        </w:rPr>
      </w:pPr>
    </w:p>
    <w:p>
      <w:pPr>
        <w:pStyle w:val="Heading4"/>
        <w:spacing w:line="240" w:lineRule="auto"/>
        <w:ind w:right="0"/>
        <w:jc w:val="both"/>
        <w:rPr>
          <w:b w:val="0"/>
          <w:bCs w:val="0"/>
        </w:rPr>
      </w:pPr>
      <w:r>
        <w:rPr/>
        <w:t>（</w:t>
      </w:r>
      <w:r>
        <w:rPr>
          <w:rFonts w:ascii="Times New Roman" w:hAnsi="Times New Roman" w:cs="Times New Roman" w:eastAsia="Times New Roman" w:hint="default"/>
        </w:rPr>
        <w:t>2</w:t>
      </w:r>
      <w:r>
        <w:rPr/>
        <w:t>）占公司营业收入或营业利润</w:t>
      </w:r>
      <w:r>
        <w:rPr>
          <w:spacing w:val="-51"/>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10"/>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6" w:footer="974" w:top="1060" w:bottom="1160" w:left="980" w:right="0"/>
        </w:sectPr>
      </w:pPr>
    </w:p>
    <w:p>
      <w:pPr>
        <w:pStyle w:val="BodyText"/>
        <w:spacing w:line="240" w:lineRule="auto" w:before="46"/>
        <w:ind w:right="-13"/>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1"/>
        </w:rPr>
        <w:t> </w:t>
      </w:r>
      <w:r>
        <w:rPr/>
        <w:t>不适用</w:t>
      </w:r>
    </w:p>
    <w:p>
      <w:pPr>
        <w:pStyle w:val="BodyText"/>
        <w:spacing w:line="240" w:lineRule="auto" w:before="101"/>
        <w:ind w:right="-13"/>
        <w:jc w:val="left"/>
      </w:pPr>
      <w:r>
        <w:rPr>
          <w:spacing w:val="-3"/>
        </w:rPr>
        <w:t>公司需遵守《深圳证券交易所行业信息披露指引第 </w:t>
      </w:r>
      <w:r>
        <w:rPr>
          <w:rFonts w:ascii="Times New Roman" w:hAnsi="Times New Roman" w:cs="Times New Roman" w:eastAsia="Times New Roman" w:hint="default"/>
        </w:rPr>
        <w:t>12  </w:t>
      </w:r>
      <w:r>
        <w:rPr>
          <w:rFonts w:ascii="Times New Roman" w:hAnsi="Times New Roman" w:cs="Times New Roman" w:eastAsia="Times New Roman" w:hint="default"/>
          <w:spacing w:val="11"/>
        </w:rPr>
        <w:t> </w:t>
      </w:r>
      <w:r>
        <w:rPr>
          <w:spacing w:val="-3"/>
        </w:rPr>
        <w:t>号</w:t>
      </w:r>
      <w:r>
        <w:rPr>
          <w:rFonts w:ascii="Times New Roman" w:hAnsi="Times New Roman" w:cs="Times New Roman" w:eastAsia="Times New Roman" w:hint="default"/>
          <w:spacing w:val="-3"/>
        </w:rPr>
        <w:t>——</w:t>
      </w:r>
      <w:r>
        <w:rPr>
          <w:spacing w:val="-3"/>
        </w:rPr>
        <w:t>上市公司从事软件与信息技术服务业务》的披露要求</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left="-34" w:right="0"/>
        <w:jc w:val="left"/>
      </w:pPr>
      <w:r>
        <w:rPr/>
        <w:t>单位：元</w:t>
      </w:r>
    </w:p>
    <w:p>
      <w:pPr>
        <w:spacing w:after="0" w:line="240" w:lineRule="auto"/>
        <w:jc w:val="left"/>
        <w:sectPr>
          <w:type w:val="continuous"/>
          <w:pgSz w:w="11910" w:h="16840"/>
          <w:pgMar w:top="1060" w:bottom="1160" w:left="980" w:right="0"/>
          <w:cols w:num="2" w:equalWidth="0">
            <w:col w:w="9070" w:space="40"/>
            <w:col w:w="1820"/>
          </w:cols>
        </w:sectPr>
      </w:pP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700"/>
        <w:gridCol w:w="1422"/>
        <w:gridCol w:w="1416"/>
        <w:gridCol w:w="932"/>
        <w:gridCol w:w="1369"/>
        <w:gridCol w:w="1364"/>
        <w:gridCol w:w="1373"/>
      </w:tblGrid>
      <w:tr>
        <w:trPr>
          <w:trHeight w:val="716" w:hRule="exact"/>
        </w:trPr>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营业成本</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2"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316" w:right="46" w:hanging="269"/>
              <w:jc w:val="left"/>
              <w:rPr>
                <w:rFonts w:ascii="宋体" w:hAnsi="宋体" w:cs="宋体" w:eastAsia="宋体" w:hint="default"/>
                <w:sz w:val="18"/>
                <w:szCs w:val="18"/>
              </w:rPr>
            </w:pPr>
            <w:r>
              <w:rPr>
                <w:rFonts w:ascii="宋体" w:hAnsi="宋体" w:cs="宋体" w:eastAsia="宋体" w:hint="default"/>
                <w:spacing w:val="-3"/>
                <w:sz w:val="18"/>
                <w:szCs w:val="18"/>
              </w:rPr>
              <w:t>营业收入比上年</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同期增减</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316" w:right="41" w:hanging="269"/>
              <w:jc w:val="left"/>
              <w:rPr>
                <w:rFonts w:ascii="宋体" w:hAnsi="宋体" w:cs="宋体" w:eastAsia="宋体" w:hint="default"/>
                <w:sz w:val="18"/>
                <w:szCs w:val="18"/>
              </w:rPr>
            </w:pPr>
            <w:r>
              <w:rPr>
                <w:rFonts w:ascii="宋体" w:hAnsi="宋体" w:cs="宋体" w:eastAsia="宋体" w:hint="default"/>
                <w:spacing w:val="-3"/>
                <w:sz w:val="18"/>
                <w:szCs w:val="18"/>
              </w:rPr>
              <w:t>营业成本比上年</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同期增减</w:t>
            </w:r>
          </w:p>
        </w:tc>
        <w:tc>
          <w:tcPr>
            <w:tcW w:w="1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413" w:right="46" w:hanging="361"/>
              <w:jc w:val="left"/>
              <w:rPr>
                <w:rFonts w:ascii="宋体" w:hAnsi="宋体" w:cs="宋体" w:eastAsia="宋体" w:hint="default"/>
                <w:sz w:val="18"/>
                <w:szCs w:val="18"/>
              </w:rPr>
            </w:pPr>
            <w:r>
              <w:rPr>
                <w:rFonts w:ascii="宋体" w:hAnsi="宋体" w:cs="宋体" w:eastAsia="宋体" w:hint="default"/>
                <w:spacing w:val="-3"/>
                <w:sz w:val="18"/>
                <w:szCs w:val="18"/>
              </w:rPr>
              <w:t>毛利率比上年同</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期增减</w:t>
            </w:r>
          </w:p>
        </w:tc>
      </w:tr>
      <w:tr>
        <w:trPr>
          <w:trHeight w:val="398" w:hRule="exact"/>
        </w:trPr>
        <w:tc>
          <w:tcPr>
            <w:tcW w:w="9575"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分客户所处行业</w:t>
            </w:r>
          </w:p>
        </w:tc>
      </w:tr>
      <w:tr>
        <w:trPr>
          <w:trHeight w:val="403" w:hRule="exact"/>
        </w:trPr>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软件和信息技术服务</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34" w:right="0"/>
              <w:jc w:val="left"/>
              <w:rPr>
                <w:rFonts w:ascii="Times New Roman" w:hAnsi="Times New Roman" w:cs="Times New Roman" w:eastAsia="Times New Roman" w:hint="default"/>
                <w:sz w:val="18"/>
                <w:szCs w:val="18"/>
              </w:rPr>
            </w:pPr>
            <w:r>
              <w:rPr>
                <w:rFonts w:ascii="Times New Roman"/>
                <w:spacing w:val="-2"/>
                <w:sz w:val="18"/>
              </w:rPr>
              <w:t>3,276,115,014.84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14" w:right="0"/>
              <w:jc w:val="center"/>
              <w:rPr>
                <w:rFonts w:ascii="Times New Roman" w:hAnsi="Times New Roman" w:cs="Times New Roman" w:eastAsia="Times New Roman" w:hint="default"/>
                <w:sz w:val="18"/>
                <w:szCs w:val="18"/>
              </w:rPr>
            </w:pPr>
            <w:r>
              <w:rPr>
                <w:rFonts w:ascii="Times New Roman"/>
                <w:spacing w:val="-2"/>
                <w:sz w:val="18"/>
              </w:rPr>
              <w:t>2,522,957,676.29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40" w:right="0"/>
              <w:jc w:val="left"/>
              <w:rPr>
                <w:rFonts w:ascii="Times New Roman" w:hAnsi="Times New Roman" w:cs="Times New Roman" w:eastAsia="Times New Roman" w:hint="default"/>
                <w:sz w:val="18"/>
                <w:szCs w:val="18"/>
              </w:rPr>
            </w:pPr>
            <w:r>
              <w:rPr>
                <w:rFonts w:ascii="Times New Roman"/>
                <w:sz w:val="18"/>
              </w:rPr>
              <w:t>22.99%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77" w:right="0"/>
              <w:jc w:val="left"/>
              <w:rPr>
                <w:rFonts w:ascii="Times New Roman" w:hAnsi="Times New Roman" w:cs="Times New Roman" w:eastAsia="Times New Roman" w:hint="default"/>
                <w:sz w:val="18"/>
                <w:szCs w:val="18"/>
              </w:rPr>
            </w:pPr>
            <w:r>
              <w:rPr>
                <w:rFonts w:ascii="Times New Roman"/>
                <w:sz w:val="18"/>
              </w:rPr>
              <w:t>19.00%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77" w:right="0"/>
              <w:jc w:val="left"/>
              <w:rPr>
                <w:rFonts w:ascii="Times New Roman" w:hAnsi="Times New Roman" w:cs="Times New Roman" w:eastAsia="Times New Roman" w:hint="default"/>
                <w:sz w:val="18"/>
                <w:szCs w:val="18"/>
              </w:rPr>
            </w:pPr>
            <w:r>
              <w:rPr>
                <w:rFonts w:ascii="Times New Roman"/>
                <w:sz w:val="18"/>
              </w:rPr>
              <w:t>19.19%</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16" w:right="0"/>
              <w:jc w:val="left"/>
              <w:rPr>
                <w:rFonts w:ascii="Times New Roman" w:hAnsi="Times New Roman" w:cs="Times New Roman" w:eastAsia="Times New Roman" w:hint="default"/>
                <w:sz w:val="18"/>
                <w:szCs w:val="18"/>
              </w:rPr>
            </w:pPr>
            <w:r>
              <w:rPr>
                <w:rFonts w:ascii="Times New Roman"/>
                <w:sz w:val="18"/>
              </w:rPr>
              <w:t>-0.12%</w:t>
            </w:r>
          </w:p>
        </w:tc>
      </w:tr>
    </w:tbl>
    <w:p>
      <w:pPr>
        <w:spacing w:after="0" w:line="240" w:lineRule="auto"/>
        <w:jc w:val="lef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700"/>
        <w:gridCol w:w="1422"/>
        <w:gridCol w:w="1416"/>
        <w:gridCol w:w="932"/>
        <w:gridCol w:w="1369"/>
        <w:gridCol w:w="1364"/>
        <w:gridCol w:w="1373"/>
      </w:tblGrid>
      <w:tr>
        <w:trPr>
          <w:trHeight w:val="403" w:hRule="exact"/>
        </w:trPr>
        <w:tc>
          <w:tcPr>
            <w:tcW w:w="9575"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398" w:hRule="exact"/>
        </w:trPr>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软件开发及服务</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1,518,516,199.29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913,494,033.48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39.84%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22.06%</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20.73%</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0.66%</w:t>
            </w:r>
          </w:p>
        </w:tc>
      </w:tr>
      <w:tr>
        <w:trPr>
          <w:trHeight w:val="404" w:hRule="exact"/>
        </w:trPr>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智能渠道解决方案</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8"/>
                <w:szCs w:val="18"/>
              </w:rPr>
            </w:pPr>
            <w:r>
              <w:rPr>
                <w:rFonts w:ascii="Times New Roman"/>
                <w:spacing w:val="-1"/>
                <w:sz w:val="18"/>
              </w:rPr>
              <w:t>368,060,175.28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pacing w:val="-1"/>
                <w:sz w:val="18"/>
              </w:rPr>
              <w:t>307,872,163.42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9"/>
              <w:jc w:val="right"/>
              <w:rPr>
                <w:rFonts w:ascii="Times New Roman" w:hAnsi="Times New Roman" w:cs="Times New Roman" w:eastAsia="Times New Roman" w:hint="default"/>
                <w:sz w:val="18"/>
                <w:szCs w:val="18"/>
              </w:rPr>
            </w:pPr>
            <w:r>
              <w:rPr>
                <w:rFonts w:ascii="Times New Roman"/>
                <w:spacing w:val="-1"/>
                <w:sz w:val="18"/>
              </w:rPr>
              <w:t>16.35%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9"/>
              <w:jc w:val="right"/>
              <w:rPr>
                <w:rFonts w:ascii="Times New Roman" w:hAnsi="Times New Roman" w:cs="Times New Roman" w:eastAsia="Times New Roman" w:hint="default"/>
                <w:sz w:val="18"/>
                <w:szCs w:val="18"/>
              </w:rPr>
            </w:pPr>
            <w:r>
              <w:rPr>
                <w:rFonts w:ascii="Times New Roman"/>
                <w:spacing w:val="-1"/>
                <w:sz w:val="18"/>
              </w:rPr>
              <w:t>14.88%</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pacing w:val="-1"/>
                <w:sz w:val="18"/>
              </w:rPr>
              <w:t>20.83%</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8"/>
                <w:szCs w:val="18"/>
              </w:rPr>
            </w:pPr>
            <w:r>
              <w:rPr>
                <w:rFonts w:ascii="Times New Roman"/>
                <w:spacing w:val="-2"/>
                <w:sz w:val="18"/>
              </w:rPr>
              <w:t>-4.11%</w:t>
            </w:r>
          </w:p>
        </w:tc>
      </w:tr>
      <w:tr>
        <w:trPr>
          <w:trHeight w:val="403" w:hRule="exact"/>
        </w:trPr>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集成解决方案</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1,389,538,640.27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1,301,591,479.39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6.33%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16.90%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17.76%</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-0.68%</w:t>
            </w:r>
          </w:p>
        </w:tc>
      </w:tr>
      <w:tr>
        <w:trPr>
          <w:trHeight w:val="403" w:hRule="exact"/>
        </w:trPr>
        <w:tc>
          <w:tcPr>
            <w:tcW w:w="9575"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398" w:hRule="exact"/>
        </w:trPr>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1,560,805,991.27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1,227,118,812.51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21.38%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18.35%</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14.02%</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2.99%</w:t>
            </w:r>
          </w:p>
        </w:tc>
      </w:tr>
      <w:tr>
        <w:trPr>
          <w:trHeight w:val="404" w:hRule="exact"/>
        </w:trPr>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450,473,929.06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366,627,645.95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18.61%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6.72%</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1"/>
                <w:sz w:val="18"/>
              </w:rPr>
              <w:t>20.49%</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2"/>
                <w:sz w:val="18"/>
              </w:rPr>
              <w:t>-9.30%</w:t>
            </w:r>
          </w:p>
        </w:tc>
      </w:tr>
      <w:tr>
        <w:trPr>
          <w:trHeight w:val="403" w:hRule="exact"/>
        </w:trPr>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770,522,037.36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507,029,021.91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34.20%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39.14%</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26.68%</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6.47%</w:t>
            </w:r>
          </w:p>
        </w:tc>
      </w:tr>
      <w:tr>
        <w:trPr>
          <w:trHeight w:val="403" w:hRule="exact"/>
        </w:trPr>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西南地区</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433,582,514.30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383,354,276.91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3"/>
                <w:sz w:val="18"/>
              </w:rPr>
              <w:t>11.58%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0.26%</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21.64%</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-15.54%</w:t>
            </w:r>
          </w:p>
        </w:tc>
      </w:tr>
      <w:tr>
        <w:trPr>
          <w:trHeight w:val="398" w:hRule="exact"/>
        </w:trPr>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华中地区</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29,035,795.73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18,497,633.87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36.29%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362.06%</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277.20%</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14.33%</w:t>
            </w:r>
          </w:p>
        </w:tc>
      </w:tr>
      <w:tr>
        <w:trPr>
          <w:trHeight w:val="404" w:hRule="exact"/>
        </w:trPr>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西北地区</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31,694,747.12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20,330,285.14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35.86%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60.82%</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1"/>
                <w:sz w:val="18"/>
              </w:rPr>
              <w:t>27.57%</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16.72%</w:t>
            </w:r>
          </w:p>
        </w:tc>
      </w:tr>
    </w:tbl>
    <w:p>
      <w:pPr>
        <w:spacing w:after="0" w:line="240" w:lineRule="auto"/>
        <w:jc w:val="right"/>
        <w:rPr>
          <w:rFonts w:ascii="Times New Roman" w:hAnsi="Times New Roman" w:cs="Times New Roman" w:eastAsia="Times New Roman" w:hint="default"/>
          <w:sz w:val="18"/>
          <w:szCs w:val="18"/>
        </w:rPr>
        <w:sectPr>
          <w:pgSz w:w="11910" w:h="16840"/>
          <w:pgMar w:header="746" w:footer="974" w:top="1060" w:bottom="1160" w:left="980" w:right="0"/>
        </w:sectPr>
      </w:pPr>
    </w:p>
    <w:p>
      <w:pPr>
        <w:pStyle w:val="BodyText"/>
        <w:spacing w:line="240" w:lineRule="auto" w:before="53"/>
        <w:ind w:right="-13"/>
        <w:jc w:val="left"/>
      </w:pPr>
      <w:r>
        <w:rPr>
          <w:spacing w:val="-3"/>
        </w:rPr>
        <w:t>公司主营业务数据统计口径在报告期发生调整的情况下，公司最近 </w:t>
      </w:r>
      <w:r>
        <w:rPr>
          <w:rFonts w:ascii="Times New Roman" w:hAnsi="Times New Roman" w:cs="Times New Roman" w:eastAsia="Times New Roman" w:hint="default"/>
        </w:rPr>
        <w:t>1  </w:t>
      </w:r>
      <w:r>
        <w:rPr>
          <w:rFonts w:ascii="Times New Roman" w:hAnsi="Times New Roman" w:cs="Times New Roman" w:eastAsia="Times New Roman" w:hint="default"/>
          <w:spacing w:val="5"/>
        </w:rPr>
        <w:t> </w:t>
      </w:r>
      <w:r>
        <w:rPr>
          <w:spacing w:val="-3"/>
        </w:rPr>
        <w:t>年按报告期末口径调整后的主营业务数据</w:t>
      </w:r>
    </w:p>
    <w:p>
      <w:pPr>
        <w:pStyle w:val="BodyText"/>
        <w:spacing w:line="240" w:lineRule="auto" w:before="101"/>
        <w:ind w:right="-13"/>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1"/>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2" w:equalWidth="0">
            <w:col w:w="8797" w:space="126"/>
            <w:col w:w="2007"/>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61"/>
        <w:gridCol w:w="1561"/>
        <w:gridCol w:w="1416"/>
        <w:gridCol w:w="994"/>
        <w:gridCol w:w="1306"/>
        <w:gridCol w:w="1364"/>
        <w:gridCol w:w="1373"/>
      </w:tblGrid>
      <w:tr>
        <w:trPr>
          <w:trHeight w:val="711" w:hRule="exact"/>
        </w:trPr>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196" w:right="104" w:hanging="92"/>
              <w:jc w:val="left"/>
              <w:rPr>
                <w:rFonts w:ascii="宋体" w:hAnsi="宋体" w:cs="宋体" w:eastAsia="宋体" w:hint="default"/>
                <w:sz w:val="18"/>
                <w:szCs w:val="18"/>
              </w:rPr>
            </w:pPr>
            <w:r>
              <w:rPr>
                <w:rFonts w:ascii="宋体" w:hAnsi="宋体" w:cs="宋体" w:eastAsia="宋体" w:hint="default"/>
                <w:spacing w:val="-2"/>
                <w:sz w:val="18"/>
                <w:szCs w:val="18"/>
              </w:rPr>
              <w:t>营业收入比上</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年同期增减</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316" w:right="41" w:hanging="269"/>
              <w:jc w:val="left"/>
              <w:rPr>
                <w:rFonts w:ascii="宋体" w:hAnsi="宋体" w:cs="宋体" w:eastAsia="宋体" w:hint="default"/>
                <w:sz w:val="18"/>
                <w:szCs w:val="18"/>
              </w:rPr>
            </w:pPr>
            <w:r>
              <w:rPr>
                <w:rFonts w:ascii="宋体" w:hAnsi="宋体" w:cs="宋体" w:eastAsia="宋体" w:hint="default"/>
                <w:spacing w:val="-3"/>
                <w:sz w:val="18"/>
                <w:szCs w:val="18"/>
              </w:rPr>
              <w:t>营业成本比上年</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同期增减</w:t>
            </w:r>
          </w:p>
        </w:tc>
        <w:tc>
          <w:tcPr>
            <w:tcW w:w="1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413" w:right="46" w:hanging="361"/>
              <w:jc w:val="left"/>
              <w:rPr>
                <w:rFonts w:ascii="宋体" w:hAnsi="宋体" w:cs="宋体" w:eastAsia="宋体" w:hint="default"/>
                <w:sz w:val="18"/>
                <w:szCs w:val="18"/>
              </w:rPr>
            </w:pPr>
            <w:r>
              <w:rPr>
                <w:rFonts w:ascii="宋体" w:hAnsi="宋体" w:cs="宋体" w:eastAsia="宋体" w:hint="default"/>
                <w:spacing w:val="-3"/>
                <w:sz w:val="18"/>
                <w:szCs w:val="18"/>
              </w:rPr>
              <w:t>毛利率比上年同</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期增减</w:t>
            </w:r>
          </w:p>
        </w:tc>
      </w:tr>
      <w:tr>
        <w:trPr>
          <w:trHeight w:val="403" w:hRule="exact"/>
        </w:trPr>
        <w:tc>
          <w:tcPr>
            <w:tcW w:w="9575"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分客户所处行业</w:t>
            </w:r>
          </w:p>
        </w:tc>
      </w:tr>
      <w:tr>
        <w:trPr>
          <w:trHeight w:val="403" w:hRule="exact"/>
        </w:trPr>
        <w:tc>
          <w:tcPr>
            <w:tcW w:w="9575"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3" w:hRule="exact"/>
        </w:trPr>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软件开发及服务</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1,518,516,199.29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913,494,033.48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39.84%</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22.06%</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20.73%</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0.66%</w:t>
            </w:r>
          </w:p>
        </w:tc>
      </w:tr>
      <w:tr>
        <w:trPr>
          <w:trHeight w:val="399" w:hRule="exact"/>
        </w:trPr>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智能渠道解决方案</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368,060,175.28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307,872,163.42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16.35%</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14.88%</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20.83%</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-4.11%</w:t>
            </w:r>
          </w:p>
        </w:tc>
      </w:tr>
      <w:tr>
        <w:trPr>
          <w:trHeight w:val="403" w:hRule="exact"/>
        </w:trPr>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集成解决方案</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1,389,538,640.27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1,301,591,479.39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6.33%</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16.90%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17.76%</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-0.68%</w:t>
            </w:r>
          </w:p>
        </w:tc>
      </w:tr>
      <w:tr>
        <w:trPr>
          <w:trHeight w:val="403" w:hRule="exact"/>
        </w:trPr>
        <w:tc>
          <w:tcPr>
            <w:tcW w:w="9575"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bl>
    <w:p>
      <w:pPr>
        <w:spacing w:line="240" w:lineRule="auto" w:before="3"/>
        <w:rPr>
          <w:rFonts w:ascii="宋体" w:hAnsi="宋体" w:cs="宋体" w:eastAsia="宋体" w:hint="default"/>
          <w:sz w:val="19"/>
          <w:szCs w:val="19"/>
        </w:rPr>
      </w:pPr>
    </w:p>
    <w:p>
      <w:pPr>
        <w:pStyle w:val="Heading4"/>
        <w:spacing w:line="240" w:lineRule="auto" w:before="36"/>
        <w:ind w:right="855"/>
        <w:jc w:val="left"/>
        <w:rPr>
          <w:b w:val="0"/>
          <w:bCs w:val="0"/>
        </w:rPr>
      </w:pP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855"/>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599"/>
        <w:gridCol w:w="1595"/>
        <w:gridCol w:w="1594"/>
        <w:gridCol w:w="1595"/>
        <w:gridCol w:w="1594"/>
        <w:gridCol w:w="1594"/>
      </w:tblGrid>
      <w:tr>
        <w:trPr>
          <w:trHeight w:val="398" w:hRule="exact"/>
        </w:trPr>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2"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1"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1599"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信息产品</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台，个</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210,960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181,940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15.95%</w:t>
            </w:r>
          </w:p>
        </w:tc>
      </w:tr>
      <w:tr>
        <w:trPr>
          <w:trHeight w:val="404" w:hRule="exact"/>
        </w:trPr>
        <w:tc>
          <w:tcPr>
            <w:tcW w:w="1599" w:type="dxa"/>
            <w:vMerge/>
            <w:tcBorders>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台，个</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253,079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180,522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40.19%</w:t>
            </w:r>
          </w:p>
        </w:tc>
      </w:tr>
    </w:tbl>
    <w:p>
      <w:pPr>
        <w:pStyle w:val="BodyText"/>
        <w:spacing w:line="240" w:lineRule="auto" w:before="53"/>
        <w:ind w:right="855"/>
        <w:jc w:val="left"/>
      </w:pPr>
      <w:r>
        <w:rPr>
          <w:spacing w:val="-2"/>
        </w:rPr>
        <w:t>相关数据同比发生变动</w:t>
      </w:r>
      <w:r>
        <w:rPr>
          <w:spacing w:val="-1"/>
        </w:rPr>
        <w:t> </w:t>
      </w:r>
      <w:r>
        <w:rPr>
          <w:rFonts w:ascii="Times New Roman" w:hAnsi="Times New Roman" w:cs="Times New Roman" w:eastAsia="Times New Roman" w:hint="default"/>
          <w:spacing w:val="-2"/>
        </w:rPr>
        <w:t>30%</w:t>
      </w:r>
      <w:r>
        <w:rPr>
          <w:spacing w:val="-2"/>
        </w:rPr>
        <w:t>以上的原因说明</w:t>
      </w:r>
    </w:p>
    <w:p>
      <w:pPr>
        <w:pStyle w:val="BodyText"/>
        <w:spacing w:line="338" w:lineRule="auto" w:before="101"/>
        <w:ind w:right="7349"/>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9"/>
        </w:rPr>
        <w:t> </w:t>
      </w:r>
      <w:r>
        <w:rPr>
          <w:spacing w:val="-79"/>
        </w:rPr>
      </w:r>
      <w:r>
        <w:rPr>
          <w:spacing w:val="-3"/>
        </w:rPr>
        <w:t>因执行订单量增加，库存备货导致。</w:t>
      </w:r>
    </w:p>
    <w:p>
      <w:pPr>
        <w:spacing w:line="240" w:lineRule="auto" w:before="5"/>
        <w:rPr>
          <w:rFonts w:ascii="宋体" w:hAnsi="宋体" w:cs="宋体" w:eastAsia="宋体" w:hint="default"/>
          <w:sz w:val="21"/>
          <w:szCs w:val="21"/>
        </w:rPr>
      </w:pPr>
    </w:p>
    <w:p>
      <w:pPr>
        <w:pStyle w:val="Heading4"/>
        <w:spacing w:line="240" w:lineRule="auto"/>
        <w:ind w:right="855"/>
        <w:jc w:val="left"/>
        <w:rPr>
          <w:b w:val="0"/>
          <w:bCs w:val="0"/>
        </w:rPr>
      </w:pP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855"/>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1"/>
        </w:rPr>
        <w:t> </w:t>
      </w:r>
      <w:r>
        <w:rPr/>
        <w:t>不适用</w:t>
      </w:r>
    </w:p>
    <w:p>
      <w:pPr>
        <w:pStyle w:val="BodyText"/>
        <w:spacing w:line="240" w:lineRule="auto" w:before="106"/>
        <w:ind w:right="855"/>
        <w:jc w:val="left"/>
      </w:pPr>
      <w:r>
        <w:rPr>
          <w:spacing w:val="-3"/>
        </w:rPr>
        <w:t>公司需遵守《深圳证券交易所行业信息披露指引第 </w:t>
      </w:r>
      <w:r>
        <w:rPr>
          <w:rFonts w:ascii="Times New Roman" w:hAnsi="Times New Roman" w:cs="Times New Roman" w:eastAsia="Times New Roman" w:hint="default"/>
        </w:rPr>
        <w:t>12  </w:t>
      </w:r>
      <w:r>
        <w:rPr>
          <w:rFonts w:ascii="Times New Roman" w:hAnsi="Times New Roman" w:cs="Times New Roman" w:eastAsia="Times New Roman" w:hint="default"/>
          <w:spacing w:val="11"/>
        </w:rPr>
        <w:t> </w:t>
      </w:r>
      <w:r>
        <w:rPr>
          <w:spacing w:val="-3"/>
        </w:rPr>
        <w:t>号</w:t>
      </w:r>
      <w:r>
        <w:rPr>
          <w:rFonts w:ascii="Times New Roman" w:hAnsi="Times New Roman" w:cs="Times New Roman" w:eastAsia="Times New Roman" w:hint="default"/>
          <w:spacing w:val="-3"/>
        </w:rPr>
        <w:t>——</w:t>
      </w:r>
      <w:r>
        <w:rPr>
          <w:spacing w:val="-3"/>
        </w:rPr>
        <w:t>上市公司从事软件与信息技术服务业务》的披露要求</w:t>
      </w:r>
    </w:p>
    <w:p>
      <w:pPr>
        <w:spacing w:after="0" w:line="240" w:lineRule="auto"/>
        <w:jc w:val="left"/>
        <w:sectPr>
          <w:type w:val="continuous"/>
          <w:pgSz w:w="11910" w:h="16840"/>
          <w:pgMar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6"/>
        <w:ind w:right="855"/>
        <w:jc w:val="left"/>
      </w:pPr>
      <w:r>
        <w:rPr>
          <w:spacing w:val="-3"/>
        </w:rPr>
        <w:t>单一销售合同金额占公司最近一个会计年度经审计营业收入 </w:t>
      </w:r>
      <w:r>
        <w:rPr>
          <w:rFonts w:ascii="Times New Roman" w:hAnsi="Times New Roman" w:cs="Times New Roman" w:eastAsia="Times New Roman" w:hint="default"/>
        </w:rPr>
        <w:t>30%</w:t>
      </w:r>
      <w:r>
        <w:rPr/>
        <w:t>以上且金额超过 </w:t>
      </w:r>
      <w:r>
        <w:rPr>
          <w:rFonts w:ascii="Times New Roman" w:hAnsi="Times New Roman" w:cs="Times New Roman" w:eastAsia="Times New Roman" w:hint="default"/>
        </w:rPr>
        <w:t>5000</w:t>
      </w:r>
      <w:r>
        <w:rPr>
          <w:rFonts w:ascii="Times New Roman" w:hAnsi="Times New Roman" w:cs="Times New Roman" w:eastAsia="Times New Roman" w:hint="default"/>
          <w:spacing w:val="26"/>
        </w:rPr>
        <w:t> </w:t>
      </w:r>
      <w:r>
        <w:rPr>
          <w:spacing w:val="-3"/>
        </w:rPr>
        <w:t>万元的正在履行的合同情况</w:t>
      </w:r>
    </w:p>
    <w:p>
      <w:pPr>
        <w:pStyle w:val="BodyText"/>
        <w:spacing w:line="240" w:lineRule="auto" w:before="101"/>
        <w:ind w:right="855"/>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0"/>
        <w:rPr>
          <w:rFonts w:ascii="宋体" w:hAnsi="宋体" w:cs="宋体" w:eastAsia="宋体" w:hint="default"/>
          <w:sz w:val="26"/>
          <w:szCs w:val="26"/>
        </w:rPr>
      </w:pPr>
    </w:p>
    <w:p>
      <w:pPr>
        <w:pStyle w:val="Heading4"/>
        <w:spacing w:line="240" w:lineRule="auto"/>
        <w:ind w:right="855"/>
        <w:jc w:val="left"/>
        <w:rPr>
          <w:b w:val="0"/>
          <w:bCs w:val="0"/>
        </w:rPr>
      </w:pPr>
      <w:r>
        <w:rPr/>
        <w:t>（</w:t>
      </w:r>
      <w:r>
        <w:rPr>
          <w:rFonts w:ascii="Times New Roman" w:hAnsi="Times New Roman" w:cs="Times New Roman" w:eastAsia="Times New Roman" w:hint="default"/>
        </w:rPr>
        <w:t>5</w:t>
      </w:r>
      <w:r>
        <w:rPr/>
        <w:t>）营业成本构成</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right="855"/>
        <w:jc w:val="left"/>
      </w:pPr>
      <w:r>
        <w:rPr/>
        <w:t>产品分类</w:t>
      </w:r>
    </w:p>
    <w:p>
      <w:pPr>
        <w:pStyle w:val="BodyText"/>
        <w:spacing w:line="240" w:lineRule="auto" w:before="115"/>
        <w:ind w:left="0" w:right="1121"/>
        <w:jc w:val="right"/>
      </w:pPr>
      <w:r>
        <w:rPr>
          <w:spacing w:val="-2"/>
        </w:rPr>
        <w:t>单位：元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561"/>
        <w:gridCol w:w="1186"/>
        <w:gridCol w:w="1374"/>
        <w:gridCol w:w="1373"/>
        <w:gridCol w:w="1373"/>
        <w:gridCol w:w="1373"/>
        <w:gridCol w:w="1373"/>
      </w:tblGrid>
      <w:tr>
        <w:trPr>
          <w:trHeight w:val="406" w:hRule="exact"/>
        </w:trPr>
        <w:tc>
          <w:tcPr>
            <w:tcW w:w="15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1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4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74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37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322"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15" w:hRule="exact"/>
        </w:trPr>
        <w:tc>
          <w:tcPr>
            <w:tcW w:w="1561" w:type="dxa"/>
            <w:vMerge/>
            <w:tcBorders>
              <w:left w:val="single" w:sz="4" w:space="0" w:color="000000"/>
              <w:bottom w:val="single" w:sz="4" w:space="0" w:color="000000"/>
              <w:right w:val="single" w:sz="4" w:space="0" w:color="000000"/>
            </w:tcBorders>
            <w:shd w:val="clear" w:color="auto" w:fill="D2D2D2"/>
          </w:tcPr>
          <w:p>
            <w:pPr/>
          </w:p>
        </w:tc>
        <w:tc>
          <w:tcPr>
            <w:tcW w:w="1186" w:type="dxa"/>
            <w:vMerge/>
            <w:tcBorders>
              <w:left w:val="single" w:sz="4" w:space="0" w:color="000000"/>
              <w:bottom w:val="single" w:sz="4" w:space="0" w:color="000000"/>
              <w:right w:val="single" w:sz="4" w:space="0" w:color="000000"/>
            </w:tcBorders>
            <w:shd w:val="clear" w:color="auto" w:fill="D2D2D2"/>
          </w:tcPr>
          <w:p>
            <w:pPr/>
          </w:p>
        </w:tc>
        <w:tc>
          <w:tcPr>
            <w:tcW w:w="1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right="46"/>
              <w:jc w:val="right"/>
              <w:rPr>
                <w:rFonts w:ascii="宋体" w:hAnsi="宋体" w:cs="宋体" w:eastAsia="宋体" w:hint="default"/>
                <w:sz w:val="18"/>
                <w:szCs w:val="18"/>
              </w:rPr>
            </w:pPr>
            <w:r>
              <w:rPr>
                <w:rFonts w:ascii="宋体" w:hAnsi="宋体" w:cs="宋体" w:eastAsia="宋体" w:hint="default"/>
                <w:spacing w:val="-3"/>
                <w:sz w:val="18"/>
                <w:szCs w:val="18"/>
              </w:rPr>
              <w:t>占营业成本比重</w:t>
            </w:r>
          </w:p>
        </w:tc>
        <w:tc>
          <w:tcPr>
            <w:tcW w:w="1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right="46"/>
              <w:jc w:val="right"/>
              <w:rPr>
                <w:rFonts w:ascii="宋体" w:hAnsi="宋体" w:cs="宋体" w:eastAsia="宋体" w:hint="default"/>
                <w:sz w:val="18"/>
                <w:szCs w:val="18"/>
              </w:rPr>
            </w:pPr>
            <w:r>
              <w:rPr>
                <w:rFonts w:ascii="宋体" w:hAnsi="宋体" w:cs="宋体" w:eastAsia="宋体" w:hint="default"/>
                <w:spacing w:val="-3"/>
                <w:sz w:val="18"/>
                <w:szCs w:val="18"/>
              </w:rPr>
              <w:t>占营业成本比重</w:t>
            </w:r>
          </w:p>
        </w:tc>
        <w:tc>
          <w:tcPr>
            <w:tcW w:w="1373" w:type="dxa"/>
            <w:vMerge/>
            <w:tcBorders>
              <w:left w:val="single" w:sz="4" w:space="0" w:color="000000"/>
              <w:bottom w:val="single" w:sz="4" w:space="0" w:color="000000"/>
              <w:right w:val="single" w:sz="4" w:space="0" w:color="000000"/>
            </w:tcBorders>
            <w:shd w:val="clear" w:color="auto" w:fill="D2D2D2"/>
          </w:tcPr>
          <w:p>
            <w:pPr/>
          </w:p>
        </w:tc>
      </w:tr>
      <w:tr>
        <w:trPr>
          <w:trHeight w:val="413" w:hRule="exact"/>
        </w:trPr>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软件开发及服务</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人工成本</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313,502,493.74</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12.40%</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219,934,645.53</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10.31%</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42.54%</w:t>
            </w:r>
          </w:p>
        </w:tc>
      </w:tr>
      <w:tr>
        <w:trPr>
          <w:trHeight w:val="403" w:hRule="exact"/>
        </w:trPr>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软件开发及服务</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项目实施成本</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599,991,539.74</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23.72%</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536,682,828.87</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25.17%</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3"/>
                <w:sz w:val="18"/>
              </w:rPr>
              <w:t>11.80%</w:t>
            </w:r>
          </w:p>
        </w:tc>
      </w:tr>
      <w:tr>
        <w:trPr>
          <w:trHeight w:val="403" w:hRule="exact"/>
        </w:trPr>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智能渠道解决方案</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人工成本</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22,960,746.02</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0.91%</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15,709,617.54</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0.74%</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46.16%</w:t>
            </w:r>
          </w:p>
        </w:tc>
      </w:tr>
      <w:tr>
        <w:trPr>
          <w:trHeight w:val="404" w:hRule="exact"/>
        </w:trPr>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智能渠道解决方案</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项目实施成本</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284,911,417.40</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3"/>
                <w:sz w:val="18"/>
              </w:rPr>
              <w:t>11.26%</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239,094,053.13</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3"/>
                <w:sz w:val="18"/>
              </w:rPr>
              <w:t>11.21%</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19.16%</w:t>
            </w:r>
          </w:p>
        </w:tc>
      </w:tr>
      <w:tr>
        <w:trPr>
          <w:trHeight w:val="403" w:hRule="exact"/>
        </w:trPr>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集成解决方案</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人工成本</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105,089,568.32</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4.16%</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78,548,087.69</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3.68%</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33.79%</w:t>
            </w:r>
          </w:p>
        </w:tc>
      </w:tr>
      <w:tr>
        <w:trPr>
          <w:trHeight w:val="403" w:hRule="exact"/>
        </w:trPr>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集成解决方案</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项目实施成本</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1,196,501,911.07</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47.31%</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1,026,789,131.78</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48.15%</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16.53%</w:t>
            </w:r>
          </w:p>
        </w:tc>
      </w:tr>
    </w:tbl>
    <w:p>
      <w:pPr>
        <w:spacing w:after="0" w:line="240" w:lineRule="auto"/>
        <w:jc w:val="right"/>
        <w:rPr>
          <w:rFonts w:ascii="Times New Roman" w:hAnsi="Times New Roman" w:cs="Times New Roman" w:eastAsia="Times New Roman" w:hint="default"/>
          <w:sz w:val="18"/>
          <w:szCs w:val="18"/>
        </w:rPr>
        <w:sectPr>
          <w:pgSz w:w="11910" w:h="16840"/>
          <w:pgMar w:header="746" w:footer="974" w:top="1060" w:bottom="1160" w:left="980" w:right="0"/>
        </w:sectPr>
      </w:pPr>
    </w:p>
    <w:p>
      <w:pPr>
        <w:pStyle w:val="BodyText"/>
        <w:spacing w:line="240" w:lineRule="auto" w:before="53"/>
        <w:ind w:right="-13"/>
        <w:jc w:val="left"/>
      </w:pPr>
      <w:r>
        <w:rPr/>
        <w:t>说明</w:t>
      </w:r>
    </w:p>
    <w:p>
      <w:pPr>
        <w:pStyle w:val="BodyText"/>
        <w:spacing w:line="338" w:lineRule="auto" w:before="115"/>
        <w:ind w:right="-13"/>
        <w:jc w:val="left"/>
      </w:pPr>
      <w:r>
        <w:rPr>
          <w:spacing w:val="-3"/>
        </w:rPr>
        <w:t>公司需遵守《深圳证券交易所行业信息披露指引第</w:t>
      </w:r>
      <w:r>
        <w:rPr>
          <w:spacing w:val="22"/>
        </w:rPr>
        <w:t> </w:t>
      </w:r>
      <w:r>
        <w:rPr>
          <w:rFonts w:ascii="Times New Roman" w:hAnsi="Times New Roman" w:cs="Times New Roman" w:eastAsia="Times New Roman" w:hint="default"/>
        </w:rPr>
        <w:t>12</w:t>
      </w:r>
      <w:r>
        <w:rPr>
          <w:rFonts w:ascii="Times New Roman" w:hAnsi="Times New Roman" w:cs="Times New Roman" w:eastAsia="Times New Roman" w:hint="default"/>
          <w:spacing w:val="19"/>
        </w:rPr>
        <w:t> </w:t>
      </w:r>
      <w:r>
        <w:rPr>
          <w:spacing w:val="-3"/>
        </w:rPr>
        <w:t>号</w:t>
      </w:r>
      <w:r>
        <w:rPr>
          <w:rFonts w:ascii="Times New Roman" w:hAnsi="Times New Roman" w:cs="Times New Roman" w:eastAsia="Times New Roman" w:hint="default"/>
          <w:spacing w:val="-3"/>
        </w:rPr>
        <w:t>——</w:t>
      </w:r>
      <w:r>
        <w:rPr>
          <w:spacing w:val="-3"/>
        </w:rPr>
        <w:t>上市公司从事软件与信息技术服务业务》的披露要求</w:t>
      </w:r>
      <w:r>
        <w:rPr>
          <w:spacing w:val="-79"/>
        </w:rPr>
        <w:t> </w:t>
      </w:r>
      <w:r>
        <w:rPr>
          <w:spacing w:val="-79"/>
        </w:rPr>
      </w:r>
      <w:r>
        <w:rPr/>
        <w:t>主营业务成本构成</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pStyle w:val="BodyText"/>
        <w:spacing w:line="240" w:lineRule="auto"/>
        <w:ind w:left="-34" w:right="0"/>
        <w:jc w:val="left"/>
      </w:pPr>
      <w:r>
        <w:rPr/>
        <w:t>单位：元</w:t>
      </w:r>
    </w:p>
    <w:p>
      <w:pPr>
        <w:spacing w:after="0" w:line="240" w:lineRule="auto"/>
        <w:jc w:val="left"/>
        <w:sectPr>
          <w:type w:val="continuous"/>
          <w:pgSz w:w="11910" w:h="16840"/>
          <w:pgMar w:top="1060" w:bottom="1160" w:left="980" w:right="0"/>
          <w:cols w:num="2" w:equalWidth="0">
            <w:col w:w="9070" w:space="40"/>
            <w:col w:w="1820"/>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9"/>
        <w:gridCol w:w="1595"/>
        <w:gridCol w:w="1594"/>
        <w:gridCol w:w="1595"/>
        <w:gridCol w:w="1594"/>
        <w:gridCol w:w="1594"/>
      </w:tblGrid>
      <w:tr>
        <w:trPr>
          <w:trHeight w:val="401" w:hRule="exact"/>
        </w:trPr>
        <w:tc>
          <w:tcPr>
            <w:tcW w:w="15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成本构成</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本报告期</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上年同期</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599" w:type="dxa"/>
            <w:vMerge/>
            <w:tcBorders>
              <w:left w:val="single" w:sz="4" w:space="0" w:color="000000"/>
              <w:bottom w:val="single" w:sz="4" w:space="0" w:color="000000"/>
              <w:right w:val="single" w:sz="4" w:space="0" w:color="000000"/>
            </w:tcBorders>
            <w:shd w:val="clear" w:color="auto" w:fill="D2D2D2"/>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63" w:right="0"/>
              <w:jc w:val="left"/>
              <w:rPr>
                <w:rFonts w:ascii="宋体" w:hAnsi="宋体" w:cs="宋体" w:eastAsia="宋体" w:hint="default"/>
                <w:sz w:val="18"/>
                <w:szCs w:val="18"/>
              </w:rPr>
            </w:pPr>
            <w:r>
              <w:rPr>
                <w:rFonts w:ascii="宋体" w:hAnsi="宋体" w:cs="宋体" w:eastAsia="宋体" w:hint="default"/>
                <w:spacing w:val="-3"/>
                <w:sz w:val="18"/>
                <w:szCs w:val="18"/>
              </w:rPr>
              <w:t>占营业成本比重</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63" w:right="0"/>
              <w:jc w:val="left"/>
              <w:rPr>
                <w:rFonts w:ascii="宋体" w:hAnsi="宋体" w:cs="宋体" w:eastAsia="宋体" w:hint="default"/>
                <w:sz w:val="18"/>
                <w:szCs w:val="18"/>
              </w:rPr>
            </w:pPr>
            <w:r>
              <w:rPr>
                <w:rFonts w:ascii="宋体" w:hAnsi="宋体" w:cs="宋体" w:eastAsia="宋体" w:hint="default"/>
                <w:spacing w:val="-3"/>
                <w:sz w:val="18"/>
                <w:szCs w:val="18"/>
              </w:rPr>
              <w:t>占营业成本比重</w:t>
            </w:r>
          </w:p>
        </w:tc>
        <w:tc>
          <w:tcPr>
            <w:tcW w:w="1594"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2,522,957,676.29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99.75%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2,116,758,364.53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99.26%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19.19%</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其他业务成本</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6,259,657.50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0.25%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15,710,636.82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-60.16%</w:t>
            </w:r>
          </w:p>
        </w:tc>
      </w:tr>
    </w:tbl>
    <w:p>
      <w:pPr>
        <w:spacing w:line="240" w:lineRule="auto" w:before="3"/>
        <w:rPr>
          <w:rFonts w:ascii="宋体" w:hAnsi="宋体" w:cs="宋体" w:eastAsia="宋体" w:hint="default"/>
          <w:sz w:val="19"/>
          <w:szCs w:val="19"/>
        </w:rPr>
      </w:pPr>
    </w:p>
    <w:p>
      <w:pPr>
        <w:pStyle w:val="Heading4"/>
        <w:spacing w:line="240" w:lineRule="auto" w:before="36"/>
        <w:ind w:right="855"/>
        <w:jc w:val="left"/>
        <w:rPr>
          <w:b w:val="0"/>
          <w:bCs w:val="0"/>
        </w:rPr>
      </w:pP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855"/>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816"/>
        <w:gridCol w:w="4269"/>
        <w:gridCol w:w="2123"/>
        <w:gridCol w:w="2401"/>
      </w:tblGrid>
      <w:tr>
        <w:trPr>
          <w:trHeight w:val="350" w:hRule="exact"/>
        </w:trPr>
        <w:tc>
          <w:tcPr>
            <w:tcW w:w="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42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9" w:right="0"/>
              <w:jc w:val="center"/>
              <w:rPr>
                <w:rFonts w:ascii="宋体" w:hAnsi="宋体" w:cs="宋体" w:eastAsia="宋体" w:hint="default"/>
                <w:sz w:val="18"/>
                <w:szCs w:val="18"/>
              </w:rPr>
            </w:pPr>
            <w:r>
              <w:rPr>
                <w:rFonts w:ascii="宋体" w:hAnsi="宋体" w:cs="宋体" w:eastAsia="宋体" w:hint="default"/>
                <w:b/>
                <w:bCs/>
                <w:sz w:val="18"/>
                <w:szCs w:val="18"/>
              </w:rPr>
              <w:t>名称</w:t>
            </w:r>
            <w:r>
              <w:rPr>
                <w:rFonts w:ascii="宋体" w:hAnsi="宋体" w:cs="宋体" w:eastAsia="宋体" w:hint="default"/>
                <w:sz w:val="18"/>
                <w:szCs w:val="18"/>
              </w:rPr>
            </w:r>
          </w:p>
        </w:tc>
        <w:tc>
          <w:tcPr>
            <w:tcW w:w="21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 w:right="0"/>
              <w:jc w:val="center"/>
              <w:rPr>
                <w:rFonts w:ascii="宋体" w:hAnsi="宋体" w:cs="宋体" w:eastAsia="宋体" w:hint="default"/>
                <w:sz w:val="18"/>
                <w:szCs w:val="18"/>
              </w:rPr>
            </w:pPr>
            <w:r>
              <w:rPr>
                <w:rFonts w:ascii="宋体" w:hAnsi="宋体" w:cs="宋体" w:eastAsia="宋体" w:hint="default"/>
                <w:b/>
                <w:bCs/>
                <w:sz w:val="18"/>
                <w:szCs w:val="18"/>
              </w:rPr>
              <w:t>变动情况</w:t>
            </w:r>
            <w:r>
              <w:rPr>
                <w:rFonts w:ascii="宋体" w:hAnsi="宋体" w:cs="宋体" w:eastAsia="宋体" w:hint="default"/>
                <w:sz w:val="18"/>
                <w:szCs w:val="18"/>
              </w:rPr>
            </w:r>
          </w:p>
        </w:tc>
        <w:tc>
          <w:tcPr>
            <w:tcW w:w="24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824"/>
              <w:jc w:val="right"/>
              <w:rPr>
                <w:rFonts w:ascii="宋体" w:hAnsi="宋体" w:cs="宋体" w:eastAsia="宋体" w:hint="default"/>
                <w:sz w:val="18"/>
                <w:szCs w:val="18"/>
              </w:rPr>
            </w:pPr>
            <w:r>
              <w:rPr>
                <w:rFonts w:ascii="宋体" w:hAnsi="宋体" w:cs="宋体" w:eastAsia="宋体" w:hint="default"/>
                <w:b/>
                <w:bCs/>
                <w:sz w:val="18"/>
                <w:szCs w:val="18"/>
              </w:rPr>
              <w:t>变更原因</w:t>
            </w:r>
            <w:r>
              <w:rPr>
                <w:rFonts w:ascii="宋体" w:hAnsi="宋体" w:cs="宋体" w:eastAsia="宋体" w:hint="default"/>
                <w:sz w:val="18"/>
                <w:szCs w:val="18"/>
              </w:rPr>
            </w:r>
          </w:p>
        </w:tc>
      </w:tr>
      <w:tr>
        <w:trPr>
          <w:trHeight w:val="346" w:hRule="exact"/>
        </w:trPr>
        <w:tc>
          <w:tcPr>
            <w:tcW w:w="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42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8" w:right="0"/>
              <w:jc w:val="center"/>
              <w:rPr>
                <w:rFonts w:ascii="宋体" w:hAnsi="宋体" w:cs="宋体" w:eastAsia="宋体" w:hint="default"/>
                <w:sz w:val="18"/>
                <w:szCs w:val="18"/>
              </w:rPr>
            </w:pPr>
            <w:r>
              <w:rPr>
                <w:rFonts w:ascii="宋体" w:hAnsi="宋体" w:cs="宋体" w:eastAsia="宋体" w:hint="default"/>
                <w:spacing w:val="-3"/>
                <w:sz w:val="18"/>
                <w:szCs w:val="18"/>
              </w:rPr>
              <w:t>广州市海捷计算机科技有限公司</w:t>
            </w:r>
          </w:p>
        </w:tc>
        <w:tc>
          <w:tcPr>
            <w:tcW w:w="21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增加</w:t>
            </w:r>
          </w:p>
        </w:tc>
        <w:tc>
          <w:tcPr>
            <w:tcW w:w="24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824"/>
              <w:jc w:val="right"/>
              <w:rPr>
                <w:rFonts w:ascii="宋体" w:hAnsi="宋体" w:cs="宋体" w:eastAsia="宋体" w:hint="default"/>
                <w:sz w:val="18"/>
                <w:szCs w:val="18"/>
              </w:rPr>
            </w:pPr>
            <w:r>
              <w:rPr>
                <w:rFonts w:ascii="宋体" w:hAnsi="宋体" w:cs="宋体" w:eastAsia="宋体" w:hint="default"/>
                <w:spacing w:val="-2"/>
                <w:sz w:val="18"/>
                <w:szCs w:val="18"/>
              </w:rPr>
              <w:t>受让股份</w:t>
            </w:r>
          </w:p>
        </w:tc>
      </w:tr>
    </w:tbl>
    <w:p>
      <w:pPr>
        <w:pStyle w:val="BodyText"/>
        <w:spacing w:line="240" w:lineRule="auto" w:before="10"/>
        <w:ind w:left="540" w:right="4946"/>
        <w:jc w:val="center"/>
      </w:pPr>
      <w:r>
        <w:rPr>
          <w:spacing w:val="-3"/>
        </w:rPr>
        <w:t>与上年度财务报告相比，本报告期新增纳入合并范围内的子公司</w:t>
      </w:r>
      <w:r>
        <w:rPr>
          <w:rFonts w:ascii="Times New Roman" w:hAnsi="Times New Roman" w:cs="Times New Roman" w:eastAsia="Times New Roman" w:hint="default"/>
          <w:spacing w:val="-3"/>
        </w:rPr>
        <w:t>1</w:t>
      </w:r>
      <w:r>
        <w:rPr>
          <w:spacing w:val="-3"/>
        </w:rPr>
        <w:t>家。</w:t>
      </w:r>
      <w:r>
        <w:rPr/>
      </w:r>
    </w:p>
    <w:p>
      <w:pPr>
        <w:spacing w:line="240" w:lineRule="auto" w:before="13"/>
        <w:rPr>
          <w:rFonts w:ascii="宋体" w:hAnsi="宋体" w:cs="宋体" w:eastAsia="宋体" w:hint="default"/>
          <w:sz w:val="25"/>
          <w:szCs w:val="25"/>
        </w:rPr>
      </w:pPr>
    </w:p>
    <w:p>
      <w:pPr>
        <w:pStyle w:val="Heading4"/>
        <w:spacing w:line="240" w:lineRule="auto"/>
        <w:ind w:right="855"/>
        <w:jc w:val="left"/>
        <w:rPr>
          <w:b w:val="0"/>
          <w:bCs w:val="0"/>
        </w:rPr>
      </w:pP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855"/>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0"/>
        <w:rPr>
          <w:rFonts w:ascii="宋体" w:hAnsi="宋体" w:cs="宋体" w:eastAsia="宋体" w:hint="default"/>
          <w:sz w:val="26"/>
          <w:szCs w:val="26"/>
        </w:rPr>
      </w:pPr>
    </w:p>
    <w:p>
      <w:pPr>
        <w:pStyle w:val="Heading4"/>
        <w:spacing w:line="240" w:lineRule="auto"/>
        <w:ind w:right="855"/>
        <w:jc w:val="left"/>
        <w:rPr>
          <w:b w:val="0"/>
          <w:bCs w:val="0"/>
        </w:rPr>
      </w:pP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855"/>
        <w:jc w:val="left"/>
      </w:pPr>
      <w:r>
        <w:rPr/>
        <w:t>公司主要销售客户情况</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399"/>
        <w:gridCol w:w="5172"/>
      </w:tblGrid>
      <w:tr>
        <w:trPr>
          <w:trHeight w:val="403" w:hRule="exact"/>
        </w:trPr>
        <w:tc>
          <w:tcPr>
            <w:tcW w:w="43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前五名客户合计销售金额（元）</w:t>
            </w:r>
          </w:p>
        </w:tc>
        <w:tc>
          <w:tcPr>
            <w:tcW w:w="5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1,077,400,938.39</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4399"/>
        <w:gridCol w:w="5172"/>
      </w:tblGrid>
      <w:tr>
        <w:trPr>
          <w:trHeight w:val="403" w:hRule="exact"/>
        </w:trPr>
        <w:tc>
          <w:tcPr>
            <w:tcW w:w="43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前五名客户合计销售金额占年度销售总额比例</w:t>
            </w:r>
          </w:p>
        </w:tc>
        <w:tc>
          <w:tcPr>
            <w:tcW w:w="5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32.62%</w:t>
            </w:r>
          </w:p>
        </w:tc>
      </w:tr>
      <w:tr>
        <w:trPr>
          <w:trHeight w:val="403" w:hRule="exact"/>
        </w:trPr>
        <w:tc>
          <w:tcPr>
            <w:tcW w:w="43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前五名客户销售额中关联方销售额占年度销售总额比例</w:t>
            </w:r>
          </w:p>
        </w:tc>
        <w:tc>
          <w:tcPr>
            <w:tcW w:w="5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240" w:lineRule="auto" w:before="54"/>
        <w:ind w:right="855"/>
        <w:jc w:val="left"/>
      </w:pPr>
      <w:r>
        <w:rPr/>
        <w:t>公司前</w:t>
      </w:r>
      <w:r>
        <w:rPr>
          <w:spacing w:val="-42"/>
        </w:rPr>
        <w:t> </w:t>
      </w:r>
      <w:r>
        <w:rPr>
          <w:rFonts w:ascii="Times New Roman" w:hAnsi="Times New Roman" w:cs="Times New Roman" w:eastAsia="Times New Roman" w:hint="default"/>
        </w:rPr>
        <w:t>5</w:t>
      </w:r>
      <w:r>
        <w:rPr>
          <w:rFonts w:ascii="Times New Roman" w:hAnsi="Times New Roman" w:cs="Times New Roman" w:eastAsia="Times New Roman" w:hint="default"/>
          <w:spacing w:val="-3"/>
        </w:rPr>
        <w:t> </w:t>
      </w:r>
      <w:r>
        <w:rPr/>
        <w:t>大客户资料</w:t>
      </w:r>
    </w:p>
    <w:p>
      <w:pPr>
        <w:spacing w:line="240" w:lineRule="auto" w:before="7"/>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802"/>
        <w:gridCol w:w="3304"/>
        <w:gridCol w:w="2324"/>
        <w:gridCol w:w="3140"/>
      </w:tblGrid>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5"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14"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58" w:right="0"/>
              <w:jc w:val="left"/>
              <w:rPr>
                <w:rFonts w:ascii="宋体" w:hAnsi="宋体" w:cs="宋体" w:eastAsia="宋体" w:hint="default"/>
                <w:sz w:val="18"/>
                <w:szCs w:val="18"/>
              </w:rPr>
            </w:pPr>
            <w:r>
              <w:rPr>
                <w:rFonts w:ascii="宋体" w:hAnsi="宋体" w:cs="宋体" w:eastAsia="宋体" w:hint="default"/>
                <w:spacing w:val="-3"/>
                <w:sz w:val="18"/>
                <w:szCs w:val="18"/>
              </w:rPr>
              <w:t>占年度销售总额比例</w:t>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银行股份有限公司</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366,834,317.20</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3"/>
                <w:sz w:val="18"/>
              </w:rPr>
              <w:t>11.10%</w:t>
            </w:r>
          </w:p>
        </w:tc>
      </w:tr>
      <w:tr>
        <w:trPr>
          <w:trHeight w:val="398"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银行股份有限公司</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221,247,126.40</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6.70%</w:t>
            </w:r>
          </w:p>
        </w:tc>
      </w:tr>
      <w:tr>
        <w:trPr>
          <w:trHeight w:val="404"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银行股份有限公司</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192,168,889.70</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1"/>
                <w:sz w:val="18"/>
              </w:rPr>
              <w:t>5.82%</w:t>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银行股份有限公司</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151,824,247.62</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4.60%</w:t>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E</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股份有限公司</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145,326,357.47</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4.40%</w:t>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1,077,400,938.39</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32.62%</w:t>
            </w:r>
          </w:p>
        </w:tc>
      </w:tr>
    </w:tbl>
    <w:p>
      <w:pPr>
        <w:pStyle w:val="BodyText"/>
        <w:spacing w:line="240" w:lineRule="auto" w:before="53"/>
        <w:ind w:right="855"/>
        <w:jc w:val="left"/>
      </w:pPr>
      <w:r>
        <w:rPr/>
        <w:t>主要客户其他情况说明</w:t>
      </w:r>
    </w:p>
    <w:p>
      <w:pPr>
        <w:pStyle w:val="BodyText"/>
        <w:spacing w:line="343" w:lineRule="auto" w:before="110"/>
        <w:ind w:right="807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公司主要供应商情况</w:t>
      </w:r>
    </w:p>
    <w:p>
      <w:pPr>
        <w:spacing w:line="240" w:lineRule="auto" w:before="1"/>
        <w:rPr>
          <w:rFonts w:ascii="宋体" w:hAnsi="宋体" w:cs="宋体" w:eastAsia="宋体" w:hint="default"/>
          <w:sz w:val="2"/>
          <w:szCs w:val="2"/>
        </w:rPr>
      </w:pPr>
    </w:p>
    <w:tbl>
      <w:tblPr>
        <w:tblW w:w="0" w:type="auto"/>
        <w:jc w:val="left"/>
        <w:tblInd w:w="148" w:type="dxa"/>
        <w:tblLayout w:type="fixed"/>
        <w:tblCellMar>
          <w:top w:w="0" w:type="dxa"/>
          <w:left w:w="0" w:type="dxa"/>
          <w:bottom w:w="0" w:type="dxa"/>
          <w:right w:w="0" w:type="dxa"/>
        </w:tblCellMar>
        <w:tblLook w:val="01E0"/>
      </w:tblPr>
      <w:tblGrid>
        <w:gridCol w:w="4682"/>
        <w:gridCol w:w="4888"/>
      </w:tblGrid>
      <w:tr>
        <w:trPr>
          <w:trHeight w:val="403" w:hRule="exact"/>
        </w:trPr>
        <w:tc>
          <w:tcPr>
            <w:tcW w:w="4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前五名供应商合计采购金额（元）</w:t>
            </w:r>
          </w:p>
        </w:tc>
        <w:tc>
          <w:tcPr>
            <w:tcW w:w="4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920,611,896.74</w:t>
            </w:r>
          </w:p>
        </w:tc>
      </w:tr>
      <w:tr>
        <w:trPr>
          <w:trHeight w:val="398" w:hRule="exact"/>
        </w:trPr>
        <w:tc>
          <w:tcPr>
            <w:tcW w:w="4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前五名供应商合计采购金额占年度采购总额比例</w:t>
            </w:r>
          </w:p>
        </w:tc>
        <w:tc>
          <w:tcPr>
            <w:tcW w:w="4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36.40%</w:t>
            </w:r>
          </w:p>
        </w:tc>
      </w:tr>
      <w:tr>
        <w:trPr>
          <w:trHeight w:val="404" w:hRule="exact"/>
        </w:trPr>
        <w:tc>
          <w:tcPr>
            <w:tcW w:w="4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前五名供应商采购额中关联方采购额占年度采购总额比例</w:t>
            </w:r>
          </w:p>
        </w:tc>
        <w:tc>
          <w:tcPr>
            <w:tcW w:w="4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240" w:lineRule="auto" w:before="53"/>
        <w:ind w:right="855"/>
        <w:jc w:val="left"/>
      </w:pPr>
      <w:r>
        <w:rPr/>
        <w:t>公司前</w:t>
      </w:r>
      <w:r>
        <w:rPr>
          <w:spacing w:val="-41"/>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937"/>
        <w:gridCol w:w="3169"/>
        <w:gridCol w:w="2324"/>
        <w:gridCol w:w="3140"/>
      </w:tblGrid>
      <w:tr>
        <w:trPr>
          <w:trHeight w:val="403" w:hRule="exact"/>
        </w:trPr>
        <w:tc>
          <w:tcPr>
            <w:tcW w:w="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83"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14"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58" w:right="0"/>
              <w:jc w:val="left"/>
              <w:rPr>
                <w:rFonts w:ascii="宋体" w:hAnsi="宋体" w:cs="宋体" w:eastAsia="宋体" w:hint="default"/>
                <w:sz w:val="18"/>
                <w:szCs w:val="18"/>
              </w:rPr>
            </w:pPr>
            <w:r>
              <w:rPr>
                <w:rFonts w:ascii="宋体" w:hAnsi="宋体" w:cs="宋体" w:eastAsia="宋体" w:hint="default"/>
                <w:spacing w:val="-3"/>
                <w:sz w:val="18"/>
                <w:szCs w:val="18"/>
              </w:rPr>
              <w:t>占年度采购总额比例</w:t>
            </w:r>
          </w:p>
        </w:tc>
      </w:tr>
      <w:tr>
        <w:trPr>
          <w:trHeight w:val="398" w:hRule="exact"/>
        </w:trPr>
        <w:tc>
          <w:tcPr>
            <w:tcW w:w="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产业股份有限公司</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365,398,236.23</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14.45%</w:t>
            </w:r>
          </w:p>
        </w:tc>
      </w:tr>
      <w:tr>
        <w:trPr>
          <w:trHeight w:val="404" w:hRule="exact"/>
        </w:trPr>
        <w:tc>
          <w:tcPr>
            <w:tcW w:w="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有限公司</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209,165,799.43</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8.27%</w:t>
            </w:r>
          </w:p>
        </w:tc>
      </w:tr>
      <w:tr>
        <w:trPr>
          <w:trHeight w:val="403" w:hRule="exact"/>
        </w:trPr>
        <w:tc>
          <w:tcPr>
            <w:tcW w:w="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科技股份有限公司</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130,817,369.20</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5.17%</w:t>
            </w:r>
          </w:p>
        </w:tc>
      </w:tr>
      <w:tr>
        <w:trPr>
          <w:trHeight w:val="403" w:hRule="exact"/>
        </w:trPr>
        <w:tc>
          <w:tcPr>
            <w:tcW w:w="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有限公司</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126,878,625.89</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5.02%</w:t>
            </w:r>
          </w:p>
        </w:tc>
      </w:tr>
      <w:tr>
        <w:trPr>
          <w:trHeight w:val="398" w:hRule="exact"/>
        </w:trPr>
        <w:tc>
          <w:tcPr>
            <w:tcW w:w="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E</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技术有限公司</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88,351,865.99</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3.49%</w:t>
            </w:r>
          </w:p>
        </w:tc>
      </w:tr>
      <w:tr>
        <w:trPr>
          <w:trHeight w:val="404" w:hRule="exact"/>
        </w:trPr>
        <w:tc>
          <w:tcPr>
            <w:tcW w:w="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920,611,896.74</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36.40%</w:t>
            </w:r>
          </w:p>
        </w:tc>
      </w:tr>
    </w:tbl>
    <w:p>
      <w:pPr>
        <w:pStyle w:val="BodyText"/>
        <w:spacing w:line="240" w:lineRule="auto" w:before="53"/>
        <w:ind w:right="855"/>
        <w:jc w:val="left"/>
      </w:pPr>
      <w:r>
        <w:rPr>
          <w:spacing w:val="-3"/>
        </w:rPr>
        <w:t>主要供应商其他情况说明</w:t>
      </w:r>
    </w:p>
    <w:p>
      <w:pPr>
        <w:pStyle w:val="BodyText"/>
        <w:spacing w:line="240" w:lineRule="auto" w:before="115"/>
        <w:ind w:right="855"/>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8"/>
        <w:rPr>
          <w:rFonts w:ascii="宋体" w:hAnsi="宋体" w:cs="宋体" w:eastAsia="宋体" w:hint="default"/>
          <w:sz w:val="25"/>
          <w:szCs w:val="25"/>
        </w:rPr>
      </w:pPr>
    </w:p>
    <w:p>
      <w:pPr>
        <w:pStyle w:val="Heading4"/>
        <w:spacing w:line="240" w:lineRule="auto"/>
        <w:ind w:right="855"/>
        <w:jc w:val="left"/>
        <w:rPr>
          <w:b w:val="0"/>
          <w:bCs w:val="0"/>
        </w:rPr>
      </w:pPr>
      <w:r>
        <w:rPr>
          <w:rFonts w:ascii="Times New Roman" w:hAnsi="Times New Roman" w:cs="Times New Roman" w:eastAsia="Times New Roman" w:hint="default"/>
        </w:rPr>
        <w:t>3</w:t>
      </w:r>
      <w:r>
        <w:rPr/>
        <w:t>、费用</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1"/>
        <w:jc w:val="right"/>
      </w:pPr>
      <w:r>
        <w:rPr>
          <w:spacing w:val="-2"/>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2055"/>
        <w:gridCol w:w="1700"/>
        <w:gridCol w:w="1844"/>
        <w:gridCol w:w="2055"/>
      </w:tblGrid>
      <w:tr>
        <w:trPr>
          <w:trHeight w:val="398"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0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5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56"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0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80"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198,656,918.09</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185,110,129.79</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7.32%</w:t>
            </w:r>
          </w:p>
        </w:tc>
        <w:tc>
          <w:tcPr>
            <w:tcW w:w="2055"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138,002,353.93</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122,942,736.37</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12.25%</w:t>
            </w:r>
          </w:p>
        </w:tc>
        <w:tc>
          <w:tcPr>
            <w:tcW w:w="205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19,153,093.96</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17,274,277.34</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10.88%</w:t>
            </w:r>
          </w:p>
        </w:tc>
        <w:tc>
          <w:tcPr>
            <w:tcW w:w="2055"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301,681,131.05</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266,655,602.09</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13.14%</w:t>
            </w:r>
          </w:p>
        </w:tc>
        <w:tc>
          <w:tcPr>
            <w:tcW w:w="205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6" w:footer="974" w:top="1060" w:bottom="1160" w:left="980" w:right="0"/>
        </w:sectPr>
      </w:pPr>
    </w:p>
    <w:p>
      <w:pPr>
        <w:spacing w:line="240" w:lineRule="auto" w:before="12"/>
        <w:rPr>
          <w:rFonts w:ascii="宋体" w:hAnsi="宋体" w:cs="宋体" w:eastAsia="宋体" w:hint="default"/>
          <w:sz w:val="24"/>
          <w:szCs w:val="24"/>
        </w:rPr>
      </w:pPr>
    </w:p>
    <w:p>
      <w:pPr>
        <w:pStyle w:val="Heading4"/>
        <w:spacing w:line="240" w:lineRule="auto" w:before="36"/>
        <w:ind w:right="855"/>
        <w:jc w:val="left"/>
        <w:rPr>
          <w:b w:val="0"/>
          <w:bCs w:val="0"/>
        </w:rPr>
      </w:pPr>
      <w:r>
        <w:rPr>
          <w:rFonts w:ascii="Times New Roman" w:hAnsi="Times New Roman" w:cs="Times New Roman" w:eastAsia="Times New Roman" w:hint="default"/>
        </w:rPr>
        <w:t>4</w:t>
      </w:r>
      <w:r>
        <w:rPr/>
        <w:t>、研发投入</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left="513" w:right="855" w:hanging="36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9"/>
        </w:rPr>
        <w:t> </w:t>
      </w:r>
      <w:r>
        <w:rPr>
          <w:spacing w:val="-79"/>
        </w:rPr>
      </w:r>
      <w:r>
        <w:rPr>
          <w:spacing w:val="-5"/>
        </w:rPr>
        <w:t>南天信息是专业的数字化服务提供商，报告期内，公司以市场为导向，继续加大投入，主动开展以云计算、大数据、人</w:t>
      </w:r>
    </w:p>
    <w:p>
      <w:pPr>
        <w:pStyle w:val="BodyText"/>
        <w:spacing w:line="316" w:lineRule="auto" w:before="2"/>
        <w:ind w:right="855"/>
        <w:jc w:val="left"/>
      </w:pPr>
      <w:r>
        <w:rPr>
          <w:spacing w:val="-4"/>
        </w:rPr>
        <w:t>工智能等为依托的新产品、新平台、新方案的研发，坚持研发赋能，一体化智能云运维管理平台、生物特征识别系统在多家</w:t>
      </w:r>
      <w:r>
        <w:rPr>
          <w:spacing w:val="40"/>
        </w:rPr>
        <w:t> </w:t>
      </w:r>
      <w:r>
        <w:rPr>
          <w:spacing w:val="40"/>
        </w:rPr>
      </w:r>
      <w:r>
        <w:rPr>
          <w:spacing w:val="-3"/>
        </w:rPr>
        <w:t>银行及公安等行业持续推广，提升产品与服务竞争力，并相应增加了部分研发人员的薪金报酬。</w:t>
      </w:r>
    </w:p>
    <w:p>
      <w:pPr>
        <w:pStyle w:val="BodyText"/>
        <w:spacing w:line="343" w:lineRule="auto" w:before="19"/>
        <w:ind w:right="2115" w:firstLine="360"/>
        <w:jc w:val="left"/>
      </w:pPr>
      <w:r>
        <w:rPr>
          <w:spacing w:val="-3"/>
        </w:rPr>
        <w:t>报告期内，公司研发支出总额</w:t>
      </w:r>
      <w:r>
        <w:rPr>
          <w:rFonts w:ascii="Times New Roman" w:hAnsi="Times New Roman" w:cs="Times New Roman" w:eastAsia="Times New Roman" w:hint="default"/>
          <w:spacing w:val="-3"/>
        </w:rPr>
        <w:t>3.23</w:t>
      </w:r>
      <w:r>
        <w:rPr>
          <w:spacing w:val="-3"/>
        </w:rPr>
        <w:t>亿元，分别占本期末净资产的</w:t>
      </w:r>
      <w:r>
        <w:rPr>
          <w:rFonts w:ascii="Times New Roman" w:hAnsi="Times New Roman" w:cs="Times New Roman" w:eastAsia="Times New Roman" w:hint="default"/>
          <w:spacing w:val="-3"/>
        </w:rPr>
        <w:t>17.49%</w:t>
      </w:r>
      <w:r>
        <w:rPr>
          <w:spacing w:val="-3"/>
        </w:rPr>
        <w:t>，占当期营业收入的</w:t>
      </w:r>
      <w:r>
        <w:rPr>
          <w:rFonts w:ascii="Times New Roman" w:hAnsi="Times New Roman" w:cs="Times New Roman" w:eastAsia="Times New Roman" w:hint="default"/>
          <w:spacing w:val="-3"/>
        </w:rPr>
        <w:t>9.79%</w:t>
      </w:r>
      <w:r>
        <w:rPr>
          <w:spacing w:val="-3"/>
        </w:rPr>
        <w:t>。</w:t>
      </w:r>
      <w:r>
        <w:rPr>
          <w:w w:val="101"/>
        </w:rPr>
        <w:t> </w:t>
      </w:r>
      <w:r>
        <w:rPr/>
        <w:t>公司研发投入情况</w:t>
      </w:r>
    </w:p>
    <w:p>
      <w:pPr>
        <w:spacing w:line="240" w:lineRule="auto" w:before="1"/>
        <w:rPr>
          <w:rFonts w:ascii="宋体" w:hAnsi="宋体" w:cs="宋体" w:eastAsia="宋体" w:hint="default"/>
          <w:sz w:val="2"/>
          <w:szCs w:val="2"/>
        </w:rPr>
      </w:pPr>
    </w:p>
    <w:tbl>
      <w:tblPr>
        <w:tblW w:w="0" w:type="auto"/>
        <w:jc w:val="left"/>
        <w:tblInd w:w="148" w:type="dxa"/>
        <w:tblLayout w:type="fixed"/>
        <w:tblCellMar>
          <w:top w:w="0" w:type="dxa"/>
          <w:left w:w="0" w:type="dxa"/>
          <w:bottom w:w="0" w:type="dxa"/>
          <w:right w:w="0" w:type="dxa"/>
        </w:tblCellMar>
        <w:tblLook w:val="01E0"/>
      </w:tblPr>
      <w:tblGrid>
        <w:gridCol w:w="2838"/>
        <w:gridCol w:w="2267"/>
        <w:gridCol w:w="2271"/>
        <w:gridCol w:w="2195"/>
      </w:tblGrid>
      <w:tr>
        <w:trPr>
          <w:trHeight w:val="404" w:hRule="exact"/>
        </w:trPr>
        <w:tc>
          <w:tcPr>
            <w:tcW w:w="283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2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734" w:right="0"/>
              <w:jc w:val="left"/>
              <w:rPr>
                <w:rFonts w:ascii="宋体" w:hAnsi="宋体" w:cs="宋体" w:eastAsia="宋体" w:hint="default"/>
                <w:sz w:val="18"/>
                <w:szCs w:val="18"/>
              </w:rPr>
            </w:pPr>
            <w:r>
              <w:rPr>
                <w:rFonts w:ascii="宋体" w:hAnsi="宋体" w:cs="宋体" w:eastAsia="宋体" w:hint="default"/>
                <w:sz w:val="18"/>
                <w:szCs w:val="18"/>
              </w:rPr>
              <w:t>变动比例</w:t>
            </w:r>
          </w:p>
        </w:tc>
      </w:tr>
      <w:tr>
        <w:trPr>
          <w:trHeight w:val="398" w:hRule="exact"/>
        </w:trPr>
        <w:tc>
          <w:tcPr>
            <w:tcW w:w="2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研发人员数量（人）</w:t>
            </w:r>
          </w:p>
        </w:tc>
        <w:tc>
          <w:tcPr>
            <w:tcW w:w="2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4,355</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3,674</w:t>
            </w:r>
          </w:p>
        </w:tc>
        <w:tc>
          <w:tcPr>
            <w:tcW w:w="2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18.54%</w:t>
            </w:r>
          </w:p>
        </w:tc>
      </w:tr>
      <w:tr>
        <w:trPr>
          <w:trHeight w:val="403" w:hRule="exact"/>
        </w:trPr>
        <w:tc>
          <w:tcPr>
            <w:tcW w:w="2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73.61%</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70.74%</w:t>
            </w:r>
          </w:p>
        </w:tc>
        <w:tc>
          <w:tcPr>
            <w:tcW w:w="2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2.87%</w:t>
            </w:r>
          </w:p>
        </w:tc>
      </w:tr>
      <w:tr>
        <w:trPr>
          <w:trHeight w:val="403" w:hRule="exact"/>
        </w:trPr>
        <w:tc>
          <w:tcPr>
            <w:tcW w:w="2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研发投入金额（元）</w:t>
            </w:r>
          </w:p>
        </w:tc>
        <w:tc>
          <w:tcPr>
            <w:tcW w:w="2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323,436,918.95</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291,541,530.46</w:t>
            </w:r>
          </w:p>
        </w:tc>
        <w:tc>
          <w:tcPr>
            <w:tcW w:w="2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10.94%</w:t>
            </w:r>
          </w:p>
        </w:tc>
      </w:tr>
      <w:tr>
        <w:trPr>
          <w:trHeight w:val="404" w:hRule="exact"/>
        </w:trPr>
        <w:tc>
          <w:tcPr>
            <w:tcW w:w="2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研发投入占营业收入比例</w:t>
            </w:r>
          </w:p>
        </w:tc>
        <w:tc>
          <w:tcPr>
            <w:tcW w:w="2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9.79%</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10.49%</w:t>
            </w:r>
          </w:p>
        </w:tc>
        <w:tc>
          <w:tcPr>
            <w:tcW w:w="2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-0.70%</w:t>
            </w:r>
          </w:p>
        </w:tc>
      </w:tr>
      <w:tr>
        <w:trPr>
          <w:trHeight w:val="398" w:hRule="exact"/>
        </w:trPr>
        <w:tc>
          <w:tcPr>
            <w:tcW w:w="2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研发投入资本化的金额（元）</w:t>
            </w:r>
          </w:p>
        </w:tc>
        <w:tc>
          <w:tcPr>
            <w:tcW w:w="2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21,755,787.90</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14,094,826.49</w:t>
            </w:r>
          </w:p>
        </w:tc>
        <w:tc>
          <w:tcPr>
            <w:tcW w:w="2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54.35%</w:t>
            </w:r>
          </w:p>
        </w:tc>
      </w:tr>
      <w:tr>
        <w:trPr>
          <w:trHeight w:val="403" w:hRule="exact"/>
        </w:trPr>
        <w:tc>
          <w:tcPr>
            <w:tcW w:w="2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资本化研发投入占研发投入的比例</w:t>
            </w:r>
          </w:p>
        </w:tc>
        <w:tc>
          <w:tcPr>
            <w:tcW w:w="2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6.73%</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4.83%</w:t>
            </w:r>
          </w:p>
        </w:tc>
        <w:tc>
          <w:tcPr>
            <w:tcW w:w="2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1.90%</w:t>
            </w:r>
          </w:p>
        </w:tc>
      </w:tr>
    </w:tbl>
    <w:p>
      <w:pPr>
        <w:pStyle w:val="BodyText"/>
        <w:spacing w:line="240" w:lineRule="auto" w:before="53"/>
        <w:ind w:right="855"/>
        <w:jc w:val="left"/>
      </w:pPr>
      <w:r>
        <w:rPr>
          <w:spacing w:val="-3"/>
        </w:rPr>
        <w:t>研发投入总额占营业收入的比重较上年发生显著变化的原因</w:t>
      </w:r>
    </w:p>
    <w:p>
      <w:pPr>
        <w:pStyle w:val="BodyText"/>
        <w:spacing w:line="240" w:lineRule="auto" w:before="115"/>
        <w:ind w:right="855"/>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pStyle w:val="BodyText"/>
        <w:spacing w:line="338" w:lineRule="auto" w:before="101"/>
        <w:ind w:right="855"/>
        <w:jc w:val="left"/>
      </w:pPr>
      <w:r>
        <w:rPr>
          <w:spacing w:val="-3"/>
        </w:rPr>
        <w:t>公司需遵守《深圳证券交易所行业信息披露指引第 </w:t>
      </w:r>
      <w:r>
        <w:rPr>
          <w:rFonts w:ascii="Times New Roman" w:hAnsi="Times New Roman" w:cs="Times New Roman" w:eastAsia="Times New Roman" w:hint="default"/>
        </w:rPr>
        <w:t>12 </w:t>
      </w:r>
      <w:r>
        <w:rPr>
          <w:spacing w:val="-3"/>
        </w:rPr>
        <w:t>号</w:t>
      </w:r>
      <w:r>
        <w:rPr>
          <w:rFonts w:ascii="Times New Roman" w:hAnsi="Times New Roman" w:cs="Times New Roman" w:eastAsia="Times New Roman" w:hint="default"/>
          <w:spacing w:val="-3"/>
        </w:rPr>
        <w:t>——</w:t>
      </w:r>
      <w:r>
        <w:rPr>
          <w:spacing w:val="-3"/>
        </w:rPr>
        <w:t>上市公司从事软件与信息技术服务业务》的披露要求</w:t>
      </w:r>
      <w:r>
        <w:rPr>
          <w:spacing w:val="-34"/>
        </w:rPr>
        <w:t> </w:t>
      </w:r>
      <w:r>
        <w:rPr>
          <w:spacing w:val="-34"/>
        </w:rPr>
      </w:r>
      <w:r>
        <w:rPr>
          <w:spacing w:val="-3"/>
        </w:rPr>
        <w:t>研发投入资本化率大幅变动的原因及其合理性说明</w:t>
      </w:r>
    </w:p>
    <w:p>
      <w:pPr>
        <w:pStyle w:val="BodyText"/>
        <w:spacing w:line="240" w:lineRule="auto" w:before="46"/>
        <w:ind w:right="855"/>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8"/>
        <w:rPr>
          <w:rFonts w:ascii="宋体" w:hAnsi="宋体" w:cs="宋体" w:eastAsia="宋体" w:hint="default"/>
          <w:sz w:val="25"/>
          <w:szCs w:val="25"/>
        </w:rPr>
      </w:pPr>
    </w:p>
    <w:p>
      <w:pPr>
        <w:pStyle w:val="Heading4"/>
        <w:spacing w:line="240" w:lineRule="auto"/>
        <w:ind w:right="855"/>
        <w:jc w:val="left"/>
        <w:rPr>
          <w:b w:val="0"/>
          <w:bCs w:val="0"/>
        </w:rPr>
      </w:pPr>
      <w:r>
        <w:rPr>
          <w:rFonts w:ascii="Times New Roman" w:hAnsi="Times New Roman" w:cs="Times New Roman" w:eastAsia="Times New Roman" w:hint="default"/>
        </w:rPr>
        <w:t>5</w:t>
      </w:r>
      <w:r>
        <w:rPr/>
        <w:t>、现金流</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1"/>
        <w:jc w:val="right"/>
      </w:pPr>
      <w:r>
        <w:rPr>
          <w:spacing w:val="-2"/>
        </w:rPr>
        <w:t>单位：元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694"/>
        <w:gridCol w:w="2411"/>
        <w:gridCol w:w="2271"/>
        <w:gridCol w:w="2195"/>
      </w:tblGrid>
      <w:tr>
        <w:trPr>
          <w:trHeight w:val="403"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2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4"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4,063,747,324.72</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2,961,708,816.05</w:t>
            </w:r>
          </w:p>
        </w:tc>
        <w:tc>
          <w:tcPr>
            <w:tcW w:w="2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37.21%</w:t>
            </w:r>
          </w:p>
        </w:tc>
      </w:tr>
      <w:tr>
        <w:trPr>
          <w:trHeight w:val="404"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4,202,156,016.98</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2,908,688,246.71</w:t>
            </w:r>
          </w:p>
        </w:tc>
        <w:tc>
          <w:tcPr>
            <w:tcW w:w="2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44.47%</w:t>
            </w:r>
          </w:p>
        </w:tc>
      </w:tr>
      <w:tr>
        <w:trPr>
          <w:trHeight w:val="398"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经营活动产生的现金流量净额</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-138,408,692.26</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53,020,569.34</w:t>
            </w:r>
          </w:p>
        </w:tc>
        <w:tc>
          <w:tcPr>
            <w:tcW w:w="2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-361.05%</w:t>
            </w:r>
          </w:p>
        </w:tc>
      </w:tr>
      <w:tr>
        <w:trPr>
          <w:trHeight w:val="403"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26,299,616.42</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509,081,798.34</w:t>
            </w:r>
          </w:p>
        </w:tc>
        <w:tc>
          <w:tcPr>
            <w:tcW w:w="2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-94.83%</w:t>
            </w:r>
          </w:p>
        </w:tc>
      </w:tr>
      <w:tr>
        <w:trPr>
          <w:trHeight w:val="403"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32,657,888.59</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11,092,661.66</w:t>
            </w:r>
          </w:p>
        </w:tc>
        <w:tc>
          <w:tcPr>
            <w:tcW w:w="2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194.41%</w:t>
            </w:r>
          </w:p>
        </w:tc>
      </w:tr>
      <w:tr>
        <w:trPr>
          <w:trHeight w:val="404"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投资活动产生的现金流量净额</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-6,358,272.17</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497,989,136.68</w:t>
            </w:r>
          </w:p>
        </w:tc>
        <w:tc>
          <w:tcPr>
            <w:tcW w:w="2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-101.28%</w:t>
            </w:r>
          </w:p>
        </w:tc>
      </w:tr>
      <w:tr>
        <w:trPr>
          <w:trHeight w:val="398"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875,360,000.00</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461,250,000.00</w:t>
            </w:r>
          </w:p>
        </w:tc>
        <w:tc>
          <w:tcPr>
            <w:tcW w:w="2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89.78%</w:t>
            </w:r>
          </w:p>
        </w:tc>
      </w:tr>
      <w:tr>
        <w:trPr>
          <w:trHeight w:val="403"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629,413,508.84</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592,206,178.78</w:t>
            </w:r>
          </w:p>
        </w:tc>
        <w:tc>
          <w:tcPr>
            <w:tcW w:w="2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6.28%</w:t>
            </w:r>
          </w:p>
        </w:tc>
      </w:tr>
      <w:tr>
        <w:trPr>
          <w:trHeight w:val="403"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筹资活动产生的现金流量净额</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245,946,491.16</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-130,956,178.78</w:t>
            </w:r>
          </w:p>
        </w:tc>
        <w:tc>
          <w:tcPr>
            <w:tcW w:w="2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287.81%</w:t>
            </w:r>
          </w:p>
        </w:tc>
      </w:tr>
      <w:tr>
        <w:trPr>
          <w:trHeight w:val="404"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现金及现金等价物净增加额</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101,286,637.40</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419,940,585.84</w:t>
            </w:r>
          </w:p>
        </w:tc>
        <w:tc>
          <w:tcPr>
            <w:tcW w:w="2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-75.88%</w:t>
            </w:r>
          </w:p>
        </w:tc>
      </w:tr>
    </w:tbl>
    <w:p>
      <w:pPr>
        <w:pStyle w:val="BodyText"/>
        <w:spacing w:line="240" w:lineRule="auto" w:before="53"/>
        <w:ind w:right="855"/>
        <w:jc w:val="left"/>
      </w:pPr>
      <w:r>
        <w:rPr>
          <w:spacing w:val="-3"/>
        </w:rPr>
        <w:t>相关数据同比发生重大变动的主要影响因素说明</w:t>
      </w:r>
    </w:p>
    <w:p>
      <w:pPr>
        <w:pStyle w:val="BodyText"/>
        <w:spacing w:line="343" w:lineRule="auto" w:before="110"/>
        <w:ind w:right="4481"/>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9"/>
        </w:rPr>
        <w:t> </w:t>
      </w:r>
      <w:r>
        <w:rPr>
          <w:spacing w:val="-79"/>
        </w:rPr>
      </w:r>
      <w:r>
        <w:rPr>
          <w:spacing w:val="-3"/>
        </w:rPr>
        <w:t>经营活动现金流入同比发生重大变动，主要因为报告期销售规模增长。</w:t>
      </w:r>
    </w:p>
    <w:p>
      <w:pPr>
        <w:spacing w:after="0" w:line="343" w:lineRule="auto"/>
        <w:jc w:val="left"/>
        <w:sectPr>
          <w:pgSz w:w="11910" w:h="16840"/>
          <w:pgMar w:header="746" w:footer="974" w:top="1060" w:bottom="1160" w:left="980" w:right="0"/>
        </w:sectPr>
      </w:pPr>
    </w:p>
    <w:p>
      <w:pPr>
        <w:spacing w:line="240" w:lineRule="auto" w:before="9"/>
        <w:rPr>
          <w:rFonts w:ascii="宋体" w:hAnsi="宋体" w:cs="宋体" w:eastAsia="宋体" w:hint="default"/>
          <w:sz w:val="25"/>
          <w:szCs w:val="25"/>
        </w:rPr>
      </w:pPr>
    </w:p>
    <w:p>
      <w:pPr>
        <w:pStyle w:val="BodyText"/>
        <w:spacing w:line="357" w:lineRule="auto" w:before="46"/>
        <w:ind w:left="513" w:right="855"/>
        <w:jc w:val="left"/>
      </w:pPr>
      <w:r>
        <w:rPr>
          <w:spacing w:val="-3"/>
        </w:rPr>
        <w:t>经营活动现金流出同比发生重大变动，主要因为报告期订单合同较多，采购增加。</w:t>
      </w:r>
      <w:r>
        <w:rPr>
          <w:spacing w:val="14"/>
        </w:rPr>
        <w:t> </w:t>
      </w:r>
      <w:r>
        <w:rPr>
          <w:spacing w:val="14"/>
        </w:rPr>
      </w:r>
      <w:r>
        <w:rPr>
          <w:spacing w:val="-4"/>
        </w:rPr>
        <w:t>投资活动现金流入同比发生重大变动，主要因为去年同期出售联营企业云南医药工业股份有限公司的股权，今年无股权</w:t>
      </w:r>
    </w:p>
    <w:p>
      <w:pPr>
        <w:pStyle w:val="BodyText"/>
        <w:spacing w:line="224" w:lineRule="exact"/>
        <w:ind w:right="855"/>
        <w:jc w:val="left"/>
      </w:pPr>
      <w:r>
        <w:rPr/>
        <w:t>处置。</w:t>
      </w:r>
    </w:p>
    <w:p>
      <w:pPr>
        <w:pStyle w:val="BodyText"/>
        <w:spacing w:line="357" w:lineRule="auto" w:before="120"/>
        <w:ind w:left="513" w:right="855"/>
        <w:jc w:val="left"/>
      </w:pPr>
      <w:r>
        <w:rPr>
          <w:spacing w:val="-3"/>
        </w:rPr>
        <w:t>投资活动现金流出同比发生重大变动，主要因为报告期新公司购入无形资产较多。</w:t>
      </w:r>
      <w:r>
        <w:rPr>
          <w:spacing w:val="14"/>
        </w:rPr>
        <w:t> </w:t>
      </w:r>
      <w:r>
        <w:rPr>
          <w:spacing w:val="14"/>
        </w:rPr>
      </w:r>
      <w:r>
        <w:rPr>
          <w:spacing w:val="-3"/>
        </w:rPr>
        <w:t>筹资活动现金流入同比发生重大变动，主要因为报告期销售规模增长，公司资金需求增加，平均贷款额增加。</w:t>
      </w:r>
      <w:r>
        <w:rPr>
          <w:spacing w:val="49"/>
        </w:rPr>
        <w:t> </w:t>
      </w:r>
      <w:r>
        <w:rPr>
          <w:spacing w:val="49"/>
        </w:rPr>
      </w:r>
      <w:r>
        <w:rPr>
          <w:spacing w:val="-3"/>
        </w:rPr>
        <w:t>报告期内公司经营活动产生的现金净流量与本年度净利润存在重大差异的原因说明</w:t>
      </w:r>
    </w:p>
    <w:p>
      <w:pPr>
        <w:pStyle w:val="BodyText"/>
        <w:spacing w:line="338" w:lineRule="auto" w:before="31"/>
        <w:ind w:left="513" w:right="855" w:hanging="36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9"/>
        </w:rPr>
        <w:t> </w:t>
      </w:r>
      <w:r>
        <w:rPr>
          <w:spacing w:val="-79"/>
        </w:rPr>
      </w:r>
      <w:r>
        <w:rPr>
          <w:spacing w:val="-4"/>
        </w:rPr>
        <w:t>净利润是基于权责发生制，现金流量是基于收付实现制，二者计量基础不同。</w:t>
      </w:r>
      <w:r>
        <w:rPr>
          <w:rFonts w:ascii="Times New Roman" w:hAnsi="Times New Roman" w:cs="Times New Roman" w:eastAsia="Times New Roman" w:hint="default"/>
          <w:spacing w:val="-4"/>
        </w:rPr>
        <w:t>2019</w:t>
      </w:r>
      <w:r>
        <w:rPr>
          <w:spacing w:val="-4"/>
        </w:rPr>
        <w:t>年，本公司因中标大量合同而发生大</w:t>
      </w:r>
    </w:p>
    <w:p>
      <w:pPr>
        <w:pStyle w:val="BodyText"/>
        <w:spacing w:line="217" w:lineRule="exact"/>
        <w:ind w:right="855"/>
        <w:jc w:val="left"/>
      </w:pPr>
      <w:r>
        <w:rPr>
          <w:spacing w:val="-4"/>
        </w:rPr>
        <w:t>量的采购现金流支出，此部分现金支出体现为经营活动现金流出，并转化为存货，但尚未实现收入，也未产生利润。因此造</w:t>
      </w:r>
    </w:p>
    <w:p>
      <w:pPr>
        <w:pStyle w:val="BodyText"/>
        <w:spacing w:line="240" w:lineRule="auto" w:before="76"/>
        <w:ind w:right="855"/>
        <w:jc w:val="left"/>
      </w:pPr>
      <w:r>
        <w:rPr>
          <w:spacing w:val="-3"/>
        </w:rPr>
        <w:t>成</w:t>
      </w:r>
      <w:r>
        <w:rPr>
          <w:rFonts w:ascii="Times New Roman" w:hAnsi="Times New Roman" w:cs="Times New Roman" w:eastAsia="Times New Roman" w:hint="default"/>
          <w:spacing w:val="-3"/>
        </w:rPr>
        <w:t>2019</w:t>
      </w:r>
      <w:r>
        <w:rPr>
          <w:spacing w:val="-3"/>
        </w:rPr>
        <w:t>年度净利润和经营活动现金流量净额有较大差异。</w:t>
      </w:r>
    </w:p>
    <w:p>
      <w:pPr>
        <w:spacing w:line="240" w:lineRule="auto" w:before="0"/>
        <w:rPr>
          <w:rFonts w:ascii="宋体" w:hAnsi="宋体" w:cs="宋体" w:eastAsia="宋体" w:hint="default"/>
          <w:sz w:val="24"/>
          <w:szCs w:val="24"/>
        </w:rPr>
      </w:pPr>
    </w:p>
    <w:p>
      <w:pPr>
        <w:pStyle w:val="Heading2"/>
        <w:spacing w:line="240" w:lineRule="auto"/>
        <w:ind w:right="855"/>
        <w:jc w:val="left"/>
        <w:rPr>
          <w:b w:val="0"/>
          <w:bCs w:val="0"/>
        </w:rPr>
      </w:pPr>
      <w:r>
        <w:rPr/>
        <w:t>三、非主营业务分析</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6"/>
        <w:ind w:right="855"/>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1"/>
        </w:rPr>
        <w:t> </w:t>
      </w:r>
      <w:r>
        <w:rPr/>
        <w:t>不适用</w:t>
      </w:r>
    </w:p>
    <w:p>
      <w:pPr>
        <w:pStyle w:val="BodyText"/>
        <w:spacing w:line="240" w:lineRule="auto" w:before="106"/>
        <w:ind w:left="0" w:right="1121"/>
        <w:jc w:val="right"/>
      </w:pPr>
      <w:r>
        <w:rPr>
          <w:spacing w:val="-2"/>
        </w:rPr>
        <w:t>单位：元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522"/>
        <w:gridCol w:w="1455"/>
        <w:gridCol w:w="1704"/>
        <w:gridCol w:w="3400"/>
        <w:gridCol w:w="1489"/>
      </w:tblGrid>
      <w:tr>
        <w:trPr>
          <w:trHeight w:val="163" w:hRule="exact"/>
        </w:trPr>
        <w:tc>
          <w:tcPr>
            <w:tcW w:w="1522" w:type="dxa"/>
            <w:vMerge w:val="restart"/>
            <w:tcBorders>
              <w:top w:val="single" w:sz="4" w:space="0" w:color="000000"/>
              <w:left w:val="single" w:sz="4" w:space="0" w:color="000000"/>
              <w:right w:val="single" w:sz="4" w:space="0" w:color="000000"/>
            </w:tcBorders>
            <w:shd w:val="clear" w:color="auto" w:fill="D2D2D2"/>
          </w:tcPr>
          <w:p>
            <w:pPr/>
          </w:p>
        </w:tc>
        <w:tc>
          <w:tcPr>
            <w:tcW w:w="145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7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15" w:right="0"/>
              <w:jc w:val="left"/>
              <w:rPr>
                <w:rFonts w:ascii="宋体" w:hAnsi="宋体" w:cs="宋体" w:eastAsia="宋体" w:hint="default"/>
                <w:sz w:val="18"/>
                <w:szCs w:val="18"/>
              </w:rPr>
            </w:pPr>
            <w:r>
              <w:rPr>
                <w:rFonts w:ascii="宋体" w:hAnsi="宋体" w:cs="宋体" w:eastAsia="宋体" w:hint="default"/>
                <w:spacing w:val="-3"/>
                <w:sz w:val="18"/>
                <w:szCs w:val="18"/>
              </w:rPr>
              <w:t>占利润总额比例</w:t>
            </w:r>
          </w:p>
        </w:tc>
        <w:tc>
          <w:tcPr>
            <w:tcW w:w="3400" w:type="dxa"/>
            <w:tcBorders>
              <w:top w:val="single" w:sz="4" w:space="0" w:color="000000"/>
              <w:left w:val="single" w:sz="4" w:space="0" w:color="000000"/>
              <w:bottom w:val="nil" w:sz="6" w:space="0" w:color="auto"/>
              <w:right w:val="single" w:sz="4" w:space="0" w:color="000000"/>
            </w:tcBorders>
            <w:shd w:val="clear" w:color="auto" w:fill="D2D2D2"/>
          </w:tcPr>
          <w:p>
            <w:pPr/>
          </w:p>
        </w:tc>
        <w:tc>
          <w:tcPr>
            <w:tcW w:w="1489" w:type="dxa"/>
            <w:vMerge w:val="restart"/>
            <w:tcBorders>
              <w:top w:val="single" w:sz="4" w:space="0" w:color="000000"/>
              <w:left w:val="single" w:sz="4" w:space="0" w:color="000000"/>
              <w:right w:val="single" w:sz="4" w:space="0" w:color="000000"/>
            </w:tcBorders>
            <w:shd w:val="clear" w:color="auto" w:fill="D2D2D2"/>
          </w:tcPr>
          <w:p>
            <w:pPr>
              <w:pStyle w:val="TableParagraph"/>
              <w:spacing w:line="312" w:lineRule="auto" w:before="53"/>
              <w:ind w:left="648" w:right="104" w:hanging="539"/>
              <w:jc w:val="left"/>
              <w:rPr>
                <w:rFonts w:ascii="宋体" w:hAnsi="宋体" w:cs="宋体" w:eastAsia="宋体" w:hint="default"/>
                <w:sz w:val="18"/>
                <w:szCs w:val="18"/>
              </w:rPr>
            </w:pPr>
            <w:r>
              <w:rPr>
                <w:rFonts w:ascii="宋体" w:hAnsi="宋体" w:cs="宋体" w:eastAsia="宋体" w:hint="default"/>
                <w:spacing w:val="-3"/>
                <w:sz w:val="18"/>
                <w:szCs w:val="18"/>
              </w:rPr>
              <w:t>是否具有可持续</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性</w:t>
            </w:r>
          </w:p>
        </w:tc>
      </w:tr>
      <w:tr>
        <w:trPr>
          <w:trHeight w:val="389" w:hRule="exact"/>
        </w:trPr>
        <w:tc>
          <w:tcPr>
            <w:tcW w:w="1522" w:type="dxa"/>
            <w:vMerge/>
            <w:tcBorders>
              <w:left w:val="single" w:sz="4" w:space="0" w:color="000000"/>
              <w:right w:val="single" w:sz="4" w:space="0" w:color="000000"/>
            </w:tcBorders>
            <w:shd w:val="clear" w:color="auto" w:fill="D2D2D2"/>
          </w:tcPr>
          <w:p>
            <w:pPr/>
          </w:p>
        </w:tc>
        <w:tc>
          <w:tcPr>
            <w:tcW w:w="1455" w:type="dxa"/>
            <w:vMerge/>
            <w:tcBorders>
              <w:left w:val="single" w:sz="4" w:space="0" w:color="000000"/>
              <w:right w:val="single" w:sz="4" w:space="0" w:color="000000"/>
            </w:tcBorders>
            <w:shd w:val="clear" w:color="auto" w:fill="D2D2D2"/>
          </w:tcPr>
          <w:p>
            <w:pPr/>
          </w:p>
        </w:tc>
        <w:tc>
          <w:tcPr>
            <w:tcW w:w="1704" w:type="dxa"/>
            <w:vMerge/>
            <w:tcBorders>
              <w:left w:val="single" w:sz="4" w:space="0" w:color="000000"/>
              <w:right w:val="single" w:sz="4" w:space="0" w:color="000000"/>
            </w:tcBorders>
            <w:shd w:val="clear" w:color="auto" w:fill="D2D2D2"/>
          </w:tcPr>
          <w:p>
            <w:pPr/>
          </w:p>
        </w:tc>
        <w:tc>
          <w:tcPr>
            <w:tcW w:w="340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形成原因说明</w:t>
            </w:r>
          </w:p>
        </w:tc>
        <w:tc>
          <w:tcPr>
            <w:tcW w:w="1489" w:type="dxa"/>
            <w:vMerge/>
            <w:tcBorders>
              <w:left w:val="single" w:sz="4" w:space="0" w:color="000000"/>
              <w:right w:val="single" w:sz="4" w:space="0" w:color="000000"/>
            </w:tcBorders>
            <w:shd w:val="clear" w:color="auto" w:fill="D2D2D2"/>
          </w:tcPr>
          <w:p>
            <w:pPr/>
          </w:p>
        </w:tc>
      </w:tr>
      <w:tr>
        <w:trPr>
          <w:trHeight w:val="163" w:hRule="exact"/>
        </w:trPr>
        <w:tc>
          <w:tcPr>
            <w:tcW w:w="1522" w:type="dxa"/>
            <w:vMerge/>
            <w:tcBorders>
              <w:left w:val="single" w:sz="4" w:space="0" w:color="000000"/>
              <w:bottom w:val="single" w:sz="4" w:space="0" w:color="000000"/>
              <w:right w:val="single" w:sz="4" w:space="0" w:color="000000"/>
            </w:tcBorders>
            <w:shd w:val="clear" w:color="auto" w:fill="D2D2D2"/>
          </w:tcPr>
          <w:p>
            <w:pPr/>
          </w:p>
        </w:tc>
        <w:tc>
          <w:tcPr>
            <w:tcW w:w="1455" w:type="dxa"/>
            <w:vMerge/>
            <w:tcBorders>
              <w:left w:val="single" w:sz="4" w:space="0" w:color="000000"/>
              <w:bottom w:val="single" w:sz="4" w:space="0" w:color="000000"/>
              <w:right w:val="single" w:sz="4" w:space="0" w:color="000000"/>
            </w:tcBorders>
            <w:shd w:val="clear" w:color="auto" w:fill="D2D2D2"/>
          </w:tcPr>
          <w:p>
            <w:pPr/>
          </w:p>
        </w:tc>
        <w:tc>
          <w:tcPr>
            <w:tcW w:w="1704" w:type="dxa"/>
            <w:vMerge/>
            <w:tcBorders>
              <w:left w:val="single" w:sz="4" w:space="0" w:color="000000"/>
              <w:bottom w:val="single" w:sz="4" w:space="0" w:color="000000"/>
              <w:right w:val="single" w:sz="4" w:space="0" w:color="000000"/>
            </w:tcBorders>
            <w:shd w:val="clear" w:color="auto" w:fill="D2D2D2"/>
          </w:tcPr>
          <w:p>
            <w:pPr/>
          </w:p>
        </w:tc>
        <w:tc>
          <w:tcPr>
            <w:tcW w:w="3400" w:type="dxa"/>
            <w:tcBorders>
              <w:top w:val="nil" w:sz="6" w:space="0" w:color="auto"/>
              <w:left w:val="single" w:sz="4" w:space="0" w:color="000000"/>
              <w:bottom w:val="single" w:sz="4" w:space="0" w:color="000000"/>
              <w:right w:val="single" w:sz="4" w:space="0" w:color="000000"/>
            </w:tcBorders>
            <w:shd w:val="clear" w:color="auto" w:fill="D2D2D2"/>
          </w:tcPr>
          <w:p>
            <w:pPr/>
          </w:p>
        </w:tc>
        <w:tc>
          <w:tcPr>
            <w:tcW w:w="1489" w:type="dxa"/>
            <w:vMerge/>
            <w:tcBorders>
              <w:left w:val="single" w:sz="4" w:space="0" w:color="000000"/>
              <w:bottom w:val="single" w:sz="4" w:space="0" w:color="000000"/>
              <w:right w:val="single" w:sz="4" w:space="0" w:color="000000"/>
            </w:tcBorders>
            <w:shd w:val="clear" w:color="auto" w:fill="D2D2D2"/>
          </w:tcPr>
          <w:p>
            <w:pPr/>
          </w:p>
        </w:tc>
      </w:tr>
      <w:tr>
        <w:trPr>
          <w:trHeight w:val="399" w:hRule="exact"/>
        </w:trPr>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6,068,210.75</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6.58%</w:t>
            </w:r>
          </w:p>
        </w:tc>
        <w:tc>
          <w:tcPr>
            <w:tcW w:w="3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金融资产分红和权益法确认的投资收益</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403" w:hRule="exact"/>
        </w:trPr>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1,544,505.61</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1.68%</w:t>
            </w:r>
          </w:p>
        </w:tc>
        <w:tc>
          <w:tcPr>
            <w:tcW w:w="3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pacing w:val="-3"/>
                <w:sz w:val="18"/>
                <w:szCs w:val="18"/>
              </w:rPr>
              <w:t>存货跌价损失、长期股权投资减值损失</w:t>
            </w:r>
          </w:p>
        </w:tc>
        <w:tc>
          <w:tcPr>
            <w:tcW w:w="14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359,393.69</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0.39%</w:t>
            </w:r>
          </w:p>
        </w:tc>
        <w:tc>
          <w:tcPr>
            <w:tcW w:w="3400"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681,507.37</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0.74%</w:t>
            </w:r>
          </w:p>
        </w:tc>
        <w:tc>
          <w:tcPr>
            <w:tcW w:w="3400"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信用减值损失</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24,608,131.31</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26.70%</w:t>
            </w:r>
          </w:p>
        </w:tc>
        <w:tc>
          <w:tcPr>
            <w:tcW w:w="3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应收款项类资产计提坏账</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bl>
    <w:p>
      <w:pPr>
        <w:spacing w:line="240" w:lineRule="auto" w:before="1"/>
        <w:rPr>
          <w:rFonts w:ascii="宋体" w:hAnsi="宋体" w:cs="宋体" w:eastAsia="宋体" w:hint="default"/>
          <w:sz w:val="18"/>
          <w:szCs w:val="18"/>
        </w:rPr>
      </w:pPr>
    </w:p>
    <w:p>
      <w:pPr>
        <w:pStyle w:val="Heading2"/>
        <w:spacing w:line="240" w:lineRule="auto" w:before="26"/>
        <w:ind w:right="855"/>
        <w:jc w:val="left"/>
        <w:rPr>
          <w:b w:val="0"/>
          <w:bCs w:val="0"/>
        </w:rPr>
      </w:pPr>
      <w:r>
        <w:rPr/>
        <w:t>四、资产及负债状况</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855"/>
        <w:jc w:val="left"/>
        <w:rPr>
          <w:b w:val="0"/>
          <w:bCs w:val="0"/>
        </w:rPr>
      </w:pPr>
      <w:r>
        <w:rPr>
          <w:rFonts w:ascii="Times New Roman" w:hAnsi="Times New Roman" w:cs="Times New Roman" w:eastAsia="Times New Roman" w:hint="default"/>
        </w:rPr>
        <w:t>1</w:t>
      </w:r>
      <w:r>
        <w:rPr/>
        <w:t>、资产构成重大变动情况</w:t>
      </w:r>
      <w:r>
        <w:rPr>
          <w:b w:val="0"/>
          <w:bCs w:val="0"/>
        </w:rPr>
      </w:r>
    </w:p>
    <w:p>
      <w:pPr>
        <w:spacing w:line="240" w:lineRule="auto" w:before="2"/>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6" w:footer="974" w:top="1060" w:bottom="1160" w:left="980" w:right="0"/>
        </w:sectPr>
      </w:pPr>
    </w:p>
    <w:p>
      <w:pPr>
        <w:pStyle w:val="BodyText"/>
        <w:spacing w:line="240" w:lineRule="auto" w:before="46"/>
        <w:ind w:right="-14"/>
        <w:jc w:val="left"/>
      </w:pPr>
      <w:r>
        <w:rPr/>
        <w:t>公司 </w:t>
      </w:r>
      <w:r>
        <w:rPr>
          <w:rFonts w:ascii="Times New Roman" w:hAnsi="Times New Roman" w:cs="Times New Roman" w:eastAsia="Times New Roman" w:hint="default"/>
        </w:rPr>
        <w:t>2019 </w:t>
      </w:r>
      <w:r>
        <w:rPr>
          <w:rFonts w:ascii="Times New Roman" w:hAnsi="Times New Roman" w:cs="Times New Roman" w:eastAsia="Times New Roman" w:hint="default"/>
          <w:spacing w:val="37"/>
        </w:rPr>
        <w:t> </w:t>
      </w:r>
      <w:r>
        <w:rPr>
          <w:spacing w:val="-3"/>
        </w:rPr>
        <w:t>年起首次执行新金融工具准则、新收入准则或新租赁准则且调整执行当年年初财务报表相关项目</w:t>
      </w:r>
    </w:p>
    <w:p>
      <w:pPr>
        <w:pStyle w:val="BodyText"/>
        <w:spacing w:line="240" w:lineRule="auto" w:before="101"/>
        <w:ind w:right="-14"/>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1"/>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2" w:equalWidth="0">
            <w:col w:w="8531" w:space="391"/>
            <w:col w:w="2008"/>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9"/>
        <w:gridCol w:w="1469"/>
        <w:gridCol w:w="1273"/>
        <w:gridCol w:w="1421"/>
        <w:gridCol w:w="1277"/>
        <w:gridCol w:w="989"/>
        <w:gridCol w:w="1777"/>
      </w:tblGrid>
      <w:tr>
        <w:trPr>
          <w:trHeight w:val="398" w:hRule="exact"/>
        </w:trPr>
        <w:tc>
          <w:tcPr>
            <w:tcW w:w="1369" w:type="dxa"/>
            <w:vMerge w:val="restart"/>
            <w:tcBorders>
              <w:top w:val="single" w:sz="4" w:space="0" w:color="000000"/>
              <w:left w:val="single" w:sz="4" w:space="0" w:color="000000"/>
              <w:right w:val="single" w:sz="4" w:space="0" w:color="000000"/>
            </w:tcBorders>
            <w:shd w:val="clear" w:color="auto" w:fill="D2D2D2"/>
          </w:tcPr>
          <w:p>
            <w:pPr/>
          </w:p>
        </w:tc>
        <w:tc>
          <w:tcPr>
            <w:tcW w:w="274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年末</w:t>
            </w:r>
            <w:r>
              <w:rPr>
                <w:rFonts w:ascii="宋体" w:hAnsi="宋体" w:cs="宋体" w:eastAsia="宋体" w:hint="default"/>
                <w:sz w:val="18"/>
                <w:szCs w:val="18"/>
              </w:rPr>
            </w:r>
          </w:p>
        </w:tc>
        <w:tc>
          <w:tcPr>
            <w:tcW w:w="269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年初</w:t>
            </w:r>
            <w:r>
              <w:rPr>
                <w:rFonts w:ascii="宋体" w:hAnsi="宋体" w:cs="宋体" w:eastAsia="宋体" w:hint="default"/>
                <w:sz w:val="18"/>
                <w:szCs w:val="18"/>
              </w:rPr>
            </w:r>
          </w:p>
        </w:tc>
        <w:tc>
          <w:tcPr>
            <w:tcW w:w="9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17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40"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4" w:hRule="exact"/>
        </w:trPr>
        <w:tc>
          <w:tcPr>
            <w:tcW w:w="1369" w:type="dxa"/>
            <w:vMerge/>
            <w:tcBorders>
              <w:left w:val="single" w:sz="4" w:space="0" w:color="000000"/>
              <w:bottom w:val="single" w:sz="4" w:space="0" w:color="000000"/>
              <w:right w:val="single" w:sz="4" w:space="0" w:color="000000"/>
            </w:tcBorders>
            <w:shd w:val="clear" w:color="auto" w:fill="D2D2D2"/>
          </w:tcPr>
          <w:p>
            <w:pPr/>
          </w:p>
        </w:tc>
        <w:tc>
          <w:tcPr>
            <w:tcW w:w="14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1" w:right="0"/>
              <w:jc w:val="left"/>
              <w:rPr>
                <w:rFonts w:ascii="宋体" w:hAnsi="宋体" w:cs="宋体" w:eastAsia="宋体" w:hint="default"/>
                <w:sz w:val="18"/>
                <w:szCs w:val="18"/>
              </w:rPr>
            </w:pPr>
            <w:r>
              <w:rPr>
                <w:rFonts w:ascii="宋体" w:hAnsi="宋体" w:cs="宋体" w:eastAsia="宋体" w:hint="default"/>
                <w:sz w:val="18"/>
                <w:szCs w:val="18"/>
              </w:rPr>
              <w:t>占总资产比例</w:t>
            </w:r>
          </w:p>
        </w:tc>
        <w:tc>
          <w:tcPr>
            <w:tcW w:w="14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89"/>
              <w:jc w:val="right"/>
              <w:rPr>
                <w:rFonts w:ascii="宋体" w:hAnsi="宋体" w:cs="宋体" w:eastAsia="宋体" w:hint="default"/>
                <w:sz w:val="18"/>
                <w:szCs w:val="18"/>
              </w:rPr>
            </w:pPr>
            <w:r>
              <w:rPr>
                <w:rFonts w:ascii="宋体" w:hAnsi="宋体" w:cs="宋体" w:eastAsia="宋体" w:hint="default"/>
                <w:spacing w:val="-2"/>
                <w:sz w:val="18"/>
                <w:szCs w:val="18"/>
              </w:rPr>
              <w:t>占总资产比例</w:t>
            </w:r>
          </w:p>
        </w:tc>
        <w:tc>
          <w:tcPr>
            <w:tcW w:w="989" w:type="dxa"/>
            <w:vMerge/>
            <w:tcBorders>
              <w:left w:val="single" w:sz="4" w:space="0" w:color="000000"/>
              <w:bottom w:val="single" w:sz="4" w:space="0" w:color="000000"/>
              <w:right w:val="single" w:sz="4" w:space="0" w:color="000000"/>
            </w:tcBorders>
            <w:shd w:val="clear" w:color="auto" w:fill="D2D2D2"/>
          </w:tcPr>
          <w:p>
            <w:pPr/>
          </w:p>
        </w:tc>
        <w:tc>
          <w:tcPr>
            <w:tcW w:w="1777"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1,255,796,020.14</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3"/>
                <w:sz w:val="18"/>
              </w:rPr>
              <w:t>31.11%</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1,164,959,545.29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37.64%</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2"/>
                <w:sz w:val="18"/>
              </w:rPr>
              <w:t>-6.53%</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贷款及年底回款增加</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583,983,612.37</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14.47%</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485,708,841.17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15.69%</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2"/>
                <w:sz w:val="18"/>
              </w:rPr>
              <w:t>-1.22%</w:t>
            </w:r>
          </w:p>
        </w:tc>
        <w:tc>
          <w:tcPr>
            <w:tcW w:w="1777"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1,299,928,507.08</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32.21%</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604,196,809.15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19.52%</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12.69%</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报告期订单采购增加</w:t>
            </w:r>
          </w:p>
        </w:tc>
      </w:tr>
      <w:tr>
        <w:trPr>
          <w:trHeight w:val="404"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78,965,232.02</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1.96%</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85,310,846.98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2.76%</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2"/>
                <w:sz w:val="18"/>
              </w:rPr>
              <w:t>-0.80%</w:t>
            </w:r>
          </w:p>
        </w:tc>
        <w:tc>
          <w:tcPr>
            <w:tcW w:w="17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33,238,227.19</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0.82%</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54,205,791.61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1.75%</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2"/>
                <w:sz w:val="18"/>
              </w:rPr>
              <w:t>-0.93%</w:t>
            </w:r>
          </w:p>
        </w:tc>
        <w:tc>
          <w:tcPr>
            <w:tcW w:w="17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220,538,126.32</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5.46%</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227,139,168.03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7.34%</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2"/>
                <w:sz w:val="18"/>
              </w:rPr>
              <w:t>-1.88%</w:t>
            </w:r>
          </w:p>
        </w:tc>
        <w:tc>
          <w:tcPr>
            <w:tcW w:w="1777"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692,137,816.43</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17.15%</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405,532,249.33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13.10%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4.05%</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3" w:right="0"/>
              <w:jc w:val="left"/>
              <w:rPr>
                <w:rFonts w:ascii="宋体" w:hAnsi="宋体" w:cs="宋体" w:eastAsia="宋体" w:hint="default"/>
                <w:sz w:val="18"/>
                <w:szCs w:val="18"/>
              </w:rPr>
            </w:pPr>
            <w:r>
              <w:rPr>
                <w:rFonts w:ascii="宋体" w:hAnsi="宋体" w:cs="宋体" w:eastAsia="宋体" w:hint="default"/>
                <w:w w:val="101"/>
                <w:sz w:val="18"/>
                <w:szCs w:val="18"/>
              </w:rPr>
              <w:t>销</w:t>
            </w:r>
            <w:r>
              <w:rPr>
                <w:rFonts w:ascii="宋体" w:hAnsi="宋体" w:cs="宋体" w:eastAsia="宋体" w:hint="default"/>
                <w:spacing w:val="-5"/>
                <w:w w:val="101"/>
                <w:sz w:val="18"/>
                <w:szCs w:val="18"/>
              </w:rPr>
              <w:t>售</w:t>
            </w:r>
            <w:r>
              <w:rPr>
                <w:rFonts w:ascii="宋体" w:hAnsi="宋体" w:cs="宋体" w:eastAsia="宋体" w:hint="default"/>
                <w:w w:val="101"/>
                <w:sz w:val="18"/>
                <w:szCs w:val="18"/>
              </w:rPr>
              <w:t>规</w:t>
            </w:r>
            <w:r>
              <w:rPr>
                <w:rFonts w:ascii="宋体" w:hAnsi="宋体" w:cs="宋体" w:eastAsia="宋体" w:hint="default"/>
                <w:spacing w:val="-5"/>
                <w:w w:val="101"/>
                <w:sz w:val="18"/>
                <w:szCs w:val="18"/>
              </w:rPr>
              <w:t>模</w:t>
            </w:r>
            <w:r>
              <w:rPr>
                <w:rFonts w:ascii="宋体" w:hAnsi="宋体" w:cs="宋体" w:eastAsia="宋体" w:hint="default"/>
                <w:w w:val="101"/>
                <w:sz w:val="18"/>
                <w:szCs w:val="18"/>
              </w:rPr>
              <w:t>增</w:t>
            </w:r>
            <w:r>
              <w:rPr>
                <w:rFonts w:ascii="宋体" w:hAnsi="宋体" w:cs="宋体" w:eastAsia="宋体" w:hint="default"/>
                <w:spacing w:val="-5"/>
                <w:w w:val="101"/>
                <w:sz w:val="18"/>
                <w:szCs w:val="18"/>
              </w:rPr>
              <w:t>长</w:t>
            </w:r>
            <w:r>
              <w:rPr>
                <w:rFonts w:ascii="宋体" w:hAnsi="宋体" w:cs="宋体" w:eastAsia="宋体" w:hint="default"/>
                <w:spacing w:val="-87"/>
                <w:w w:val="101"/>
                <w:sz w:val="18"/>
                <w:szCs w:val="18"/>
              </w:rPr>
              <w:t>，</w:t>
            </w:r>
            <w:r>
              <w:rPr>
                <w:rFonts w:ascii="宋体" w:hAnsi="宋体" w:cs="宋体" w:eastAsia="宋体" w:hint="default"/>
                <w:w w:val="101"/>
                <w:sz w:val="18"/>
                <w:szCs w:val="18"/>
              </w:rPr>
              <w:t>资</w:t>
            </w:r>
            <w:r>
              <w:rPr>
                <w:rFonts w:ascii="宋体" w:hAnsi="宋体" w:cs="宋体" w:eastAsia="宋体" w:hint="default"/>
                <w:spacing w:val="-5"/>
                <w:w w:val="101"/>
                <w:sz w:val="18"/>
                <w:szCs w:val="18"/>
              </w:rPr>
              <w:t>金</w:t>
            </w:r>
            <w:r>
              <w:rPr>
                <w:rFonts w:ascii="宋体" w:hAnsi="宋体" w:cs="宋体" w:eastAsia="宋体" w:hint="default"/>
                <w:w w:val="101"/>
                <w:sz w:val="18"/>
                <w:szCs w:val="18"/>
              </w:rPr>
              <w:t>需</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9"/>
        <w:gridCol w:w="1469"/>
        <w:gridCol w:w="1273"/>
        <w:gridCol w:w="1421"/>
        <w:gridCol w:w="1277"/>
        <w:gridCol w:w="989"/>
        <w:gridCol w:w="1777"/>
      </w:tblGrid>
      <w:tr>
        <w:trPr>
          <w:trHeight w:val="360"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求增加</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24" w:right="0"/>
              <w:jc w:val="left"/>
              <w:rPr>
                <w:rFonts w:ascii="Times New Roman" w:hAnsi="Times New Roman" w:cs="Times New Roman" w:eastAsia="Times New Roman" w:hint="default"/>
                <w:sz w:val="18"/>
                <w:szCs w:val="18"/>
              </w:rPr>
            </w:pPr>
            <w:r>
              <w:rPr>
                <w:rFonts w:ascii="Times New Roman"/>
                <w:sz w:val="18"/>
              </w:rPr>
              <w:t>941,524.55</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78" w:right="0"/>
              <w:jc w:val="left"/>
              <w:rPr>
                <w:rFonts w:ascii="Times New Roman" w:hAnsi="Times New Roman" w:cs="Times New Roman" w:eastAsia="Times New Roman" w:hint="default"/>
                <w:sz w:val="18"/>
                <w:szCs w:val="18"/>
              </w:rPr>
            </w:pPr>
            <w:r>
              <w:rPr>
                <w:rFonts w:ascii="Times New Roman"/>
                <w:sz w:val="18"/>
              </w:rPr>
              <w:t>0.02%</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46" w:right="0"/>
              <w:jc w:val="left"/>
              <w:rPr>
                <w:rFonts w:ascii="Times New Roman" w:hAnsi="Times New Roman" w:cs="Times New Roman" w:eastAsia="Times New Roman" w:hint="default"/>
                <w:sz w:val="18"/>
                <w:szCs w:val="18"/>
              </w:rPr>
            </w:pPr>
            <w:r>
              <w:rPr>
                <w:rFonts w:ascii="Times New Roman"/>
                <w:sz w:val="18"/>
              </w:rPr>
              <w:t>1,543,516.27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78" w:right="0"/>
              <w:jc w:val="left"/>
              <w:rPr>
                <w:rFonts w:ascii="Times New Roman" w:hAnsi="Times New Roman" w:cs="Times New Roman" w:eastAsia="Times New Roman" w:hint="default"/>
                <w:sz w:val="18"/>
                <w:szCs w:val="18"/>
              </w:rPr>
            </w:pPr>
            <w:r>
              <w:rPr>
                <w:rFonts w:ascii="Times New Roman"/>
                <w:sz w:val="18"/>
              </w:rPr>
              <w:t>0.05%</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36" w:right="0"/>
              <w:jc w:val="left"/>
              <w:rPr>
                <w:rFonts w:ascii="Times New Roman" w:hAnsi="Times New Roman" w:cs="Times New Roman" w:eastAsia="Times New Roman" w:hint="default"/>
                <w:sz w:val="18"/>
                <w:szCs w:val="18"/>
              </w:rPr>
            </w:pPr>
            <w:r>
              <w:rPr>
                <w:rFonts w:ascii="Times New Roman"/>
                <w:sz w:val="18"/>
              </w:rPr>
              <w:t>-0.03%</w:t>
            </w:r>
          </w:p>
        </w:tc>
        <w:tc>
          <w:tcPr>
            <w:tcW w:w="177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855"/>
        <w:jc w:val="left"/>
        <w:rPr>
          <w:b w:val="0"/>
          <w:bCs w:val="0"/>
        </w:rPr>
      </w:pPr>
      <w:r>
        <w:rPr>
          <w:rFonts w:ascii="Times New Roman" w:hAnsi="Times New Roman" w:cs="Times New Roman" w:eastAsia="Times New Roman" w:hint="default"/>
        </w:rPr>
        <w:t>2</w:t>
      </w:r>
      <w:r>
        <w:rPr/>
        <w:t>、以公允价值计量的资产和负债</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right="855"/>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1"/>
        </w:rPr>
        <w:t> </w:t>
      </w:r>
      <w:r>
        <w:rPr/>
        <w:t>不适用</w:t>
      </w:r>
    </w:p>
    <w:p>
      <w:pPr>
        <w:pStyle w:val="BodyText"/>
        <w:spacing w:line="240" w:lineRule="auto" w:before="101"/>
        <w:ind w:left="0" w:right="1121"/>
        <w:jc w:val="right"/>
      </w:pPr>
      <w:r>
        <w:rPr>
          <w:spacing w:val="-2"/>
        </w:rPr>
        <w:t>单位：元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700"/>
        <w:gridCol w:w="1196"/>
        <w:gridCol w:w="1013"/>
        <w:gridCol w:w="1446"/>
        <w:gridCol w:w="869"/>
        <w:gridCol w:w="722"/>
        <w:gridCol w:w="1013"/>
        <w:gridCol w:w="436"/>
        <w:gridCol w:w="1379"/>
      </w:tblGrid>
      <w:tr>
        <w:trPr>
          <w:trHeight w:val="723" w:hRule="exact"/>
        </w:trPr>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322"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0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8"/>
              <w:ind w:left="52" w:right="45"/>
              <w:jc w:val="left"/>
              <w:rPr>
                <w:rFonts w:ascii="宋体" w:hAnsi="宋体" w:cs="宋体" w:eastAsia="宋体" w:hint="default"/>
                <w:sz w:val="18"/>
                <w:szCs w:val="18"/>
              </w:rPr>
            </w:pPr>
            <w:r>
              <w:rPr>
                <w:rFonts w:ascii="宋体" w:hAnsi="宋体" w:cs="宋体" w:eastAsia="宋体" w:hint="default"/>
                <w:spacing w:val="-2"/>
                <w:sz w:val="18"/>
                <w:szCs w:val="18"/>
              </w:rPr>
              <w:t>本期公允价</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值变动损益</w:t>
            </w:r>
          </w:p>
        </w:tc>
        <w:tc>
          <w:tcPr>
            <w:tcW w:w="14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8"/>
              <w:ind w:left="177" w:right="79" w:hanging="87"/>
              <w:jc w:val="left"/>
              <w:rPr>
                <w:rFonts w:ascii="宋体" w:hAnsi="宋体" w:cs="宋体" w:eastAsia="宋体" w:hint="default"/>
                <w:sz w:val="18"/>
                <w:szCs w:val="18"/>
              </w:rPr>
            </w:pPr>
            <w:r>
              <w:rPr>
                <w:rFonts w:ascii="宋体" w:hAnsi="宋体" w:cs="宋体" w:eastAsia="宋体" w:hint="default"/>
                <w:spacing w:val="-3"/>
                <w:sz w:val="18"/>
                <w:szCs w:val="18"/>
              </w:rPr>
              <w:t>计入权益的累计</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公允价值变动</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8"/>
              <w:ind w:left="158" w:right="65" w:hanging="92"/>
              <w:jc w:val="left"/>
              <w:rPr>
                <w:rFonts w:ascii="宋体" w:hAnsi="宋体" w:cs="宋体" w:eastAsia="宋体" w:hint="default"/>
                <w:sz w:val="18"/>
                <w:szCs w:val="18"/>
              </w:rPr>
            </w:pPr>
            <w:r>
              <w:rPr>
                <w:rFonts w:ascii="宋体" w:hAnsi="宋体" w:cs="宋体" w:eastAsia="宋体" w:hint="default"/>
                <w:sz w:val="18"/>
                <w:szCs w:val="18"/>
              </w:rPr>
              <w:t>本期计提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的减值</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8"/>
              <w:ind w:left="87" w:right="80"/>
              <w:jc w:val="left"/>
              <w:rPr>
                <w:rFonts w:ascii="宋体" w:hAnsi="宋体" w:cs="宋体" w:eastAsia="宋体" w:hint="default"/>
                <w:sz w:val="18"/>
                <w:szCs w:val="18"/>
              </w:rPr>
            </w:pPr>
            <w:r>
              <w:rPr>
                <w:rFonts w:ascii="宋体" w:hAnsi="宋体" w:cs="宋体" w:eastAsia="宋体" w:hint="default"/>
                <w:sz w:val="18"/>
                <w:szCs w:val="18"/>
              </w:rPr>
              <w:t>本期购</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买金额</w:t>
            </w:r>
          </w:p>
        </w:tc>
        <w:tc>
          <w:tcPr>
            <w:tcW w:w="10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8"/>
              <w:ind w:left="411" w:right="47" w:hanging="360"/>
              <w:jc w:val="left"/>
              <w:rPr>
                <w:rFonts w:ascii="宋体" w:hAnsi="宋体" w:cs="宋体" w:eastAsia="宋体" w:hint="default"/>
                <w:sz w:val="18"/>
                <w:szCs w:val="18"/>
              </w:rPr>
            </w:pPr>
            <w:r>
              <w:rPr>
                <w:rFonts w:ascii="宋体" w:hAnsi="宋体" w:cs="宋体" w:eastAsia="宋体" w:hint="default"/>
                <w:spacing w:val="-2"/>
                <w:sz w:val="18"/>
                <w:szCs w:val="18"/>
              </w:rPr>
              <w:t>本期出售金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额</w:t>
            </w:r>
          </w:p>
        </w:tc>
        <w:tc>
          <w:tcPr>
            <w:tcW w:w="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8"/>
              <w:ind w:left="32" w:right="26"/>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pacing w:val="-86"/>
                <w:sz w:val="18"/>
                <w:szCs w:val="18"/>
              </w:rPr>
              <w:t> </w:t>
            </w:r>
            <w:r>
              <w:rPr>
                <w:rFonts w:ascii="宋体" w:hAnsi="宋体" w:cs="宋体" w:eastAsia="宋体" w:hint="default"/>
                <w:sz w:val="18"/>
                <w:szCs w:val="18"/>
              </w:rPr>
              <w:t>变动</w:t>
            </w:r>
          </w:p>
        </w:tc>
        <w:tc>
          <w:tcPr>
            <w:tcW w:w="1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18"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8" w:hRule="exact"/>
        </w:trPr>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金融资产</w:t>
            </w:r>
          </w:p>
        </w:tc>
        <w:tc>
          <w:tcPr>
            <w:tcW w:w="8073" w:type="dxa"/>
            <w:gridSpan w:val="8"/>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10" w:hRule="exact"/>
        </w:trPr>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其他权益工具投资</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7"/>
              <w:jc w:val="right"/>
              <w:rPr>
                <w:rFonts w:ascii="Times New Roman" w:hAnsi="Times New Roman" w:cs="Times New Roman" w:eastAsia="Times New Roman" w:hint="default"/>
                <w:sz w:val="18"/>
                <w:szCs w:val="18"/>
              </w:rPr>
            </w:pPr>
            <w:r>
              <w:rPr>
                <w:rFonts w:ascii="Times New Roman"/>
                <w:spacing w:val="-1"/>
                <w:sz w:val="18"/>
              </w:rPr>
              <w:t>552,617.17</w:t>
            </w:r>
          </w:p>
        </w:tc>
        <w:tc>
          <w:tcPr>
            <w:tcW w:w="1013" w:type="dxa"/>
            <w:tcBorders>
              <w:top w:val="single" w:sz="4" w:space="0" w:color="000000"/>
              <w:left w:val="single" w:sz="4" w:space="0" w:color="000000"/>
              <w:bottom w:val="single" w:sz="4" w:space="0" w:color="000000"/>
              <w:right w:val="single" w:sz="4" w:space="0" w:color="000000"/>
            </w:tcBorders>
          </w:tcPr>
          <w:p>
            <w:pP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2"/>
              <w:jc w:val="right"/>
              <w:rPr>
                <w:rFonts w:ascii="Times New Roman" w:hAnsi="Times New Roman" w:cs="Times New Roman" w:eastAsia="Times New Roman" w:hint="default"/>
                <w:sz w:val="18"/>
                <w:szCs w:val="18"/>
              </w:rPr>
            </w:pPr>
            <w:r>
              <w:rPr>
                <w:rFonts w:ascii="Times New Roman"/>
                <w:spacing w:val="-1"/>
                <w:sz w:val="18"/>
              </w:rPr>
              <w:t>-239,313.62</w:t>
            </w:r>
          </w:p>
        </w:tc>
        <w:tc>
          <w:tcPr>
            <w:tcW w:w="869"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8"/>
              <w:jc w:val="right"/>
              <w:rPr>
                <w:rFonts w:ascii="Times New Roman" w:hAnsi="Times New Roman" w:cs="Times New Roman" w:eastAsia="Times New Roman" w:hint="default"/>
                <w:sz w:val="18"/>
                <w:szCs w:val="18"/>
              </w:rPr>
            </w:pPr>
            <w:r>
              <w:rPr>
                <w:rFonts w:ascii="Times New Roman"/>
                <w:spacing w:val="-1"/>
                <w:sz w:val="18"/>
              </w:rPr>
              <w:t>302,617.17</w:t>
            </w:r>
          </w:p>
        </w:tc>
        <w:tc>
          <w:tcPr>
            <w:tcW w:w="436" w:type="dxa"/>
            <w:tcBorders>
              <w:top w:val="single" w:sz="4" w:space="0" w:color="000000"/>
              <w:left w:val="single" w:sz="4" w:space="0" w:color="000000"/>
              <w:bottom w:val="single" w:sz="4" w:space="0" w:color="000000"/>
              <w:right w:val="single" w:sz="4" w:space="0" w:color="000000"/>
            </w:tcBorders>
          </w:tcPr>
          <w:p>
            <w:pP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3"/>
              <w:jc w:val="right"/>
              <w:rPr>
                <w:rFonts w:ascii="Times New Roman" w:hAnsi="Times New Roman" w:cs="Times New Roman" w:eastAsia="Times New Roman" w:hint="default"/>
                <w:sz w:val="18"/>
                <w:szCs w:val="18"/>
              </w:rPr>
            </w:pPr>
            <w:r>
              <w:rPr>
                <w:rFonts w:ascii="Times New Roman"/>
                <w:spacing w:val="-1"/>
                <w:sz w:val="18"/>
              </w:rPr>
              <w:t>10,686.38</w:t>
            </w:r>
          </w:p>
        </w:tc>
      </w:tr>
      <w:tr>
        <w:trPr>
          <w:trHeight w:val="404" w:hRule="exact"/>
        </w:trPr>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金融资产小计</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552,617.17</w:t>
            </w:r>
          </w:p>
        </w:tc>
        <w:tc>
          <w:tcPr>
            <w:tcW w:w="1013" w:type="dxa"/>
            <w:tcBorders>
              <w:top w:val="single" w:sz="4" w:space="0" w:color="000000"/>
              <w:left w:val="single" w:sz="4" w:space="0" w:color="000000"/>
              <w:bottom w:val="single" w:sz="4" w:space="0" w:color="000000"/>
              <w:right w:val="single" w:sz="4" w:space="0" w:color="000000"/>
            </w:tcBorders>
          </w:tcPr>
          <w:p>
            <w:pP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-239,313.62</w:t>
            </w:r>
          </w:p>
        </w:tc>
        <w:tc>
          <w:tcPr>
            <w:tcW w:w="869"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302,617.17</w:t>
            </w:r>
          </w:p>
        </w:tc>
        <w:tc>
          <w:tcPr>
            <w:tcW w:w="436" w:type="dxa"/>
            <w:tcBorders>
              <w:top w:val="single" w:sz="4" w:space="0" w:color="000000"/>
              <w:left w:val="single" w:sz="4" w:space="0" w:color="000000"/>
              <w:bottom w:val="single" w:sz="4" w:space="0" w:color="000000"/>
              <w:right w:val="single" w:sz="4" w:space="0" w:color="000000"/>
            </w:tcBorders>
          </w:tcPr>
          <w:p>
            <w:pP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10,686.38</w:t>
            </w:r>
          </w:p>
        </w:tc>
      </w:tr>
      <w:tr>
        <w:trPr>
          <w:trHeight w:val="403" w:hRule="exact"/>
        </w:trPr>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其他非流动金融资产</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121,803,696.72</w:t>
            </w:r>
          </w:p>
        </w:tc>
        <w:tc>
          <w:tcPr>
            <w:tcW w:w="1013" w:type="dxa"/>
            <w:tcBorders>
              <w:top w:val="single" w:sz="4" w:space="0" w:color="000000"/>
              <w:left w:val="single" w:sz="4" w:space="0" w:color="000000"/>
              <w:bottom w:val="single" w:sz="4" w:space="0" w:color="000000"/>
              <w:right w:val="single" w:sz="4" w:space="0" w:color="000000"/>
            </w:tcBorders>
          </w:tcPr>
          <w:p>
            <w:pPr/>
          </w:p>
        </w:tc>
        <w:tc>
          <w:tcPr>
            <w:tcW w:w="1446"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436" w:type="dxa"/>
            <w:tcBorders>
              <w:top w:val="single" w:sz="4" w:space="0" w:color="000000"/>
              <w:left w:val="single" w:sz="4" w:space="0" w:color="000000"/>
              <w:bottom w:val="single" w:sz="4" w:space="0" w:color="000000"/>
              <w:right w:val="single" w:sz="4" w:space="0" w:color="000000"/>
            </w:tcBorders>
          </w:tcPr>
          <w:p>
            <w:pP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121,803,696.72</w:t>
            </w:r>
          </w:p>
        </w:tc>
      </w:tr>
      <w:tr>
        <w:trPr>
          <w:trHeight w:val="403" w:hRule="exact"/>
        </w:trPr>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上述合计</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122,356,313.89</w:t>
            </w:r>
          </w:p>
        </w:tc>
        <w:tc>
          <w:tcPr>
            <w:tcW w:w="1013" w:type="dxa"/>
            <w:tcBorders>
              <w:top w:val="single" w:sz="4" w:space="0" w:color="000000"/>
              <w:left w:val="single" w:sz="4" w:space="0" w:color="000000"/>
              <w:bottom w:val="single" w:sz="4" w:space="0" w:color="000000"/>
              <w:right w:val="single" w:sz="4" w:space="0" w:color="000000"/>
            </w:tcBorders>
          </w:tcPr>
          <w:p>
            <w:pP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-239,313.62</w:t>
            </w:r>
          </w:p>
        </w:tc>
        <w:tc>
          <w:tcPr>
            <w:tcW w:w="869"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302,617.17</w:t>
            </w:r>
          </w:p>
        </w:tc>
        <w:tc>
          <w:tcPr>
            <w:tcW w:w="436" w:type="dxa"/>
            <w:tcBorders>
              <w:top w:val="single" w:sz="4" w:space="0" w:color="000000"/>
              <w:left w:val="single" w:sz="4" w:space="0" w:color="000000"/>
              <w:bottom w:val="single" w:sz="4" w:space="0" w:color="000000"/>
              <w:right w:val="single" w:sz="4" w:space="0" w:color="000000"/>
            </w:tcBorders>
          </w:tcPr>
          <w:p>
            <w:pP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121,814,383.10</w:t>
            </w:r>
          </w:p>
        </w:tc>
      </w:tr>
      <w:tr>
        <w:trPr>
          <w:trHeight w:val="403" w:hRule="exact"/>
        </w:trPr>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z w:val="18"/>
              </w:rPr>
              <w:t>0.00</w:t>
            </w:r>
          </w:p>
        </w:tc>
        <w:tc>
          <w:tcPr>
            <w:tcW w:w="1013" w:type="dxa"/>
            <w:tcBorders>
              <w:top w:val="single" w:sz="4" w:space="0" w:color="000000"/>
              <w:left w:val="single" w:sz="4" w:space="0" w:color="000000"/>
              <w:bottom w:val="single" w:sz="4" w:space="0" w:color="000000"/>
              <w:right w:val="single" w:sz="4" w:space="0" w:color="000000"/>
            </w:tcBorders>
          </w:tcPr>
          <w:p>
            <w:pPr/>
          </w:p>
        </w:tc>
        <w:tc>
          <w:tcPr>
            <w:tcW w:w="1446"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436" w:type="dxa"/>
            <w:tcBorders>
              <w:top w:val="single" w:sz="4" w:space="0" w:color="000000"/>
              <w:left w:val="single" w:sz="4" w:space="0" w:color="000000"/>
              <w:bottom w:val="single" w:sz="4" w:space="0" w:color="000000"/>
              <w:right w:val="single" w:sz="4" w:space="0" w:color="000000"/>
            </w:tcBorders>
          </w:tcPr>
          <w:p>
            <w:pP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357" w:lineRule="auto" w:before="53"/>
        <w:ind w:right="6110"/>
        <w:jc w:val="left"/>
      </w:pPr>
      <w:r>
        <w:rPr>
          <w:spacing w:val="-3"/>
        </w:rPr>
        <w:t>其他变动的内容</w:t>
      </w:r>
      <w:r>
        <w:rPr>
          <w:spacing w:val="-68"/>
        </w:rPr>
        <w:t> </w:t>
      </w:r>
      <w:r>
        <w:rPr>
          <w:spacing w:val="-68"/>
        </w:rPr>
      </w:r>
      <w:r>
        <w:rPr>
          <w:spacing w:val="-3"/>
        </w:rPr>
        <w:t>报告期内公司主要资产计量属性是否发生重大变化</w:t>
      </w:r>
    </w:p>
    <w:p>
      <w:pPr>
        <w:pStyle w:val="BodyText"/>
        <w:spacing w:line="240" w:lineRule="auto" w:before="26"/>
        <w:ind w:right="855"/>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8"/>
        <w:rPr>
          <w:rFonts w:ascii="宋体" w:hAnsi="宋体" w:cs="宋体" w:eastAsia="宋体" w:hint="default"/>
          <w:sz w:val="25"/>
          <w:szCs w:val="25"/>
        </w:rPr>
      </w:pPr>
    </w:p>
    <w:p>
      <w:pPr>
        <w:pStyle w:val="Heading4"/>
        <w:spacing w:line="240" w:lineRule="auto"/>
        <w:ind w:right="855"/>
        <w:jc w:val="left"/>
        <w:rPr>
          <w:b w:val="0"/>
          <w:bCs w:val="0"/>
        </w:rPr>
      </w:pP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9"/>
        <w:rPr>
          <w:rFonts w:ascii="宋体" w:hAnsi="宋体" w:cs="宋体" w:eastAsia="宋体" w:hint="default"/>
          <w:b/>
          <w:bCs/>
          <w:sz w:val="26"/>
          <w:szCs w:val="26"/>
        </w:rPr>
      </w:pPr>
    </w:p>
    <w:p>
      <w:pPr>
        <w:pStyle w:val="Heading6"/>
        <w:spacing w:line="240" w:lineRule="auto"/>
        <w:ind w:left="540" w:right="1513"/>
        <w:jc w:val="center"/>
        <w:rPr>
          <w:b w:val="0"/>
          <w:bCs w:val="0"/>
        </w:rPr>
      </w:pPr>
      <w:r>
        <w:rPr/>
        <w:t>所有权或使用权受到限制的资产</w:t>
      </w:r>
      <w:r>
        <w:rPr>
          <w:b w:val="0"/>
          <w:bCs w:val="0"/>
        </w:rPr>
      </w:r>
    </w:p>
    <w:p>
      <w:pPr>
        <w:spacing w:line="240" w:lineRule="auto" w:before="6"/>
        <w:rPr>
          <w:rFonts w:ascii="宋体" w:hAnsi="宋体" w:cs="宋体" w:eastAsia="宋体" w:hint="default"/>
          <w:b/>
          <w:bCs/>
          <w:sz w:val="11"/>
          <w:szCs w:val="11"/>
        </w:rPr>
      </w:pPr>
    </w:p>
    <w:p>
      <w:pPr>
        <w:pStyle w:val="BodyText"/>
        <w:spacing w:line="240" w:lineRule="auto" w:before="46"/>
        <w:ind w:left="0" w:right="1121"/>
        <w:jc w:val="right"/>
      </w:pPr>
      <w:r>
        <w:rPr>
          <w:spacing w:val="-2"/>
        </w:rPr>
        <w:t>单位：元</w:t>
      </w:r>
    </w:p>
    <w:p>
      <w:pPr>
        <w:spacing w:line="240" w:lineRule="auto" w:before="0"/>
        <w:rPr>
          <w:rFonts w:ascii="宋体" w:hAnsi="宋体" w:cs="宋体" w:eastAsia="宋体" w:hint="default"/>
          <w:sz w:val="5"/>
          <w:szCs w:val="5"/>
        </w:rPr>
      </w:pPr>
    </w:p>
    <w:tbl>
      <w:tblPr>
        <w:tblW w:w="0" w:type="auto"/>
        <w:jc w:val="left"/>
        <w:tblInd w:w="143" w:type="dxa"/>
        <w:tblLayout w:type="fixed"/>
        <w:tblCellMar>
          <w:top w:w="0" w:type="dxa"/>
          <w:left w:w="0" w:type="dxa"/>
          <w:bottom w:w="0" w:type="dxa"/>
          <w:right w:w="0" w:type="dxa"/>
        </w:tblCellMar>
        <w:tblLook w:val="01E0"/>
      </w:tblPr>
      <w:tblGrid>
        <w:gridCol w:w="2545"/>
        <w:gridCol w:w="1897"/>
        <w:gridCol w:w="5239"/>
      </w:tblGrid>
      <w:tr>
        <w:trPr>
          <w:trHeight w:val="353" w:hRule="exact"/>
        </w:trPr>
        <w:tc>
          <w:tcPr>
            <w:tcW w:w="2545"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25"/>
              <w:ind w:right="89"/>
              <w:jc w:val="center"/>
              <w:rPr>
                <w:rFonts w:ascii="宋体" w:hAnsi="宋体" w:cs="宋体" w:eastAsia="宋体" w:hint="default"/>
                <w:sz w:val="18"/>
                <w:szCs w:val="18"/>
              </w:rPr>
            </w:pPr>
            <w:r>
              <w:rPr>
                <w:rFonts w:ascii="宋体" w:hAnsi="宋体" w:cs="宋体" w:eastAsia="宋体" w:hint="default"/>
                <w:b/>
                <w:bCs/>
                <w:sz w:val="18"/>
                <w:szCs w:val="18"/>
              </w:rPr>
              <w:t>资产类别</w:t>
            </w:r>
            <w:r>
              <w:rPr>
                <w:rFonts w:ascii="宋体" w:hAnsi="宋体" w:cs="宋体" w:eastAsia="宋体" w:hint="default"/>
                <w:sz w:val="18"/>
                <w:szCs w:val="18"/>
              </w:rPr>
            </w:r>
          </w:p>
        </w:tc>
        <w:tc>
          <w:tcPr>
            <w:tcW w:w="1897"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25"/>
              <w:ind w:left="528"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5239"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25"/>
              <w:ind w:right="95"/>
              <w:jc w:val="center"/>
              <w:rPr>
                <w:rFonts w:ascii="宋体" w:hAnsi="宋体" w:cs="宋体" w:eastAsia="宋体" w:hint="default"/>
                <w:sz w:val="18"/>
                <w:szCs w:val="18"/>
              </w:rPr>
            </w:pPr>
            <w:r>
              <w:rPr>
                <w:rFonts w:ascii="宋体" w:hAnsi="宋体" w:cs="宋体" w:eastAsia="宋体" w:hint="default"/>
                <w:b/>
                <w:bCs/>
                <w:sz w:val="18"/>
                <w:szCs w:val="18"/>
              </w:rPr>
              <w:t>受限原因</w:t>
            </w:r>
            <w:r>
              <w:rPr>
                <w:rFonts w:ascii="宋体" w:hAnsi="宋体" w:cs="宋体" w:eastAsia="宋体" w:hint="default"/>
                <w:sz w:val="18"/>
                <w:szCs w:val="18"/>
              </w:rPr>
            </w:r>
          </w:p>
        </w:tc>
      </w:tr>
      <w:tr>
        <w:trPr>
          <w:trHeight w:val="346" w:hRule="exact"/>
        </w:trPr>
        <w:tc>
          <w:tcPr>
            <w:tcW w:w="254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5"/>
              <w:ind w:left="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89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7"/>
              <w:ind w:right="94"/>
              <w:jc w:val="right"/>
              <w:rPr>
                <w:rFonts w:ascii="Times New Roman" w:hAnsi="Times New Roman" w:cs="Times New Roman" w:eastAsia="Times New Roman" w:hint="default"/>
                <w:sz w:val="18"/>
                <w:szCs w:val="18"/>
              </w:rPr>
            </w:pPr>
            <w:r>
              <w:rPr>
                <w:rFonts w:ascii="Times New Roman"/>
                <w:spacing w:val="-1"/>
                <w:sz w:val="18"/>
              </w:rPr>
              <w:t>28,578,076.27</w:t>
            </w:r>
          </w:p>
        </w:tc>
        <w:tc>
          <w:tcPr>
            <w:tcW w:w="523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5"/>
              <w:ind w:left="4" w:right="0"/>
              <w:jc w:val="left"/>
              <w:rPr>
                <w:rFonts w:ascii="宋体" w:hAnsi="宋体" w:cs="宋体" w:eastAsia="宋体" w:hint="default"/>
                <w:sz w:val="18"/>
                <w:szCs w:val="18"/>
              </w:rPr>
            </w:pPr>
            <w:r>
              <w:rPr>
                <w:rFonts w:ascii="宋体" w:hAnsi="宋体" w:cs="宋体" w:eastAsia="宋体" w:hint="default"/>
                <w:spacing w:val="-3"/>
                <w:sz w:val="18"/>
                <w:szCs w:val="18"/>
              </w:rPr>
              <w:t>银行承兑汇票保证金</w:t>
            </w:r>
          </w:p>
        </w:tc>
      </w:tr>
      <w:tr>
        <w:trPr>
          <w:trHeight w:val="346" w:hRule="exact"/>
        </w:trPr>
        <w:tc>
          <w:tcPr>
            <w:tcW w:w="254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5"/>
              <w:ind w:left="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89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7"/>
              <w:ind w:right="94"/>
              <w:jc w:val="right"/>
              <w:rPr>
                <w:rFonts w:ascii="Times New Roman" w:hAnsi="Times New Roman" w:cs="Times New Roman" w:eastAsia="Times New Roman" w:hint="default"/>
                <w:sz w:val="18"/>
                <w:szCs w:val="18"/>
              </w:rPr>
            </w:pPr>
            <w:r>
              <w:rPr>
                <w:rFonts w:ascii="Times New Roman"/>
                <w:spacing w:val="-1"/>
                <w:sz w:val="18"/>
              </w:rPr>
              <w:t>43,063,469.08</w:t>
            </w:r>
          </w:p>
        </w:tc>
        <w:tc>
          <w:tcPr>
            <w:tcW w:w="523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5"/>
              <w:ind w:left="4" w:right="0"/>
              <w:jc w:val="left"/>
              <w:rPr>
                <w:rFonts w:ascii="宋体" w:hAnsi="宋体" w:cs="宋体" w:eastAsia="宋体" w:hint="default"/>
                <w:sz w:val="18"/>
                <w:szCs w:val="18"/>
              </w:rPr>
            </w:pPr>
            <w:r>
              <w:rPr>
                <w:rFonts w:ascii="宋体" w:hAnsi="宋体" w:cs="宋体" w:eastAsia="宋体" w:hint="default"/>
                <w:sz w:val="18"/>
                <w:szCs w:val="18"/>
              </w:rPr>
              <w:t>保函保证金</w:t>
            </w:r>
          </w:p>
        </w:tc>
      </w:tr>
      <w:tr>
        <w:trPr>
          <w:trHeight w:val="350" w:hRule="exact"/>
        </w:trPr>
        <w:tc>
          <w:tcPr>
            <w:tcW w:w="254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5"/>
              <w:ind w:left="4" w:right="0"/>
              <w:jc w:val="left"/>
              <w:rPr>
                <w:rFonts w:ascii="宋体" w:hAnsi="宋体" w:cs="宋体" w:eastAsia="宋体" w:hint="default"/>
                <w:sz w:val="18"/>
                <w:szCs w:val="18"/>
              </w:rPr>
            </w:pPr>
            <w:r>
              <w:rPr>
                <w:rFonts w:ascii="宋体" w:hAnsi="宋体" w:cs="宋体" w:eastAsia="宋体" w:hint="default"/>
                <w:sz w:val="18"/>
                <w:szCs w:val="18"/>
              </w:rPr>
              <w:t>房屋建筑物</w:t>
            </w:r>
            <w:r>
              <w:rPr>
                <w:rFonts w:ascii="Times New Roman" w:hAnsi="Times New Roman" w:cs="Times New Roman" w:eastAsia="Times New Roman" w:hint="default"/>
                <w:sz w:val="18"/>
                <w:szCs w:val="18"/>
              </w:rPr>
              <w:t>—</w:t>
            </w:r>
            <w:r>
              <w:rPr>
                <w:rFonts w:ascii="宋体" w:hAnsi="宋体" w:cs="宋体" w:eastAsia="宋体" w:hint="default"/>
                <w:sz w:val="18"/>
                <w:szCs w:val="18"/>
              </w:rPr>
              <w:t>南天信息</w:t>
            </w:r>
          </w:p>
        </w:tc>
        <w:tc>
          <w:tcPr>
            <w:tcW w:w="189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7"/>
              <w:ind w:right="94"/>
              <w:jc w:val="right"/>
              <w:rPr>
                <w:rFonts w:ascii="Times New Roman" w:hAnsi="Times New Roman" w:cs="Times New Roman" w:eastAsia="Times New Roman" w:hint="default"/>
                <w:sz w:val="18"/>
                <w:szCs w:val="18"/>
              </w:rPr>
            </w:pPr>
            <w:r>
              <w:rPr>
                <w:rFonts w:ascii="Times New Roman"/>
                <w:spacing w:val="-1"/>
                <w:sz w:val="18"/>
              </w:rPr>
              <w:t>1,290,768.74</w:t>
            </w:r>
          </w:p>
        </w:tc>
        <w:tc>
          <w:tcPr>
            <w:tcW w:w="523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5"/>
              <w:ind w:left="4" w:right="0"/>
              <w:jc w:val="left"/>
              <w:rPr>
                <w:rFonts w:ascii="宋体" w:hAnsi="宋体" w:cs="宋体" w:eastAsia="宋体" w:hint="default"/>
                <w:sz w:val="18"/>
                <w:szCs w:val="18"/>
              </w:rPr>
            </w:pPr>
            <w:r>
              <w:rPr>
                <w:rFonts w:ascii="宋体" w:hAnsi="宋体" w:cs="宋体" w:eastAsia="宋体" w:hint="default"/>
                <w:spacing w:val="-3"/>
                <w:sz w:val="18"/>
                <w:szCs w:val="18"/>
              </w:rPr>
              <w:t>零部件车间，配电楼，综合车间用于意大利政府抵押借款</w:t>
            </w:r>
          </w:p>
        </w:tc>
      </w:tr>
      <w:tr>
        <w:trPr>
          <w:trHeight w:val="346" w:hRule="exact"/>
        </w:trPr>
        <w:tc>
          <w:tcPr>
            <w:tcW w:w="254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5"/>
              <w:ind w:left="4" w:right="0"/>
              <w:jc w:val="left"/>
              <w:rPr>
                <w:rFonts w:ascii="宋体" w:hAnsi="宋体" w:cs="宋体" w:eastAsia="宋体" w:hint="default"/>
                <w:sz w:val="18"/>
                <w:szCs w:val="18"/>
              </w:rPr>
            </w:pPr>
            <w:r>
              <w:rPr>
                <w:rFonts w:ascii="宋体" w:hAnsi="宋体" w:cs="宋体" w:eastAsia="宋体" w:hint="default"/>
                <w:sz w:val="18"/>
                <w:szCs w:val="18"/>
              </w:rPr>
              <w:t>房屋建筑物</w:t>
            </w:r>
            <w:r>
              <w:rPr>
                <w:rFonts w:ascii="Times New Roman" w:hAnsi="Times New Roman" w:cs="Times New Roman" w:eastAsia="Times New Roman" w:hint="default"/>
                <w:sz w:val="18"/>
                <w:szCs w:val="18"/>
              </w:rPr>
              <w:t>—</w:t>
            </w:r>
            <w:r>
              <w:rPr>
                <w:rFonts w:ascii="宋体" w:hAnsi="宋体" w:cs="宋体" w:eastAsia="宋体" w:hint="default"/>
                <w:sz w:val="18"/>
                <w:szCs w:val="18"/>
              </w:rPr>
              <w:t>广州南天</w:t>
            </w:r>
          </w:p>
        </w:tc>
        <w:tc>
          <w:tcPr>
            <w:tcW w:w="189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7"/>
              <w:ind w:right="94"/>
              <w:jc w:val="right"/>
              <w:rPr>
                <w:rFonts w:ascii="Times New Roman" w:hAnsi="Times New Roman" w:cs="Times New Roman" w:eastAsia="Times New Roman" w:hint="default"/>
                <w:sz w:val="18"/>
                <w:szCs w:val="18"/>
              </w:rPr>
            </w:pPr>
            <w:r>
              <w:rPr>
                <w:rFonts w:ascii="Times New Roman"/>
                <w:spacing w:val="-1"/>
                <w:sz w:val="18"/>
              </w:rPr>
              <w:t>1,081,761.19</w:t>
            </w:r>
          </w:p>
        </w:tc>
        <w:tc>
          <w:tcPr>
            <w:tcW w:w="523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5"/>
              <w:ind w:left="4" w:right="0"/>
              <w:jc w:val="left"/>
              <w:rPr>
                <w:rFonts w:ascii="宋体" w:hAnsi="宋体" w:cs="宋体" w:eastAsia="宋体" w:hint="default"/>
                <w:sz w:val="18"/>
                <w:szCs w:val="18"/>
              </w:rPr>
            </w:pPr>
            <w:r>
              <w:rPr>
                <w:rFonts w:ascii="宋体" w:hAnsi="宋体" w:cs="宋体" w:eastAsia="宋体" w:hint="default"/>
                <w:spacing w:val="-3"/>
                <w:sz w:val="18"/>
                <w:szCs w:val="18"/>
              </w:rPr>
              <w:t>房产天河区建工路</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楼用于银行借款</w:t>
            </w:r>
          </w:p>
        </w:tc>
      </w:tr>
      <w:tr>
        <w:trPr>
          <w:trHeight w:val="346" w:hRule="exact"/>
        </w:trPr>
        <w:tc>
          <w:tcPr>
            <w:tcW w:w="254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5"/>
              <w:ind w:left="4" w:right="0"/>
              <w:jc w:val="left"/>
              <w:rPr>
                <w:rFonts w:ascii="宋体" w:hAnsi="宋体" w:cs="宋体" w:eastAsia="宋体" w:hint="default"/>
                <w:sz w:val="18"/>
                <w:szCs w:val="18"/>
              </w:rPr>
            </w:pPr>
            <w:r>
              <w:rPr>
                <w:rFonts w:ascii="宋体" w:hAnsi="宋体" w:cs="宋体" w:eastAsia="宋体" w:hint="default"/>
                <w:sz w:val="18"/>
                <w:szCs w:val="18"/>
              </w:rPr>
              <w:t>房屋建筑物</w:t>
            </w:r>
            <w:r>
              <w:rPr>
                <w:rFonts w:ascii="Times New Roman" w:hAnsi="Times New Roman" w:cs="Times New Roman" w:eastAsia="Times New Roman" w:hint="default"/>
                <w:sz w:val="18"/>
                <w:szCs w:val="18"/>
              </w:rPr>
              <w:t>—</w:t>
            </w:r>
            <w:r>
              <w:rPr>
                <w:rFonts w:ascii="宋体" w:hAnsi="宋体" w:cs="宋体" w:eastAsia="宋体" w:hint="default"/>
                <w:sz w:val="18"/>
                <w:szCs w:val="18"/>
              </w:rPr>
              <w:t>深圳东华</w:t>
            </w:r>
          </w:p>
        </w:tc>
        <w:tc>
          <w:tcPr>
            <w:tcW w:w="189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7"/>
              <w:ind w:right="94"/>
              <w:jc w:val="right"/>
              <w:rPr>
                <w:rFonts w:ascii="Times New Roman" w:hAnsi="Times New Roman" w:cs="Times New Roman" w:eastAsia="Times New Roman" w:hint="default"/>
                <w:sz w:val="18"/>
                <w:szCs w:val="18"/>
              </w:rPr>
            </w:pPr>
            <w:r>
              <w:rPr>
                <w:rFonts w:ascii="Times New Roman"/>
                <w:spacing w:val="-1"/>
                <w:sz w:val="18"/>
              </w:rPr>
              <w:t>1,440,140.68</w:t>
            </w:r>
          </w:p>
        </w:tc>
        <w:tc>
          <w:tcPr>
            <w:tcW w:w="523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5"/>
              <w:ind w:left="4" w:right="0"/>
              <w:jc w:val="left"/>
              <w:rPr>
                <w:rFonts w:ascii="宋体" w:hAnsi="宋体" w:cs="宋体" w:eastAsia="宋体" w:hint="default"/>
                <w:sz w:val="18"/>
                <w:szCs w:val="18"/>
              </w:rPr>
            </w:pPr>
            <w:r>
              <w:rPr>
                <w:rFonts w:ascii="宋体" w:hAnsi="宋体" w:cs="宋体" w:eastAsia="宋体" w:hint="default"/>
                <w:spacing w:val="-3"/>
                <w:sz w:val="18"/>
                <w:szCs w:val="18"/>
              </w:rPr>
              <w:t>房产天祥大厦</w:t>
            </w:r>
            <w:r>
              <w:rPr>
                <w:rFonts w:ascii="Times New Roman" w:hAnsi="Times New Roman" w:cs="Times New Roman" w:eastAsia="Times New Roman" w:hint="default"/>
                <w:spacing w:val="-3"/>
                <w:sz w:val="18"/>
                <w:szCs w:val="18"/>
              </w:rPr>
              <w:t>7B2</w:t>
            </w:r>
            <w:r>
              <w:rPr>
                <w:rFonts w:ascii="宋体" w:hAnsi="宋体" w:cs="宋体" w:eastAsia="宋体" w:hint="default"/>
                <w:spacing w:val="-3"/>
                <w:sz w:val="18"/>
                <w:szCs w:val="18"/>
              </w:rPr>
              <w:t>用于银行借款</w:t>
            </w:r>
          </w:p>
        </w:tc>
      </w:tr>
      <w:tr>
        <w:trPr>
          <w:trHeight w:val="350" w:hRule="exact"/>
        </w:trPr>
        <w:tc>
          <w:tcPr>
            <w:tcW w:w="254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5"/>
              <w:ind w:right="89"/>
              <w:jc w:val="center"/>
              <w:rPr>
                <w:rFonts w:ascii="宋体" w:hAnsi="宋体" w:cs="宋体" w:eastAsia="宋体" w:hint="default"/>
                <w:sz w:val="18"/>
                <w:szCs w:val="18"/>
              </w:rPr>
            </w:pPr>
            <w:r>
              <w:rPr>
                <w:rFonts w:ascii="宋体" w:hAnsi="宋体" w:cs="宋体" w:eastAsia="宋体" w:hint="default"/>
                <w:sz w:val="18"/>
                <w:szCs w:val="18"/>
              </w:rPr>
              <w:t>合计</w:t>
            </w:r>
          </w:p>
        </w:tc>
        <w:tc>
          <w:tcPr>
            <w:tcW w:w="189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7"/>
              <w:ind w:right="94"/>
              <w:jc w:val="right"/>
              <w:rPr>
                <w:rFonts w:ascii="Times New Roman" w:hAnsi="Times New Roman" w:cs="Times New Roman" w:eastAsia="Times New Roman" w:hint="default"/>
                <w:sz w:val="18"/>
                <w:szCs w:val="18"/>
              </w:rPr>
            </w:pPr>
            <w:r>
              <w:rPr>
                <w:rFonts w:ascii="Times New Roman"/>
                <w:b/>
                <w:spacing w:val="-1"/>
                <w:sz w:val="18"/>
              </w:rPr>
              <w:t>75,454,215.96</w:t>
            </w:r>
            <w:r>
              <w:rPr>
                <w:rFonts w:ascii="Times New Roman"/>
                <w:spacing w:val="-1"/>
                <w:sz w:val="18"/>
              </w:rPr>
            </w:r>
          </w:p>
        </w:tc>
        <w:tc>
          <w:tcPr>
            <w:tcW w:w="5239" w:type="dxa"/>
            <w:tcBorders>
              <w:top w:val="single" w:sz="8" w:space="0" w:color="000000"/>
              <w:left w:val="single" w:sz="6" w:space="0" w:color="000000"/>
              <w:bottom w:val="single" w:sz="8" w:space="0" w:color="000000"/>
              <w:right w:val="single" w:sz="6" w:space="0" w:color="000000"/>
            </w:tcBorders>
          </w:tcPr>
          <w:p>
            <w:pPr/>
          </w:p>
        </w:tc>
      </w:tr>
    </w:tbl>
    <w:p>
      <w:pPr>
        <w:spacing w:line="240" w:lineRule="auto" w:before="6"/>
        <w:rPr>
          <w:rFonts w:ascii="宋体" w:hAnsi="宋体" w:cs="宋体" w:eastAsia="宋体" w:hint="default"/>
          <w:sz w:val="6"/>
          <w:szCs w:val="6"/>
        </w:rPr>
      </w:pPr>
    </w:p>
    <w:p>
      <w:pPr>
        <w:pStyle w:val="BodyText"/>
        <w:spacing w:line="240" w:lineRule="auto" w:before="46"/>
        <w:ind w:left="513" w:right="855"/>
        <w:jc w:val="left"/>
      </w:pPr>
      <w:r>
        <w:rPr>
          <w:spacing w:val="-3"/>
        </w:rPr>
        <w:t>注</w:t>
      </w:r>
      <w:r>
        <w:rPr>
          <w:rFonts w:ascii="Times New Roman" w:hAnsi="Times New Roman" w:cs="Times New Roman" w:eastAsia="Times New Roman" w:hint="default"/>
          <w:spacing w:val="-3"/>
        </w:rPr>
        <w:t>1</w:t>
      </w:r>
      <w:r>
        <w:rPr>
          <w:spacing w:val="-3"/>
        </w:rPr>
        <w:t>：本期本公司受限货币资金主要在</w:t>
      </w:r>
      <w:r>
        <w:rPr>
          <w:rFonts w:ascii="Times New Roman" w:hAnsi="Times New Roman" w:cs="Times New Roman" w:eastAsia="Times New Roman" w:hint="default"/>
          <w:spacing w:val="-3"/>
        </w:rPr>
        <w:t>“</w:t>
      </w:r>
      <w:r>
        <w:rPr>
          <w:spacing w:val="-3"/>
        </w:rPr>
        <w:t>其他货币资金</w:t>
      </w:r>
      <w:r>
        <w:rPr>
          <w:rFonts w:ascii="Times New Roman" w:hAnsi="Times New Roman" w:cs="Times New Roman" w:eastAsia="Times New Roman" w:hint="default"/>
          <w:spacing w:val="-3"/>
        </w:rPr>
        <w:t>”</w:t>
      </w:r>
      <w:r>
        <w:rPr>
          <w:spacing w:val="-3"/>
        </w:rPr>
        <w:t>中的期末未到期保函保证金及银行承兑汇票保证金。</w:t>
      </w:r>
    </w:p>
    <w:p>
      <w:pPr>
        <w:spacing w:line="240" w:lineRule="auto" w:before="13"/>
        <w:rPr>
          <w:rFonts w:ascii="宋体" w:hAnsi="宋体" w:cs="宋体" w:eastAsia="宋体" w:hint="default"/>
          <w:sz w:val="13"/>
          <w:szCs w:val="13"/>
        </w:rPr>
      </w:pPr>
    </w:p>
    <w:p>
      <w:pPr>
        <w:pStyle w:val="BodyText"/>
        <w:spacing w:line="300" w:lineRule="auto"/>
        <w:ind w:right="1121" w:firstLine="360"/>
        <w:jc w:val="both"/>
      </w:pPr>
      <w:r>
        <w:rPr>
          <w:spacing w:val="-3"/>
        </w:rPr>
        <w:t>注</w:t>
      </w:r>
      <w:r>
        <w:rPr>
          <w:rFonts w:ascii="Times New Roman" w:hAnsi="Times New Roman" w:cs="Times New Roman" w:eastAsia="Times New Roman" w:hint="default"/>
          <w:spacing w:val="-3"/>
        </w:rPr>
        <w:t>2</w:t>
      </w:r>
      <w:r>
        <w:rPr>
          <w:spacing w:val="-3"/>
        </w:rPr>
        <w:t>：本公司以零部件车间，配电楼，综合车间为抵押物，向意大利政府通过中国银行云南省分行贷给本公司的委托贷</w:t>
      </w:r>
      <w:r>
        <w:rPr>
          <w:w w:val="101"/>
        </w:rPr>
        <w:t> </w:t>
      </w:r>
      <w:r>
        <w:rPr>
          <w:spacing w:val="-3"/>
        </w:rPr>
        <w:t>款</w:t>
      </w:r>
      <w:r>
        <w:rPr>
          <w:rFonts w:ascii="Times New Roman" w:hAnsi="Times New Roman" w:cs="Times New Roman" w:eastAsia="Times New Roman" w:hint="default"/>
          <w:spacing w:val="-3"/>
        </w:rPr>
        <w:t>2,498,200.00</w:t>
      </w:r>
      <w:r>
        <w:rPr>
          <w:spacing w:val="-3"/>
        </w:rPr>
        <w:t>美元提供抵押担保，借款期限为</w:t>
      </w:r>
      <w:r>
        <w:rPr>
          <w:rFonts w:ascii="Times New Roman" w:hAnsi="Times New Roman" w:cs="Times New Roman" w:eastAsia="Times New Roman" w:hint="default"/>
          <w:spacing w:val="-3"/>
        </w:rPr>
        <w:t>1999</w:t>
      </w:r>
      <w:r>
        <w:rPr>
          <w:spacing w:val="-3"/>
        </w:rPr>
        <w:t>年</w:t>
      </w:r>
      <w:r>
        <w:rPr>
          <w:rFonts w:ascii="Times New Roman" w:hAnsi="Times New Roman" w:cs="Times New Roman" w:eastAsia="Times New Roman" w:hint="default"/>
          <w:spacing w:val="-3"/>
        </w:rPr>
        <w:t>7</w:t>
      </w:r>
      <w:r>
        <w:rPr>
          <w:spacing w:val="-3"/>
        </w:rPr>
        <w:t>月</w:t>
      </w:r>
      <w:r>
        <w:rPr>
          <w:rFonts w:ascii="Times New Roman" w:hAnsi="Times New Roman" w:cs="Times New Roman" w:eastAsia="Times New Roman" w:hint="default"/>
          <w:spacing w:val="-3"/>
        </w:rPr>
        <w:t>14</w:t>
      </w:r>
      <w:r>
        <w:rPr>
          <w:spacing w:val="-3"/>
        </w:rPr>
        <w:t>日至</w:t>
      </w:r>
      <w:r>
        <w:rPr>
          <w:rFonts w:ascii="Times New Roman" w:hAnsi="Times New Roman" w:cs="Times New Roman" w:eastAsia="Times New Roman" w:hint="default"/>
          <w:spacing w:val="-3"/>
        </w:rPr>
        <w:t>2022</w:t>
      </w:r>
      <w:r>
        <w:rPr>
          <w:spacing w:val="-3"/>
        </w:rPr>
        <w:t>年</w:t>
      </w:r>
      <w:r>
        <w:rPr>
          <w:rFonts w:ascii="Times New Roman" w:hAnsi="Times New Roman" w:cs="Times New Roman" w:eastAsia="Times New Roman" w:hint="default"/>
          <w:spacing w:val="-3"/>
        </w:rPr>
        <w:t>6</w:t>
      </w:r>
      <w:r>
        <w:rPr>
          <w:spacing w:val="-3"/>
        </w:rPr>
        <w:t>月</w:t>
      </w:r>
      <w:r>
        <w:rPr>
          <w:rFonts w:ascii="Times New Roman" w:hAnsi="Times New Roman" w:cs="Times New Roman" w:eastAsia="Times New Roman" w:hint="default"/>
          <w:spacing w:val="-3"/>
        </w:rPr>
        <w:t>27</w:t>
      </w:r>
      <w:r>
        <w:rPr>
          <w:spacing w:val="-3"/>
        </w:rPr>
        <w:t>日，借款利率固定为</w:t>
      </w:r>
      <w:r>
        <w:rPr>
          <w:rFonts w:ascii="Times New Roman" w:hAnsi="Times New Roman" w:cs="Times New Roman" w:eastAsia="Times New Roman" w:hint="default"/>
          <w:spacing w:val="-3"/>
        </w:rPr>
        <w:t>1.00%</w:t>
      </w:r>
      <w:r>
        <w:rPr>
          <w:spacing w:val="-3"/>
        </w:rPr>
        <w:t>，还款方式为在</w:t>
      </w:r>
      <w:r>
        <w:rPr>
          <w:rFonts w:ascii="Times New Roman" w:hAnsi="Times New Roman" w:cs="Times New Roman" w:eastAsia="Times New Roman" w:hint="default"/>
          <w:spacing w:val="-3"/>
        </w:rPr>
        <w:t>2022</w:t>
      </w:r>
      <w:r>
        <w:rPr>
          <w:rFonts w:ascii="Times New Roman" w:hAnsi="Times New Roman" w:cs="Times New Roman" w:eastAsia="Times New Roman" w:hint="default"/>
          <w:spacing w:val="25"/>
        </w:rPr>
        <w:t> </w:t>
      </w:r>
      <w:r>
        <w:rPr>
          <w:rFonts w:ascii="Times New Roman" w:hAnsi="Times New Roman" w:cs="Times New Roman" w:eastAsia="Times New Roman" w:hint="default"/>
          <w:spacing w:val="25"/>
        </w:rPr>
      </w:r>
      <w:r>
        <w:rPr>
          <w:spacing w:val="-4"/>
        </w:rPr>
        <w:t>年</w:t>
      </w:r>
      <w:r>
        <w:rPr>
          <w:rFonts w:ascii="Times New Roman" w:hAnsi="Times New Roman" w:cs="Times New Roman" w:eastAsia="Times New Roman" w:hint="default"/>
          <w:spacing w:val="-4"/>
        </w:rPr>
        <w:t>6</w:t>
      </w:r>
      <w:r>
        <w:rPr>
          <w:spacing w:val="-4"/>
        </w:rPr>
        <w:t>月</w:t>
      </w:r>
      <w:r>
        <w:rPr>
          <w:rFonts w:ascii="Times New Roman" w:hAnsi="Times New Roman" w:cs="Times New Roman" w:eastAsia="Times New Roman" w:hint="default"/>
          <w:spacing w:val="-4"/>
        </w:rPr>
        <w:t>27</w:t>
      </w:r>
      <w:r>
        <w:rPr>
          <w:spacing w:val="-4"/>
        </w:rPr>
        <w:t>日前逐年分期归还，尚未偿还的委托贷款期末余额为</w:t>
      </w:r>
      <w:r>
        <w:rPr>
          <w:rFonts w:ascii="Times New Roman" w:hAnsi="Times New Roman" w:cs="Times New Roman" w:eastAsia="Times New Roman" w:hint="default"/>
          <w:spacing w:val="-4"/>
        </w:rPr>
        <w:t>224,838.00</w:t>
      </w:r>
      <w:r>
        <w:rPr>
          <w:spacing w:val="-4"/>
        </w:rPr>
        <w:t>美元，用于抵押的固定资产期末账面价值</w:t>
      </w:r>
      <w:r>
        <w:rPr>
          <w:rFonts w:ascii="Times New Roman" w:hAnsi="Times New Roman" w:cs="Times New Roman" w:eastAsia="Times New Roman" w:hint="default"/>
          <w:spacing w:val="-4"/>
        </w:rPr>
        <w:t>1,290,768.74</w:t>
      </w:r>
      <w:r>
        <w:rPr>
          <w:rFonts w:ascii="Times New Roman" w:hAnsi="Times New Roman" w:cs="Times New Roman" w:eastAsia="Times New Roman" w:hint="default"/>
          <w:spacing w:val="15"/>
        </w:rPr>
        <w:t> </w:t>
      </w:r>
      <w:r>
        <w:rPr>
          <w:rFonts w:ascii="Times New Roman" w:hAnsi="Times New Roman" w:cs="Times New Roman" w:eastAsia="Times New Roman" w:hint="default"/>
          <w:spacing w:val="15"/>
        </w:rPr>
      </w:r>
      <w:r>
        <w:rPr>
          <w:spacing w:val="-3"/>
        </w:rPr>
        <w:t>元。上述借款额在</w:t>
      </w:r>
      <w:r>
        <w:rPr>
          <w:rFonts w:ascii="Times New Roman" w:hAnsi="Times New Roman" w:cs="Times New Roman" w:eastAsia="Times New Roman" w:hint="default"/>
          <w:spacing w:val="-3"/>
        </w:rPr>
        <w:t>“</w:t>
      </w:r>
      <w:r>
        <w:rPr>
          <w:spacing w:val="-3"/>
        </w:rPr>
        <w:t>长期借款</w:t>
      </w:r>
      <w:r>
        <w:rPr>
          <w:rFonts w:ascii="Times New Roman" w:hAnsi="Times New Roman" w:cs="Times New Roman" w:eastAsia="Times New Roman" w:hint="default"/>
          <w:spacing w:val="-3"/>
        </w:rPr>
        <w:t>”</w:t>
      </w:r>
      <w:r>
        <w:rPr>
          <w:spacing w:val="-3"/>
        </w:rPr>
        <w:t>及</w:t>
      </w:r>
      <w:r>
        <w:rPr>
          <w:rFonts w:ascii="Times New Roman" w:hAnsi="Times New Roman" w:cs="Times New Roman" w:eastAsia="Times New Roman" w:hint="default"/>
          <w:spacing w:val="-3"/>
        </w:rPr>
        <w:t>“</w:t>
      </w:r>
      <w:r>
        <w:rPr>
          <w:spacing w:val="-3"/>
        </w:rPr>
        <w:t>一年到期的非流动负债</w:t>
      </w:r>
      <w:r>
        <w:rPr>
          <w:rFonts w:ascii="Times New Roman" w:hAnsi="Times New Roman" w:cs="Times New Roman" w:eastAsia="Times New Roman" w:hint="default"/>
          <w:spacing w:val="-3"/>
        </w:rPr>
        <w:t>”</w:t>
      </w:r>
      <w:r>
        <w:rPr>
          <w:spacing w:val="-3"/>
        </w:rPr>
        <w:t>列报。</w:t>
      </w:r>
    </w:p>
    <w:p>
      <w:pPr>
        <w:pStyle w:val="BodyText"/>
        <w:spacing w:line="307" w:lineRule="auto" w:before="133"/>
        <w:ind w:right="1124" w:firstLine="360"/>
        <w:jc w:val="both"/>
      </w:pPr>
      <w:r>
        <w:rPr>
          <w:spacing w:val="-3"/>
        </w:rPr>
        <w:t>注</w:t>
      </w:r>
      <w:r>
        <w:rPr>
          <w:rFonts w:ascii="Times New Roman" w:hAnsi="Times New Roman" w:cs="Times New Roman" w:eastAsia="Times New Roman" w:hint="default"/>
          <w:spacing w:val="-3"/>
        </w:rPr>
        <w:t>3</w:t>
      </w:r>
      <w:r>
        <w:rPr>
          <w:spacing w:val="-3"/>
        </w:rPr>
        <w:t>：广州南天于</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3</w:t>
      </w:r>
      <w:r>
        <w:rPr>
          <w:spacing w:val="-3"/>
        </w:rPr>
        <w:t>月</w:t>
      </w:r>
      <w:r>
        <w:rPr>
          <w:rFonts w:ascii="Times New Roman" w:hAnsi="Times New Roman" w:cs="Times New Roman" w:eastAsia="Times New Roman" w:hint="default"/>
          <w:spacing w:val="-3"/>
        </w:rPr>
        <w:t>22</w:t>
      </w:r>
      <w:r>
        <w:rPr>
          <w:spacing w:val="-3"/>
        </w:rPr>
        <w:t>日同广东华兴银行股份有限公司广州分行签订最高额抵押担保合同，合同期限为</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3</w:t>
      </w:r>
      <w:r>
        <w:rPr>
          <w:rFonts w:ascii="Times New Roman" w:hAnsi="Times New Roman" w:cs="Times New Roman" w:eastAsia="Times New Roman" w:hint="default"/>
          <w:w w:val="101"/>
        </w:rPr>
        <w:t> </w:t>
      </w:r>
      <w:r>
        <w:rPr>
          <w:spacing w:val="-2"/>
        </w:rPr>
        <w:t>月</w:t>
      </w:r>
      <w:r>
        <w:rPr>
          <w:rFonts w:ascii="Times New Roman" w:hAnsi="Times New Roman" w:cs="Times New Roman" w:eastAsia="Times New Roman" w:hint="default"/>
          <w:spacing w:val="-2"/>
        </w:rPr>
        <w:t>22</w:t>
      </w:r>
      <w:r>
        <w:rPr>
          <w:spacing w:val="-2"/>
        </w:rPr>
        <w:t>日至</w:t>
      </w:r>
      <w:r>
        <w:rPr>
          <w:rFonts w:ascii="Times New Roman" w:hAnsi="Times New Roman" w:cs="Times New Roman" w:eastAsia="Times New Roman" w:hint="default"/>
          <w:spacing w:val="-2"/>
        </w:rPr>
        <w:t>2021</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29</w:t>
      </w:r>
      <w:r>
        <w:rPr>
          <w:spacing w:val="-2"/>
        </w:rPr>
        <w:t>日，抵押物为房产天河区建工路</w:t>
      </w:r>
      <w:r>
        <w:rPr>
          <w:rFonts w:ascii="Times New Roman" w:hAnsi="Times New Roman" w:cs="Times New Roman" w:eastAsia="Times New Roman" w:hint="default"/>
          <w:spacing w:val="-2"/>
        </w:rPr>
        <w:t>1</w:t>
      </w:r>
      <w:r>
        <w:rPr>
          <w:spacing w:val="-2"/>
        </w:rPr>
        <w:t>号</w:t>
      </w:r>
      <w:r>
        <w:rPr>
          <w:rFonts w:ascii="Times New Roman" w:hAnsi="Times New Roman" w:cs="Times New Roman" w:eastAsia="Times New Roman" w:hint="default"/>
          <w:spacing w:val="-2"/>
        </w:rPr>
        <w:t>4</w:t>
      </w:r>
      <w:r>
        <w:rPr>
          <w:spacing w:val="-2"/>
        </w:rPr>
        <w:t>楼（粤（</w:t>
      </w:r>
      <w:r>
        <w:rPr>
          <w:rFonts w:ascii="Times New Roman" w:hAnsi="Times New Roman" w:cs="Times New Roman" w:eastAsia="Times New Roman" w:hint="default"/>
          <w:spacing w:val="-2"/>
        </w:rPr>
        <w:t>2016</w:t>
      </w:r>
      <w:r>
        <w:rPr>
          <w:spacing w:val="-2"/>
        </w:rPr>
        <w:t>）广州市不动产权第</w:t>
      </w:r>
      <w:r>
        <w:rPr>
          <w:rFonts w:ascii="Times New Roman" w:hAnsi="Times New Roman" w:cs="Times New Roman" w:eastAsia="Times New Roman" w:hint="default"/>
          <w:spacing w:val="-2"/>
        </w:rPr>
        <w:t>02206007</w:t>
      </w:r>
      <w:r>
        <w:rPr>
          <w:spacing w:val="-2"/>
        </w:rPr>
        <w:t>号），抵押担保的范</w:t>
      </w:r>
      <w:r>
        <w:rPr>
          <w:spacing w:val="37"/>
        </w:rPr>
        <w:t> </w:t>
      </w:r>
      <w:r>
        <w:rPr>
          <w:spacing w:val="37"/>
        </w:rPr>
      </w:r>
      <w:r>
        <w:rPr>
          <w:spacing w:val="-4"/>
        </w:rPr>
        <w:t>围为该期间签订主合同项下的全部债务（包括或有债务）本金、利息、复利及罚息、实现债权的费用，上述债务本金的最高</w:t>
      </w:r>
      <w:r>
        <w:rPr>
          <w:spacing w:val="40"/>
        </w:rPr>
        <w:t> </w:t>
      </w:r>
      <w:r>
        <w:rPr>
          <w:spacing w:val="40"/>
        </w:rPr>
      </w:r>
      <w:r>
        <w:rPr/>
        <w:t>余额（折合）人民币</w:t>
      </w:r>
      <w:r>
        <w:rPr>
          <w:rFonts w:ascii="Times New Roman" w:hAnsi="Times New Roman" w:cs="Times New Roman" w:eastAsia="Times New Roman" w:hint="default"/>
        </w:rPr>
        <w:t>23,459,607</w:t>
      </w:r>
      <w:r>
        <w:rPr/>
        <w:t>元。用于抵押的房屋建筑物期末账面价值为</w:t>
      </w:r>
      <w:r>
        <w:rPr>
          <w:rFonts w:ascii="Times New Roman" w:hAnsi="Times New Roman" w:cs="Times New Roman" w:eastAsia="Times New Roman" w:hint="default"/>
        </w:rPr>
        <w:t>1,081,761.19</w:t>
      </w:r>
      <w:r>
        <w:rPr/>
        <w:t>元。</w:t>
      </w:r>
    </w:p>
    <w:p>
      <w:pPr>
        <w:spacing w:after="0" w:line="307" w:lineRule="auto"/>
        <w:jc w:val="both"/>
        <w:sectPr>
          <w:pgSz w:w="11910" w:h="16840"/>
          <w:pgMar w:header="746" w:footer="974" w:top="1060" w:bottom="1160" w:left="980" w:right="0"/>
        </w:sectPr>
      </w:pPr>
    </w:p>
    <w:p>
      <w:pPr>
        <w:spacing w:line="240" w:lineRule="auto" w:before="9"/>
        <w:rPr>
          <w:rFonts w:ascii="宋体" w:hAnsi="宋体" w:cs="宋体" w:eastAsia="宋体" w:hint="default"/>
          <w:sz w:val="25"/>
          <w:szCs w:val="25"/>
        </w:rPr>
      </w:pPr>
    </w:p>
    <w:p>
      <w:pPr>
        <w:pStyle w:val="BodyText"/>
        <w:spacing w:line="307" w:lineRule="auto" w:before="46"/>
        <w:ind w:right="855" w:firstLine="360"/>
        <w:jc w:val="left"/>
      </w:pPr>
      <w:r>
        <w:rPr>
          <w:spacing w:val="-4"/>
        </w:rPr>
        <w:t>注</w:t>
      </w:r>
      <w:r>
        <w:rPr>
          <w:rFonts w:ascii="Times New Roman" w:hAnsi="Times New Roman" w:cs="Times New Roman" w:eastAsia="Times New Roman" w:hint="default"/>
          <w:spacing w:val="-4"/>
        </w:rPr>
        <w:t>4</w:t>
      </w:r>
      <w:r>
        <w:rPr>
          <w:spacing w:val="-4"/>
        </w:rPr>
        <w:t>：深圳南天东华科技有限公司于</w:t>
      </w:r>
      <w:r>
        <w:rPr>
          <w:rFonts w:ascii="Times New Roman" w:hAnsi="Times New Roman" w:cs="Times New Roman" w:eastAsia="Times New Roman" w:hint="default"/>
          <w:spacing w:val="-4"/>
        </w:rPr>
        <w:t>2017</w:t>
      </w:r>
      <w:r>
        <w:rPr>
          <w:spacing w:val="-4"/>
        </w:rPr>
        <w:t>年</w:t>
      </w:r>
      <w:r>
        <w:rPr>
          <w:rFonts w:ascii="Times New Roman" w:hAnsi="Times New Roman" w:cs="Times New Roman" w:eastAsia="Times New Roman" w:hint="default"/>
          <w:spacing w:val="-4"/>
        </w:rPr>
        <w:t>8</w:t>
      </w:r>
      <w:r>
        <w:rPr>
          <w:spacing w:val="-4"/>
        </w:rPr>
        <w:t>月</w:t>
      </w:r>
      <w:r>
        <w:rPr>
          <w:rFonts w:ascii="Times New Roman" w:hAnsi="Times New Roman" w:cs="Times New Roman" w:eastAsia="Times New Roman" w:hint="default"/>
          <w:spacing w:val="-4"/>
        </w:rPr>
        <w:t>18</w:t>
      </w:r>
      <w:r>
        <w:rPr>
          <w:spacing w:val="-4"/>
        </w:rPr>
        <w:t>日同华夏银行股份有限公司深圳南头支行签订最高额抵押担保合同，未</w:t>
      </w:r>
      <w:r>
        <w:rPr>
          <w:w w:val="101"/>
        </w:rPr>
        <w:t> </w:t>
      </w:r>
      <w:r>
        <w:rPr>
          <w:spacing w:val="-4"/>
        </w:rPr>
        <w:t>约定合同期限，主合同有效期为</w:t>
      </w:r>
      <w:r>
        <w:rPr>
          <w:rFonts w:ascii="Times New Roman" w:hAnsi="Times New Roman" w:cs="Times New Roman" w:eastAsia="Times New Roman" w:hint="default"/>
          <w:spacing w:val="-4"/>
        </w:rPr>
        <w:t>2017</w:t>
      </w:r>
      <w:r>
        <w:rPr>
          <w:spacing w:val="-4"/>
        </w:rPr>
        <w:t>年</w:t>
      </w:r>
      <w:r>
        <w:rPr>
          <w:rFonts w:ascii="Times New Roman" w:hAnsi="Times New Roman" w:cs="Times New Roman" w:eastAsia="Times New Roman" w:hint="default"/>
          <w:spacing w:val="-4"/>
        </w:rPr>
        <w:t>8</w:t>
      </w:r>
      <w:r>
        <w:rPr>
          <w:spacing w:val="-4"/>
        </w:rPr>
        <w:t>月</w:t>
      </w:r>
      <w:r>
        <w:rPr>
          <w:rFonts w:ascii="Times New Roman" w:hAnsi="Times New Roman" w:cs="Times New Roman" w:eastAsia="Times New Roman" w:hint="default"/>
          <w:spacing w:val="-4"/>
        </w:rPr>
        <w:t>14</w:t>
      </w:r>
      <w:r>
        <w:rPr>
          <w:spacing w:val="-4"/>
        </w:rPr>
        <w:t>日至</w:t>
      </w:r>
      <w:r>
        <w:rPr>
          <w:rFonts w:ascii="Times New Roman" w:hAnsi="Times New Roman" w:cs="Times New Roman" w:eastAsia="Times New Roman" w:hint="default"/>
          <w:spacing w:val="-4"/>
        </w:rPr>
        <w:t>2020</w:t>
      </w:r>
      <w:r>
        <w:rPr>
          <w:spacing w:val="-4"/>
        </w:rPr>
        <w:t>年</w:t>
      </w:r>
      <w:r>
        <w:rPr>
          <w:rFonts w:ascii="Times New Roman" w:hAnsi="Times New Roman" w:cs="Times New Roman" w:eastAsia="Times New Roman" w:hint="default"/>
          <w:spacing w:val="-4"/>
        </w:rPr>
        <w:t>8</w:t>
      </w:r>
      <w:r>
        <w:rPr>
          <w:spacing w:val="-4"/>
        </w:rPr>
        <w:t>月</w:t>
      </w:r>
      <w:r>
        <w:rPr>
          <w:rFonts w:ascii="Times New Roman" w:hAnsi="Times New Roman" w:cs="Times New Roman" w:eastAsia="Times New Roman" w:hint="default"/>
          <w:spacing w:val="-4"/>
        </w:rPr>
        <w:t>14</w:t>
      </w:r>
      <w:r>
        <w:rPr>
          <w:spacing w:val="-4"/>
        </w:rPr>
        <w:t>日，抵押物为房产天祥大厦</w:t>
      </w:r>
      <w:r>
        <w:rPr>
          <w:rFonts w:ascii="Times New Roman" w:hAnsi="Times New Roman" w:cs="Times New Roman" w:eastAsia="Times New Roman" w:hint="default"/>
          <w:spacing w:val="-4"/>
        </w:rPr>
        <w:t>7B2</w:t>
      </w:r>
      <w:r>
        <w:rPr>
          <w:spacing w:val="-4"/>
        </w:rPr>
        <w:t>（深房地字第</w:t>
      </w:r>
      <w:r>
        <w:rPr>
          <w:rFonts w:ascii="Times New Roman" w:hAnsi="Times New Roman" w:cs="Times New Roman" w:eastAsia="Times New Roman" w:hint="default"/>
          <w:spacing w:val="-4"/>
        </w:rPr>
        <w:t>3000586781</w:t>
      </w:r>
      <w:r>
        <w:rPr>
          <w:spacing w:val="-4"/>
        </w:rPr>
        <w:t>号），</w:t>
      </w:r>
      <w:r>
        <w:rPr>
          <w:spacing w:val="70"/>
        </w:rPr>
        <w:t> </w:t>
      </w:r>
      <w:r>
        <w:rPr>
          <w:spacing w:val="70"/>
        </w:rPr>
      </w:r>
      <w:r>
        <w:rPr>
          <w:spacing w:val="-4"/>
        </w:rPr>
        <w:t>抵押担保的范围为该期间签订主合同项下的全部债务，包括或有负债、本金、复利、罚息及实现债权的费用，债权本金的最</w:t>
      </w:r>
      <w:r>
        <w:rPr>
          <w:spacing w:val="40"/>
        </w:rPr>
        <w:t> </w:t>
      </w:r>
      <w:r>
        <w:rPr>
          <w:spacing w:val="40"/>
        </w:rPr>
      </w:r>
      <w:r>
        <w:rPr/>
        <w:t>高余额为</w:t>
      </w:r>
      <w:r>
        <w:rPr>
          <w:rFonts w:ascii="Times New Roman" w:hAnsi="Times New Roman" w:cs="Times New Roman" w:eastAsia="Times New Roman" w:hint="default"/>
        </w:rPr>
        <w:t>14,720,500</w:t>
      </w:r>
      <w:r>
        <w:rPr/>
        <w:t>元人民币。用于抵押的房屋建筑物期末账面价值为</w:t>
      </w:r>
      <w:r>
        <w:rPr>
          <w:rFonts w:ascii="Times New Roman" w:hAnsi="Times New Roman" w:cs="Times New Roman" w:eastAsia="Times New Roman" w:hint="default"/>
        </w:rPr>
        <w:t>1,440,140.68</w:t>
      </w:r>
      <w:r>
        <w:rPr/>
        <w:t>元。</w:t>
      </w:r>
    </w:p>
    <w:p>
      <w:pPr>
        <w:spacing w:line="240" w:lineRule="auto" w:before="10"/>
        <w:rPr>
          <w:rFonts w:ascii="宋体" w:hAnsi="宋体" w:cs="宋体" w:eastAsia="宋体" w:hint="default"/>
          <w:sz w:val="19"/>
          <w:szCs w:val="19"/>
        </w:rPr>
      </w:pPr>
    </w:p>
    <w:p>
      <w:pPr>
        <w:pStyle w:val="Heading2"/>
        <w:spacing w:line="240" w:lineRule="auto"/>
        <w:ind w:right="855"/>
        <w:jc w:val="left"/>
        <w:rPr>
          <w:b w:val="0"/>
          <w:bCs w:val="0"/>
        </w:rPr>
      </w:pPr>
      <w:r>
        <w:rPr/>
        <w:t>五、投资状况</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855"/>
        <w:jc w:val="left"/>
        <w:rPr>
          <w:b w:val="0"/>
          <w:bCs w:val="0"/>
        </w:rPr>
      </w:pPr>
      <w:r>
        <w:rPr>
          <w:rFonts w:ascii="Times New Roman" w:hAnsi="Times New Roman" w:cs="Times New Roman" w:eastAsia="Times New Roman" w:hint="default"/>
        </w:rPr>
        <w:t>1</w:t>
      </w:r>
      <w:r>
        <w:rPr/>
        <w:t>、总体情况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855"/>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1"/>
        </w:rPr>
        <w:t> </w:t>
      </w:r>
      <w:r>
        <w:rPr/>
        <w:t>不适用</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3"/>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82" w:right="0"/>
              <w:jc w:val="left"/>
              <w:rPr>
                <w:rFonts w:ascii="宋体" w:hAnsi="宋体" w:cs="宋体" w:eastAsia="宋体" w:hint="default"/>
                <w:sz w:val="18"/>
                <w:szCs w:val="18"/>
              </w:rPr>
            </w:pPr>
            <w:r>
              <w:rPr>
                <w:rFonts w:ascii="宋体" w:hAnsi="宋体" w:cs="宋体" w:eastAsia="宋体" w:hint="default"/>
                <w:spacing w:val="-3"/>
                <w:sz w:val="18"/>
                <w:szCs w:val="18"/>
              </w:rPr>
              <w:t>报告期投资额（元）</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91"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19,200,000.00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035" w:right="0"/>
              <w:jc w:val="left"/>
              <w:rPr>
                <w:rFonts w:ascii="Times New Roman" w:hAnsi="Times New Roman" w:cs="Times New Roman" w:eastAsia="Times New Roman" w:hint="default"/>
                <w:sz w:val="18"/>
                <w:szCs w:val="18"/>
              </w:rPr>
            </w:pPr>
            <w:r>
              <w:rPr>
                <w:rFonts w:ascii="Times New Roman"/>
                <w:sz w:val="18"/>
              </w:rPr>
              <w:t>140,489,728.56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-86.33%</w:t>
            </w:r>
          </w:p>
        </w:tc>
      </w:tr>
    </w:tbl>
    <w:p>
      <w:pPr>
        <w:spacing w:line="240" w:lineRule="auto" w:before="3"/>
        <w:rPr>
          <w:rFonts w:ascii="宋体" w:hAnsi="宋体" w:cs="宋体" w:eastAsia="宋体" w:hint="default"/>
          <w:sz w:val="19"/>
          <w:szCs w:val="19"/>
        </w:rPr>
      </w:pPr>
    </w:p>
    <w:p>
      <w:pPr>
        <w:pStyle w:val="Heading4"/>
        <w:spacing w:line="240" w:lineRule="auto" w:before="36"/>
        <w:ind w:right="855"/>
        <w:jc w:val="left"/>
        <w:rPr>
          <w:b w:val="0"/>
          <w:bCs w:val="0"/>
        </w:rPr>
      </w:pP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6"/>
        <w:ind w:right="855"/>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1"/>
        </w:rPr>
        <w:t> </w:t>
      </w:r>
      <w:r>
        <w:rPr/>
        <w:t>不适用</w:t>
      </w:r>
    </w:p>
    <w:p>
      <w:pPr>
        <w:pStyle w:val="BodyText"/>
        <w:spacing w:line="240" w:lineRule="auto" w:before="106"/>
        <w:ind w:left="0" w:right="1121"/>
        <w:jc w:val="right"/>
      </w:pPr>
      <w:r>
        <w:rPr>
          <w:spacing w:val="-2"/>
        </w:rPr>
        <w:t>单位：元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634"/>
        <w:gridCol w:w="638"/>
        <w:gridCol w:w="639"/>
        <w:gridCol w:w="634"/>
        <w:gridCol w:w="433"/>
        <w:gridCol w:w="427"/>
        <w:gridCol w:w="1416"/>
        <w:gridCol w:w="428"/>
        <w:gridCol w:w="422"/>
        <w:gridCol w:w="994"/>
        <w:gridCol w:w="427"/>
        <w:gridCol w:w="567"/>
        <w:gridCol w:w="422"/>
        <w:gridCol w:w="567"/>
        <w:gridCol w:w="926"/>
      </w:tblGrid>
      <w:tr>
        <w:trPr>
          <w:trHeight w:val="1335" w:hRule="exact"/>
        </w:trPr>
        <w:tc>
          <w:tcPr>
            <w:tcW w:w="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 w:right="36"/>
              <w:jc w:val="center"/>
              <w:rPr>
                <w:rFonts w:ascii="宋体" w:hAnsi="宋体" w:cs="宋体" w:eastAsia="宋体" w:hint="default"/>
                <w:sz w:val="18"/>
                <w:szCs w:val="18"/>
              </w:rPr>
            </w:pPr>
            <w:r>
              <w:rPr>
                <w:rFonts w:ascii="宋体" w:hAnsi="宋体" w:cs="宋体" w:eastAsia="宋体" w:hint="default"/>
                <w:spacing w:val="-2"/>
                <w:sz w:val="18"/>
                <w:szCs w:val="18"/>
              </w:rPr>
              <w:t>被投资</w:t>
            </w:r>
            <w:r>
              <w:rPr>
                <w:rFonts w:ascii="宋体" w:hAnsi="宋体" w:cs="宋体" w:eastAsia="宋体" w:hint="default"/>
                <w:w w:val="101"/>
                <w:sz w:val="18"/>
                <w:szCs w:val="18"/>
              </w:rPr>
              <w:t> </w:t>
            </w:r>
            <w:r>
              <w:rPr>
                <w:rFonts w:ascii="宋体" w:hAnsi="宋体" w:cs="宋体" w:eastAsia="宋体" w:hint="default"/>
                <w:spacing w:val="-2"/>
                <w:sz w:val="18"/>
                <w:szCs w:val="18"/>
              </w:rPr>
              <w:t>公司名</w:t>
            </w:r>
            <w:r>
              <w:rPr>
                <w:rFonts w:ascii="宋体" w:hAnsi="宋体" w:cs="宋体" w:eastAsia="宋体" w:hint="default"/>
                <w:w w:val="101"/>
                <w:sz w:val="18"/>
                <w:szCs w:val="18"/>
              </w:rPr>
              <w:t> </w:t>
            </w:r>
            <w:r>
              <w:rPr>
                <w:rFonts w:ascii="宋体" w:hAnsi="宋体" w:cs="宋体" w:eastAsia="宋体" w:hint="default"/>
                <w:sz w:val="18"/>
                <w:szCs w:val="18"/>
              </w:rPr>
              <w:t>称</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2" w:lineRule="auto" w:before="130"/>
              <w:ind w:left="225" w:right="41" w:hanging="183"/>
              <w:jc w:val="left"/>
              <w:rPr>
                <w:rFonts w:ascii="宋体" w:hAnsi="宋体" w:cs="宋体" w:eastAsia="宋体" w:hint="default"/>
                <w:sz w:val="18"/>
                <w:szCs w:val="18"/>
              </w:rPr>
            </w:pPr>
            <w:r>
              <w:rPr>
                <w:rFonts w:ascii="宋体" w:hAnsi="宋体" w:cs="宋体" w:eastAsia="宋体" w:hint="default"/>
                <w:sz w:val="18"/>
                <w:szCs w:val="18"/>
              </w:rPr>
              <w:t>主要业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务</w:t>
            </w:r>
          </w:p>
        </w:tc>
        <w:tc>
          <w:tcPr>
            <w:tcW w:w="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2" w:lineRule="auto" w:before="130"/>
              <w:ind w:left="225" w:right="41" w:hanging="183"/>
              <w:jc w:val="left"/>
              <w:rPr>
                <w:rFonts w:ascii="宋体" w:hAnsi="宋体" w:cs="宋体" w:eastAsia="宋体" w:hint="default"/>
                <w:sz w:val="18"/>
                <w:szCs w:val="18"/>
              </w:rPr>
            </w:pPr>
            <w:r>
              <w:rPr>
                <w:rFonts w:ascii="宋体" w:hAnsi="宋体" w:cs="宋体" w:eastAsia="宋体" w:hint="default"/>
                <w:sz w:val="18"/>
                <w:szCs w:val="18"/>
              </w:rPr>
              <w:t>投资方</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式</w:t>
            </w:r>
          </w:p>
        </w:tc>
        <w:tc>
          <w:tcPr>
            <w:tcW w:w="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2" w:lineRule="auto" w:before="130"/>
              <w:ind w:left="225" w:right="36" w:hanging="183"/>
              <w:jc w:val="left"/>
              <w:rPr>
                <w:rFonts w:ascii="宋体" w:hAnsi="宋体" w:cs="宋体" w:eastAsia="宋体" w:hint="default"/>
                <w:sz w:val="18"/>
                <w:szCs w:val="18"/>
              </w:rPr>
            </w:pPr>
            <w:r>
              <w:rPr>
                <w:rFonts w:ascii="宋体" w:hAnsi="宋体" w:cs="宋体" w:eastAsia="宋体" w:hint="default"/>
                <w:sz w:val="18"/>
                <w:szCs w:val="18"/>
              </w:rPr>
              <w:t>投资金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额</w:t>
            </w:r>
          </w:p>
        </w:tc>
        <w:tc>
          <w:tcPr>
            <w:tcW w:w="4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2" w:lineRule="auto" w:before="130"/>
              <w:ind w:left="28" w:right="27"/>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86"/>
                <w:sz w:val="18"/>
                <w:szCs w:val="18"/>
              </w:rPr>
              <w:t> </w:t>
            </w:r>
            <w:r>
              <w:rPr>
                <w:rFonts w:ascii="宋体" w:hAnsi="宋体" w:cs="宋体" w:eastAsia="宋体" w:hint="default"/>
                <w:sz w:val="18"/>
                <w:szCs w:val="18"/>
              </w:rPr>
              <w:t>比例</w:t>
            </w:r>
          </w:p>
        </w:tc>
        <w:tc>
          <w:tcPr>
            <w:tcW w:w="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2" w:lineRule="auto" w:before="130"/>
              <w:ind w:left="28" w:right="23"/>
              <w:jc w:val="left"/>
              <w:rPr>
                <w:rFonts w:ascii="宋体" w:hAnsi="宋体" w:cs="宋体" w:eastAsia="宋体" w:hint="default"/>
                <w:sz w:val="18"/>
                <w:szCs w:val="18"/>
              </w:rPr>
            </w:pPr>
            <w:r>
              <w:rPr>
                <w:rFonts w:ascii="宋体" w:hAnsi="宋体" w:cs="宋体" w:eastAsia="宋体" w:hint="default"/>
                <w:sz w:val="18"/>
                <w:szCs w:val="18"/>
              </w:rPr>
              <w:t>资金</w:t>
            </w:r>
            <w:r>
              <w:rPr>
                <w:rFonts w:ascii="宋体" w:hAnsi="宋体" w:cs="宋体" w:eastAsia="宋体" w:hint="default"/>
                <w:spacing w:val="-86"/>
                <w:sz w:val="18"/>
                <w:szCs w:val="18"/>
              </w:rPr>
              <w:t> </w:t>
            </w:r>
            <w:r>
              <w:rPr>
                <w:rFonts w:ascii="宋体" w:hAnsi="宋体" w:cs="宋体" w:eastAsia="宋体" w:hint="default"/>
                <w:sz w:val="18"/>
                <w:szCs w:val="18"/>
              </w:rPr>
              <w:t>来源</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合作方</w:t>
            </w:r>
          </w:p>
        </w:tc>
        <w:tc>
          <w:tcPr>
            <w:tcW w:w="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2" w:lineRule="auto" w:before="130"/>
              <w:ind w:left="28" w:right="22"/>
              <w:jc w:val="left"/>
              <w:rPr>
                <w:rFonts w:ascii="宋体" w:hAnsi="宋体" w:cs="宋体" w:eastAsia="宋体" w:hint="default"/>
                <w:sz w:val="18"/>
                <w:szCs w:val="18"/>
              </w:rPr>
            </w:pPr>
            <w:r>
              <w:rPr>
                <w:rFonts w:ascii="宋体" w:hAnsi="宋体" w:cs="宋体" w:eastAsia="宋体" w:hint="default"/>
                <w:sz w:val="18"/>
                <w:szCs w:val="18"/>
              </w:rPr>
              <w:t>投资</w:t>
            </w:r>
            <w:r>
              <w:rPr>
                <w:rFonts w:ascii="宋体" w:hAnsi="宋体" w:cs="宋体" w:eastAsia="宋体" w:hint="default"/>
                <w:spacing w:val="-86"/>
                <w:sz w:val="18"/>
                <w:szCs w:val="18"/>
              </w:rPr>
              <w:t> </w:t>
            </w:r>
            <w:r>
              <w:rPr>
                <w:rFonts w:ascii="宋体" w:hAnsi="宋体" w:cs="宋体" w:eastAsia="宋体" w:hint="default"/>
                <w:sz w:val="18"/>
                <w:szCs w:val="18"/>
              </w:rPr>
              <w:t>期限</w:t>
            </w:r>
          </w:p>
        </w:tc>
        <w:tc>
          <w:tcPr>
            <w:tcW w:w="4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2" w:lineRule="auto" w:before="130"/>
              <w:ind w:left="28" w:right="17"/>
              <w:jc w:val="left"/>
              <w:rPr>
                <w:rFonts w:ascii="宋体" w:hAnsi="宋体" w:cs="宋体" w:eastAsia="宋体" w:hint="default"/>
                <w:sz w:val="18"/>
                <w:szCs w:val="18"/>
              </w:rPr>
            </w:pPr>
            <w:r>
              <w:rPr>
                <w:rFonts w:ascii="宋体" w:hAnsi="宋体" w:cs="宋体" w:eastAsia="宋体" w:hint="default"/>
                <w:sz w:val="18"/>
                <w:szCs w:val="18"/>
              </w:rPr>
              <w:t>产品</w:t>
            </w:r>
            <w:r>
              <w:rPr>
                <w:rFonts w:ascii="宋体" w:hAnsi="宋体" w:cs="宋体" w:eastAsia="宋体" w:hint="default"/>
                <w:spacing w:val="-86"/>
                <w:sz w:val="18"/>
                <w:szCs w:val="18"/>
              </w:rPr>
              <w:t> </w:t>
            </w:r>
            <w:r>
              <w:rPr>
                <w:rFonts w:ascii="宋体" w:hAnsi="宋体" w:cs="宋体" w:eastAsia="宋体" w:hint="default"/>
                <w:sz w:val="18"/>
                <w:szCs w:val="18"/>
              </w:rPr>
              <w:t>类型</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 w:right="36"/>
              <w:jc w:val="center"/>
              <w:rPr>
                <w:rFonts w:ascii="宋体" w:hAnsi="宋体" w:cs="宋体" w:eastAsia="宋体" w:hint="default"/>
                <w:sz w:val="18"/>
                <w:szCs w:val="18"/>
              </w:rPr>
            </w:pPr>
            <w:r>
              <w:rPr>
                <w:rFonts w:ascii="宋体" w:hAnsi="宋体" w:cs="宋体" w:eastAsia="宋体" w:hint="default"/>
                <w:spacing w:val="-2"/>
                <w:sz w:val="18"/>
                <w:szCs w:val="18"/>
              </w:rPr>
              <w:t>截至资产负</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债表日的进</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展情况</w:t>
            </w:r>
          </w:p>
        </w:tc>
        <w:tc>
          <w:tcPr>
            <w:tcW w:w="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2" w:lineRule="auto" w:before="130"/>
              <w:ind w:left="28" w:right="23"/>
              <w:jc w:val="left"/>
              <w:rPr>
                <w:rFonts w:ascii="宋体" w:hAnsi="宋体" w:cs="宋体" w:eastAsia="宋体" w:hint="default"/>
                <w:sz w:val="18"/>
                <w:szCs w:val="18"/>
              </w:rPr>
            </w:pPr>
            <w:r>
              <w:rPr>
                <w:rFonts w:ascii="宋体" w:hAnsi="宋体" w:cs="宋体" w:eastAsia="宋体" w:hint="default"/>
                <w:sz w:val="18"/>
                <w:szCs w:val="18"/>
              </w:rPr>
              <w:t>预计</w:t>
            </w:r>
            <w:r>
              <w:rPr>
                <w:rFonts w:ascii="宋体" w:hAnsi="宋体" w:cs="宋体" w:eastAsia="宋体" w:hint="default"/>
                <w:spacing w:val="-86"/>
                <w:sz w:val="18"/>
                <w:szCs w:val="18"/>
              </w:rPr>
              <w:t> </w:t>
            </w:r>
            <w:r>
              <w:rPr>
                <w:rFonts w:ascii="宋体" w:hAnsi="宋体" w:cs="宋体" w:eastAsia="宋体" w:hint="default"/>
                <w:sz w:val="18"/>
                <w:szCs w:val="18"/>
              </w:rPr>
              <w:t>收益</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95" w:right="94"/>
              <w:jc w:val="both"/>
              <w:rPr>
                <w:rFonts w:ascii="宋体" w:hAnsi="宋体" w:cs="宋体" w:eastAsia="宋体" w:hint="default"/>
                <w:sz w:val="18"/>
                <w:szCs w:val="18"/>
              </w:rPr>
            </w:pPr>
            <w:r>
              <w:rPr>
                <w:rFonts w:ascii="宋体" w:hAnsi="宋体" w:cs="宋体" w:eastAsia="宋体" w:hint="default"/>
                <w:sz w:val="18"/>
                <w:szCs w:val="18"/>
              </w:rPr>
              <w:t>本期</w:t>
            </w:r>
            <w:r>
              <w:rPr>
                <w:rFonts w:ascii="宋体" w:hAnsi="宋体" w:cs="宋体" w:eastAsia="宋体" w:hint="default"/>
                <w:spacing w:val="-86"/>
                <w:sz w:val="18"/>
                <w:szCs w:val="18"/>
              </w:rPr>
              <w:t> </w:t>
            </w:r>
            <w:r>
              <w:rPr>
                <w:rFonts w:ascii="宋体" w:hAnsi="宋体" w:cs="宋体" w:eastAsia="宋体" w:hint="default"/>
                <w:sz w:val="18"/>
                <w:szCs w:val="18"/>
              </w:rPr>
              <w:t>投资</w:t>
            </w:r>
            <w:r>
              <w:rPr>
                <w:rFonts w:ascii="宋体" w:hAnsi="宋体" w:cs="宋体" w:eastAsia="宋体" w:hint="default"/>
                <w:spacing w:val="-86"/>
                <w:sz w:val="18"/>
                <w:szCs w:val="18"/>
              </w:rPr>
              <w:t> </w:t>
            </w:r>
            <w:r>
              <w:rPr>
                <w:rFonts w:ascii="宋体" w:hAnsi="宋体" w:cs="宋体" w:eastAsia="宋体" w:hint="default"/>
                <w:sz w:val="18"/>
                <w:szCs w:val="18"/>
              </w:rPr>
              <w:t>盈亏</w:t>
            </w:r>
          </w:p>
        </w:tc>
        <w:tc>
          <w:tcPr>
            <w:tcW w:w="4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2" w:lineRule="auto" w:before="130"/>
              <w:ind w:left="28" w:right="17"/>
              <w:jc w:val="left"/>
              <w:rPr>
                <w:rFonts w:ascii="宋体" w:hAnsi="宋体" w:cs="宋体" w:eastAsia="宋体" w:hint="default"/>
                <w:sz w:val="18"/>
                <w:szCs w:val="18"/>
              </w:rPr>
            </w:pPr>
            <w:r>
              <w:rPr>
                <w:rFonts w:ascii="宋体" w:hAnsi="宋体" w:cs="宋体" w:eastAsia="宋体" w:hint="default"/>
                <w:sz w:val="18"/>
                <w:szCs w:val="18"/>
              </w:rPr>
              <w:t>是否</w:t>
            </w:r>
            <w:r>
              <w:rPr>
                <w:rFonts w:ascii="宋体" w:hAnsi="宋体" w:cs="宋体" w:eastAsia="宋体" w:hint="default"/>
                <w:spacing w:val="-86"/>
                <w:sz w:val="18"/>
                <w:szCs w:val="18"/>
              </w:rPr>
              <w:t> </w:t>
            </w:r>
            <w:r>
              <w:rPr>
                <w:rFonts w:ascii="宋体" w:hAnsi="宋体" w:cs="宋体" w:eastAsia="宋体" w:hint="default"/>
                <w:sz w:val="18"/>
                <w:szCs w:val="18"/>
              </w:rPr>
              <w:t>涉诉</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95" w:right="94"/>
              <w:jc w:val="left"/>
              <w:rPr>
                <w:rFonts w:ascii="宋体" w:hAnsi="宋体" w:cs="宋体" w:eastAsia="宋体" w:hint="default"/>
                <w:sz w:val="18"/>
                <w:szCs w:val="18"/>
              </w:rPr>
            </w:pPr>
            <w:r>
              <w:rPr>
                <w:rFonts w:ascii="宋体" w:hAnsi="宋体" w:cs="宋体" w:eastAsia="宋体" w:hint="default"/>
                <w:sz w:val="18"/>
                <w:szCs w:val="18"/>
              </w:rPr>
              <w:t>披露</w:t>
            </w:r>
            <w:r>
              <w:rPr>
                <w:rFonts w:ascii="宋体" w:hAnsi="宋体" w:cs="宋体" w:eastAsia="宋体" w:hint="default"/>
                <w:spacing w:val="-86"/>
                <w:sz w:val="18"/>
                <w:szCs w:val="18"/>
              </w:rPr>
              <w:t> </w:t>
            </w:r>
            <w:r>
              <w:rPr>
                <w:rFonts w:ascii="宋体" w:hAnsi="宋体" w:cs="宋体" w:eastAsia="宋体" w:hint="default"/>
                <w:sz w:val="18"/>
                <w:szCs w:val="18"/>
              </w:rPr>
              <w:t>日期</w:t>
            </w:r>
          </w:p>
          <w:p>
            <w:pPr>
              <w:pStyle w:val="TableParagraph"/>
              <w:spacing w:line="316" w:lineRule="auto" w:before="20"/>
              <w:ind w:left="95" w:right="94"/>
              <w:jc w:val="left"/>
              <w:rPr>
                <w:rFonts w:ascii="宋体" w:hAnsi="宋体" w:cs="宋体" w:eastAsia="宋体" w:hint="default"/>
                <w:sz w:val="18"/>
                <w:szCs w:val="18"/>
              </w:rPr>
            </w:pPr>
            <w:r>
              <w:rPr>
                <w:rFonts w:ascii="宋体" w:hAnsi="宋体" w:cs="宋体" w:eastAsia="宋体" w:hint="default"/>
                <w:sz w:val="18"/>
                <w:szCs w:val="18"/>
              </w:rPr>
              <w:t>（如</w:t>
            </w:r>
            <w:r>
              <w:rPr>
                <w:rFonts w:ascii="宋体" w:hAnsi="宋体" w:cs="宋体" w:eastAsia="宋体" w:hint="default"/>
                <w:spacing w:val="-86"/>
                <w:sz w:val="18"/>
                <w:szCs w:val="18"/>
              </w:rPr>
              <w:t> </w:t>
            </w:r>
            <w:r>
              <w:rPr>
                <w:rFonts w:ascii="宋体" w:hAnsi="宋体" w:cs="宋体" w:eastAsia="宋体" w:hint="default"/>
                <w:sz w:val="18"/>
                <w:szCs w:val="18"/>
              </w:rPr>
              <w:t>有）</w:t>
            </w:r>
          </w:p>
        </w:tc>
        <w:tc>
          <w:tcPr>
            <w:tcW w:w="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00" w:right="0"/>
              <w:jc w:val="left"/>
              <w:rPr>
                <w:rFonts w:ascii="宋体" w:hAnsi="宋体" w:cs="宋体" w:eastAsia="宋体" w:hint="default"/>
                <w:sz w:val="18"/>
                <w:szCs w:val="18"/>
              </w:rPr>
            </w:pPr>
            <w:r>
              <w:rPr>
                <w:rFonts w:ascii="宋体" w:hAnsi="宋体" w:cs="宋体" w:eastAsia="宋体" w:hint="default"/>
                <w:sz w:val="18"/>
                <w:szCs w:val="18"/>
              </w:rPr>
              <w:t>披露索引</w:t>
            </w:r>
          </w:p>
          <w:p>
            <w:pPr>
              <w:pStyle w:val="TableParagraph"/>
              <w:spacing w:line="240" w:lineRule="auto" w:before="71"/>
              <w:ind w:left="100" w:right="0"/>
              <w:jc w:val="left"/>
              <w:rPr>
                <w:rFonts w:ascii="宋体" w:hAnsi="宋体" w:cs="宋体" w:eastAsia="宋体" w:hint="default"/>
                <w:sz w:val="18"/>
                <w:szCs w:val="18"/>
              </w:rPr>
            </w:pPr>
            <w:r>
              <w:rPr>
                <w:rFonts w:ascii="宋体" w:hAnsi="宋体" w:cs="宋体" w:eastAsia="宋体" w:hint="default"/>
                <w:sz w:val="18"/>
                <w:szCs w:val="18"/>
              </w:rPr>
              <w:t>（如有）</w:t>
            </w:r>
          </w:p>
        </w:tc>
      </w:tr>
      <w:tr>
        <w:trPr>
          <w:trHeight w:val="1652" w:hRule="exact"/>
        </w:trPr>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4" w:right="56"/>
              <w:jc w:val="both"/>
              <w:rPr>
                <w:rFonts w:ascii="宋体" w:hAnsi="宋体" w:cs="宋体" w:eastAsia="宋体" w:hint="default"/>
                <w:sz w:val="18"/>
                <w:szCs w:val="18"/>
              </w:rPr>
            </w:pPr>
            <w:r>
              <w:rPr>
                <w:rFonts w:ascii="宋体" w:hAnsi="宋体" w:cs="宋体" w:eastAsia="宋体" w:hint="default"/>
                <w:sz w:val="18"/>
                <w:szCs w:val="18"/>
              </w:rPr>
              <w:t>广州市</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海捷计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算机科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技有限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5"/>
              <w:ind w:left="24" w:right="60"/>
              <w:jc w:val="both"/>
              <w:rPr>
                <w:rFonts w:ascii="宋体" w:hAnsi="宋体" w:cs="宋体" w:eastAsia="宋体" w:hint="default"/>
                <w:sz w:val="18"/>
                <w:szCs w:val="18"/>
              </w:rPr>
            </w:pPr>
            <w:r>
              <w:rPr>
                <w:rFonts w:ascii="宋体" w:hAnsi="宋体" w:cs="宋体" w:eastAsia="宋体" w:hint="default"/>
                <w:sz w:val="18"/>
                <w:szCs w:val="18"/>
              </w:rPr>
              <w:t>大数据</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商业应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用</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238"/>
              <w:jc w:val="right"/>
              <w:rPr>
                <w:rFonts w:ascii="宋体" w:hAnsi="宋体" w:cs="宋体" w:eastAsia="宋体" w:hint="default"/>
                <w:sz w:val="18"/>
                <w:szCs w:val="18"/>
              </w:rPr>
            </w:pPr>
            <w:r>
              <w:rPr>
                <w:rFonts w:ascii="宋体" w:hAnsi="宋体" w:cs="宋体" w:eastAsia="宋体" w:hint="default"/>
                <w:sz w:val="18"/>
                <w:szCs w:val="18"/>
              </w:rPr>
              <w:t>收购</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19,200,</w:t>
            </w:r>
          </w:p>
          <w:p>
            <w:pPr>
              <w:pStyle w:val="TableParagraph"/>
              <w:spacing w:line="240" w:lineRule="auto" w:before="110"/>
              <w:ind w:left="110" w:right="0"/>
              <w:jc w:val="left"/>
              <w:rPr>
                <w:rFonts w:ascii="Times New Roman" w:hAnsi="Times New Roman" w:cs="Times New Roman" w:eastAsia="Times New Roman" w:hint="default"/>
                <w:sz w:val="18"/>
                <w:szCs w:val="18"/>
              </w:rPr>
            </w:pPr>
            <w:r>
              <w:rPr>
                <w:rFonts w:ascii="Times New Roman"/>
                <w:sz w:val="18"/>
              </w:rPr>
              <w:t>000.00</w:t>
            </w:r>
          </w:p>
        </w:tc>
        <w:tc>
          <w:tcPr>
            <w:tcW w:w="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60.0</w:t>
            </w:r>
          </w:p>
          <w:p>
            <w:pPr>
              <w:pStyle w:val="TableParagraph"/>
              <w:spacing w:line="240" w:lineRule="auto" w:before="110"/>
              <w:ind w:left="158" w:right="0"/>
              <w:jc w:val="left"/>
              <w:rPr>
                <w:rFonts w:ascii="Times New Roman" w:hAnsi="Times New Roman" w:cs="Times New Roman" w:eastAsia="Times New Roman" w:hint="default"/>
                <w:sz w:val="18"/>
                <w:szCs w:val="18"/>
              </w:rPr>
            </w:pPr>
            <w:r>
              <w:rPr>
                <w:rFonts w:ascii="Times New Roman"/>
                <w:sz w:val="18"/>
              </w:rPr>
              <w:t>0%</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319" w:lineRule="auto"/>
              <w:ind w:left="23" w:right="26"/>
              <w:jc w:val="left"/>
              <w:rPr>
                <w:rFonts w:ascii="宋体" w:hAnsi="宋体" w:cs="宋体" w:eastAsia="宋体" w:hint="default"/>
                <w:sz w:val="18"/>
                <w:szCs w:val="18"/>
              </w:rPr>
            </w:pPr>
            <w:r>
              <w:rPr>
                <w:rFonts w:ascii="宋体" w:hAnsi="宋体" w:cs="宋体" w:eastAsia="宋体" w:hint="default"/>
                <w:sz w:val="18"/>
                <w:szCs w:val="18"/>
              </w:rPr>
              <w:t>自有</w:t>
            </w:r>
            <w:r>
              <w:rPr>
                <w:rFonts w:ascii="宋体" w:hAnsi="宋体" w:cs="宋体" w:eastAsia="宋体" w:hint="default"/>
                <w:spacing w:val="-86"/>
                <w:sz w:val="18"/>
                <w:szCs w:val="18"/>
              </w:rPr>
              <w:t> </w:t>
            </w:r>
            <w:r>
              <w:rPr>
                <w:rFonts w:ascii="宋体" w:hAnsi="宋体" w:cs="宋体" w:eastAsia="宋体" w:hint="default"/>
                <w:sz w:val="18"/>
                <w:szCs w:val="18"/>
              </w:rPr>
              <w:t>资金</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19" w:lineRule="auto"/>
              <w:ind w:left="24" w:right="118"/>
              <w:jc w:val="both"/>
              <w:rPr>
                <w:rFonts w:ascii="宋体" w:hAnsi="宋体" w:cs="宋体" w:eastAsia="宋体" w:hint="default"/>
                <w:sz w:val="18"/>
                <w:szCs w:val="18"/>
              </w:rPr>
            </w:pPr>
            <w:r>
              <w:rPr>
                <w:rFonts w:ascii="宋体" w:hAnsi="宋体" w:cs="宋体" w:eastAsia="宋体" w:hint="default"/>
                <w:spacing w:val="-3"/>
                <w:sz w:val="18"/>
                <w:szCs w:val="18"/>
              </w:rPr>
              <w:t>广州市海捷计算</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机科技有限公司</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易航科技股份有</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限公司、刘晓军</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197" w:lineRule="exact"/>
              <w:ind w:left="-130"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p>
            <w:pPr>
              <w:pStyle w:val="TableParagraph"/>
              <w:spacing w:line="197" w:lineRule="exact"/>
              <w:ind w:left="24"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319" w:lineRule="auto"/>
              <w:ind w:left="24" w:right="23"/>
              <w:jc w:val="left"/>
              <w:rPr>
                <w:rFonts w:ascii="宋体" w:hAnsi="宋体" w:cs="宋体" w:eastAsia="宋体" w:hint="default"/>
                <w:sz w:val="18"/>
                <w:szCs w:val="18"/>
              </w:rPr>
            </w:pPr>
            <w:r>
              <w:rPr>
                <w:rFonts w:ascii="宋体" w:hAnsi="宋体" w:cs="宋体" w:eastAsia="宋体" w:hint="default"/>
                <w:sz w:val="18"/>
                <w:szCs w:val="18"/>
              </w:rPr>
              <w:t>大数</w:t>
            </w:r>
            <w:r>
              <w:rPr>
                <w:rFonts w:ascii="宋体" w:hAnsi="宋体" w:cs="宋体" w:eastAsia="宋体" w:hint="default"/>
                <w:spacing w:val="-86"/>
                <w:sz w:val="18"/>
                <w:szCs w:val="18"/>
              </w:rPr>
              <w:t> </w:t>
            </w:r>
            <w:r>
              <w:rPr>
                <w:rFonts w:ascii="宋体" w:hAnsi="宋体" w:cs="宋体" w:eastAsia="宋体" w:hint="default"/>
                <w:sz w:val="18"/>
                <w:szCs w:val="18"/>
              </w:rPr>
              <w:t>据</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416"/>
              <w:jc w:val="right"/>
              <w:rPr>
                <w:rFonts w:ascii="宋体" w:hAnsi="宋体" w:cs="宋体" w:eastAsia="宋体" w:hint="default"/>
                <w:sz w:val="18"/>
                <w:szCs w:val="18"/>
              </w:rPr>
            </w:pPr>
            <w:r>
              <w:rPr>
                <w:rFonts w:ascii="宋体" w:hAnsi="宋体" w:cs="宋体" w:eastAsia="宋体" w:hint="default"/>
                <w:spacing w:val="-2"/>
                <w:sz w:val="18"/>
                <w:szCs w:val="18"/>
              </w:rPr>
              <w:t>已完成</w:t>
            </w:r>
          </w:p>
        </w:tc>
        <w:tc>
          <w:tcPr>
            <w:tcW w:w="42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204"/>
              <w:jc w:val="righ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7"/>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8"/>
              <w:ind w:left="28" w:right="161"/>
              <w:jc w:val="left"/>
              <w:rPr>
                <w:rFonts w:ascii="宋体" w:hAnsi="宋体" w:cs="宋体" w:eastAsia="宋体" w:hint="default"/>
                <w:sz w:val="18"/>
                <w:szCs w:val="18"/>
              </w:rPr>
            </w:pPr>
            <w:r>
              <w:rPr>
                <w:rFonts w:ascii="宋体" w:hAnsi="宋体" w:cs="宋体" w:eastAsia="宋体" w:hint="default"/>
                <w:sz w:val="18"/>
                <w:szCs w:val="18"/>
              </w:rPr>
              <w:t>巨潮资讯</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网</w:t>
            </w:r>
          </w:p>
          <w:p>
            <w:pPr>
              <w:pStyle w:val="TableParagraph"/>
              <w:spacing w:line="350" w:lineRule="auto" w:before="23"/>
              <w:ind w:left="28" w:right="87"/>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hyperlink r:id="rId13">
              <w:r>
                <w:rPr>
                  <w:rFonts w:ascii="Times New Roman" w:hAnsi="Times New Roman" w:cs="Times New Roman" w:eastAsia="Times New Roman" w:hint="default"/>
                  <w:sz w:val="18"/>
                  <w:szCs w:val="18"/>
                </w:rPr>
                <w:t>http://w</w:t>
              </w:r>
            </w:hyperlink>
            <w:r>
              <w:rPr>
                <w:rFonts w:ascii="Times New Roman" w:hAnsi="Times New Roman" w:cs="Times New Roman" w:eastAsia="Times New Roman" w:hint="default"/>
                <w:w w:val="101"/>
                <w:sz w:val="18"/>
                <w:szCs w:val="18"/>
              </w:rPr>
              <w:t> </w:t>
            </w:r>
            <w:r>
              <w:rPr>
                <w:rFonts w:ascii="Times New Roman" w:hAnsi="Times New Roman" w:cs="Times New Roman" w:eastAsia="Times New Roman" w:hint="default"/>
                <w:spacing w:val="-3"/>
                <w:sz w:val="18"/>
                <w:szCs w:val="18"/>
              </w:rPr>
              <w:t>ww.cninfo.</w:t>
            </w:r>
            <w:r>
              <w:rPr>
                <w:rFonts w:ascii="Times New Roman" w:hAnsi="Times New Roman" w:cs="Times New Roman" w:eastAsia="Times New Roman" w:hint="default"/>
                <w:spacing w:val="-30"/>
                <w:sz w:val="18"/>
                <w:szCs w:val="18"/>
              </w:rPr>
              <w:t> </w:t>
            </w:r>
            <w:r>
              <w:rPr>
                <w:rFonts w:ascii="Times New Roman" w:hAnsi="Times New Roman" w:cs="Times New Roman" w:eastAsia="Times New Roman" w:hint="default"/>
                <w:spacing w:val="-30"/>
                <w:sz w:val="18"/>
                <w:szCs w:val="18"/>
              </w:rPr>
            </w:r>
            <w:r>
              <w:rPr>
                <w:rFonts w:ascii="Times New Roman" w:hAnsi="Times New Roman" w:cs="Times New Roman" w:eastAsia="Times New Roman" w:hint="default"/>
                <w:sz w:val="18"/>
                <w:szCs w:val="18"/>
              </w:rPr>
              <w:t>com.cn)</w:t>
            </w:r>
          </w:p>
        </w:tc>
      </w:tr>
      <w:tr>
        <w:trPr>
          <w:trHeight w:val="715" w:hRule="exact"/>
        </w:trPr>
        <w:tc>
          <w:tcPr>
            <w:tcW w:w="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w:t>
            </w:r>
          </w:p>
        </w:tc>
        <w:tc>
          <w:tcPr>
            <w:tcW w:w="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48"/>
              <w:jc w:val="right"/>
              <w:rPr>
                <w:rFonts w:ascii="Times New Roman" w:hAnsi="Times New Roman" w:cs="Times New Roman" w:eastAsia="Times New Roman" w:hint="default"/>
                <w:sz w:val="18"/>
                <w:szCs w:val="18"/>
              </w:rPr>
            </w:pPr>
            <w:r>
              <w:rPr>
                <w:rFonts w:ascii="Times New Roman"/>
                <w:sz w:val="18"/>
              </w:rPr>
              <w:t>--</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19,200,</w:t>
            </w:r>
          </w:p>
          <w:p>
            <w:pPr>
              <w:pStyle w:val="TableParagraph"/>
              <w:spacing w:line="240" w:lineRule="auto" w:before="110"/>
              <w:ind w:left="110" w:right="0"/>
              <w:jc w:val="left"/>
              <w:rPr>
                <w:rFonts w:ascii="Times New Roman" w:hAnsi="Times New Roman" w:cs="Times New Roman" w:eastAsia="Times New Roman" w:hint="default"/>
                <w:sz w:val="18"/>
                <w:szCs w:val="18"/>
              </w:rPr>
            </w:pPr>
            <w:r>
              <w:rPr>
                <w:rFonts w:ascii="Times New Roman"/>
                <w:sz w:val="18"/>
              </w:rPr>
              <w:t>000.00</w:t>
            </w:r>
          </w:p>
        </w:tc>
        <w:tc>
          <w:tcPr>
            <w:tcW w:w="4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w:t>
            </w:r>
          </w:p>
        </w:tc>
        <w:tc>
          <w:tcPr>
            <w:tcW w:w="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w:t>
            </w:r>
          </w:p>
        </w:tc>
        <w:tc>
          <w:tcPr>
            <w:tcW w:w="4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sz w:val="18"/>
              </w:rPr>
              <w:t>--</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425"/>
              <w:jc w:val="right"/>
              <w:rPr>
                <w:rFonts w:ascii="Times New Roman" w:hAnsi="Times New Roman" w:cs="Times New Roman" w:eastAsia="Times New Roman" w:hint="default"/>
                <w:sz w:val="18"/>
                <w:szCs w:val="18"/>
              </w:rPr>
            </w:pPr>
            <w:r>
              <w:rPr>
                <w:rFonts w:ascii="Times New Roman"/>
                <w:sz w:val="18"/>
              </w:rPr>
              <w:t>--</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0.00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4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7"/>
              <w:jc w:val="right"/>
              <w:rPr>
                <w:rFonts w:ascii="Times New Roman" w:hAnsi="Times New Roman" w:cs="Times New Roman" w:eastAsia="Times New Roman" w:hint="default"/>
                <w:sz w:val="18"/>
                <w:szCs w:val="18"/>
              </w:rPr>
            </w:pPr>
            <w:r>
              <w:rPr>
                <w:rFonts w:ascii="Times New Roman"/>
                <w:sz w:val="18"/>
              </w:rPr>
              <w:t>--</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4"/>
        <w:spacing w:line="240" w:lineRule="auto" w:before="36"/>
        <w:ind w:right="855"/>
        <w:jc w:val="left"/>
        <w:rPr>
          <w:b w:val="0"/>
          <w:bCs w:val="0"/>
        </w:rPr>
      </w:pPr>
      <w:r>
        <w:rPr/>
        <w:pict>
          <v:group style="position:absolute;margin-left:297.959991pt;margin-top:-130.710312pt;width:20.95pt;height:81.9pt;mso-position-horizontal-relative:page;mso-position-vertical-relative:paragraph;z-index:-982696" coordorigin="5959,-2614" coordsize="419,1638">
            <v:group style="position:absolute;left:5959;top:-2614;width:419;height:1638" coordorigin="5959,-2614" coordsize="419,1638">
              <v:shape style="position:absolute;left:5959;top:-2614;width:419;height:1638" coordorigin="5959,-2614" coordsize="419,1638" path="m5959,-977l6377,-977,6377,-2614,5959,-2614,5959,-977xe" filled="true" fillcolor="#ffffff" stroked="false">
                <v:path arrowok="t"/>
                <v:fill type="solid"/>
              </v:shape>
            </v:group>
            <v:group style="position:absolute;left:5983;top:-1990;width:371;height:390" coordorigin="5983,-1990" coordsize="371,390">
              <v:shape style="position:absolute;left:5983;top:-1990;width:371;height:390" coordorigin="5983,-1990" coordsize="371,390" path="m5983,-1601l6353,-1601,6353,-1990,5983,-1990,5983,-1601xe" filled="true" fillcolor="#ffffff" stroked="false">
                <v:path arrowok="t"/>
                <v:fill type="solid"/>
              </v:shape>
            </v:group>
            <w10:wrap type="none"/>
          </v:group>
        </w:pict>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855"/>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13"/>
        <w:rPr>
          <w:rFonts w:ascii="宋体" w:hAnsi="宋体" w:cs="宋体" w:eastAsia="宋体" w:hint="default"/>
          <w:sz w:val="25"/>
          <w:szCs w:val="25"/>
        </w:rPr>
      </w:pPr>
    </w:p>
    <w:p>
      <w:pPr>
        <w:pStyle w:val="Heading4"/>
        <w:spacing w:line="240" w:lineRule="auto"/>
        <w:ind w:right="855"/>
        <w:jc w:val="left"/>
        <w:rPr>
          <w:b w:val="0"/>
          <w:bCs w:val="0"/>
        </w:rPr>
      </w:pPr>
      <w:r>
        <w:rPr>
          <w:rFonts w:ascii="Times New Roman" w:hAnsi="Times New Roman" w:cs="Times New Roman" w:eastAsia="Times New Roman" w:hint="default"/>
        </w:rPr>
        <w:t>4</w:t>
      </w:r>
      <w:r>
        <w:rPr/>
        <w:t>、金融资产投资</w:t>
      </w:r>
      <w:r>
        <w:rPr>
          <w:b w:val="0"/>
          <w:bCs w:val="0"/>
        </w:rPr>
      </w:r>
    </w:p>
    <w:p>
      <w:pPr>
        <w:spacing w:line="240" w:lineRule="auto" w:before="10"/>
        <w:rPr>
          <w:rFonts w:ascii="宋体" w:hAnsi="宋体" w:cs="宋体" w:eastAsia="宋体" w:hint="default"/>
          <w:b/>
          <w:bCs/>
          <w:sz w:val="24"/>
          <w:szCs w:val="24"/>
        </w:rPr>
      </w:pPr>
    </w:p>
    <w:p>
      <w:pPr>
        <w:spacing w:before="0"/>
        <w:ind w:left="153" w:right="85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）证券投资情况</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pStyle w:val="BodyText"/>
        <w:spacing w:line="338" w:lineRule="auto"/>
        <w:ind w:right="7349"/>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公司报告期不存在证券投资。</w:t>
      </w:r>
    </w:p>
    <w:p>
      <w:pPr>
        <w:spacing w:line="240" w:lineRule="auto" w:before="1"/>
        <w:rPr>
          <w:rFonts w:ascii="宋体" w:hAnsi="宋体" w:cs="宋体" w:eastAsia="宋体" w:hint="default"/>
          <w:sz w:val="21"/>
          <w:szCs w:val="21"/>
        </w:rPr>
      </w:pPr>
    </w:p>
    <w:p>
      <w:pPr>
        <w:pStyle w:val="Heading4"/>
        <w:spacing w:line="240" w:lineRule="auto"/>
        <w:ind w:right="855"/>
        <w:jc w:val="left"/>
        <w:rPr>
          <w:b w:val="0"/>
          <w:bCs w:val="0"/>
        </w:rPr>
      </w:pPr>
      <w:r>
        <w:rPr/>
        <w:t>（</w:t>
      </w:r>
      <w:r>
        <w:rPr>
          <w:rFonts w:ascii="Times New Roman" w:hAnsi="Times New Roman" w:cs="Times New Roman" w:eastAsia="Times New Roman" w:hint="default"/>
        </w:rPr>
        <w:t>2</w:t>
      </w:r>
      <w:r>
        <w:rPr/>
        <w:t>）衍生品投资情况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855"/>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after="0" w:line="240" w:lineRule="auto"/>
        <w:jc w:val="left"/>
        <w:sectPr>
          <w:pgSz w:w="11910" w:h="16840"/>
          <w:pgMar w:header="746" w:footer="974"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6"/>
        <w:ind w:right="855"/>
        <w:jc w:val="left"/>
      </w:pPr>
      <w:r>
        <w:rPr>
          <w:spacing w:val="-3"/>
        </w:rPr>
        <w:t>公司报告期不存在衍生品投资。</w:t>
      </w:r>
    </w:p>
    <w:p>
      <w:pPr>
        <w:spacing w:line="240" w:lineRule="auto" w:before="8"/>
        <w:rPr>
          <w:rFonts w:ascii="宋体" w:hAnsi="宋体" w:cs="宋体" w:eastAsia="宋体" w:hint="default"/>
          <w:sz w:val="26"/>
          <w:szCs w:val="26"/>
        </w:rPr>
      </w:pPr>
    </w:p>
    <w:p>
      <w:pPr>
        <w:pStyle w:val="Heading4"/>
        <w:spacing w:line="240" w:lineRule="auto"/>
        <w:ind w:right="855"/>
        <w:jc w:val="left"/>
        <w:rPr>
          <w:b w:val="0"/>
          <w:bCs w:val="0"/>
        </w:rPr>
      </w:pPr>
      <w:r>
        <w:rPr>
          <w:rFonts w:ascii="Times New Roman" w:hAnsi="Times New Roman" w:cs="Times New Roman" w:eastAsia="Times New Roman" w:hint="default"/>
        </w:rPr>
        <w:t>5</w:t>
      </w:r>
      <w:r>
        <w:rPr/>
        <w:t>、募集资金使用情况</w:t>
      </w:r>
      <w:r>
        <w:rPr>
          <w:b w:val="0"/>
          <w:bCs w:val="0"/>
        </w:rPr>
      </w:r>
    </w:p>
    <w:p>
      <w:pPr>
        <w:spacing w:line="240" w:lineRule="auto" w:before="10"/>
        <w:rPr>
          <w:rFonts w:ascii="宋体" w:hAnsi="宋体" w:cs="宋体" w:eastAsia="宋体" w:hint="default"/>
          <w:b/>
          <w:bCs/>
          <w:sz w:val="26"/>
          <w:szCs w:val="26"/>
        </w:rPr>
      </w:pPr>
    </w:p>
    <w:p>
      <w:pPr>
        <w:pStyle w:val="BodyText"/>
        <w:spacing w:line="343" w:lineRule="auto"/>
        <w:ind w:right="7349"/>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公司报告期无募集资金使用情况。</w:t>
      </w:r>
    </w:p>
    <w:p>
      <w:pPr>
        <w:spacing w:line="240" w:lineRule="auto" w:before="2"/>
        <w:rPr>
          <w:rFonts w:ascii="宋体" w:hAnsi="宋体" w:cs="宋体" w:eastAsia="宋体" w:hint="default"/>
          <w:sz w:val="19"/>
          <w:szCs w:val="19"/>
        </w:rPr>
      </w:pPr>
    </w:p>
    <w:p>
      <w:pPr>
        <w:pStyle w:val="Heading2"/>
        <w:spacing w:line="240" w:lineRule="auto"/>
        <w:ind w:right="855"/>
        <w:jc w:val="left"/>
        <w:rPr>
          <w:b w:val="0"/>
          <w:bCs w:val="0"/>
        </w:rPr>
      </w:pPr>
      <w:r>
        <w:rPr/>
        <w:t>六、重大资产和股权出售</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855"/>
        <w:jc w:val="left"/>
        <w:rPr>
          <w:b w:val="0"/>
          <w:bCs w:val="0"/>
        </w:rPr>
      </w:pPr>
      <w:r>
        <w:rPr>
          <w:rFonts w:ascii="Times New Roman" w:hAnsi="Times New Roman" w:cs="Times New Roman" w:eastAsia="Times New Roman" w:hint="default"/>
        </w:rPr>
        <w:t>1</w:t>
      </w:r>
      <w:r>
        <w:rPr/>
        <w:t>、出售重大资产情况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349"/>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公司报告期未出售重大资产。</w:t>
      </w:r>
    </w:p>
    <w:p>
      <w:pPr>
        <w:spacing w:line="240" w:lineRule="auto" w:before="1"/>
        <w:rPr>
          <w:rFonts w:ascii="宋体" w:hAnsi="宋体" w:cs="宋体" w:eastAsia="宋体" w:hint="default"/>
          <w:sz w:val="21"/>
          <w:szCs w:val="21"/>
        </w:rPr>
      </w:pPr>
    </w:p>
    <w:p>
      <w:pPr>
        <w:pStyle w:val="Heading4"/>
        <w:spacing w:line="240" w:lineRule="auto"/>
        <w:ind w:right="855"/>
        <w:jc w:val="left"/>
        <w:rPr>
          <w:b w:val="0"/>
          <w:bCs w:val="0"/>
        </w:rPr>
      </w:pPr>
      <w:r>
        <w:rPr>
          <w:rFonts w:ascii="Times New Roman" w:hAnsi="Times New Roman" w:cs="Times New Roman" w:eastAsia="Times New Roman" w:hint="default"/>
        </w:rPr>
        <w:t>2</w:t>
      </w:r>
      <w:r>
        <w:rPr/>
        <w:t>、出售重大股权情况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855"/>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5"/>
        <w:rPr>
          <w:rFonts w:ascii="宋体" w:hAnsi="宋体" w:cs="宋体" w:eastAsia="宋体" w:hint="default"/>
          <w:sz w:val="24"/>
          <w:szCs w:val="24"/>
        </w:rPr>
      </w:pPr>
    </w:p>
    <w:p>
      <w:pPr>
        <w:pStyle w:val="Heading2"/>
        <w:spacing w:line="240" w:lineRule="auto"/>
        <w:ind w:right="855"/>
        <w:jc w:val="left"/>
        <w:rPr>
          <w:b w:val="0"/>
          <w:bCs w:val="0"/>
        </w:rPr>
      </w:pPr>
      <w:r>
        <w:rPr/>
        <w:t>七、主要控股参股公司分析</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6" w:footer="974" w:top="1060" w:bottom="1160" w:left="980" w:right="0"/>
        </w:sectPr>
      </w:pPr>
    </w:p>
    <w:p>
      <w:pPr>
        <w:pStyle w:val="BodyText"/>
        <w:spacing w:line="240" w:lineRule="auto" w:before="46"/>
        <w:ind w:right="-16"/>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1"/>
        </w:rPr>
        <w:t> </w:t>
      </w:r>
      <w:r>
        <w:rPr/>
        <w:t>不适用</w:t>
      </w:r>
    </w:p>
    <w:p>
      <w:pPr>
        <w:pStyle w:val="BodyText"/>
        <w:spacing w:line="240" w:lineRule="auto" w:before="101"/>
        <w:ind w:right="-16"/>
        <w:jc w:val="left"/>
      </w:pPr>
      <w:r>
        <w:rPr/>
        <w:t>主要子公司及对公司净利润影响达</w:t>
      </w:r>
      <w:r>
        <w:rPr>
          <w:spacing w:val="-7"/>
        </w:rPr>
        <w:t> </w:t>
      </w:r>
      <w:r>
        <w:rPr>
          <w:rFonts w:ascii="Times New Roman" w:hAnsi="Times New Roman" w:cs="Times New Roman" w:eastAsia="Times New Roman" w:hint="default"/>
          <w:spacing w:val="-3"/>
        </w:rPr>
        <w:t>10%</w:t>
      </w:r>
      <w:r>
        <w:rPr>
          <w:spacing w:val="-3"/>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1"/>
          <w:szCs w:val="21"/>
        </w:rPr>
      </w:pPr>
    </w:p>
    <w:p>
      <w:pPr>
        <w:pStyle w:val="BodyText"/>
        <w:spacing w:line="240" w:lineRule="auto"/>
        <w:ind w:right="0"/>
        <w:jc w:val="left"/>
      </w:pPr>
      <w:r>
        <w:rPr/>
        <w:pict>
          <v:shape style="position:absolute;margin-left:221.112885pt;margin-top:37.651711pt;width:57.7pt;height:35.3pt;mso-position-horizontal-relative:page;mso-position-vertical-relative:paragraph;z-index:-982672" type="#_x0000_t202" filled="false" stroked="false">
            <v:textbox inset="0,0,0,0">
              <w:txbxContent>
                <w:p>
                  <w:pPr>
                    <w:pStyle w:val="BodyText"/>
                    <w:spacing w:line="240" w:lineRule="auto" w:before="53"/>
                    <w:ind w:left="0" w:right="0"/>
                    <w:jc w:val="left"/>
                  </w:pPr>
                  <w:r>
                    <w:rPr>
                      <w:w w:val="101"/>
                    </w:rPr>
                    <w:t>、</w:t>
                  </w:r>
                  <w:r>
                    <w:rPr/>
                  </w:r>
                </w:p>
              </w:txbxContent>
            </v:textbox>
            <w10:wrap type="none"/>
          </v:shape>
        </w:pict>
      </w:r>
      <w:r>
        <w:rPr/>
        <w:pict>
          <v:shape style="position:absolute;margin-left:221.112885pt;margin-top:73.411713pt;width:57.7pt;height:35.3pt;mso-position-horizontal-relative:page;mso-position-vertical-relative:paragraph;z-index:-982648" type="#_x0000_t202" filled="false" stroked="false">
            <v:textbox inset="0,0,0,0">
              <w:txbxContent>
                <w:p>
                  <w:pPr>
                    <w:pStyle w:val="BodyText"/>
                    <w:spacing w:line="240" w:lineRule="auto" w:before="53"/>
                    <w:ind w:left="0" w:right="0"/>
                    <w:jc w:val="left"/>
                  </w:pPr>
                  <w:r>
                    <w:rPr>
                      <w:w w:val="101"/>
                    </w:rPr>
                    <w:t>、</w:t>
                  </w:r>
                  <w:r>
                    <w:rPr/>
                  </w:r>
                </w:p>
              </w:txbxContent>
            </v:textbox>
            <w10:wrap type="none"/>
          </v:shape>
        </w:pict>
      </w:r>
      <w:r>
        <w:rPr/>
        <w:pict>
          <v:shape style="position:absolute;margin-left:221.112885pt;margin-top:109.177711pt;width:57.7pt;height:35.35pt;mso-position-horizontal-relative:page;mso-position-vertical-relative:paragraph;z-index:-982624" type="#_x0000_t202" filled="false" stroked="false">
            <v:textbox inset="0,0,0,0">
              <w:txbxContent>
                <w:p>
                  <w:pPr>
                    <w:pStyle w:val="BodyText"/>
                    <w:spacing w:line="240" w:lineRule="auto" w:before="54"/>
                    <w:ind w:left="0" w:right="0"/>
                    <w:jc w:val="left"/>
                  </w:pPr>
                  <w:r>
                    <w:rPr>
                      <w:w w:val="101"/>
                    </w:rPr>
                    <w:t>、</w:t>
                  </w:r>
                  <w:r>
                    <w:rPr/>
                  </w:r>
                </w:p>
              </w:txbxContent>
            </v:textbox>
            <w10:wrap type="none"/>
          </v:shape>
        </w:pict>
      </w:r>
      <w:r>
        <w:rPr/>
        <w:pict>
          <v:group style="position:absolute;margin-left:227.139999pt;margin-top:37.651711pt;width:51.65pt;height:213.9pt;mso-position-horizontal-relative:page;mso-position-vertical-relative:paragraph;z-index:-982480" coordorigin="4543,753" coordsize="1033,4278">
            <v:group style="position:absolute;left:4543;top:753;width:1033;height:706" coordorigin="4543,753" coordsize="1033,706">
              <v:shape style="position:absolute;left:4543;top:753;width:1033;height:706" coordorigin="4543,753" coordsize="1033,706" path="m4543,1459l5575,1459,5575,753,4543,753,4543,1459xe" filled="true" fillcolor="#ffffff" stroked="false">
                <v:path arrowok="t"/>
                <v:fill type="solid"/>
              </v:shape>
            </v:group>
            <v:group style="position:absolute;left:4567;top:753;width:990;height:356" coordorigin="4567,753" coordsize="990,356">
              <v:shape style="position:absolute;left:4567;top:753;width:990;height:356" coordorigin="4567,753" coordsize="990,356" path="m4567,1108l5556,1108,5556,753,4567,753,4567,1108xe" filled="true" fillcolor="#ffffff" stroked="false">
                <v:path arrowok="t"/>
                <v:fill type="solid"/>
              </v:shape>
            </v:group>
            <v:group style="position:absolute;left:4567;top:1108;width:990;height:351" coordorigin="4567,1108" coordsize="990,351">
              <v:shape style="position:absolute;left:4567;top:1108;width:990;height:351" coordorigin="4567,1108" coordsize="990,351" path="m4567,1459l5556,1459,5556,1108,4567,1108,4567,1459xe" filled="true" fillcolor="#ffffff" stroked="false">
                <v:path arrowok="t"/>
                <v:fill type="solid"/>
              </v:shape>
            </v:group>
            <v:group style="position:absolute;left:4543;top:1468;width:1033;height:706" coordorigin="4543,1468" coordsize="1033,706">
              <v:shape style="position:absolute;left:4543;top:1468;width:1033;height:706" coordorigin="4543,1468" coordsize="1033,706" path="m4543,2174l5575,2174,5575,1468,4543,1468,4543,2174xe" filled="true" fillcolor="#ffffff" stroked="false">
                <v:path arrowok="t"/>
                <v:fill type="solid"/>
              </v:shape>
            </v:group>
            <v:group style="position:absolute;left:4567;top:1468;width:990;height:351" coordorigin="4567,1468" coordsize="990,351">
              <v:shape style="position:absolute;left:4567;top:1468;width:990;height:351" coordorigin="4567,1468" coordsize="990,351" path="m4567,1819l5556,1819,5556,1468,4567,1468,4567,1819xe" filled="true" fillcolor="#ffffff" stroked="false">
                <v:path arrowok="t"/>
                <v:fill type="solid"/>
              </v:shape>
            </v:group>
            <v:group style="position:absolute;left:4567;top:1819;width:990;height:356" coordorigin="4567,1819" coordsize="990,356">
              <v:shape style="position:absolute;left:4567;top:1819;width:990;height:356" coordorigin="4567,1819" coordsize="990,356" path="m4567,2174l5556,2174,5556,1819,4567,1819,4567,2174xe" filled="true" fillcolor="#ffffff" stroked="false">
                <v:path arrowok="t"/>
                <v:fill type="solid"/>
              </v:shape>
            </v:group>
            <v:group style="position:absolute;left:4543;top:2184;width:1033;height:707" coordorigin="4543,2184" coordsize="1033,707">
              <v:shape style="position:absolute;left:4543;top:2184;width:1033;height:707" coordorigin="4543,2184" coordsize="1033,707" path="m4543,2890l5575,2890,5575,2184,4543,2184,4543,2890xe" filled="true" fillcolor="#ffffff" stroked="false">
                <v:path arrowok="t"/>
                <v:fill type="solid"/>
              </v:shape>
            </v:group>
            <v:group style="position:absolute;left:4567;top:2184;width:990;height:351" coordorigin="4567,2184" coordsize="990,351">
              <v:shape style="position:absolute;left:4567;top:2184;width:990;height:351" coordorigin="4567,2184" coordsize="990,351" path="m4567,2534l5556,2534,5556,2184,4567,2184,4567,2534xe" filled="true" fillcolor="#ffffff" stroked="false">
                <v:path arrowok="t"/>
                <v:fill type="solid"/>
              </v:shape>
            </v:group>
            <v:group style="position:absolute;left:4567;top:2534;width:990;height:356" coordorigin="4567,2534" coordsize="990,356">
              <v:shape style="position:absolute;left:4567;top:2534;width:990;height:356" coordorigin="4567,2534" coordsize="990,356" path="m4567,2890l5556,2890,5556,2534,4567,2534,4567,2890xe" filled="true" fillcolor="#ffffff" stroked="false">
                <v:path arrowok="t"/>
                <v:fill type="solid"/>
              </v:shape>
            </v:group>
            <v:group style="position:absolute;left:4543;top:2899;width:1033;height:701" coordorigin="4543,2899" coordsize="1033,701">
              <v:shape style="position:absolute;left:4543;top:2899;width:1033;height:701" coordorigin="4543,2899" coordsize="1033,701" path="m4543,3600l5575,3600,5575,2899,4543,2899,4543,3600xe" filled="true" fillcolor="#ffffff" stroked="false">
                <v:path arrowok="t"/>
                <v:fill type="solid"/>
              </v:shape>
            </v:group>
            <v:group style="position:absolute;left:4567;top:2899;width:990;height:351" coordorigin="4567,2899" coordsize="990,351">
              <v:shape style="position:absolute;left:4567;top:2899;width:990;height:351" coordorigin="4567,2899" coordsize="990,351" path="m4567,3250l5556,3250,5556,2899,4567,2899,4567,3250xe" filled="true" fillcolor="#ffffff" stroked="false">
                <v:path arrowok="t"/>
                <v:fill type="solid"/>
              </v:shape>
            </v:group>
            <v:group style="position:absolute;left:4567;top:3250;width:990;height:351" coordorigin="4567,3250" coordsize="990,351">
              <v:shape style="position:absolute;left:4567;top:3250;width:990;height:351" coordorigin="4567,3250" coordsize="990,351" path="m4567,3600l5556,3600,5556,3250,4567,3250,4567,3600xe" filled="true" fillcolor="#ffffff" stroked="false">
                <v:path arrowok="t"/>
                <v:fill type="solid"/>
              </v:shape>
            </v:group>
            <v:group style="position:absolute;left:4543;top:3610;width:1033;height:707" coordorigin="4543,3610" coordsize="1033,707">
              <v:shape style="position:absolute;left:4543;top:3610;width:1033;height:707" coordorigin="4543,3610" coordsize="1033,707" path="m4543,4316l5575,4316,5575,3610,4543,3610,4543,4316xe" filled="true" fillcolor="#ffffff" stroked="false">
                <v:path arrowok="t"/>
                <v:fill type="solid"/>
              </v:shape>
            </v:group>
            <v:group style="position:absolute;left:4567;top:3610;width:990;height:356" coordorigin="4567,3610" coordsize="990,356">
              <v:shape style="position:absolute;left:4567;top:3610;width:990;height:356" coordorigin="4567,3610" coordsize="990,356" path="m4567,3965l5556,3965,5556,3610,4567,3610,4567,3965xe" filled="true" fillcolor="#ffffff" stroked="false">
                <v:path arrowok="t"/>
                <v:fill type="solid"/>
              </v:shape>
            </v:group>
            <v:group style="position:absolute;left:4567;top:3965;width:990;height:351" coordorigin="4567,3965" coordsize="990,351">
              <v:shape style="position:absolute;left:4567;top:3965;width:990;height:351" coordorigin="4567,3965" coordsize="990,351" path="m4567,4316l5556,4316,5556,3965,4567,3965,4567,4316xe" filled="true" fillcolor="#ffffff" stroked="false">
                <v:path arrowok="t"/>
                <v:fill type="solid"/>
              </v:shape>
            </v:group>
            <v:group style="position:absolute;left:4543;top:4325;width:1033;height:706" coordorigin="4543,4325" coordsize="1033,706">
              <v:shape style="position:absolute;left:4543;top:4325;width:1033;height:706" coordorigin="4543,4325" coordsize="1033,706" path="m4543,5031l5575,5031,5575,4325,4543,4325,4543,5031xe" filled="true" fillcolor="#ffffff" stroked="false">
                <v:path arrowok="t"/>
                <v:fill type="solid"/>
              </v:shape>
            </v:group>
            <v:group style="position:absolute;left:4567;top:4325;width:990;height:351" coordorigin="4567,4325" coordsize="990,351">
              <v:shape style="position:absolute;left:4567;top:4325;width:990;height:351" coordorigin="4567,4325" coordsize="990,351" path="m4567,4676l5556,4676,5556,4325,4567,4325,4567,4676xe" filled="true" fillcolor="#ffffff" stroked="false">
                <v:path arrowok="t"/>
                <v:fill type="solid"/>
              </v:shape>
            </v:group>
            <v:group style="position:absolute;left:4567;top:4676;width:990;height:356" coordorigin="4567,4676" coordsize="990,356">
              <v:shape style="position:absolute;left:4567;top:4676;width:990;height:356" coordorigin="4567,4676" coordsize="990,356" path="m4567,5031l5556,5031,5556,4676,4567,4676,4567,5031xe" filled="true" fillcolor="#ffffff" stroked="false">
                <v:path arrowok="t"/>
                <v:fill type="solid"/>
              </v:shape>
            </v:group>
            <w10:wrap type="none"/>
          </v:group>
        </w:pict>
      </w:r>
      <w:r>
        <w:rPr/>
        <w:t>单位：元</w:t>
      </w:r>
    </w:p>
    <w:p>
      <w:pPr>
        <w:spacing w:after="0" w:line="240" w:lineRule="auto"/>
        <w:jc w:val="left"/>
        <w:sectPr>
          <w:type w:val="continuous"/>
          <w:pgSz w:w="11910" w:h="16840"/>
          <w:pgMar w:top="1060" w:bottom="1160" w:left="980" w:right="0"/>
          <w:cols w:num="2" w:equalWidth="0">
            <w:col w:w="4855" w:space="4068"/>
            <w:col w:w="2007"/>
          </w:cols>
        </w:sectPr>
      </w:pPr>
    </w:p>
    <w:p>
      <w:pPr>
        <w:spacing w:line="240" w:lineRule="auto" w:before="4"/>
        <w:rPr>
          <w:rFonts w:ascii="宋体" w:hAnsi="宋体" w:cs="宋体" w:eastAsia="宋体" w:hint="default"/>
          <w:sz w:val="8"/>
          <w:szCs w:val="8"/>
        </w:rPr>
      </w:pPr>
      <w:r>
        <w:rPr/>
        <w:pict>
          <v:shape style="position:absolute;margin-left:221.112885pt;margin-top:563.690002pt;width:57.7pt;height:35.050pt;mso-position-horizontal-relative:page;mso-position-vertical-relative:page;z-index:-982600" type="#_x0000_t202" filled="false" stroked="false">
            <v:textbox inset="0,0,0,0">
              <w:txbxContent>
                <w:p>
                  <w:pPr>
                    <w:pStyle w:val="BodyText"/>
                    <w:spacing w:line="240" w:lineRule="auto" w:before="53"/>
                    <w:ind w:left="0" w:right="0"/>
                    <w:jc w:val="left"/>
                  </w:pPr>
                  <w:r>
                    <w:rPr>
                      <w:w w:val="101"/>
                    </w:rPr>
                    <w:t>、</w:t>
                  </w:r>
                  <w:r>
                    <w:rPr/>
                  </w:r>
                </w:p>
              </w:txbxContent>
            </v:textbox>
            <w10:wrap type="none"/>
          </v:shape>
        </w:pict>
      </w:r>
      <w:r>
        <w:rPr/>
        <w:pict>
          <v:shape style="position:absolute;margin-left:221.112885pt;margin-top:599.205994pt;width:57.7pt;height:35.35pt;mso-position-horizontal-relative:page;mso-position-vertical-relative:page;z-index:-982576" type="#_x0000_t202" filled="false" stroked="false">
            <v:textbox inset="0,0,0,0">
              <w:txbxContent>
                <w:p>
                  <w:pPr>
                    <w:pStyle w:val="BodyText"/>
                    <w:spacing w:line="240" w:lineRule="auto" w:before="54"/>
                    <w:ind w:left="0" w:right="0"/>
                    <w:jc w:val="left"/>
                  </w:pPr>
                  <w:r>
                    <w:rPr>
                      <w:w w:val="101"/>
                    </w:rPr>
                    <w:t>、</w:t>
                  </w:r>
                  <w:r>
                    <w:rPr/>
                  </w:r>
                </w:p>
              </w:txbxContent>
            </v:textbox>
            <w10:wrap type="none"/>
          </v:shape>
        </w:pict>
      </w:r>
      <w:r>
        <w:rPr/>
        <w:pict>
          <v:shape style="position:absolute;margin-left:221.112885pt;margin-top:634.98999pt;width:57.7pt;height:35.3pt;mso-position-horizontal-relative:page;mso-position-vertical-relative:page;z-index:-982552" type="#_x0000_t202" filled="false" stroked="false">
            <v:textbox inset="0,0,0,0">
              <w:txbxContent>
                <w:p>
                  <w:pPr>
                    <w:pStyle w:val="BodyText"/>
                    <w:spacing w:line="240" w:lineRule="auto" w:before="53"/>
                    <w:ind w:left="0" w:right="0"/>
                    <w:jc w:val="left"/>
                  </w:pPr>
                  <w:r>
                    <w:rPr>
                      <w:w w:val="101"/>
                    </w:rPr>
                    <w:t>、</w:t>
                  </w:r>
                  <w:r>
                    <w:rPr/>
                  </w:r>
                </w:p>
              </w:txbxContent>
            </v:textbox>
            <w10:wrap type="none"/>
          </v:shape>
        </w:pict>
      </w:r>
      <w:r>
        <w:rPr/>
        <w:pict>
          <v:shape style="position:absolute;margin-left:221.112885pt;margin-top:706.539978pt;width:57.7pt;height:35.050pt;mso-position-horizontal-relative:page;mso-position-vertical-relative:page;z-index:-982528" type="#_x0000_t202" filled="false" stroked="false">
            <v:textbox inset="0,0,0,0">
              <w:txbxContent>
                <w:p>
                  <w:pPr>
                    <w:pStyle w:val="BodyText"/>
                    <w:spacing w:line="240" w:lineRule="auto" w:before="53"/>
                    <w:ind w:left="0" w:right="0"/>
                    <w:jc w:val="left"/>
                  </w:pPr>
                  <w:r>
                    <w:rPr>
                      <w:w w:val="101"/>
                    </w:rPr>
                    <w:t>、</w:t>
                  </w:r>
                  <w:r>
                    <w:rPr/>
                  </w:r>
                </w:p>
              </w:txbxContent>
            </v:textbox>
            <w10:wrap type="none"/>
          </v:shape>
        </w:pict>
      </w:r>
      <w:r>
        <w:rPr/>
        <w:pict>
          <v:shape style="position:absolute;margin-left:221.112885pt;margin-top:742.055969pt;width:57.7pt;height:19.7pt;mso-position-horizontal-relative:page;mso-position-vertical-relative:page;z-index:-982504" type="#_x0000_t202" filled="false" stroked="false">
            <v:textbox inset="0,0,0,0">
              <w:txbxContent>
                <w:p>
                  <w:pPr>
                    <w:pStyle w:val="BodyText"/>
                    <w:spacing w:line="240" w:lineRule="auto" w:before="77"/>
                    <w:ind w:left="0" w:right="0"/>
                    <w:jc w:val="left"/>
                  </w:pPr>
                  <w:r>
                    <w:rPr>
                      <w:w w:val="101"/>
                    </w:rPr>
                    <w:t>、</w:t>
                  </w:r>
                  <w:r>
                    <w:rPr/>
                  </w:r>
                </w:p>
              </w:txbxContent>
            </v:textbox>
            <w10:wrap type="none"/>
          </v:shape>
        </w:pict>
      </w:r>
      <w:r>
        <w:rPr/>
        <w:pict>
          <v:group style="position:absolute;margin-left:227.139999pt;margin-top:706.539978pt;width:51.65pt;height:35.050pt;mso-position-horizontal-relative:page;mso-position-vertical-relative:page;z-index:-982456" coordorigin="4543,14131" coordsize="1033,701">
            <v:group style="position:absolute;left:4543;top:14131;width:1033;height:701" coordorigin="4543,14131" coordsize="1033,701">
              <v:shape style="position:absolute;left:4543;top:14131;width:1033;height:701" coordorigin="4543,14131" coordsize="1033,701" path="m4543,14832l5575,14832,5575,14131,4543,14131,4543,14832xe" filled="true" fillcolor="#ffffff" stroked="false">
                <v:path arrowok="t"/>
                <v:fill type="solid"/>
              </v:shape>
            </v:group>
            <v:group style="position:absolute;left:4567;top:14284;width:990;height:394" coordorigin="4567,14284" coordsize="990,394">
              <v:shape style="position:absolute;left:4567;top:14284;width:990;height:394" coordorigin="4567,14284" coordsize="990,394" path="m4567,14678l5556,14678,5556,14284,4567,14284,4567,14678xe" filled="true" fillcolor="#ffffff" stroked="false">
                <v:path arrowok="t"/>
                <v:fill type="solid"/>
              </v:shape>
            </v:group>
            <w10:wrap type="none"/>
          </v:group>
        </w:pict>
      </w:r>
    </w:p>
    <w:tbl>
      <w:tblPr>
        <w:tblW w:w="0" w:type="auto"/>
        <w:jc w:val="left"/>
        <w:tblInd w:w="110" w:type="dxa"/>
        <w:tblLayout w:type="fixed"/>
        <w:tblCellMar>
          <w:top w:w="0" w:type="dxa"/>
          <w:left w:w="0" w:type="dxa"/>
          <w:bottom w:w="0" w:type="dxa"/>
          <w:right w:w="0" w:type="dxa"/>
        </w:tblCellMar>
        <w:tblLook w:val="01E0"/>
      </w:tblPr>
      <w:tblGrid>
        <w:gridCol w:w="1421"/>
        <w:gridCol w:w="850"/>
        <w:gridCol w:w="1172"/>
        <w:gridCol w:w="1042"/>
        <w:gridCol w:w="1047"/>
        <w:gridCol w:w="1047"/>
        <w:gridCol w:w="1047"/>
        <w:gridCol w:w="1042"/>
        <w:gridCol w:w="1046"/>
      </w:tblGrid>
      <w:tr>
        <w:trPr>
          <w:trHeight w:val="394" w:hRule="exact"/>
        </w:trPr>
        <w:tc>
          <w:tcPr>
            <w:tcW w:w="14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50"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2"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主要业务</w:t>
            </w:r>
          </w:p>
        </w:tc>
        <w:tc>
          <w:tcPr>
            <w:tcW w:w="10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1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总资产</w:t>
            </w:r>
          </w:p>
        </w:tc>
        <w:tc>
          <w:tcPr>
            <w:tcW w:w="1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净资产</w:t>
            </w:r>
          </w:p>
        </w:tc>
        <w:tc>
          <w:tcPr>
            <w:tcW w:w="1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0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58"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9"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720" w:hRule="exact"/>
        </w:trPr>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8" w:right="118"/>
              <w:jc w:val="left"/>
              <w:rPr>
                <w:rFonts w:ascii="宋体" w:hAnsi="宋体" w:cs="宋体" w:eastAsia="宋体" w:hint="default"/>
                <w:sz w:val="18"/>
                <w:szCs w:val="18"/>
              </w:rPr>
            </w:pPr>
            <w:r>
              <w:rPr>
                <w:rFonts w:ascii="宋体" w:hAnsi="宋体" w:cs="宋体" w:eastAsia="宋体" w:hint="default"/>
                <w:spacing w:val="-3"/>
                <w:sz w:val="18"/>
                <w:szCs w:val="18"/>
              </w:rPr>
              <w:t>北京南天软件有</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8"/>
              <w:ind w:left="23" w:right="51"/>
              <w:jc w:val="left"/>
              <w:rPr>
                <w:rFonts w:ascii="宋体" w:hAnsi="宋体" w:cs="宋体" w:eastAsia="宋体" w:hint="default"/>
                <w:sz w:val="18"/>
                <w:szCs w:val="18"/>
              </w:rPr>
            </w:pPr>
            <w:r>
              <w:rPr>
                <w:rFonts w:ascii="Times New Roman" w:hAnsi="Times New Roman" w:cs="Times New Roman" w:eastAsia="Times New Roman" w:hint="default"/>
                <w:spacing w:val="-2"/>
                <w:w w:val="101"/>
                <w:sz w:val="18"/>
                <w:szCs w:val="18"/>
              </w:rPr>
              <w:t>IT</w:t>
            </w:r>
            <w:r>
              <w:rPr>
                <w:rFonts w:ascii="Times New Roman" w:hAnsi="Times New Roman" w:cs="Times New Roman" w:eastAsia="Times New Roman" w:hint="default"/>
                <w:spacing w:val="-4"/>
                <w:w w:val="101"/>
                <w:sz w:val="18"/>
                <w:szCs w:val="18"/>
              </w:rPr>
              <w:t> </w:t>
            </w:r>
            <w:r>
              <w:rPr>
                <w:rFonts w:ascii="宋体" w:hAnsi="宋体" w:cs="宋体" w:eastAsia="宋体" w:hint="default"/>
                <w:spacing w:val="-19"/>
                <w:w w:val="101"/>
                <w:sz w:val="18"/>
                <w:szCs w:val="18"/>
              </w:rPr>
              <w:t>产品、软件</w:t>
            </w:r>
            <w:r>
              <w:rPr>
                <w:rFonts w:ascii="宋体" w:hAnsi="宋体" w:cs="宋体" w:eastAsia="宋体" w:hint="default"/>
                <w:w w:val="101"/>
                <w:sz w:val="18"/>
                <w:szCs w:val="18"/>
              </w:rPr>
              <w:t> </w:t>
            </w:r>
            <w:r>
              <w:rPr>
                <w:rFonts w:ascii="宋体" w:hAnsi="宋体" w:cs="宋体" w:eastAsia="宋体" w:hint="default"/>
                <w:spacing w:val="-2"/>
                <w:sz w:val="18"/>
                <w:szCs w:val="18"/>
              </w:rPr>
              <w:t>集成、服务等</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110,000,000.</w:t>
            </w:r>
          </w:p>
          <w:p>
            <w:pPr>
              <w:pStyle w:val="TableParagraph"/>
              <w:spacing w:line="240" w:lineRule="auto" w:before="110"/>
              <w:ind w:left="24" w:right="0"/>
              <w:jc w:val="left"/>
              <w:rPr>
                <w:rFonts w:ascii="Times New Roman" w:hAnsi="Times New Roman" w:cs="Times New Roman" w:eastAsia="Times New Roman" w:hint="default"/>
                <w:sz w:val="18"/>
                <w:szCs w:val="18"/>
              </w:rPr>
            </w:pPr>
            <w:r>
              <w:rPr>
                <w:rFonts w:ascii="Times New Roman"/>
                <w:sz w:val="18"/>
              </w:rPr>
              <w:t>00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235,717,698.</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14</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161,948,316.</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98</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480,626,429.</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72</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17,769,190.3</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16,758,717.0</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tc>
      </w:tr>
      <w:tr>
        <w:trPr>
          <w:trHeight w:val="715" w:hRule="exact"/>
        </w:trPr>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3"/>
              <w:ind w:left="28" w:right="118"/>
              <w:jc w:val="left"/>
              <w:rPr>
                <w:rFonts w:ascii="宋体" w:hAnsi="宋体" w:cs="宋体" w:eastAsia="宋体" w:hint="default"/>
                <w:sz w:val="18"/>
                <w:szCs w:val="18"/>
              </w:rPr>
            </w:pPr>
            <w:r>
              <w:rPr>
                <w:rFonts w:ascii="宋体" w:hAnsi="宋体" w:cs="宋体" w:eastAsia="宋体" w:hint="default"/>
                <w:spacing w:val="-3"/>
                <w:sz w:val="18"/>
                <w:szCs w:val="18"/>
              </w:rPr>
              <w:t>广州南天电脑系</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统有限公司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95" w:lineRule="auto" w:before="53"/>
              <w:ind w:left="23" w:right="51"/>
              <w:jc w:val="left"/>
              <w:rPr>
                <w:rFonts w:ascii="宋体" w:hAnsi="宋体" w:cs="宋体" w:eastAsia="宋体" w:hint="default"/>
                <w:sz w:val="18"/>
                <w:szCs w:val="18"/>
              </w:rPr>
            </w:pPr>
            <w:r>
              <w:rPr>
                <w:rFonts w:ascii="Times New Roman" w:hAnsi="Times New Roman" w:cs="Times New Roman" w:eastAsia="Times New Roman" w:hint="default"/>
                <w:spacing w:val="-2"/>
                <w:w w:val="101"/>
                <w:sz w:val="18"/>
                <w:szCs w:val="18"/>
              </w:rPr>
              <w:t>IT</w:t>
            </w:r>
            <w:r>
              <w:rPr>
                <w:rFonts w:ascii="Times New Roman" w:hAnsi="Times New Roman" w:cs="Times New Roman" w:eastAsia="Times New Roman" w:hint="default"/>
                <w:spacing w:val="-4"/>
                <w:w w:val="101"/>
                <w:sz w:val="18"/>
                <w:szCs w:val="18"/>
              </w:rPr>
              <w:t> </w:t>
            </w:r>
            <w:r>
              <w:rPr>
                <w:rFonts w:ascii="宋体" w:hAnsi="宋体" w:cs="宋体" w:eastAsia="宋体" w:hint="default"/>
                <w:spacing w:val="-19"/>
                <w:w w:val="101"/>
                <w:sz w:val="18"/>
                <w:szCs w:val="18"/>
              </w:rPr>
              <w:t>产品、软件</w:t>
            </w:r>
            <w:r>
              <w:rPr>
                <w:rFonts w:ascii="宋体" w:hAnsi="宋体" w:cs="宋体" w:eastAsia="宋体" w:hint="default"/>
                <w:w w:val="101"/>
                <w:sz w:val="18"/>
                <w:szCs w:val="18"/>
              </w:rPr>
              <w:t> </w:t>
            </w:r>
            <w:r>
              <w:rPr>
                <w:rFonts w:ascii="宋体" w:hAnsi="宋体" w:cs="宋体" w:eastAsia="宋体" w:hint="default"/>
                <w:spacing w:val="-2"/>
                <w:sz w:val="18"/>
                <w:szCs w:val="18"/>
              </w:rPr>
              <w:t>集成、服务等</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89,230,000.0</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163,889,225.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69,873,846.8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375,260,911.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68</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8,719,260.81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8,968,773.88</w:t>
            </w:r>
          </w:p>
        </w:tc>
      </w:tr>
      <w:tr>
        <w:trPr>
          <w:trHeight w:val="716" w:hRule="exact"/>
        </w:trPr>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4"/>
              <w:ind w:left="28" w:right="118"/>
              <w:jc w:val="left"/>
              <w:rPr>
                <w:rFonts w:ascii="宋体" w:hAnsi="宋体" w:cs="宋体" w:eastAsia="宋体" w:hint="default"/>
                <w:sz w:val="18"/>
                <w:szCs w:val="18"/>
              </w:rPr>
            </w:pPr>
            <w:r>
              <w:rPr>
                <w:rFonts w:ascii="宋体" w:hAnsi="宋体" w:cs="宋体" w:eastAsia="宋体" w:hint="default"/>
                <w:spacing w:val="-3"/>
                <w:sz w:val="18"/>
                <w:szCs w:val="18"/>
              </w:rPr>
              <w:t>上海南天电脑系</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统有限公司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95" w:lineRule="auto" w:before="54"/>
              <w:ind w:left="23" w:right="51"/>
              <w:jc w:val="left"/>
              <w:rPr>
                <w:rFonts w:ascii="宋体" w:hAnsi="宋体" w:cs="宋体" w:eastAsia="宋体" w:hint="default"/>
                <w:sz w:val="18"/>
                <w:szCs w:val="18"/>
              </w:rPr>
            </w:pPr>
            <w:r>
              <w:rPr>
                <w:rFonts w:ascii="Times New Roman" w:hAnsi="Times New Roman" w:cs="Times New Roman" w:eastAsia="Times New Roman" w:hint="default"/>
                <w:spacing w:val="-2"/>
                <w:w w:val="101"/>
                <w:sz w:val="18"/>
                <w:szCs w:val="18"/>
              </w:rPr>
              <w:t>IT</w:t>
            </w:r>
            <w:r>
              <w:rPr>
                <w:rFonts w:ascii="Times New Roman" w:hAnsi="Times New Roman" w:cs="Times New Roman" w:eastAsia="Times New Roman" w:hint="default"/>
                <w:spacing w:val="-4"/>
                <w:w w:val="101"/>
                <w:sz w:val="18"/>
                <w:szCs w:val="18"/>
              </w:rPr>
              <w:t> </w:t>
            </w:r>
            <w:r>
              <w:rPr>
                <w:rFonts w:ascii="宋体" w:hAnsi="宋体" w:cs="宋体" w:eastAsia="宋体" w:hint="default"/>
                <w:spacing w:val="-19"/>
                <w:w w:val="101"/>
                <w:sz w:val="18"/>
                <w:szCs w:val="18"/>
              </w:rPr>
              <w:t>产品、软件</w:t>
            </w:r>
            <w:r>
              <w:rPr>
                <w:rFonts w:ascii="宋体" w:hAnsi="宋体" w:cs="宋体" w:eastAsia="宋体" w:hint="default"/>
                <w:w w:val="101"/>
                <w:sz w:val="18"/>
                <w:szCs w:val="18"/>
              </w:rPr>
              <w:t> </w:t>
            </w:r>
            <w:r>
              <w:rPr>
                <w:rFonts w:ascii="宋体" w:hAnsi="宋体" w:cs="宋体" w:eastAsia="宋体" w:hint="default"/>
                <w:spacing w:val="-2"/>
                <w:sz w:val="18"/>
                <w:szCs w:val="18"/>
              </w:rPr>
              <w:t>集成、服务等</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102,094,284.</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50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198,629,808.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59</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125,519,275.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58</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321,815,571.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58</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3,387,482.51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3,514,335.60</w:t>
            </w:r>
          </w:p>
        </w:tc>
      </w:tr>
      <w:tr>
        <w:trPr>
          <w:trHeight w:val="710" w:hRule="exact"/>
        </w:trPr>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3"/>
              <w:ind w:left="28" w:right="118"/>
              <w:jc w:val="left"/>
              <w:rPr>
                <w:rFonts w:ascii="宋体" w:hAnsi="宋体" w:cs="宋体" w:eastAsia="宋体" w:hint="default"/>
                <w:sz w:val="18"/>
                <w:szCs w:val="18"/>
              </w:rPr>
            </w:pPr>
            <w:r>
              <w:rPr>
                <w:rFonts w:ascii="宋体" w:hAnsi="宋体" w:cs="宋体" w:eastAsia="宋体" w:hint="default"/>
                <w:spacing w:val="-3"/>
                <w:sz w:val="18"/>
                <w:szCs w:val="18"/>
              </w:rPr>
              <w:t>北京南天信息工</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程有限公司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95" w:lineRule="auto" w:before="53"/>
              <w:ind w:left="23" w:right="51"/>
              <w:jc w:val="left"/>
              <w:rPr>
                <w:rFonts w:ascii="宋体" w:hAnsi="宋体" w:cs="宋体" w:eastAsia="宋体" w:hint="default"/>
                <w:sz w:val="18"/>
                <w:szCs w:val="18"/>
              </w:rPr>
            </w:pPr>
            <w:r>
              <w:rPr>
                <w:rFonts w:ascii="Times New Roman" w:hAnsi="Times New Roman" w:cs="Times New Roman" w:eastAsia="Times New Roman" w:hint="default"/>
                <w:spacing w:val="-2"/>
                <w:w w:val="101"/>
                <w:sz w:val="18"/>
                <w:szCs w:val="18"/>
              </w:rPr>
              <w:t>IT</w:t>
            </w:r>
            <w:r>
              <w:rPr>
                <w:rFonts w:ascii="Times New Roman" w:hAnsi="Times New Roman" w:cs="Times New Roman" w:eastAsia="Times New Roman" w:hint="default"/>
                <w:spacing w:val="-4"/>
                <w:w w:val="101"/>
                <w:sz w:val="18"/>
                <w:szCs w:val="18"/>
              </w:rPr>
              <w:t> </w:t>
            </w:r>
            <w:r>
              <w:rPr>
                <w:rFonts w:ascii="宋体" w:hAnsi="宋体" w:cs="宋体" w:eastAsia="宋体" w:hint="default"/>
                <w:spacing w:val="-19"/>
                <w:w w:val="101"/>
                <w:sz w:val="18"/>
                <w:szCs w:val="18"/>
              </w:rPr>
              <w:t>产品、软件</w:t>
            </w:r>
            <w:r>
              <w:rPr>
                <w:rFonts w:ascii="宋体" w:hAnsi="宋体" w:cs="宋体" w:eastAsia="宋体" w:hint="default"/>
                <w:w w:val="101"/>
                <w:sz w:val="18"/>
                <w:szCs w:val="18"/>
              </w:rPr>
              <w:t> </w:t>
            </w:r>
            <w:r>
              <w:rPr>
                <w:rFonts w:ascii="宋体" w:hAnsi="宋体" w:cs="宋体" w:eastAsia="宋体" w:hint="default"/>
                <w:spacing w:val="-2"/>
                <w:sz w:val="18"/>
                <w:szCs w:val="18"/>
              </w:rPr>
              <w:t>集成、服务等</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27,561,847.8</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51,530,563.0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12,734,394.1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145,783,849.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88</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227,926.07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208,788.55</w:t>
            </w:r>
          </w:p>
        </w:tc>
      </w:tr>
      <w:tr>
        <w:trPr>
          <w:trHeight w:val="716" w:hRule="exact"/>
        </w:trPr>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8" w:right="118"/>
              <w:jc w:val="left"/>
              <w:rPr>
                <w:rFonts w:ascii="宋体" w:hAnsi="宋体" w:cs="宋体" w:eastAsia="宋体" w:hint="default"/>
                <w:sz w:val="18"/>
                <w:szCs w:val="18"/>
              </w:rPr>
            </w:pPr>
            <w:r>
              <w:rPr>
                <w:rFonts w:ascii="宋体" w:hAnsi="宋体" w:cs="宋体" w:eastAsia="宋体" w:hint="default"/>
                <w:spacing w:val="-3"/>
                <w:sz w:val="18"/>
                <w:szCs w:val="18"/>
              </w:rPr>
              <w:t>昆明南天电脑系</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统有限公司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23" w:right="51"/>
              <w:jc w:val="left"/>
              <w:rPr>
                <w:rFonts w:ascii="宋体" w:hAnsi="宋体" w:cs="宋体" w:eastAsia="宋体" w:hint="default"/>
                <w:sz w:val="18"/>
                <w:szCs w:val="18"/>
              </w:rPr>
            </w:pPr>
            <w:r>
              <w:rPr>
                <w:rFonts w:ascii="Times New Roman" w:hAnsi="Times New Roman" w:cs="Times New Roman" w:eastAsia="Times New Roman" w:hint="default"/>
                <w:spacing w:val="-2"/>
                <w:w w:val="101"/>
                <w:sz w:val="18"/>
                <w:szCs w:val="18"/>
              </w:rPr>
              <w:t>IT</w:t>
            </w:r>
            <w:r>
              <w:rPr>
                <w:rFonts w:ascii="Times New Roman" w:hAnsi="Times New Roman" w:cs="Times New Roman" w:eastAsia="Times New Roman" w:hint="default"/>
                <w:spacing w:val="-4"/>
                <w:w w:val="101"/>
                <w:sz w:val="18"/>
                <w:szCs w:val="18"/>
              </w:rPr>
              <w:t> </w:t>
            </w:r>
            <w:r>
              <w:rPr>
                <w:rFonts w:ascii="宋体" w:hAnsi="宋体" w:cs="宋体" w:eastAsia="宋体" w:hint="default"/>
                <w:spacing w:val="-19"/>
                <w:w w:val="101"/>
                <w:sz w:val="18"/>
                <w:szCs w:val="18"/>
              </w:rPr>
              <w:t>产品、软件</w:t>
            </w:r>
            <w:r>
              <w:rPr>
                <w:rFonts w:ascii="宋体" w:hAnsi="宋体" w:cs="宋体" w:eastAsia="宋体" w:hint="default"/>
                <w:w w:val="101"/>
                <w:sz w:val="18"/>
                <w:szCs w:val="18"/>
              </w:rPr>
              <w:t> </w:t>
            </w:r>
            <w:r>
              <w:rPr>
                <w:rFonts w:ascii="宋体" w:hAnsi="宋体" w:cs="宋体" w:eastAsia="宋体" w:hint="default"/>
                <w:spacing w:val="-2"/>
                <w:sz w:val="18"/>
                <w:szCs w:val="18"/>
              </w:rPr>
              <w:t>集成、服务等</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15,000,000.0</w:t>
            </w:r>
          </w:p>
          <w:p>
            <w:pPr>
              <w:pStyle w:val="TableParagraph"/>
              <w:spacing w:line="240" w:lineRule="auto" w:before="110"/>
              <w:ind w:left="24"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43,812,530.5</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17,345,546.5</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96,552,645.8</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1,564,932.58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1,576,083.40</w:t>
            </w:r>
          </w:p>
        </w:tc>
      </w:tr>
      <w:tr>
        <w:trPr>
          <w:trHeight w:val="715" w:hRule="exact"/>
        </w:trPr>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3"/>
              <w:ind w:left="28" w:right="118"/>
              <w:jc w:val="left"/>
              <w:rPr>
                <w:rFonts w:ascii="宋体" w:hAnsi="宋体" w:cs="宋体" w:eastAsia="宋体" w:hint="default"/>
                <w:sz w:val="18"/>
                <w:szCs w:val="18"/>
              </w:rPr>
            </w:pPr>
            <w:r>
              <w:rPr>
                <w:rFonts w:ascii="宋体" w:hAnsi="宋体" w:cs="宋体" w:eastAsia="宋体" w:hint="default"/>
                <w:spacing w:val="-3"/>
                <w:sz w:val="18"/>
                <w:szCs w:val="18"/>
              </w:rPr>
              <w:t>深圳南天东华科</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技有限公司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4"/>
                <w:sz w:val="18"/>
                <w:szCs w:val="18"/>
              </w:rPr>
              <w:t>子公司</w:t>
            </w:r>
            <w:r>
              <w:rPr>
                <w:rFonts w:ascii="宋体" w:hAnsi="宋体" w:cs="宋体" w:eastAsia="宋体" w:hint="default"/>
                <w:sz w:val="18"/>
                <w:szCs w:val="18"/>
              </w:rPr>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95" w:lineRule="auto" w:before="53"/>
              <w:ind w:left="23" w:right="51"/>
              <w:jc w:val="left"/>
              <w:rPr>
                <w:rFonts w:ascii="宋体" w:hAnsi="宋体" w:cs="宋体" w:eastAsia="宋体" w:hint="default"/>
                <w:sz w:val="18"/>
                <w:szCs w:val="18"/>
              </w:rPr>
            </w:pPr>
            <w:r>
              <w:rPr>
                <w:rFonts w:ascii="Times New Roman" w:hAnsi="Times New Roman" w:cs="Times New Roman" w:eastAsia="Times New Roman" w:hint="default"/>
                <w:spacing w:val="-2"/>
                <w:w w:val="101"/>
                <w:sz w:val="18"/>
                <w:szCs w:val="18"/>
              </w:rPr>
              <w:t>IT</w:t>
            </w:r>
            <w:r>
              <w:rPr>
                <w:rFonts w:ascii="Times New Roman" w:hAnsi="Times New Roman" w:cs="Times New Roman" w:eastAsia="Times New Roman" w:hint="default"/>
                <w:spacing w:val="-4"/>
                <w:w w:val="101"/>
                <w:sz w:val="18"/>
                <w:szCs w:val="18"/>
              </w:rPr>
              <w:t> </w:t>
            </w:r>
            <w:r>
              <w:rPr>
                <w:rFonts w:ascii="宋体" w:hAnsi="宋体" w:cs="宋体" w:eastAsia="宋体" w:hint="default"/>
                <w:spacing w:val="-19"/>
                <w:w w:val="101"/>
                <w:sz w:val="18"/>
                <w:szCs w:val="18"/>
              </w:rPr>
              <w:t>产品、软件</w:t>
            </w:r>
            <w:r>
              <w:rPr>
                <w:rFonts w:ascii="宋体" w:hAnsi="宋体" w:cs="宋体" w:eastAsia="宋体" w:hint="default"/>
                <w:w w:val="101"/>
                <w:sz w:val="18"/>
                <w:szCs w:val="18"/>
              </w:rPr>
              <w:t> </w:t>
            </w:r>
            <w:r>
              <w:rPr>
                <w:rFonts w:ascii="宋体" w:hAnsi="宋体" w:cs="宋体" w:eastAsia="宋体" w:hint="default"/>
                <w:spacing w:val="-2"/>
                <w:sz w:val="18"/>
                <w:szCs w:val="18"/>
              </w:rPr>
              <w:t>集成、服务等</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12,000,000.0</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139,660,871.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42</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21,654,770.1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198,561,054.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65</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807,631.21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2,193,449.74</w:t>
            </w:r>
          </w:p>
        </w:tc>
      </w:tr>
      <w:tr>
        <w:trPr>
          <w:trHeight w:val="716" w:hRule="exact"/>
        </w:trPr>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3"/>
              <w:ind w:left="28" w:right="118"/>
              <w:jc w:val="left"/>
              <w:rPr>
                <w:rFonts w:ascii="宋体" w:hAnsi="宋体" w:cs="宋体" w:eastAsia="宋体" w:hint="default"/>
                <w:sz w:val="18"/>
                <w:szCs w:val="18"/>
              </w:rPr>
            </w:pPr>
            <w:r>
              <w:rPr>
                <w:rFonts w:ascii="宋体" w:hAnsi="宋体" w:cs="宋体" w:eastAsia="宋体" w:hint="default"/>
                <w:spacing w:val="-3"/>
                <w:sz w:val="18"/>
                <w:szCs w:val="18"/>
              </w:rPr>
              <w:t>云南南天信息设</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备有限公司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7"/>
              <w:jc w:val="center"/>
              <w:rPr>
                <w:rFonts w:ascii="宋体" w:hAnsi="宋体" w:cs="宋体" w:eastAsia="宋体" w:hint="default"/>
                <w:sz w:val="18"/>
                <w:szCs w:val="18"/>
              </w:rPr>
            </w:pPr>
            <w:r>
              <w:rPr>
                <w:rFonts w:ascii="宋体" w:hAnsi="宋体" w:cs="宋体" w:eastAsia="宋体" w:hint="default"/>
                <w:sz w:val="18"/>
                <w:szCs w:val="18"/>
              </w:rPr>
              <w:t>信息产品制造</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20,000,000.0</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123,875,598.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18</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18,695,089.4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162,163,144.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78</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1,538,604.83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1,019,891.75</w:t>
            </w:r>
          </w:p>
        </w:tc>
      </w:tr>
      <w:tr>
        <w:trPr>
          <w:trHeight w:val="710" w:hRule="exact"/>
        </w:trPr>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3"/>
              <w:ind w:left="28" w:right="118"/>
              <w:jc w:val="left"/>
              <w:rPr>
                <w:rFonts w:ascii="宋体" w:hAnsi="宋体" w:cs="宋体" w:eastAsia="宋体" w:hint="default"/>
                <w:sz w:val="18"/>
                <w:szCs w:val="18"/>
              </w:rPr>
            </w:pPr>
            <w:r>
              <w:rPr>
                <w:rFonts w:ascii="宋体" w:hAnsi="宋体" w:cs="宋体" w:eastAsia="宋体" w:hint="default"/>
                <w:spacing w:val="-3"/>
                <w:sz w:val="18"/>
                <w:szCs w:val="18"/>
              </w:rPr>
              <w:t>西安南天电脑系</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统有限公司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95" w:lineRule="auto" w:before="53"/>
              <w:ind w:left="23" w:right="51"/>
              <w:jc w:val="left"/>
              <w:rPr>
                <w:rFonts w:ascii="宋体" w:hAnsi="宋体" w:cs="宋体" w:eastAsia="宋体" w:hint="default"/>
                <w:sz w:val="18"/>
                <w:szCs w:val="18"/>
              </w:rPr>
            </w:pPr>
            <w:r>
              <w:rPr>
                <w:rFonts w:ascii="Times New Roman" w:hAnsi="Times New Roman" w:cs="Times New Roman" w:eastAsia="Times New Roman" w:hint="default"/>
                <w:spacing w:val="-2"/>
                <w:w w:val="101"/>
                <w:sz w:val="18"/>
                <w:szCs w:val="18"/>
              </w:rPr>
              <w:t>IT</w:t>
            </w:r>
            <w:r>
              <w:rPr>
                <w:rFonts w:ascii="Times New Roman" w:hAnsi="Times New Roman" w:cs="Times New Roman" w:eastAsia="Times New Roman" w:hint="default"/>
                <w:spacing w:val="-4"/>
                <w:w w:val="101"/>
                <w:sz w:val="18"/>
                <w:szCs w:val="18"/>
              </w:rPr>
              <w:t> </w:t>
            </w:r>
            <w:r>
              <w:rPr>
                <w:rFonts w:ascii="宋体" w:hAnsi="宋体" w:cs="宋体" w:eastAsia="宋体" w:hint="default"/>
                <w:spacing w:val="-19"/>
                <w:w w:val="101"/>
                <w:sz w:val="18"/>
                <w:szCs w:val="18"/>
              </w:rPr>
              <w:t>产品、软件</w:t>
            </w:r>
            <w:r>
              <w:rPr>
                <w:rFonts w:ascii="宋体" w:hAnsi="宋体" w:cs="宋体" w:eastAsia="宋体" w:hint="default"/>
                <w:w w:val="101"/>
                <w:sz w:val="18"/>
                <w:szCs w:val="18"/>
              </w:rPr>
              <w:t> </w:t>
            </w:r>
            <w:r>
              <w:rPr>
                <w:rFonts w:ascii="宋体" w:hAnsi="宋体" w:cs="宋体" w:eastAsia="宋体" w:hint="default"/>
                <w:spacing w:val="-2"/>
                <w:sz w:val="18"/>
                <w:szCs w:val="18"/>
              </w:rPr>
              <w:t>集成、服务等</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32"/>
              <w:jc w:val="center"/>
              <w:rPr>
                <w:rFonts w:ascii="Times New Roman" w:hAnsi="Times New Roman" w:cs="Times New Roman" w:eastAsia="Times New Roman" w:hint="default"/>
                <w:sz w:val="18"/>
                <w:szCs w:val="18"/>
              </w:rPr>
            </w:pPr>
            <w:r>
              <w:rPr>
                <w:rFonts w:ascii="Times New Roman"/>
                <w:sz w:val="18"/>
              </w:rPr>
              <w:t>3,121,482.00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7" w:right="0"/>
              <w:jc w:val="center"/>
              <w:rPr>
                <w:rFonts w:ascii="Times New Roman" w:hAnsi="Times New Roman" w:cs="Times New Roman" w:eastAsia="Times New Roman" w:hint="default"/>
                <w:sz w:val="18"/>
                <w:szCs w:val="18"/>
              </w:rPr>
            </w:pPr>
            <w:r>
              <w:rPr>
                <w:rFonts w:ascii="Times New Roman"/>
                <w:sz w:val="18"/>
              </w:rPr>
              <w:t>3,226,726.39</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-27,563,213.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12</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16,806,688.3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478,232.64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479,527.64</w:t>
            </w:r>
          </w:p>
        </w:tc>
      </w:tr>
      <w:tr>
        <w:trPr>
          <w:trHeight w:val="403" w:hRule="exact"/>
        </w:trPr>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8" w:right="0"/>
              <w:jc w:val="left"/>
              <w:rPr>
                <w:rFonts w:ascii="宋体" w:hAnsi="宋体" w:cs="宋体" w:eastAsia="宋体" w:hint="default"/>
                <w:sz w:val="18"/>
                <w:szCs w:val="18"/>
              </w:rPr>
            </w:pPr>
            <w:r>
              <w:rPr>
                <w:rFonts w:ascii="宋体" w:hAnsi="宋体" w:cs="宋体" w:eastAsia="宋体" w:hint="default"/>
                <w:spacing w:val="-3"/>
                <w:sz w:val="18"/>
                <w:szCs w:val="18"/>
              </w:rPr>
              <w:t>武汉南天电脑系</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172"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before="77"/>
              <w:ind w:right="72"/>
              <w:jc w:val="center"/>
              <w:rPr>
                <w:rFonts w:ascii="宋体" w:hAnsi="宋体" w:cs="宋体" w:eastAsia="宋体" w:hint="default"/>
                <w:sz w:val="18"/>
                <w:szCs w:val="18"/>
              </w:rPr>
            </w:pPr>
            <w:r>
              <w:rPr>
                <w:rFonts w:ascii="Times New Roman" w:hAnsi="Times New Roman" w:cs="Times New Roman" w:eastAsia="Times New Roman" w:hint="default"/>
                <w:spacing w:val="-4"/>
                <w:w w:val="101"/>
                <w:sz w:val="18"/>
                <w:szCs w:val="18"/>
              </w:rPr>
              <w:t>I</w:t>
            </w:r>
            <w:r>
              <w:rPr>
                <w:rFonts w:ascii="Times New Roman" w:hAnsi="Times New Roman" w:cs="Times New Roman" w:eastAsia="Times New Roman" w:hint="default"/>
                <w:w w:val="101"/>
                <w:sz w:val="18"/>
                <w:szCs w:val="18"/>
              </w:rPr>
              <w:t>T</w:t>
            </w:r>
            <w:r>
              <w:rPr>
                <w:rFonts w:ascii="Times New Roman" w:hAnsi="Times New Roman" w:cs="Times New Roman" w:eastAsia="Times New Roman" w:hint="default"/>
                <w:spacing w:val="-3"/>
                <w:sz w:val="18"/>
                <w:szCs w:val="18"/>
              </w:rPr>
              <w:t> </w:t>
            </w:r>
            <w:r>
              <w:rPr>
                <w:rFonts w:ascii="宋体" w:hAnsi="宋体" w:cs="宋体" w:eastAsia="宋体" w:hint="default"/>
                <w:w w:val="101"/>
                <w:sz w:val="18"/>
                <w:szCs w:val="18"/>
              </w:rPr>
              <w:t>产品</w:t>
            </w:r>
            <w:r>
              <w:rPr>
                <w:rFonts w:ascii="宋体" w:hAnsi="宋体" w:cs="宋体" w:eastAsia="宋体" w:hint="default"/>
                <w:spacing w:val="-96"/>
                <w:w w:val="101"/>
                <w:sz w:val="18"/>
                <w:szCs w:val="18"/>
              </w:rPr>
              <w:t>、</w:t>
            </w:r>
            <w:r>
              <w:rPr>
                <w:rFonts w:ascii="宋体" w:hAnsi="宋体" w:cs="宋体" w:eastAsia="宋体" w:hint="default"/>
                <w:w w:val="101"/>
                <w:sz w:val="18"/>
                <w:szCs w:val="18"/>
              </w:rPr>
              <w:t>软件</w:t>
            </w:r>
            <w:r>
              <w:rPr>
                <w:rFonts w:ascii="宋体" w:hAnsi="宋体" w:cs="宋体" w:eastAsia="宋体" w:hint="default"/>
                <w:sz w:val="18"/>
                <w:szCs w:val="18"/>
              </w:rPr>
            </w:r>
          </w:p>
        </w:tc>
        <w:tc>
          <w:tcPr>
            <w:tcW w:w="1042" w:type="dxa"/>
            <w:tcBorders>
              <w:top w:val="single" w:sz="4" w:space="0" w:color="000000"/>
              <w:left w:val="single" w:sz="13" w:space="0" w:color="FFFFFF"/>
              <w:bottom w:val="single" w:sz="4" w:space="0" w:color="000000"/>
              <w:right w:val="single" w:sz="8" w:space="0" w:color="FFFFFF"/>
            </w:tcBorders>
          </w:tcPr>
          <w:p>
            <w:pPr>
              <w:pStyle w:val="TableParagraph"/>
              <w:spacing w:line="240" w:lineRule="auto" w:before="96"/>
              <w:ind w:right="39"/>
              <w:jc w:val="center"/>
              <w:rPr>
                <w:rFonts w:ascii="Times New Roman" w:hAnsi="Times New Roman" w:cs="Times New Roman" w:eastAsia="Times New Roman" w:hint="default"/>
                <w:sz w:val="18"/>
                <w:szCs w:val="18"/>
              </w:rPr>
            </w:pPr>
            <w:r>
              <w:rPr>
                <w:rFonts w:ascii="Times New Roman"/>
                <w:sz w:val="18"/>
              </w:rPr>
              <w:t>1,939,500.00</w:t>
            </w:r>
          </w:p>
        </w:tc>
        <w:tc>
          <w:tcPr>
            <w:tcW w:w="1047" w:type="dxa"/>
            <w:tcBorders>
              <w:top w:val="single" w:sz="4" w:space="0" w:color="000000"/>
              <w:left w:val="single" w:sz="8" w:space="0" w:color="FFFFFF"/>
              <w:bottom w:val="single" w:sz="4" w:space="0" w:color="000000"/>
              <w:right w:val="single" w:sz="4" w:space="0" w:color="000000"/>
            </w:tcBorders>
          </w:tcPr>
          <w:p>
            <w:pPr>
              <w:pStyle w:val="TableParagraph"/>
              <w:spacing w:line="240" w:lineRule="auto" w:before="96"/>
              <w:ind w:left="52" w:right="0"/>
              <w:jc w:val="center"/>
              <w:rPr>
                <w:rFonts w:ascii="Times New Roman" w:hAnsi="Times New Roman" w:cs="Times New Roman" w:eastAsia="Times New Roman" w:hint="default"/>
                <w:sz w:val="18"/>
                <w:szCs w:val="18"/>
              </w:rPr>
            </w:pPr>
            <w:r>
              <w:rPr>
                <w:rFonts w:ascii="Times New Roman"/>
                <w:spacing w:val="-2"/>
                <w:sz w:val="18"/>
              </w:rPr>
              <w:t>5,118,739.65</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75" w:right="0"/>
              <w:jc w:val="center"/>
              <w:rPr>
                <w:rFonts w:ascii="Times New Roman" w:hAnsi="Times New Roman" w:cs="Times New Roman" w:eastAsia="Times New Roman" w:hint="default"/>
                <w:sz w:val="18"/>
                <w:szCs w:val="18"/>
              </w:rPr>
            </w:pPr>
            <w:r>
              <w:rPr>
                <w:rFonts w:ascii="Times New Roman"/>
                <w:sz w:val="18"/>
              </w:rPr>
              <w:t>-4,744,322.2</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57" w:right="0"/>
              <w:jc w:val="center"/>
              <w:rPr>
                <w:rFonts w:ascii="Times New Roman" w:hAnsi="Times New Roman" w:cs="Times New Roman" w:eastAsia="Times New Roman" w:hint="default"/>
                <w:sz w:val="18"/>
                <w:szCs w:val="18"/>
              </w:rPr>
            </w:pPr>
            <w:r>
              <w:rPr>
                <w:rFonts w:ascii="Times New Roman"/>
                <w:spacing w:val="-2"/>
                <w:sz w:val="18"/>
              </w:rPr>
              <w:t>11,133,285.6</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75,513.76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Times New Roman" w:hAnsi="Times New Roman" w:cs="Times New Roman" w:eastAsia="Times New Roman" w:hint="default"/>
                <w:sz w:val="18"/>
                <w:szCs w:val="18"/>
              </w:rPr>
            </w:pPr>
            <w:r>
              <w:rPr>
                <w:rFonts w:ascii="Times New Roman"/>
                <w:spacing w:val="-1"/>
                <w:sz w:val="18"/>
              </w:rPr>
              <w:t>-1,977,621.9</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10" w:type="dxa"/>
        <w:tblLayout w:type="fixed"/>
        <w:tblCellMar>
          <w:top w:w="0" w:type="dxa"/>
          <w:left w:w="0" w:type="dxa"/>
          <w:bottom w:w="0" w:type="dxa"/>
          <w:right w:w="0" w:type="dxa"/>
        </w:tblCellMar>
        <w:tblLook w:val="01E0"/>
      </w:tblPr>
      <w:tblGrid>
        <w:gridCol w:w="1421"/>
        <w:gridCol w:w="850"/>
        <w:gridCol w:w="1172"/>
        <w:gridCol w:w="1042"/>
        <w:gridCol w:w="1047"/>
        <w:gridCol w:w="1047"/>
        <w:gridCol w:w="1047"/>
        <w:gridCol w:w="1042"/>
        <w:gridCol w:w="1046"/>
      </w:tblGrid>
      <w:tr>
        <w:trPr>
          <w:trHeight w:val="360" w:hRule="exact"/>
        </w:trPr>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sz w:val="18"/>
                <w:szCs w:val="18"/>
              </w:rPr>
              <w:t>统有限公司</w:t>
            </w:r>
          </w:p>
        </w:tc>
        <w:tc>
          <w:tcPr>
            <w:tcW w:w="850"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集成、服务等</w:t>
            </w:r>
          </w:p>
        </w:tc>
        <w:tc>
          <w:tcPr>
            <w:tcW w:w="1042" w:type="dxa"/>
            <w:tcBorders>
              <w:top w:val="single" w:sz="4" w:space="0" w:color="000000"/>
              <w:left w:val="single" w:sz="4" w:space="0" w:color="000000"/>
              <w:bottom w:val="single" w:sz="4" w:space="0" w:color="000000"/>
              <w:right w:val="single" w:sz="4" w:space="0" w:color="000000"/>
            </w:tcBorders>
          </w:tcPr>
          <w:p>
            <w:pPr/>
          </w:p>
        </w:tc>
        <w:tc>
          <w:tcPr>
            <w:tcW w:w="1047" w:type="dxa"/>
            <w:tcBorders>
              <w:top w:val="single" w:sz="4" w:space="0" w:color="000000"/>
              <w:left w:val="single" w:sz="4" w:space="0" w:color="000000"/>
              <w:bottom w:val="single" w:sz="4" w:space="0" w:color="000000"/>
              <w:right w:val="single" w:sz="4" w:space="0" w:color="000000"/>
            </w:tcBorders>
          </w:tcPr>
          <w:p>
            <w:pP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1042"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r>
      <w:tr>
        <w:trPr>
          <w:trHeight w:val="1028" w:hRule="exact"/>
        </w:trPr>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8" w:right="118"/>
              <w:jc w:val="both"/>
              <w:rPr>
                <w:rFonts w:ascii="宋体" w:hAnsi="宋体" w:cs="宋体" w:eastAsia="宋体" w:hint="default"/>
                <w:sz w:val="18"/>
                <w:szCs w:val="18"/>
              </w:rPr>
            </w:pPr>
            <w:r>
              <w:rPr>
                <w:rFonts w:ascii="宋体" w:hAnsi="宋体" w:cs="宋体" w:eastAsia="宋体" w:hint="default"/>
                <w:spacing w:val="-3"/>
                <w:sz w:val="18"/>
                <w:szCs w:val="18"/>
              </w:rPr>
              <w:t>北京星立方科技</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发展股份有限公</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教育信息化等</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91,112,300.0</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358,429,270.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54</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333,505,017.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34</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85,129,313.3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24,937,672.9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20,382,450.5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715" w:hRule="exact"/>
        </w:trPr>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8" w:right="118"/>
              <w:jc w:val="left"/>
              <w:rPr>
                <w:rFonts w:ascii="宋体" w:hAnsi="宋体" w:cs="宋体" w:eastAsia="宋体" w:hint="default"/>
                <w:sz w:val="18"/>
                <w:szCs w:val="18"/>
              </w:rPr>
            </w:pPr>
            <w:r>
              <w:rPr>
                <w:rFonts w:ascii="宋体" w:hAnsi="宋体" w:cs="宋体" w:eastAsia="宋体" w:hint="default"/>
                <w:spacing w:val="-3"/>
                <w:sz w:val="18"/>
                <w:szCs w:val="18"/>
              </w:rPr>
              <w:t>云南红岭云科技</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股份有限公司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智慧党建等</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30,000,000.0</w:t>
            </w:r>
          </w:p>
          <w:p>
            <w:pPr>
              <w:pStyle w:val="TableParagraph"/>
              <w:spacing w:line="240" w:lineRule="auto" w:before="110"/>
              <w:ind w:left="24"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93,984,721.4</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83,150,952.6</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72,730,777.0</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17,997,643.1</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15,164,157.1</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r>
      <w:tr>
        <w:trPr>
          <w:trHeight w:val="716" w:hRule="exact"/>
        </w:trPr>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3"/>
              <w:ind w:left="28" w:right="118"/>
              <w:jc w:val="left"/>
              <w:rPr>
                <w:rFonts w:ascii="宋体" w:hAnsi="宋体" w:cs="宋体" w:eastAsia="宋体" w:hint="default"/>
                <w:sz w:val="18"/>
                <w:szCs w:val="18"/>
              </w:rPr>
            </w:pPr>
            <w:r>
              <w:rPr>
                <w:rFonts w:ascii="宋体" w:hAnsi="宋体" w:cs="宋体" w:eastAsia="宋体" w:hint="default"/>
                <w:spacing w:val="-3"/>
                <w:sz w:val="18"/>
                <w:szCs w:val="18"/>
              </w:rPr>
              <w:t>北京南天新智慧</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科技有限公司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智慧城市等</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10,000,000.0</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10,042,682.0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1,502,529.11</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7,606,538.30</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-4,936,673.7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-4,936,673.7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r>
      <w:tr>
        <w:trPr>
          <w:trHeight w:val="710" w:hRule="exact"/>
        </w:trPr>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3"/>
              <w:ind w:left="28" w:right="118"/>
              <w:jc w:val="left"/>
              <w:rPr>
                <w:rFonts w:ascii="宋体" w:hAnsi="宋体" w:cs="宋体" w:eastAsia="宋体" w:hint="default"/>
                <w:sz w:val="18"/>
                <w:szCs w:val="18"/>
              </w:rPr>
            </w:pPr>
            <w:r>
              <w:rPr>
                <w:rFonts w:ascii="宋体" w:hAnsi="宋体" w:cs="宋体" w:eastAsia="宋体" w:hint="default"/>
                <w:spacing w:val="-3"/>
                <w:sz w:val="18"/>
                <w:szCs w:val="18"/>
              </w:rPr>
              <w:t>北京南天智联信</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息有限公司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智慧城市等</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5,000,000.00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69,920,766.5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12,799,217.5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86,898,691.7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7,852,543.76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7,820,946.03</w:t>
            </w:r>
          </w:p>
        </w:tc>
      </w:tr>
      <w:tr>
        <w:trPr>
          <w:trHeight w:val="715" w:hRule="exact"/>
        </w:trPr>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8" w:right="118"/>
              <w:jc w:val="left"/>
              <w:rPr>
                <w:rFonts w:ascii="宋体" w:hAnsi="宋体" w:cs="宋体" w:eastAsia="宋体" w:hint="default"/>
                <w:sz w:val="18"/>
                <w:szCs w:val="18"/>
              </w:rPr>
            </w:pPr>
            <w:r>
              <w:rPr>
                <w:rFonts w:ascii="宋体" w:hAnsi="宋体" w:cs="宋体" w:eastAsia="宋体" w:hint="default"/>
                <w:spacing w:val="-3"/>
                <w:sz w:val="18"/>
                <w:szCs w:val="18"/>
              </w:rPr>
              <w:t>广州市海捷计算</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机科技有限公司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51"/>
              <w:jc w:val="left"/>
              <w:rPr>
                <w:rFonts w:ascii="宋体" w:hAnsi="宋体" w:cs="宋体" w:eastAsia="宋体" w:hint="default"/>
                <w:sz w:val="18"/>
                <w:szCs w:val="18"/>
              </w:rPr>
            </w:pPr>
            <w:r>
              <w:rPr>
                <w:rFonts w:ascii="宋体" w:hAnsi="宋体" w:cs="宋体" w:eastAsia="宋体" w:hint="default"/>
                <w:spacing w:val="-2"/>
                <w:sz w:val="18"/>
                <w:szCs w:val="18"/>
              </w:rPr>
              <w:t>商业大数据应</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用</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6,000,000.00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21,427,829.4</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15,747,745.4</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1047"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8" w:right="118"/>
              <w:jc w:val="left"/>
              <w:rPr>
                <w:rFonts w:ascii="宋体" w:hAnsi="宋体" w:cs="宋体" w:eastAsia="宋体" w:hint="default"/>
                <w:sz w:val="18"/>
                <w:szCs w:val="18"/>
              </w:rPr>
            </w:pPr>
            <w:r>
              <w:rPr>
                <w:rFonts w:ascii="宋体" w:hAnsi="宋体" w:cs="宋体" w:eastAsia="宋体" w:hint="default"/>
                <w:spacing w:val="-3"/>
                <w:sz w:val="18"/>
                <w:szCs w:val="18"/>
              </w:rPr>
              <w:t>盈富泰克创业投</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资有限公司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参股公司</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投资管理等</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130,000,000.</w:t>
            </w:r>
          </w:p>
          <w:p>
            <w:pPr>
              <w:pStyle w:val="TableParagraph"/>
              <w:spacing w:line="240" w:lineRule="auto" w:before="110"/>
              <w:ind w:left="24" w:right="0"/>
              <w:jc w:val="left"/>
              <w:rPr>
                <w:rFonts w:ascii="Times New Roman" w:hAnsi="Times New Roman" w:cs="Times New Roman" w:eastAsia="Times New Roman" w:hint="default"/>
                <w:sz w:val="18"/>
                <w:szCs w:val="18"/>
              </w:rPr>
            </w:pPr>
            <w:r>
              <w:rPr>
                <w:rFonts w:ascii="Times New Roman"/>
                <w:sz w:val="18"/>
              </w:rPr>
              <w:t>00</w:t>
            </w:r>
          </w:p>
        </w:tc>
        <w:tc>
          <w:tcPr>
            <w:tcW w:w="1047" w:type="dxa"/>
            <w:tcBorders>
              <w:top w:val="single" w:sz="4" w:space="0" w:color="000000"/>
              <w:left w:val="single" w:sz="4" w:space="0" w:color="000000"/>
              <w:bottom w:val="single" w:sz="4" w:space="0" w:color="000000"/>
              <w:right w:val="single" w:sz="4" w:space="0" w:color="000000"/>
            </w:tcBorders>
          </w:tcPr>
          <w:p>
            <w:pPr/>
          </w:p>
        </w:tc>
        <w:tc>
          <w:tcPr>
            <w:tcW w:w="1047" w:type="dxa"/>
            <w:tcBorders>
              <w:top w:val="single" w:sz="4" w:space="0" w:color="000000"/>
              <w:left w:val="single" w:sz="4" w:space="0" w:color="000000"/>
              <w:bottom w:val="single" w:sz="4" w:space="0" w:color="000000"/>
              <w:right w:val="single" w:sz="4" w:space="0" w:color="000000"/>
            </w:tcBorders>
          </w:tcPr>
          <w:p>
            <w:pPr/>
          </w:p>
        </w:tc>
        <w:tc>
          <w:tcPr>
            <w:tcW w:w="1047"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3"/>
        <w:ind w:right="855"/>
        <w:jc w:val="left"/>
      </w:pPr>
      <w:r>
        <w:rPr>
          <w:spacing w:val="-3"/>
        </w:rPr>
        <w:t>报告期内取得和处置子公司的情况</w:t>
      </w:r>
    </w:p>
    <w:p>
      <w:pPr>
        <w:pStyle w:val="BodyText"/>
        <w:spacing w:line="240" w:lineRule="auto" w:before="115"/>
        <w:ind w:right="855"/>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1"/>
        </w:rPr>
        <w:t> </w:t>
      </w:r>
      <w:r>
        <w:rPr/>
        <w:t>不适用</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3"/>
      </w:tblGrid>
      <w:tr>
        <w:trPr>
          <w:trHeight w:val="40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31" w:right="0"/>
              <w:jc w:val="left"/>
              <w:rPr>
                <w:rFonts w:ascii="宋体" w:hAnsi="宋体" w:cs="宋体" w:eastAsia="宋体" w:hint="default"/>
                <w:sz w:val="18"/>
                <w:szCs w:val="18"/>
              </w:rPr>
            </w:pPr>
            <w:r>
              <w:rPr>
                <w:rFonts w:ascii="宋体" w:hAnsi="宋体" w:cs="宋体" w:eastAsia="宋体" w:hint="default"/>
                <w:spacing w:val="-3"/>
                <w:sz w:val="18"/>
                <w:szCs w:val="18"/>
              </w:rPr>
              <w:t>报告期内取得和处置子公司方式</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22" w:right="0"/>
              <w:jc w:val="left"/>
              <w:rPr>
                <w:rFonts w:ascii="宋体" w:hAnsi="宋体" w:cs="宋体" w:eastAsia="宋体" w:hint="default"/>
                <w:sz w:val="18"/>
                <w:szCs w:val="18"/>
              </w:rPr>
            </w:pPr>
            <w:r>
              <w:rPr>
                <w:rFonts w:ascii="宋体" w:hAnsi="宋体" w:cs="宋体" w:eastAsia="宋体" w:hint="default"/>
                <w:spacing w:val="-3"/>
                <w:sz w:val="18"/>
                <w:szCs w:val="18"/>
              </w:rPr>
              <w:t>对整体生产经营和业绩的影响</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广州市海捷计算机科技有限公司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报告期内增加投资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19,200,000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丰富大数据商业运用布局</w:t>
            </w:r>
          </w:p>
        </w:tc>
      </w:tr>
    </w:tbl>
    <w:p>
      <w:pPr>
        <w:pStyle w:val="BodyText"/>
        <w:spacing w:line="240" w:lineRule="auto" w:before="53"/>
        <w:ind w:right="855"/>
        <w:jc w:val="left"/>
      </w:pPr>
      <w:r>
        <w:rPr>
          <w:spacing w:val="-3"/>
        </w:rPr>
        <w:t>主要控股参股公司情况说明</w:t>
      </w:r>
    </w:p>
    <w:p>
      <w:pPr>
        <w:spacing w:line="240" w:lineRule="auto" w:before="9"/>
        <w:rPr>
          <w:rFonts w:ascii="宋体" w:hAnsi="宋体" w:cs="宋体" w:eastAsia="宋体" w:hint="default"/>
          <w:sz w:val="24"/>
          <w:szCs w:val="24"/>
        </w:rPr>
      </w:pPr>
    </w:p>
    <w:p>
      <w:pPr>
        <w:pStyle w:val="Heading2"/>
        <w:spacing w:line="240" w:lineRule="auto"/>
        <w:ind w:right="855"/>
        <w:jc w:val="left"/>
        <w:rPr>
          <w:b w:val="0"/>
          <w:bCs w:val="0"/>
        </w:rPr>
      </w:pPr>
      <w:r>
        <w:rPr/>
        <w:t>八、公司控制的结构化主体情况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855"/>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5"/>
        <w:rPr>
          <w:rFonts w:ascii="宋体" w:hAnsi="宋体" w:cs="宋体" w:eastAsia="宋体" w:hint="default"/>
          <w:sz w:val="24"/>
          <w:szCs w:val="24"/>
        </w:rPr>
      </w:pPr>
    </w:p>
    <w:p>
      <w:pPr>
        <w:pStyle w:val="Heading2"/>
        <w:spacing w:line="240" w:lineRule="auto"/>
        <w:ind w:right="855"/>
        <w:jc w:val="left"/>
        <w:rPr>
          <w:b w:val="0"/>
          <w:bCs w:val="0"/>
        </w:rPr>
      </w:pPr>
      <w:r>
        <w:rPr/>
        <w:t>九、公司未来发展的展望</w:t>
      </w:r>
      <w:r>
        <w:rPr>
          <w:b w:val="0"/>
          <w:bCs w:val="0"/>
        </w:rPr>
      </w:r>
    </w:p>
    <w:p>
      <w:pPr>
        <w:pStyle w:val="Heading6"/>
        <w:spacing w:line="430" w:lineRule="atLeast" w:before="160"/>
        <w:ind w:right="8070"/>
        <w:jc w:val="left"/>
        <w:rPr>
          <w:b w:val="0"/>
          <w:bCs w:val="0"/>
        </w:rPr>
      </w:pPr>
      <w:r>
        <w:rPr>
          <w:rFonts w:ascii="Times New Roman" w:hAnsi="Times New Roman" w:cs="Times New Roman" w:eastAsia="Times New Roman" w:hint="default"/>
          <w:spacing w:val="-2"/>
        </w:rPr>
        <w:t>(</w:t>
      </w:r>
      <w:r>
        <w:rPr>
          <w:spacing w:val="-2"/>
        </w:rPr>
        <w:t>一</w:t>
      </w:r>
      <w:r>
        <w:rPr>
          <w:rFonts w:ascii="Times New Roman" w:hAnsi="Times New Roman" w:cs="Times New Roman" w:eastAsia="Times New Roman" w:hint="default"/>
          <w:spacing w:val="-2"/>
        </w:rPr>
        <w:t>)</w:t>
      </w:r>
      <w:r>
        <w:rPr>
          <w:spacing w:val="-2"/>
        </w:rPr>
        <w:t>行业发展趋势</w:t>
      </w:r>
      <w:r>
        <w:rPr>
          <w:spacing w:val="-73"/>
        </w:rPr>
        <w:t> </w:t>
      </w:r>
      <w:r>
        <w:rPr>
          <w:spacing w:val="-73"/>
        </w:rPr>
      </w:r>
      <w:r>
        <w:rPr>
          <w:rFonts w:ascii="Times New Roman" w:hAnsi="Times New Roman" w:cs="Times New Roman" w:eastAsia="Times New Roman" w:hint="default"/>
        </w:rPr>
        <w:t>1</w:t>
      </w:r>
      <w:r>
        <w:rPr/>
        <w:t>、软件行业</w:t>
      </w:r>
      <w:r>
        <w:rPr>
          <w:b w:val="0"/>
          <w:bCs w:val="0"/>
        </w:rPr>
      </w:r>
    </w:p>
    <w:p>
      <w:pPr>
        <w:pStyle w:val="BodyText"/>
        <w:spacing w:line="309" w:lineRule="auto" w:before="63"/>
        <w:ind w:right="855" w:firstLine="360"/>
        <w:jc w:val="left"/>
      </w:pPr>
      <w:r>
        <w:rPr/>
        <w:t>随着新一代信息技术加速渗透到经济和社会生活的各个领域，</w:t>
      </w:r>
      <w:r>
        <w:rPr>
          <w:spacing w:val="21"/>
        </w:rPr>
        <w:t> </w:t>
      </w:r>
      <w:r>
        <w:rPr>
          <w:spacing w:val="-3"/>
        </w:rPr>
        <w:t>软件产业呈现出网络化、服务化、平台化、融合化新趋</w:t>
      </w:r>
      <w:r>
        <w:rPr>
          <w:w w:val="101"/>
        </w:rPr>
        <w:t> </w:t>
      </w:r>
      <w:r>
        <w:rPr>
          <w:spacing w:val="-4"/>
        </w:rPr>
        <w:t>势。目前，新一代信息技术正在转向软件主导，软件在信息产业中的贡献不断增加。《积极推进</w:t>
      </w:r>
      <w:r>
        <w:rPr>
          <w:rFonts w:ascii="Times New Roman" w:hAnsi="Times New Roman" w:cs="Times New Roman" w:eastAsia="Times New Roman" w:hint="default"/>
          <w:spacing w:val="-4"/>
        </w:rPr>
        <w:t>“</w:t>
      </w:r>
      <w:r>
        <w:rPr>
          <w:spacing w:val="-4"/>
        </w:rPr>
        <w:t>互联网</w:t>
      </w:r>
      <w:r>
        <w:rPr>
          <w:rFonts w:ascii="Times New Roman" w:hAnsi="Times New Roman" w:cs="Times New Roman" w:eastAsia="Times New Roman" w:hint="default"/>
          <w:spacing w:val="-4"/>
        </w:rPr>
        <w:t>+”</w:t>
      </w:r>
      <w:r>
        <w:rPr>
          <w:spacing w:val="-4"/>
        </w:rPr>
        <w:t>行动的指导意见》</w:t>
      </w:r>
      <w:r>
        <w:rPr>
          <w:spacing w:val="53"/>
        </w:rPr>
        <w:t> </w:t>
      </w:r>
      <w:r>
        <w:rPr>
          <w:spacing w:val="53"/>
        </w:rPr>
      </w:r>
      <w:r>
        <w:rPr>
          <w:spacing w:val="-4"/>
        </w:rPr>
        <w:t>和《加快推进网络信息技术自主创新》等国策的深入推进和落实，将会对产业变革产生深远影响，国民经济各个领域对软件</w:t>
      </w:r>
      <w:r>
        <w:rPr>
          <w:spacing w:val="40"/>
        </w:rPr>
        <w:t> </w:t>
      </w:r>
      <w:r>
        <w:rPr>
          <w:spacing w:val="40"/>
        </w:rPr>
      </w:r>
      <w:r>
        <w:rPr>
          <w:spacing w:val="-3"/>
        </w:rPr>
        <w:t>产业的需求将更加强劲。</w:t>
      </w:r>
      <w:r>
        <w:rPr>
          <w:rFonts w:ascii="Times New Roman" w:hAnsi="Times New Roman" w:cs="Times New Roman" w:eastAsia="Times New Roman" w:hint="default"/>
          <w:spacing w:val="-3"/>
        </w:rPr>
        <w:t>“</w:t>
      </w:r>
      <w:r>
        <w:rPr>
          <w:spacing w:val="-3"/>
        </w:rPr>
        <w:t>互联网</w:t>
      </w:r>
      <w:r>
        <w:rPr>
          <w:rFonts w:ascii="Times New Roman" w:hAnsi="Times New Roman" w:cs="Times New Roman" w:eastAsia="Times New Roman" w:hint="default"/>
          <w:spacing w:val="-3"/>
        </w:rPr>
        <w:t>+”</w:t>
      </w:r>
      <w:r>
        <w:rPr>
          <w:spacing w:val="-3"/>
        </w:rPr>
        <w:t>的发展以及国民经济各个领域对大数据、云计算、物联网和数据传输、获取、存储、信</w:t>
      </w:r>
      <w:r>
        <w:rPr>
          <w:spacing w:val="4"/>
        </w:rPr>
        <w:t> </w:t>
      </w:r>
      <w:r>
        <w:rPr>
          <w:spacing w:val="4"/>
        </w:rPr>
      </w:r>
      <w:r>
        <w:rPr>
          <w:spacing w:val="-3"/>
        </w:rPr>
        <w:t>息安全的巨大需求都建立在强大的基础信息平台之上，拥有强大的基础信息平台，</w:t>
      </w:r>
      <w:r>
        <w:rPr>
          <w:rFonts w:ascii="Times New Roman" w:hAnsi="Times New Roman" w:cs="Times New Roman" w:eastAsia="Times New Roman" w:hint="default"/>
          <w:spacing w:val="-3"/>
        </w:rPr>
        <w:t>“</w:t>
      </w:r>
      <w:r>
        <w:rPr>
          <w:spacing w:val="-3"/>
        </w:rPr>
        <w:t>互联网</w:t>
      </w:r>
      <w:r>
        <w:rPr>
          <w:rFonts w:ascii="Times New Roman" w:hAnsi="Times New Roman" w:cs="Times New Roman" w:eastAsia="Times New Roman" w:hint="default"/>
          <w:spacing w:val="-3"/>
        </w:rPr>
        <w:t>+”</w:t>
      </w:r>
      <w:r>
        <w:rPr>
          <w:spacing w:val="-3"/>
        </w:rPr>
        <w:t>的能量才能充分发挥出来。</w:t>
      </w:r>
    </w:p>
    <w:p>
      <w:pPr>
        <w:pStyle w:val="BodyText"/>
        <w:spacing w:line="307" w:lineRule="auto" w:before="5"/>
        <w:ind w:right="1122" w:firstLine="360"/>
        <w:jc w:val="both"/>
      </w:pPr>
      <w:r>
        <w:rPr>
          <w:spacing w:val="-4"/>
        </w:rPr>
        <w:t>伴随着</w:t>
      </w:r>
      <w:r>
        <w:rPr>
          <w:rFonts w:ascii="Times New Roman" w:hAnsi="Times New Roman" w:cs="Times New Roman" w:eastAsia="Times New Roman" w:hint="default"/>
          <w:spacing w:val="-4"/>
        </w:rPr>
        <w:t>“</w:t>
      </w:r>
      <w:r>
        <w:rPr>
          <w:spacing w:val="-4"/>
        </w:rPr>
        <w:t>信息技术应用创新</w:t>
      </w:r>
      <w:r>
        <w:rPr>
          <w:rFonts w:ascii="Times New Roman" w:hAnsi="Times New Roman" w:cs="Times New Roman" w:eastAsia="Times New Roman" w:hint="default"/>
          <w:spacing w:val="-4"/>
        </w:rPr>
        <w:t>”</w:t>
      </w:r>
      <w:r>
        <w:rPr>
          <w:spacing w:val="-4"/>
        </w:rPr>
        <w:t>，软件行业发展将迎来重大发展机遇，软件和信息技术服务的价值日益凸显，中国的软件和</w:t>
      </w:r>
      <w:r>
        <w:rPr>
          <w:w w:val="101"/>
        </w:rPr>
        <w:t> </w:t>
      </w:r>
      <w:r>
        <w:rPr>
          <w:spacing w:val="-4"/>
        </w:rPr>
        <w:t>信息技术服务业将呈现加速发展的态势。根据工业和信息化部和国家发展与改革委员会发布的《扩大和升级信息消费三年行</w:t>
      </w:r>
      <w:r>
        <w:rPr>
          <w:spacing w:val="42"/>
        </w:rPr>
        <w:t> </w:t>
      </w:r>
      <w:r>
        <w:rPr>
          <w:spacing w:val="42"/>
        </w:rPr>
      </w:r>
      <w:r>
        <w:rPr>
          <w:spacing w:val="-2"/>
        </w:rPr>
        <w:t>动计划（</w:t>
      </w:r>
      <w:r>
        <w:rPr>
          <w:rFonts w:ascii="Times New Roman" w:hAnsi="Times New Roman" w:cs="Times New Roman" w:eastAsia="Times New Roman" w:hint="default"/>
          <w:spacing w:val="-2"/>
        </w:rPr>
        <w:t>2018</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2"/>
        </w:rPr>
        <w:t>2020</w:t>
      </w:r>
      <w:r>
        <w:rPr>
          <w:spacing w:val="-2"/>
        </w:rPr>
        <w:t>年）》，到</w:t>
      </w:r>
      <w:r>
        <w:rPr>
          <w:rFonts w:ascii="Times New Roman" w:hAnsi="Times New Roman" w:cs="Times New Roman" w:eastAsia="Times New Roman" w:hint="default"/>
          <w:spacing w:val="-2"/>
        </w:rPr>
        <w:t>2020</w:t>
      </w:r>
      <w:r>
        <w:rPr>
          <w:spacing w:val="-2"/>
        </w:rPr>
        <w:t>年，我国信息消费规模将达</w:t>
      </w:r>
      <w:r>
        <w:rPr>
          <w:rFonts w:ascii="Times New Roman" w:hAnsi="Times New Roman" w:cs="Times New Roman" w:eastAsia="Times New Roman" w:hint="default"/>
          <w:spacing w:val="-2"/>
        </w:rPr>
        <w:t>6</w:t>
      </w:r>
      <w:r>
        <w:rPr>
          <w:spacing w:val="-2"/>
        </w:rPr>
        <w:t>万亿元，年均增长</w:t>
      </w:r>
      <w:r>
        <w:rPr>
          <w:rFonts w:ascii="Times New Roman" w:hAnsi="Times New Roman" w:cs="Times New Roman" w:eastAsia="Times New Roman" w:hint="default"/>
          <w:spacing w:val="-2"/>
        </w:rPr>
        <w:t>11%</w:t>
      </w:r>
      <w:r>
        <w:rPr>
          <w:spacing w:val="-2"/>
        </w:rPr>
        <w:t>以上，信息技术拉动相关领域产出</w:t>
      </w:r>
      <w:r>
        <w:rPr>
          <w:spacing w:val="70"/>
        </w:rPr>
        <w:t> </w:t>
      </w:r>
      <w:r>
        <w:rPr>
          <w:spacing w:val="70"/>
        </w:rPr>
      </w:r>
      <w:r>
        <w:rPr/>
        <w:t>达到</w:t>
      </w:r>
      <w:r>
        <w:rPr>
          <w:rFonts w:ascii="Times New Roman" w:hAnsi="Times New Roman" w:cs="Times New Roman" w:eastAsia="Times New Roman" w:hint="default"/>
        </w:rPr>
        <w:t>15</w:t>
      </w:r>
      <w:r>
        <w:rPr/>
        <w:t>万亿。</w:t>
      </w:r>
    </w:p>
    <w:p>
      <w:pPr>
        <w:pStyle w:val="BodyText"/>
        <w:spacing w:line="300" w:lineRule="auto" w:before="7"/>
        <w:ind w:left="513" w:right="855"/>
        <w:jc w:val="left"/>
      </w:pPr>
      <w:r>
        <w:rPr>
          <w:rFonts w:ascii="Times New Roman" w:hAnsi="Times New Roman" w:cs="Times New Roman" w:eastAsia="Times New Roman" w:hint="default"/>
          <w:b/>
          <w:bCs/>
        </w:rPr>
        <w:t>2</w:t>
      </w:r>
      <w:r>
        <w:rPr>
          <w:rFonts w:ascii="宋体" w:hAnsi="宋体" w:cs="宋体" w:eastAsia="宋体" w:hint="default"/>
          <w:b/>
          <w:bCs/>
        </w:rPr>
        <w:t>、金融科技</w:t>
      </w:r>
      <w:r>
        <w:rPr>
          <w:rFonts w:ascii="宋体" w:hAnsi="宋体" w:cs="宋体" w:eastAsia="宋体" w:hint="default"/>
          <w:b/>
          <w:bCs/>
          <w:spacing w:val="-87"/>
        </w:rPr>
        <w:t> </w:t>
      </w:r>
      <w:r>
        <w:rPr>
          <w:spacing w:val="-5"/>
        </w:rPr>
        <w:t>近年来，全球金融科技领域的融资持续升温，金融科技产业规模迅速增长，以人工智能、大数据、互联技术、分布式技</w:t>
      </w:r>
    </w:p>
    <w:p>
      <w:pPr>
        <w:pStyle w:val="BodyText"/>
        <w:spacing w:line="316" w:lineRule="auto" w:before="31"/>
        <w:ind w:right="855"/>
        <w:jc w:val="left"/>
      </w:pPr>
      <w:r>
        <w:rPr>
          <w:spacing w:val="-4"/>
        </w:rPr>
        <w:t>术和安全技术等底层关键技术在金融领域的应用日益深化。国家陆续发布了一系列产业政策，对金融科技的技术研发和产业</w:t>
      </w:r>
      <w:r>
        <w:rPr>
          <w:spacing w:val="42"/>
        </w:rPr>
        <w:t> </w:t>
      </w:r>
      <w:r>
        <w:rPr>
          <w:spacing w:val="42"/>
        </w:rPr>
      </w:r>
      <w:r>
        <w:rPr>
          <w:spacing w:val="-4"/>
        </w:rPr>
        <w:t>升级有较大的促进作用，如中央全面深化改革委员会《关于促进人工智能和实体经济深度融合的指导意见》，中央人民银行</w:t>
      </w:r>
    </w:p>
    <w:p>
      <w:pPr>
        <w:spacing w:after="0" w:line="316" w:lineRule="auto"/>
        <w:jc w:val="left"/>
        <w:sectPr>
          <w:pgSz w:w="11910" w:h="16840"/>
          <w:pgMar w:header="746" w:footer="974" w:top="1060" w:bottom="1160" w:left="980" w:right="0"/>
        </w:sectPr>
      </w:pPr>
    </w:p>
    <w:p>
      <w:pPr>
        <w:spacing w:line="240" w:lineRule="auto" w:before="9"/>
        <w:rPr>
          <w:rFonts w:ascii="宋体" w:hAnsi="宋体" w:cs="宋体" w:eastAsia="宋体" w:hint="default"/>
          <w:sz w:val="25"/>
          <w:szCs w:val="25"/>
        </w:rPr>
      </w:pPr>
    </w:p>
    <w:p>
      <w:pPr>
        <w:pStyle w:val="BodyText"/>
        <w:spacing w:line="300" w:lineRule="auto" w:before="46"/>
        <w:ind w:right="855"/>
        <w:jc w:val="left"/>
      </w:pPr>
      <w:r>
        <w:rPr>
          <w:spacing w:val="-4"/>
        </w:rPr>
        <w:t>《金融科技（</w:t>
      </w:r>
      <w:r>
        <w:rPr>
          <w:rFonts w:ascii="Times New Roman" w:hAnsi="Times New Roman" w:cs="Times New Roman" w:eastAsia="Times New Roman" w:hint="default"/>
          <w:spacing w:val="-4"/>
        </w:rPr>
        <w:t>FinTech)</w:t>
      </w:r>
      <w:r>
        <w:rPr>
          <w:spacing w:val="-4"/>
        </w:rPr>
        <w:t>发展规划（</w:t>
      </w:r>
      <w:r>
        <w:rPr>
          <w:rFonts w:ascii="Times New Roman" w:hAnsi="Times New Roman" w:cs="Times New Roman" w:eastAsia="Times New Roman" w:hint="default"/>
          <w:spacing w:val="-4"/>
        </w:rPr>
        <w:t>2019-2021</w:t>
      </w:r>
      <w:r>
        <w:rPr>
          <w:spacing w:val="-4"/>
        </w:rPr>
        <w:t>年）》等的颁布，给金融科技行业发展带来新的机遇，以大数据、区块链、人工</w:t>
      </w:r>
      <w:r>
        <w:rPr>
          <w:spacing w:val="72"/>
        </w:rPr>
        <w:t> </w:t>
      </w:r>
      <w:r>
        <w:rPr>
          <w:spacing w:val="72"/>
        </w:rPr>
      </w:r>
      <w:r>
        <w:rPr>
          <w:spacing w:val="-3"/>
        </w:rPr>
        <w:t>智能为代表的金融科技将推动金融的智慧化。</w:t>
      </w:r>
    </w:p>
    <w:p>
      <w:pPr>
        <w:pStyle w:val="BodyText"/>
        <w:spacing w:line="300" w:lineRule="auto" w:before="31"/>
        <w:ind w:right="1122" w:firstLine="360"/>
        <w:jc w:val="both"/>
      </w:pPr>
      <w:r>
        <w:rPr>
          <w:spacing w:val="-2"/>
        </w:rPr>
        <w:t>据赛迪顾问资料显示，未来三年，随着</w:t>
      </w:r>
      <w:r>
        <w:rPr>
          <w:rFonts w:ascii="Times New Roman" w:hAnsi="Times New Roman" w:cs="Times New Roman" w:eastAsia="Times New Roman" w:hint="default"/>
          <w:spacing w:val="-2"/>
        </w:rPr>
        <w:t>“</w:t>
      </w:r>
      <w:r>
        <w:rPr>
          <w:spacing w:val="-2"/>
        </w:rPr>
        <w:t>互联网</w:t>
      </w:r>
      <w:r>
        <w:rPr>
          <w:rFonts w:ascii="Times New Roman" w:hAnsi="Times New Roman" w:cs="Times New Roman" w:eastAsia="Times New Roman" w:hint="default"/>
          <w:spacing w:val="-2"/>
        </w:rPr>
        <w:t>+”</w:t>
      </w:r>
      <w:r>
        <w:rPr>
          <w:spacing w:val="-2"/>
        </w:rPr>
        <w:t>战略的实施，云计算、大数据、区块链、人工智能等新兴技术及应用</w:t>
      </w:r>
      <w:r>
        <w:rPr>
          <w:w w:val="101"/>
        </w:rPr>
        <w:t> </w:t>
      </w:r>
      <w:r>
        <w:rPr>
          <w:spacing w:val="-4"/>
        </w:rPr>
        <w:t>逐步走向成熟与落地以及业界对关键信息基础设施安全的重视，金融行业用户对</w:t>
      </w:r>
      <w:r>
        <w:rPr>
          <w:rFonts w:ascii="Times New Roman" w:hAnsi="Times New Roman" w:cs="Times New Roman" w:eastAsia="Times New Roman" w:hint="default"/>
          <w:spacing w:val="-4"/>
        </w:rPr>
        <w:t>IT</w:t>
      </w:r>
      <w:r>
        <w:rPr>
          <w:spacing w:val="-4"/>
        </w:rPr>
        <w:t>应用的投资将继续增长，</w:t>
      </w:r>
      <w:r>
        <w:rPr>
          <w:rFonts w:ascii="Times New Roman" w:hAnsi="Times New Roman" w:cs="Times New Roman" w:eastAsia="Times New Roman" w:hint="default"/>
          <w:spacing w:val="-4"/>
        </w:rPr>
        <w:t>2019</w:t>
      </w:r>
      <w:r>
        <w:rPr>
          <w:spacing w:val="-4"/>
        </w:rPr>
        <w:t>年中国金融</w:t>
      </w:r>
      <w:r>
        <w:rPr>
          <w:spacing w:val="60"/>
        </w:rPr>
        <w:t> </w:t>
      </w:r>
      <w:r>
        <w:rPr>
          <w:spacing w:val="60"/>
        </w:rPr>
      </w:r>
      <w:r>
        <w:rPr>
          <w:spacing w:val="-3"/>
        </w:rPr>
        <w:t>业</w:t>
      </w:r>
      <w:r>
        <w:rPr>
          <w:rFonts w:ascii="Times New Roman" w:hAnsi="Times New Roman" w:cs="Times New Roman" w:eastAsia="Times New Roman" w:hint="default"/>
          <w:spacing w:val="-3"/>
        </w:rPr>
        <w:t>IT</w:t>
      </w:r>
      <w:r>
        <w:rPr>
          <w:spacing w:val="-3"/>
        </w:rPr>
        <w:t>应用市场的规模将会达到</w:t>
      </w:r>
      <w:r>
        <w:rPr>
          <w:rFonts w:ascii="Times New Roman" w:hAnsi="Times New Roman" w:cs="Times New Roman" w:eastAsia="Times New Roman" w:hint="default"/>
          <w:spacing w:val="-3"/>
        </w:rPr>
        <w:t>7%</w:t>
      </w:r>
      <w:r>
        <w:rPr>
          <w:spacing w:val="-3"/>
        </w:rPr>
        <w:t>，未来三年的年复合增长将在</w:t>
      </w:r>
      <w:r>
        <w:rPr>
          <w:rFonts w:ascii="Times New Roman" w:hAnsi="Times New Roman" w:cs="Times New Roman" w:eastAsia="Times New Roman" w:hint="default"/>
          <w:spacing w:val="-3"/>
        </w:rPr>
        <w:t>7.1%</w:t>
      </w:r>
      <w:r>
        <w:rPr>
          <w:spacing w:val="-3"/>
        </w:rPr>
        <w:t>，到</w:t>
      </w:r>
      <w:r>
        <w:rPr>
          <w:rFonts w:ascii="Times New Roman" w:hAnsi="Times New Roman" w:cs="Times New Roman" w:eastAsia="Times New Roman" w:hint="default"/>
          <w:spacing w:val="-3"/>
        </w:rPr>
        <w:t>2021</w:t>
      </w:r>
      <w:r>
        <w:rPr>
          <w:spacing w:val="-3"/>
        </w:rPr>
        <w:t>年市场规模将达到</w:t>
      </w:r>
      <w:r>
        <w:rPr>
          <w:rFonts w:ascii="Times New Roman" w:hAnsi="Times New Roman" w:cs="Times New Roman" w:eastAsia="Times New Roman" w:hint="default"/>
          <w:spacing w:val="-3"/>
        </w:rPr>
        <w:t>1757.2</w:t>
      </w:r>
      <w:r>
        <w:rPr>
          <w:spacing w:val="-3"/>
        </w:rPr>
        <w:t>亿元。</w:t>
      </w:r>
    </w:p>
    <w:p>
      <w:pPr>
        <w:pStyle w:val="BodyText"/>
        <w:spacing w:line="300" w:lineRule="auto" w:before="13"/>
        <w:ind w:left="513" w:right="855"/>
        <w:jc w:val="left"/>
      </w:pPr>
      <w:r>
        <w:rPr>
          <w:rFonts w:ascii="Times New Roman" w:hAnsi="Times New Roman" w:cs="Times New Roman" w:eastAsia="Times New Roman" w:hint="default"/>
          <w:b/>
          <w:bCs/>
        </w:rPr>
        <w:t>3</w:t>
      </w:r>
      <w:r>
        <w:rPr>
          <w:rFonts w:ascii="宋体" w:hAnsi="宋体" w:cs="宋体" w:eastAsia="宋体" w:hint="default"/>
          <w:b/>
          <w:bCs/>
        </w:rPr>
        <w:t>、数字化服务</w:t>
      </w:r>
      <w:r>
        <w:rPr>
          <w:rFonts w:ascii="宋体" w:hAnsi="宋体" w:cs="宋体" w:eastAsia="宋体" w:hint="default"/>
          <w:b/>
          <w:bCs/>
          <w:spacing w:val="-85"/>
        </w:rPr>
        <w:t> </w:t>
      </w:r>
      <w:r>
        <w:rPr>
          <w:spacing w:val="-5"/>
        </w:rPr>
        <w:t>全国网络安全和信息化工作会议上，习近平总书记强调，要发展数字经济，加快推动数字产业化，依靠信息技术创新驱</w:t>
      </w:r>
    </w:p>
    <w:p>
      <w:pPr>
        <w:pStyle w:val="BodyText"/>
        <w:spacing w:line="319" w:lineRule="auto" w:before="31"/>
        <w:ind w:right="855"/>
        <w:jc w:val="left"/>
      </w:pPr>
      <w:r>
        <w:rPr>
          <w:spacing w:val="-6"/>
        </w:rPr>
        <w:t>动，不断催生新产业、新业态、新模式，用新动能推动新发展。数字化不仅能扩展新的经济发展空间，促进经济可持续发展，</w:t>
      </w:r>
      <w:r>
        <w:rPr>
          <w:spacing w:val="68"/>
        </w:rPr>
        <w:t> </w:t>
      </w:r>
      <w:r>
        <w:rPr>
          <w:spacing w:val="68"/>
        </w:rPr>
      </w:r>
      <w:r>
        <w:rPr>
          <w:spacing w:val="-3"/>
        </w:rPr>
        <w:t>而且能推动传统产业转型升级，促进整个社会转型发展，以数字化、智能化赋能企业，是促进企业数字化转型的重要途径。</w:t>
      </w:r>
    </w:p>
    <w:p>
      <w:pPr>
        <w:pStyle w:val="BodyText"/>
        <w:spacing w:line="300" w:lineRule="auto" w:before="17"/>
        <w:ind w:right="1123" w:firstLine="360"/>
        <w:jc w:val="both"/>
      </w:pPr>
      <w:r>
        <w:rPr>
          <w:rFonts w:ascii="Times New Roman" w:hAnsi="Times New Roman" w:cs="Times New Roman" w:eastAsia="Times New Roman" w:hint="default"/>
          <w:spacing w:val="-3"/>
        </w:rPr>
        <w:t>IDC</w:t>
      </w:r>
      <w:r>
        <w:rPr>
          <w:spacing w:val="-3"/>
        </w:rPr>
        <w:t>相关资料显示，到</w:t>
      </w:r>
      <w:r>
        <w:rPr>
          <w:rFonts w:ascii="Times New Roman" w:hAnsi="Times New Roman" w:cs="Times New Roman" w:eastAsia="Times New Roman" w:hint="default"/>
          <w:spacing w:val="-3"/>
        </w:rPr>
        <w:t>2021</w:t>
      </w:r>
      <w:r>
        <w:rPr>
          <w:spacing w:val="-3"/>
        </w:rPr>
        <w:t>年，全球至少</w:t>
      </w:r>
      <w:r>
        <w:rPr>
          <w:rFonts w:ascii="Times New Roman" w:hAnsi="Times New Roman" w:cs="Times New Roman" w:eastAsia="Times New Roman" w:hint="default"/>
          <w:spacing w:val="-3"/>
        </w:rPr>
        <w:t>50%</w:t>
      </w:r>
      <w:r>
        <w:rPr>
          <w:spacing w:val="-3"/>
        </w:rPr>
        <w:t>的</w:t>
      </w:r>
      <w:r>
        <w:rPr>
          <w:rFonts w:ascii="Times New Roman" w:hAnsi="Times New Roman" w:cs="Times New Roman" w:eastAsia="Times New Roman" w:hint="default"/>
          <w:spacing w:val="-3"/>
        </w:rPr>
        <w:t>GDP</w:t>
      </w:r>
      <w:r>
        <w:rPr>
          <w:spacing w:val="-3"/>
        </w:rPr>
        <w:t>将以数字化的方式实现，数字技术将全面渗透各个行业，并实现跨</w:t>
      </w:r>
      <w:r>
        <w:rPr>
          <w:w w:val="101"/>
        </w:rPr>
        <w:t> </w:t>
      </w:r>
      <w:r>
        <w:rPr>
          <w:spacing w:val="-3"/>
        </w:rPr>
        <w:t>界融合和倍增创新。同时，</w:t>
      </w:r>
      <w:r>
        <w:rPr>
          <w:rFonts w:ascii="Times New Roman" w:hAnsi="Times New Roman" w:cs="Times New Roman" w:eastAsia="Times New Roman" w:hint="default"/>
          <w:spacing w:val="-3"/>
        </w:rPr>
        <w:t>IDC</w:t>
      </w:r>
      <w:r>
        <w:rPr>
          <w:spacing w:val="-3"/>
        </w:rPr>
        <w:t>认为，数字经济的发展需要通过数字化知识和技术进行社会生产力的重塑，其核心是各行业</w:t>
      </w:r>
      <w:r>
        <w:rPr>
          <w:spacing w:val="41"/>
        </w:rPr>
        <w:t> </w:t>
      </w:r>
      <w:r>
        <w:rPr>
          <w:spacing w:val="41"/>
        </w:rPr>
      </w:r>
      <w:r>
        <w:rPr>
          <w:spacing w:val="-3"/>
        </w:rPr>
        <w:t>企业通过数字化成为</w:t>
      </w:r>
      <w:r>
        <w:rPr>
          <w:rFonts w:ascii="Times New Roman" w:hAnsi="Times New Roman" w:cs="Times New Roman" w:eastAsia="Times New Roman" w:hint="default"/>
          <w:spacing w:val="-3"/>
        </w:rPr>
        <w:t>“</w:t>
      </w:r>
      <w:r>
        <w:rPr>
          <w:spacing w:val="-3"/>
        </w:rPr>
        <w:t>数字化原生企业</w:t>
      </w:r>
      <w:r>
        <w:rPr>
          <w:rFonts w:ascii="Times New Roman" w:hAnsi="Times New Roman" w:cs="Times New Roman" w:eastAsia="Times New Roman" w:hint="default"/>
          <w:spacing w:val="-3"/>
        </w:rPr>
        <w:t>”</w:t>
      </w:r>
      <w:r>
        <w:rPr>
          <w:spacing w:val="-3"/>
        </w:rPr>
        <w:t>，从而获取并强化竞争优势。</w:t>
      </w:r>
    </w:p>
    <w:p>
      <w:pPr>
        <w:pStyle w:val="BodyText"/>
        <w:spacing w:line="316" w:lineRule="auto" w:before="13"/>
        <w:ind w:right="1035" w:firstLine="360"/>
        <w:jc w:val="both"/>
      </w:pPr>
      <w:r>
        <w:rPr>
          <w:spacing w:val="-5"/>
        </w:rPr>
        <w:t>南天信息作为专业的数字化服务提供商，数字化服务的创领着，战略聚焦数字化发展，保持金融科技的领先能力，深入</w:t>
      </w:r>
      <w:r>
        <w:rPr>
          <w:w w:val="101"/>
        </w:rPr>
        <w:t> </w:t>
      </w:r>
      <w:r>
        <w:rPr>
          <w:spacing w:val="-5"/>
          <w:w w:val="101"/>
        </w:rPr>
        <w:t>挖掘金融科技与产业渗透的能力，致力于为客户提供贯穿其</w:t>
      </w:r>
      <w:r>
        <w:rPr>
          <w:rFonts w:ascii="Times New Roman" w:hAnsi="Times New Roman" w:cs="Times New Roman" w:eastAsia="Times New Roman" w:hint="default"/>
          <w:spacing w:val="-5"/>
          <w:w w:val="101"/>
        </w:rPr>
        <w:t>IT</w:t>
      </w:r>
      <w:r>
        <w:rPr>
          <w:spacing w:val="-5"/>
          <w:w w:val="101"/>
        </w:rPr>
        <w:t>建设全生命周期的</w:t>
      </w:r>
      <w:r>
        <w:rPr>
          <w:rFonts w:ascii="Times New Roman" w:hAnsi="Times New Roman" w:cs="Times New Roman" w:eastAsia="Times New Roman" w:hint="default"/>
          <w:spacing w:val="-5"/>
          <w:w w:val="101"/>
        </w:rPr>
        <w:t>“</w:t>
      </w:r>
      <w:r>
        <w:rPr>
          <w:spacing w:val="-5"/>
          <w:w w:val="101"/>
        </w:rPr>
        <w:t>一站式</w:t>
      </w:r>
      <w:r>
        <w:rPr>
          <w:rFonts w:ascii="Times New Roman" w:hAnsi="Times New Roman" w:cs="Times New Roman" w:eastAsia="Times New Roman" w:hint="default"/>
          <w:spacing w:val="-5"/>
          <w:w w:val="101"/>
        </w:rPr>
        <w:t>”</w:t>
      </w:r>
      <w:r>
        <w:rPr>
          <w:spacing w:val="-5"/>
          <w:w w:val="101"/>
        </w:rPr>
        <w:t>数字化服务，赋能客户转型与升级。</w:t>
      </w:r>
      <w:r>
        <w:rPr>
          <w:spacing w:val="-5"/>
        </w:rPr>
      </w:r>
    </w:p>
    <w:p>
      <w:pPr>
        <w:pStyle w:val="Heading6"/>
        <w:spacing w:line="240" w:lineRule="auto" w:before="119"/>
        <w:ind w:right="855"/>
        <w:jc w:val="left"/>
        <w:rPr>
          <w:b w:val="0"/>
          <w:bCs w:val="0"/>
        </w:rPr>
      </w:pPr>
      <w:r>
        <w:rPr/>
        <w:t>（二）公司战略规划</w:t>
      </w:r>
      <w:r>
        <w:rPr>
          <w:b w:val="0"/>
          <w:bCs w:val="0"/>
        </w:rPr>
      </w:r>
    </w:p>
    <w:p>
      <w:pPr>
        <w:spacing w:line="240" w:lineRule="auto" w:before="0"/>
        <w:rPr>
          <w:rFonts w:ascii="宋体" w:hAnsi="宋体" w:cs="宋体" w:eastAsia="宋体" w:hint="default"/>
          <w:b/>
          <w:bCs/>
          <w:sz w:val="15"/>
          <w:szCs w:val="15"/>
        </w:rPr>
      </w:pPr>
    </w:p>
    <w:p>
      <w:pPr>
        <w:pStyle w:val="BodyText"/>
        <w:spacing w:line="312" w:lineRule="auto"/>
        <w:ind w:right="855" w:firstLine="360"/>
        <w:jc w:val="left"/>
      </w:pPr>
      <w:r>
        <w:rPr>
          <w:spacing w:val="-4"/>
        </w:rPr>
        <w:t>南天信息在继续巩固金融信息化优势的同时，紧紧抓住国家推进信息安全、大力发展云南省信息技术、建设面向南亚东</w:t>
      </w:r>
      <w:r>
        <w:rPr>
          <w:w w:val="101"/>
        </w:rPr>
        <w:t> </w:t>
      </w:r>
      <w:r>
        <w:rPr>
          <w:spacing w:val="-4"/>
        </w:rPr>
        <w:t>南亚辐射中心战略的重大机遇，以</w:t>
      </w:r>
      <w:r>
        <w:rPr>
          <w:rFonts w:ascii="Times New Roman" w:hAnsi="Times New Roman" w:cs="Times New Roman" w:eastAsia="Times New Roman" w:hint="default"/>
          <w:spacing w:val="-4"/>
        </w:rPr>
        <w:t>“</w:t>
      </w:r>
      <w:r>
        <w:rPr>
          <w:spacing w:val="-4"/>
        </w:rPr>
        <w:t>产品服务化，服务产品化</w:t>
      </w:r>
      <w:r>
        <w:rPr>
          <w:rFonts w:ascii="Times New Roman" w:hAnsi="Times New Roman" w:cs="Times New Roman" w:eastAsia="Times New Roman" w:hint="default"/>
          <w:spacing w:val="-4"/>
        </w:rPr>
        <w:t>”</w:t>
      </w:r>
      <w:r>
        <w:rPr>
          <w:spacing w:val="-4"/>
        </w:rPr>
        <w:t>为理念，加大金融信息化研发投入力度，积极将新技术应用于</w:t>
      </w:r>
      <w:r>
        <w:rPr>
          <w:spacing w:val="64"/>
        </w:rPr>
        <w:t> </w:t>
      </w:r>
      <w:r>
        <w:rPr>
          <w:spacing w:val="64"/>
        </w:rPr>
      </w:r>
      <w:r>
        <w:rPr>
          <w:spacing w:val="-6"/>
        </w:rPr>
        <w:t>信息技术应用创新的发展，结合公司金融行业客户信息化建设需求的基础上，将金融科技、物联网、产业互联网、数字政务、</w:t>
      </w:r>
      <w:r>
        <w:rPr>
          <w:spacing w:val="62"/>
        </w:rPr>
        <w:t> </w:t>
      </w:r>
      <w:r>
        <w:rPr>
          <w:spacing w:val="62"/>
        </w:rPr>
      </w:r>
      <w:r>
        <w:rPr>
          <w:spacing w:val="-3"/>
        </w:rPr>
        <w:t>数字医疗、数字教育结合为产业经济服务，打造自身数字化服务能力优势。</w:t>
      </w:r>
    </w:p>
    <w:p>
      <w:pPr>
        <w:pStyle w:val="BodyText"/>
        <w:spacing w:line="307" w:lineRule="auto" w:before="61"/>
        <w:ind w:right="1122" w:firstLine="360"/>
        <w:jc w:val="both"/>
      </w:pPr>
      <w:r>
        <w:rPr>
          <w:spacing w:val="-2"/>
        </w:rPr>
        <w:t>依托公司多年的金融</w:t>
      </w:r>
      <w:r>
        <w:rPr>
          <w:rFonts w:ascii="Times New Roman" w:hAnsi="Times New Roman" w:cs="Times New Roman" w:eastAsia="Times New Roman" w:hint="default"/>
          <w:spacing w:val="-2"/>
        </w:rPr>
        <w:t>IT</w:t>
      </w:r>
      <w:r>
        <w:rPr>
          <w:spacing w:val="-2"/>
        </w:rPr>
        <w:t>专业服务业务优势和人才资源，重点在云计算数据中心建设、分布式云平台</w:t>
      </w:r>
      <w:r>
        <w:rPr>
          <w:rFonts w:ascii="Times New Roman" w:hAnsi="Times New Roman" w:cs="Times New Roman" w:eastAsia="Times New Roman" w:hint="default"/>
          <w:spacing w:val="-2"/>
        </w:rPr>
        <w:t>/</w:t>
      </w:r>
      <w:r>
        <w:rPr>
          <w:spacing w:val="-2"/>
        </w:rPr>
        <w:t>云核心建设、大数</w:t>
      </w:r>
      <w:r>
        <w:rPr>
          <w:w w:val="101"/>
        </w:rPr>
        <w:t> </w:t>
      </w:r>
      <w:r>
        <w:rPr>
          <w:spacing w:val="-2"/>
        </w:rPr>
        <w:t>据应用平台</w:t>
      </w:r>
      <w:r>
        <w:rPr>
          <w:rFonts w:ascii="Times New Roman" w:hAnsi="Times New Roman" w:cs="Times New Roman" w:eastAsia="Times New Roman" w:hint="default"/>
          <w:spacing w:val="-2"/>
        </w:rPr>
        <w:t>/</w:t>
      </w:r>
      <w:r>
        <w:rPr>
          <w:spacing w:val="-2"/>
        </w:rPr>
        <w:t>场景建设、计算机视觉和生物识别平台、电子渠道应用平台、新一代智慧网点等六大领域开展技术创新和应用</w:t>
      </w:r>
      <w:r>
        <w:rPr>
          <w:spacing w:val="63"/>
        </w:rPr>
        <w:t> </w:t>
      </w:r>
      <w:r>
        <w:rPr>
          <w:spacing w:val="63"/>
        </w:rPr>
      </w:r>
      <w:r>
        <w:rPr>
          <w:spacing w:val="-4"/>
        </w:rPr>
        <w:t>创新，形成业务处理智能化、渠道交互智能化、系统运维智能化等三大创新能力；同时公司也正着力于信创和价值互联网两</w:t>
      </w:r>
      <w:r>
        <w:rPr>
          <w:spacing w:val="40"/>
        </w:rPr>
        <w:t> </w:t>
      </w:r>
      <w:r>
        <w:rPr>
          <w:spacing w:val="40"/>
        </w:rPr>
      </w:r>
      <w:r>
        <w:rPr>
          <w:spacing w:val="-3"/>
        </w:rPr>
        <w:t>大方向的研究和投入，包括进行全栈式国产化技术应用、区块链技术、物联网技术以及相关应用场景的研究和生产实践。</w:t>
      </w:r>
    </w:p>
    <w:p>
      <w:pPr>
        <w:pStyle w:val="Heading6"/>
        <w:spacing w:line="240" w:lineRule="auto" w:before="151"/>
        <w:ind w:right="855"/>
        <w:jc w:val="left"/>
        <w:rPr>
          <w:b w:val="0"/>
          <w:bCs w:val="0"/>
        </w:rPr>
      </w:pPr>
      <w:r>
        <w:rPr/>
        <w:t>（三）未来发展中可能存在的风险</w:t>
      </w:r>
      <w:r>
        <w:rPr>
          <w:b w:val="0"/>
          <w:bCs w:val="0"/>
        </w:rPr>
      </w:r>
    </w:p>
    <w:p>
      <w:pPr>
        <w:spacing w:line="240" w:lineRule="auto" w:before="8"/>
        <w:rPr>
          <w:rFonts w:ascii="宋体" w:hAnsi="宋体" w:cs="宋体" w:eastAsia="宋体" w:hint="default"/>
          <w:b/>
          <w:bCs/>
          <w:sz w:val="14"/>
          <w:szCs w:val="14"/>
        </w:rPr>
      </w:pPr>
    </w:p>
    <w:p>
      <w:pPr>
        <w:pStyle w:val="BodyText"/>
        <w:spacing w:line="343" w:lineRule="auto"/>
        <w:ind w:left="513" w:right="855"/>
        <w:jc w:val="left"/>
      </w:pPr>
      <w:r>
        <w:rPr>
          <w:rFonts w:ascii="Times New Roman" w:hAnsi="Times New Roman" w:cs="Times New Roman" w:eastAsia="Times New Roman" w:hint="default"/>
          <w:b/>
          <w:bCs/>
        </w:rPr>
        <w:t>1</w:t>
      </w:r>
      <w:r>
        <w:rPr>
          <w:rFonts w:ascii="宋体" w:hAnsi="宋体" w:cs="宋体" w:eastAsia="宋体" w:hint="default"/>
          <w:b/>
          <w:bCs/>
        </w:rPr>
        <w:t>、行业政策风险</w:t>
      </w:r>
      <w:r>
        <w:rPr>
          <w:rFonts w:ascii="宋体" w:hAnsi="宋体" w:cs="宋体" w:eastAsia="宋体" w:hint="default"/>
          <w:b/>
          <w:bCs/>
          <w:spacing w:val="-88"/>
        </w:rPr>
        <w:t> </w:t>
      </w:r>
      <w:r>
        <w:rPr>
          <w:rFonts w:ascii="宋体" w:hAnsi="宋体" w:cs="宋体" w:eastAsia="宋体" w:hint="default"/>
          <w:b/>
          <w:bCs/>
          <w:spacing w:val="-88"/>
        </w:rPr>
      </w:r>
      <w:r>
        <w:rPr>
          <w:spacing w:val="-3"/>
        </w:rPr>
        <w:t>软件产业属于国家鼓励发展的战略性、基础性和先导性支柱产业，为促进我国软件行业的快速发展，国家先后在人才、</w:t>
      </w:r>
    </w:p>
    <w:p>
      <w:pPr>
        <w:pStyle w:val="BodyText"/>
        <w:spacing w:line="316" w:lineRule="auto"/>
        <w:ind w:right="855"/>
        <w:jc w:val="left"/>
      </w:pPr>
      <w:r>
        <w:rPr>
          <w:spacing w:val="-4"/>
        </w:rPr>
        <w:t>投资、税收、技术保护方面颁布了一系列政策，大力扶持软件行业的发展，为软件行业的发展创造良好的政策环境。但随着</w:t>
      </w:r>
      <w:r>
        <w:rPr>
          <w:spacing w:val="40"/>
        </w:rPr>
        <w:t> </w:t>
      </w:r>
      <w:r>
        <w:rPr>
          <w:spacing w:val="40"/>
        </w:rPr>
      </w:r>
      <w:r>
        <w:rPr>
          <w:spacing w:val="-3"/>
        </w:rPr>
        <w:t>行业的发展，未来如果政策环境变化，不排除因行业政策调整导致行业需求下降的风险。</w:t>
      </w:r>
    </w:p>
    <w:p>
      <w:pPr>
        <w:pStyle w:val="BodyText"/>
        <w:spacing w:line="316" w:lineRule="auto" w:before="58"/>
        <w:ind w:right="1124" w:firstLine="360"/>
        <w:jc w:val="both"/>
      </w:pPr>
      <w:r>
        <w:rPr>
          <w:spacing w:val="-5"/>
        </w:rPr>
        <w:t>公司将紧抓市场机遇，及时把握政策动向，整合配置资源，并持续提升在技术、知识产权、质量、管理等各方面的运营</w:t>
      </w:r>
      <w:r>
        <w:rPr>
          <w:w w:val="101"/>
        </w:rPr>
        <w:t> </w:t>
      </w:r>
      <w:r>
        <w:rPr>
          <w:spacing w:val="-3"/>
        </w:rPr>
        <w:t>水平，增强抵御政策风险的能力。</w:t>
      </w:r>
    </w:p>
    <w:p>
      <w:pPr>
        <w:pStyle w:val="BodyText"/>
        <w:spacing w:line="343" w:lineRule="auto" w:before="57"/>
        <w:ind w:left="513" w:right="855"/>
        <w:jc w:val="left"/>
      </w:pPr>
      <w:r>
        <w:rPr>
          <w:rFonts w:ascii="Times New Roman" w:hAnsi="Times New Roman" w:cs="Times New Roman" w:eastAsia="Times New Roman" w:hint="default"/>
          <w:b/>
          <w:bCs/>
        </w:rPr>
        <w:t>2</w:t>
      </w:r>
      <w:r>
        <w:rPr>
          <w:rFonts w:ascii="宋体" w:hAnsi="宋体" w:cs="宋体" w:eastAsia="宋体" w:hint="default"/>
          <w:b/>
          <w:bCs/>
        </w:rPr>
        <w:t>、市场竞争风险</w:t>
      </w:r>
      <w:r>
        <w:rPr>
          <w:rFonts w:ascii="宋体" w:hAnsi="宋体" w:cs="宋体" w:eastAsia="宋体" w:hint="default"/>
          <w:b/>
          <w:bCs/>
          <w:spacing w:val="-88"/>
        </w:rPr>
        <w:t> </w:t>
      </w:r>
      <w:r>
        <w:rPr>
          <w:rFonts w:ascii="宋体" w:hAnsi="宋体" w:cs="宋体" w:eastAsia="宋体" w:hint="default"/>
          <w:b/>
          <w:bCs/>
          <w:spacing w:val="-88"/>
        </w:rPr>
      </w:r>
      <w:r>
        <w:rPr>
          <w:spacing w:val="-4"/>
        </w:rPr>
        <w:t>金融信息化是一个充分竞争的领域，并有越来越多的企业参与到这个市场中。随着近年来下游行业对</w:t>
      </w:r>
      <w:r>
        <w:rPr>
          <w:rFonts w:ascii="Times New Roman" w:hAnsi="Times New Roman" w:cs="Times New Roman" w:eastAsia="Times New Roman" w:hint="default"/>
          <w:spacing w:val="-4"/>
        </w:rPr>
        <w:t>IT</w:t>
      </w:r>
      <w:r>
        <w:rPr>
          <w:spacing w:val="-4"/>
        </w:rPr>
        <w:t>服务的需求不断</w:t>
      </w:r>
    </w:p>
    <w:p>
      <w:pPr>
        <w:pStyle w:val="BodyText"/>
        <w:spacing w:line="226" w:lineRule="exact"/>
        <w:ind w:right="855"/>
        <w:jc w:val="left"/>
      </w:pPr>
      <w:r>
        <w:rPr>
          <w:spacing w:val="-4"/>
        </w:rPr>
        <w:t>增长，行业竞争加剧，除了传统的金融行业服务提供商及银行科技部门衍生出来的</w:t>
      </w:r>
      <w:r>
        <w:rPr>
          <w:rFonts w:ascii="Times New Roman" w:hAnsi="Times New Roman" w:cs="Times New Roman" w:eastAsia="Times New Roman" w:hint="default"/>
          <w:spacing w:val="-4"/>
        </w:rPr>
        <w:t>IT</w:t>
      </w:r>
      <w:r>
        <w:rPr>
          <w:spacing w:val="-4"/>
        </w:rPr>
        <w:t>服务企业，部分互联网公司也纷纷加入</w:t>
      </w:r>
    </w:p>
    <w:p>
      <w:pPr>
        <w:pStyle w:val="BodyText"/>
        <w:spacing w:line="316" w:lineRule="auto" w:before="63"/>
        <w:ind w:right="855"/>
        <w:jc w:val="left"/>
      </w:pPr>
      <w:r>
        <w:rPr>
          <w:spacing w:val="-4"/>
        </w:rPr>
        <w:t>了市场竞争；以及云计算、大数据、人工智能等新技术和模式的出现，我国的软件与信息技术服务市场规模不断扩大，在各</w:t>
      </w:r>
      <w:r>
        <w:rPr>
          <w:spacing w:val="41"/>
        </w:rPr>
        <w:t> </w:t>
      </w:r>
      <w:r>
        <w:rPr>
          <w:spacing w:val="41"/>
        </w:rPr>
      </w:r>
      <w:r>
        <w:rPr>
          <w:spacing w:val="-3"/>
        </w:rPr>
        <w:t>细分产品的领域，竞争对手增加，从而使公司在进行业务拓展时面临一定的市场风险。</w:t>
      </w:r>
    </w:p>
    <w:p>
      <w:pPr>
        <w:pStyle w:val="BodyText"/>
        <w:spacing w:line="316" w:lineRule="auto" w:before="57"/>
        <w:ind w:right="1124" w:firstLine="360"/>
        <w:jc w:val="both"/>
      </w:pPr>
      <w:r>
        <w:rPr>
          <w:spacing w:val="-5"/>
        </w:rPr>
        <w:t>公司将加强对行业的分析研究，及时掌握行业技术，并根据自身优势确定业务发展策略，持续保持创新能力，不断增强</w:t>
      </w:r>
      <w:r>
        <w:rPr>
          <w:w w:val="101"/>
        </w:rPr>
        <w:t> </w:t>
      </w:r>
      <w:r>
        <w:rPr>
          <w:spacing w:val="-3"/>
        </w:rPr>
        <w:t>企业核心竞争力，加强市场营销和业务拓展能力，确保公司运营能够适应市场变化。</w:t>
      </w:r>
    </w:p>
    <w:p>
      <w:pPr>
        <w:pStyle w:val="BodyText"/>
        <w:spacing w:line="343" w:lineRule="auto" w:before="57"/>
        <w:ind w:left="513" w:right="855"/>
        <w:jc w:val="left"/>
      </w:pPr>
      <w:r>
        <w:rPr>
          <w:rFonts w:ascii="Times New Roman" w:hAnsi="Times New Roman" w:cs="Times New Roman" w:eastAsia="Times New Roman" w:hint="default"/>
          <w:b/>
          <w:bCs/>
        </w:rPr>
        <w:t>3</w:t>
      </w:r>
      <w:r>
        <w:rPr>
          <w:rFonts w:ascii="宋体" w:hAnsi="宋体" w:cs="宋体" w:eastAsia="宋体" w:hint="default"/>
          <w:b/>
          <w:bCs/>
        </w:rPr>
        <w:t>、人才流失风险</w:t>
      </w:r>
      <w:r>
        <w:rPr>
          <w:rFonts w:ascii="宋体" w:hAnsi="宋体" w:cs="宋体" w:eastAsia="宋体" w:hint="default"/>
          <w:b/>
          <w:bCs/>
          <w:spacing w:val="-88"/>
        </w:rPr>
        <w:t> </w:t>
      </w:r>
      <w:r>
        <w:rPr>
          <w:rFonts w:ascii="宋体" w:hAnsi="宋体" w:cs="宋体" w:eastAsia="宋体" w:hint="default"/>
          <w:b/>
          <w:bCs/>
          <w:spacing w:val="-88"/>
        </w:rPr>
      </w:r>
      <w:r>
        <w:rPr>
          <w:spacing w:val="-6"/>
          <w:w w:val="101"/>
        </w:rPr>
        <w:t>在软件和信息技术服务业中，人才是企业的核心竞争力，技术研发和创新对核心技术人员和关键管理人员的依赖性较大。</w:t>
      </w:r>
      <w:r>
        <w:rPr>
          <w:spacing w:val="-6"/>
        </w:rPr>
      </w:r>
    </w:p>
    <w:p>
      <w:pPr>
        <w:pStyle w:val="BodyText"/>
        <w:spacing w:line="357" w:lineRule="auto"/>
        <w:ind w:left="513" w:right="855" w:hanging="360"/>
        <w:jc w:val="left"/>
      </w:pPr>
      <w:r>
        <w:rPr>
          <w:spacing w:val="-3"/>
        </w:rPr>
        <w:t>但面对日益激烈的信息技术人才竞争，一旦发生技术人员大量外流情况，将会对公司的业务和技术创新产生影响。</w:t>
      </w:r>
      <w:r>
        <w:rPr>
          <w:spacing w:val="56"/>
        </w:rPr>
        <w:t> </w:t>
      </w:r>
      <w:r>
        <w:rPr>
          <w:spacing w:val="56"/>
        </w:rPr>
      </w:r>
      <w:r>
        <w:rPr>
          <w:spacing w:val="-5"/>
        </w:rPr>
        <w:t>公司经过多年发展，积累了大批优秀的管理、技术和业务人才，公司将不断完善绩效考核与激励机制，建立健全薪酬体</w:t>
      </w:r>
    </w:p>
    <w:p>
      <w:pPr>
        <w:pStyle w:val="BodyText"/>
        <w:spacing w:line="224" w:lineRule="exact"/>
        <w:ind w:right="855"/>
        <w:jc w:val="left"/>
      </w:pPr>
      <w:r>
        <w:rPr>
          <w:spacing w:val="-4"/>
        </w:rPr>
        <w:t>系，实施技术人员中长期职业生涯规划和关键人才培养计划，加强企业文化建设、完善用人机制等多种措施，保障人才队伍</w:t>
      </w:r>
    </w:p>
    <w:p>
      <w:pPr>
        <w:spacing w:after="0" w:line="224" w:lineRule="exact"/>
        <w:jc w:val="left"/>
        <w:sectPr>
          <w:pgSz w:w="11910" w:h="16840"/>
          <w:pgMar w:header="746" w:footer="974"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6"/>
        <w:ind w:right="855"/>
        <w:jc w:val="left"/>
      </w:pPr>
      <w:r>
        <w:rPr>
          <w:spacing w:val="-3"/>
        </w:rPr>
        <w:t>稳定及后续人才培养引进，以满足公司快速发展的需要。</w:t>
      </w:r>
    </w:p>
    <w:p>
      <w:pPr>
        <w:pStyle w:val="BodyText"/>
        <w:spacing w:line="343" w:lineRule="auto" w:before="115"/>
        <w:ind w:left="513" w:right="855"/>
        <w:jc w:val="left"/>
      </w:pPr>
      <w:r>
        <w:rPr>
          <w:rFonts w:ascii="Times New Roman" w:hAnsi="Times New Roman" w:cs="Times New Roman" w:eastAsia="Times New Roman" w:hint="default"/>
          <w:b/>
          <w:bCs/>
        </w:rPr>
        <w:t>4</w:t>
      </w:r>
      <w:r>
        <w:rPr>
          <w:rFonts w:ascii="宋体" w:hAnsi="宋体" w:cs="宋体" w:eastAsia="宋体" w:hint="default"/>
          <w:b/>
          <w:bCs/>
        </w:rPr>
        <w:t>、技术风险</w:t>
      </w:r>
      <w:r>
        <w:rPr>
          <w:rFonts w:ascii="宋体" w:hAnsi="宋体" w:cs="宋体" w:eastAsia="宋体" w:hint="default"/>
          <w:b/>
          <w:bCs/>
          <w:spacing w:val="-87"/>
        </w:rPr>
        <w:t> </w:t>
      </w:r>
      <w:r>
        <w:rPr>
          <w:spacing w:val="-5"/>
        </w:rPr>
        <w:t>云计算、大数据、人工智能及区块链等新兴技术日新月异，若公司未来在技术更新、新产品研发等方面不能与行业需求</w:t>
      </w:r>
    </w:p>
    <w:p>
      <w:pPr>
        <w:pStyle w:val="BodyText"/>
        <w:spacing w:line="357" w:lineRule="auto"/>
        <w:ind w:left="513" w:right="855" w:hanging="360"/>
        <w:jc w:val="left"/>
      </w:pPr>
      <w:r>
        <w:rPr>
          <w:spacing w:val="-3"/>
        </w:rPr>
        <w:t>保持相应的发展速度，有可能对公司的市场竞争力和持续发展产生不利的影响。</w:t>
      </w:r>
      <w:r>
        <w:rPr>
          <w:spacing w:val="13"/>
        </w:rPr>
        <w:t> </w:t>
      </w:r>
      <w:r>
        <w:rPr>
          <w:spacing w:val="13"/>
        </w:rPr>
      </w:r>
      <w:r>
        <w:rPr>
          <w:spacing w:val="-4"/>
        </w:rPr>
        <w:t>经过多年的技术积累和创新，公司拥有核心软件产品和行业应用解决方案，公司将在持续加大技术研发投入的同时，紧</w:t>
      </w:r>
    </w:p>
    <w:p>
      <w:pPr>
        <w:pStyle w:val="BodyText"/>
        <w:spacing w:line="224" w:lineRule="exact"/>
        <w:ind w:right="855"/>
        <w:jc w:val="left"/>
      </w:pPr>
      <w:r>
        <w:rPr>
          <w:spacing w:val="-4"/>
        </w:rPr>
        <w:t>跟行业发展趋势，保持持续创新的能力，加强技术专家队伍的建设，不断提升公司整体的技术水平，及时根据市场变化和客</w:t>
      </w:r>
    </w:p>
    <w:p>
      <w:pPr>
        <w:pStyle w:val="BodyText"/>
        <w:spacing w:line="240" w:lineRule="auto" w:before="76"/>
        <w:ind w:right="855"/>
        <w:jc w:val="left"/>
      </w:pPr>
      <w:r>
        <w:rPr>
          <w:spacing w:val="-3"/>
        </w:rPr>
        <w:t>户需求推出新产品和解决方案。</w:t>
      </w:r>
    </w:p>
    <w:p>
      <w:pPr>
        <w:pStyle w:val="BodyText"/>
        <w:spacing w:line="343" w:lineRule="auto" w:before="115"/>
        <w:ind w:left="513" w:right="855"/>
        <w:jc w:val="left"/>
      </w:pPr>
      <w:r>
        <w:rPr>
          <w:rFonts w:ascii="Times New Roman" w:hAnsi="Times New Roman" w:cs="Times New Roman" w:eastAsia="Times New Roman" w:hint="default"/>
          <w:b/>
          <w:bCs/>
        </w:rPr>
        <w:t>5</w:t>
      </w:r>
      <w:r>
        <w:rPr>
          <w:rFonts w:ascii="宋体" w:hAnsi="宋体" w:cs="宋体" w:eastAsia="宋体" w:hint="default"/>
          <w:b/>
          <w:bCs/>
        </w:rPr>
        <w:t>、经济环境风险</w:t>
      </w:r>
      <w:r>
        <w:rPr>
          <w:rFonts w:ascii="宋体" w:hAnsi="宋体" w:cs="宋体" w:eastAsia="宋体" w:hint="default"/>
          <w:b/>
          <w:bCs/>
          <w:spacing w:val="-88"/>
        </w:rPr>
        <w:t> </w:t>
      </w:r>
      <w:r>
        <w:rPr>
          <w:rFonts w:ascii="宋体" w:hAnsi="宋体" w:cs="宋体" w:eastAsia="宋体" w:hint="default"/>
          <w:b/>
          <w:bCs/>
          <w:spacing w:val="-88"/>
        </w:rPr>
      </w:r>
      <w:r>
        <w:rPr>
          <w:spacing w:val="-5"/>
        </w:rPr>
        <w:t>近年来，国际经济大环境复杂多变，汇率波动、贸易摩擦、关税升级等因素都给公司的日常经营与发展及相关业务带来</w:t>
      </w:r>
    </w:p>
    <w:p>
      <w:pPr>
        <w:pStyle w:val="BodyText"/>
        <w:spacing w:line="357" w:lineRule="auto"/>
        <w:ind w:left="513" w:right="855" w:hanging="360"/>
        <w:jc w:val="left"/>
      </w:pPr>
      <w:r>
        <w:rPr>
          <w:spacing w:val="-3"/>
        </w:rPr>
        <w:t>不利影响。若国际经济大环境突变，公司也会受其影响。</w:t>
      </w:r>
      <w:r>
        <w:rPr>
          <w:spacing w:val="-15"/>
        </w:rPr>
        <w:t> </w:t>
      </w:r>
      <w:r>
        <w:rPr>
          <w:spacing w:val="-15"/>
        </w:rPr>
      </w:r>
      <w:r>
        <w:rPr>
          <w:spacing w:val="-3"/>
        </w:rPr>
        <w:t>公司目前立足发展战略，加强对相关业务的风险管控能力，同时加强对营运环节的管控。</w:t>
      </w:r>
    </w:p>
    <w:p>
      <w:pPr>
        <w:spacing w:line="240" w:lineRule="auto" w:before="4"/>
        <w:rPr>
          <w:rFonts w:ascii="宋体" w:hAnsi="宋体" w:cs="宋体" w:eastAsia="宋体" w:hint="default"/>
          <w:sz w:val="18"/>
          <w:szCs w:val="18"/>
        </w:rPr>
      </w:pPr>
    </w:p>
    <w:p>
      <w:pPr>
        <w:pStyle w:val="Heading2"/>
        <w:spacing w:line="240" w:lineRule="auto"/>
        <w:ind w:right="855"/>
        <w:jc w:val="left"/>
        <w:rPr>
          <w:b w:val="0"/>
          <w:bCs w:val="0"/>
        </w:rPr>
      </w:pPr>
      <w:r>
        <w:rPr/>
        <w:t>十、接待调研、沟通、采访等活动情况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855"/>
        <w:jc w:val="left"/>
        <w:rPr>
          <w:b w:val="0"/>
          <w:bCs w:val="0"/>
        </w:rPr>
      </w:pP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855"/>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1"/>
        </w:rPr>
        <w:t> </w:t>
      </w:r>
      <w:r>
        <w:rPr/>
        <w:t>不适用</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1700"/>
        <w:gridCol w:w="1138"/>
        <w:gridCol w:w="879"/>
        <w:gridCol w:w="394"/>
        <w:gridCol w:w="5464"/>
      </w:tblGrid>
      <w:tr>
        <w:trPr>
          <w:trHeight w:val="403" w:hRule="exact"/>
        </w:trPr>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84" w:right="0"/>
              <w:jc w:val="left"/>
              <w:rPr>
                <w:rFonts w:ascii="宋体" w:hAnsi="宋体" w:cs="宋体" w:eastAsia="宋体" w:hint="default"/>
                <w:sz w:val="18"/>
                <w:szCs w:val="18"/>
              </w:rPr>
            </w:pPr>
            <w:r>
              <w:rPr>
                <w:rFonts w:ascii="宋体" w:hAnsi="宋体" w:cs="宋体" w:eastAsia="宋体" w:hint="default"/>
                <w:sz w:val="18"/>
                <w:szCs w:val="18"/>
              </w:rPr>
              <w:t>接待时间</w:t>
            </w:r>
          </w:p>
        </w:tc>
        <w:tc>
          <w:tcPr>
            <w:tcW w:w="11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02"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127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5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 w:right="0"/>
              <w:jc w:val="center"/>
              <w:rPr>
                <w:rFonts w:ascii="宋体" w:hAnsi="宋体" w:cs="宋体" w:eastAsia="宋体" w:hint="default"/>
                <w:sz w:val="18"/>
                <w:szCs w:val="18"/>
              </w:rPr>
            </w:pPr>
            <w:r>
              <w:rPr>
                <w:rFonts w:ascii="宋体" w:hAnsi="宋体" w:cs="宋体" w:eastAsia="宋体" w:hint="default"/>
                <w:spacing w:val="-3"/>
                <w:sz w:val="18"/>
                <w:szCs w:val="18"/>
              </w:rPr>
              <w:t>调研的基本情况索引</w:t>
            </w:r>
          </w:p>
        </w:tc>
      </w:tr>
      <w:tr>
        <w:trPr>
          <w:trHeight w:val="716" w:hRule="exact"/>
        </w:trPr>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日至</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2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546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4"/>
              <w:ind w:left="28" w:right="22"/>
              <w:jc w:val="left"/>
              <w:rPr>
                <w:rFonts w:ascii="宋体" w:hAnsi="宋体" w:cs="宋体" w:eastAsia="宋体" w:hint="default"/>
                <w:sz w:val="18"/>
                <w:szCs w:val="18"/>
              </w:rPr>
            </w:pPr>
            <w:r>
              <w:rPr>
                <w:rFonts w:ascii="宋体" w:hAnsi="宋体" w:cs="宋体" w:eastAsia="宋体" w:hint="default"/>
                <w:sz w:val="18"/>
                <w:szCs w:val="18"/>
              </w:rPr>
              <w:t>报告期内累计接听投资者电话超过</w:t>
            </w:r>
            <w:r>
              <w:rPr>
                <w:rFonts w:ascii="宋体" w:hAnsi="宋体" w:cs="宋体" w:eastAsia="宋体" w:hint="default"/>
                <w:spacing w:val="-31"/>
                <w:sz w:val="18"/>
                <w:szCs w:val="18"/>
              </w:rPr>
              <w:t> </w:t>
            </w:r>
            <w:r>
              <w:rPr>
                <w:rFonts w:ascii="Times New Roman" w:hAnsi="Times New Roman" w:cs="Times New Roman" w:eastAsia="Times New Roman" w:hint="default"/>
                <w:sz w:val="18"/>
                <w:szCs w:val="18"/>
              </w:rPr>
              <w:t>605</w:t>
            </w:r>
            <w:r>
              <w:rPr>
                <w:rFonts w:ascii="Times New Roman" w:hAnsi="Times New Roman" w:cs="Times New Roman" w:eastAsia="Times New Roman" w:hint="default"/>
                <w:spacing w:val="14"/>
                <w:sz w:val="18"/>
                <w:szCs w:val="18"/>
              </w:rPr>
              <w:t> </w:t>
            </w:r>
            <w:r>
              <w:rPr>
                <w:rFonts w:ascii="宋体" w:hAnsi="宋体" w:cs="宋体" w:eastAsia="宋体" w:hint="default"/>
                <w:spacing w:val="-3"/>
                <w:sz w:val="18"/>
                <w:szCs w:val="18"/>
              </w:rPr>
              <w:t>次，投资者主要咨询内容：公</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3"/>
                <w:sz w:val="18"/>
                <w:szCs w:val="18"/>
              </w:rPr>
              <w:t>司生产经营、产业发展、行业情况以及未来发展情况等。</w:t>
            </w:r>
          </w:p>
        </w:tc>
      </w:tr>
      <w:tr>
        <w:trPr>
          <w:trHeight w:val="1028" w:hRule="exact"/>
        </w:trPr>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日至</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书面问询</w:t>
            </w:r>
          </w:p>
        </w:tc>
        <w:tc>
          <w:tcPr>
            <w:tcW w:w="12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5464"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3"/>
              <w:ind w:left="28" w:right="22"/>
              <w:jc w:val="both"/>
              <w:rPr>
                <w:rFonts w:ascii="宋体" w:hAnsi="宋体" w:cs="宋体" w:eastAsia="宋体" w:hint="default"/>
                <w:sz w:val="18"/>
                <w:szCs w:val="18"/>
              </w:rPr>
            </w:pPr>
            <w:r>
              <w:rPr>
                <w:rFonts w:ascii="宋体" w:hAnsi="宋体" w:cs="宋体" w:eastAsia="宋体" w:hint="default"/>
                <w:spacing w:val="-3"/>
                <w:sz w:val="18"/>
                <w:szCs w:val="18"/>
              </w:rPr>
              <w:t>报告期内回复投资者互动易问询 </w:t>
            </w:r>
            <w:r>
              <w:rPr>
                <w:rFonts w:ascii="Times New Roman" w:hAnsi="Times New Roman" w:cs="Times New Roman" w:eastAsia="Times New Roman" w:hint="default"/>
                <w:sz w:val="18"/>
                <w:szCs w:val="18"/>
              </w:rPr>
              <w:t>187 </w:t>
            </w:r>
            <w:r>
              <w:rPr>
                <w:rFonts w:ascii="宋体" w:hAnsi="宋体" w:cs="宋体" w:eastAsia="宋体" w:hint="default"/>
                <w:spacing w:val="-3"/>
                <w:sz w:val="18"/>
                <w:szCs w:val="18"/>
              </w:rPr>
              <w:t>条，主要问询内容：公司生产经</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pacing w:val="-3"/>
                <w:sz w:val="18"/>
                <w:szCs w:val="18"/>
              </w:rPr>
              <w:t>营、产业发展、行业情况以及未来发展情况等。索引：深交所互动易 </w:t>
            </w:r>
            <w:r>
              <w:rPr>
                <w:rFonts w:ascii="宋体" w:hAnsi="宋体" w:cs="宋体" w:eastAsia="宋体" w:hint="default"/>
                <w:spacing w:val="-3"/>
                <w:sz w:val="18"/>
                <w:szCs w:val="18"/>
              </w:rPr>
            </w:r>
            <w:hyperlink r:id="rId14">
              <w:r>
                <w:rPr>
                  <w:rFonts w:ascii="Times New Roman" w:hAnsi="Times New Roman" w:cs="Times New Roman" w:eastAsia="Times New Roman" w:hint="default"/>
                  <w:sz w:val="18"/>
                  <w:szCs w:val="18"/>
                </w:rPr>
                <w:t>http://irm.cninfo.com.cn/ssessgs/S000948/index.html</w:t>
              </w:r>
            </w:hyperlink>
            <w:r>
              <w:rPr>
                <w:rFonts w:ascii="宋体" w:hAnsi="宋体" w:cs="宋体" w:eastAsia="宋体" w:hint="default"/>
                <w:sz w:val="18"/>
                <w:szCs w:val="18"/>
              </w:rPr>
              <w:t>）</w:t>
            </w:r>
          </w:p>
        </w:tc>
      </w:tr>
      <w:tr>
        <w:trPr>
          <w:trHeight w:val="398" w:hRule="exact"/>
        </w:trPr>
        <w:tc>
          <w:tcPr>
            <w:tcW w:w="371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接待次数</w:t>
            </w:r>
          </w:p>
        </w:tc>
        <w:tc>
          <w:tcPr>
            <w:tcW w:w="58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792</w:t>
            </w:r>
          </w:p>
        </w:tc>
      </w:tr>
      <w:tr>
        <w:trPr>
          <w:trHeight w:val="403" w:hRule="exact"/>
        </w:trPr>
        <w:tc>
          <w:tcPr>
            <w:tcW w:w="371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接待机构数量</w:t>
            </w:r>
          </w:p>
        </w:tc>
        <w:tc>
          <w:tcPr>
            <w:tcW w:w="58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403" w:hRule="exact"/>
        </w:trPr>
        <w:tc>
          <w:tcPr>
            <w:tcW w:w="371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接待个人数量</w:t>
            </w:r>
          </w:p>
        </w:tc>
        <w:tc>
          <w:tcPr>
            <w:tcW w:w="58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792</w:t>
            </w:r>
          </w:p>
        </w:tc>
      </w:tr>
      <w:tr>
        <w:trPr>
          <w:trHeight w:val="404" w:hRule="exact"/>
        </w:trPr>
        <w:tc>
          <w:tcPr>
            <w:tcW w:w="371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接待其他对象数量</w:t>
            </w:r>
          </w:p>
        </w:tc>
        <w:tc>
          <w:tcPr>
            <w:tcW w:w="58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398" w:hRule="exact"/>
        </w:trPr>
        <w:tc>
          <w:tcPr>
            <w:tcW w:w="371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是否披露、透露或泄露未公开重大信息</w:t>
            </w:r>
          </w:p>
        </w:tc>
        <w:tc>
          <w:tcPr>
            <w:tcW w:w="58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bl>
    <w:p>
      <w:pPr>
        <w:spacing w:after="0" w:line="240" w:lineRule="auto"/>
        <w:jc w:val="right"/>
        <w:rPr>
          <w:rFonts w:ascii="宋体" w:hAnsi="宋体" w:cs="宋体" w:eastAsia="宋体" w:hint="default"/>
          <w:sz w:val="18"/>
          <w:szCs w:val="18"/>
        </w:rPr>
        <w:sectPr>
          <w:pgSz w:w="11910" w:h="16840"/>
          <w:pgMar w:header="746" w:footer="974"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1513"/>
        <w:jc w:val="center"/>
        <w:rPr>
          <w:b w:val="0"/>
          <w:bCs w:val="0"/>
        </w:rPr>
      </w:pPr>
      <w:bookmarkStart w:name="_bookmark4" w:id="5"/>
      <w:bookmarkEnd w:id="5"/>
      <w:r>
        <w:rPr>
          <w:b w:val="0"/>
          <w:bCs w:val="0"/>
        </w:rPr>
      </w:r>
      <w:r>
        <w:rPr/>
        <w:t>第五节</w:t>
      </w:r>
      <w:r>
        <w:rPr>
          <w:spacing w:val="-1"/>
        </w:rPr>
        <w:t> </w:t>
      </w:r>
      <w:r>
        <w:rPr/>
        <w:t>重要事项</w:t>
      </w:r>
      <w:r>
        <w:rPr>
          <w:b w:val="0"/>
          <w:bCs w:val="0"/>
        </w:rPr>
      </w:r>
    </w:p>
    <w:p>
      <w:pPr>
        <w:spacing w:line="240" w:lineRule="auto" w:before="0"/>
        <w:rPr>
          <w:rFonts w:ascii="宋体" w:hAnsi="宋体" w:cs="宋体" w:eastAsia="宋体" w:hint="default"/>
          <w:b/>
          <w:bCs/>
          <w:sz w:val="39"/>
          <w:szCs w:val="39"/>
        </w:rPr>
      </w:pPr>
    </w:p>
    <w:p>
      <w:pPr>
        <w:pStyle w:val="Heading2"/>
        <w:spacing w:line="240" w:lineRule="auto"/>
        <w:ind w:right="0"/>
        <w:jc w:val="both"/>
        <w:rPr>
          <w:b w:val="0"/>
          <w:bCs w:val="0"/>
        </w:rPr>
      </w:pPr>
      <w:r>
        <w:rPr/>
        <w:t>一、公司普通股利润分配及资本公积金转增股本情况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both"/>
      </w:pPr>
      <w:r>
        <w:rPr>
          <w:spacing w:val="-3"/>
        </w:rPr>
        <w:t>报告期内普通股利润分配政策，特别是现金分红政策的制定、执行或调整情况</w:t>
      </w:r>
    </w:p>
    <w:p>
      <w:pPr>
        <w:pStyle w:val="BodyText"/>
        <w:spacing w:line="338" w:lineRule="auto" w:before="115"/>
        <w:ind w:left="513" w:right="855" w:hanging="36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9"/>
        </w:rPr>
        <w:t> </w:t>
      </w:r>
      <w:r>
        <w:rPr>
          <w:spacing w:val="-79"/>
        </w:rPr>
      </w:r>
      <w:r>
        <w:rPr>
          <w:spacing w:val="-4"/>
        </w:rPr>
        <w:t>报告期内，公司实施了</w:t>
      </w:r>
      <w:r>
        <w:rPr>
          <w:rFonts w:ascii="Times New Roman" w:hAnsi="Times New Roman" w:cs="Times New Roman" w:eastAsia="Times New Roman" w:hint="default"/>
          <w:spacing w:val="-4"/>
        </w:rPr>
        <w:t>2018</w:t>
      </w:r>
      <w:r>
        <w:rPr>
          <w:spacing w:val="-4"/>
        </w:rPr>
        <w:t>年度利润分配及资本公积转增股本的方案。公司于</w:t>
      </w: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3</w:t>
      </w:r>
      <w:r>
        <w:rPr>
          <w:spacing w:val="-4"/>
        </w:rPr>
        <w:t>月</w:t>
      </w:r>
      <w:r>
        <w:rPr>
          <w:rFonts w:ascii="Times New Roman" w:hAnsi="Times New Roman" w:cs="Times New Roman" w:eastAsia="Times New Roman" w:hint="default"/>
          <w:spacing w:val="-4"/>
        </w:rPr>
        <w:t>4</w:t>
      </w:r>
      <w:r>
        <w:rPr>
          <w:spacing w:val="-4"/>
        </w:rPr>
        <w:t>日召开第七届董事会第十九次</w:t>
      </w:r>
    </w:p>
    <w:p>
      <w:pPr>
        <w:pStyle w:val="BodyText"/>
        <w:spacing w:line="230" w:lineRule="exact"/>
        <w:ind w:right="0"/>
        <w:jc w:val="both"/>
        <w:rPr>
          <w:rFonts w:ascii="Times New Roman" w:hAnsi="Times New Roman" w:cs="Times New Roman" w:eastAsia="Times New Roman" w:hint="default"/>
        </w:rPr>
      </w:pPr>
      <w:r>
        <w:rPr>
          <w:spacing w:val="-3"/>
        </w:rPr>
        <w:t>会议、</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3</w:t>
      </w:r>
      <w:r>
        <w:rPr>
          <w:spacing w:val="-3"/>
        </w:rPr>
        <w:t>月</w:t>
      </w:r>
      <w:r>
        <w:rPr>
          <w:rFonts w:ascii="Times New Roman" w:hAnsi="Times New Roman" w:cs="Times New Roman" w:eastAsia="Times New Roman" w:hint="default"/>
          <w:spacing w:val="-3"/>
        </w:rPr>
        <w:t>28</w:t>
      </w:r>
      <w:r>
        <w:rPr>
          <w:spacing w:val="-3"/>
        </w:rPr>
        <w:t>日召开</w:t>
      </w:r>
      <w:r>
        <w:rPr>
          <w:rFonts w:ascii="Times New Roman" w:hAnsi="Times New Roman" w:cs="Times New Roman" w:eastAsia="Times New Roman" w:hint="default"/>
          <w:spacing w:val="-3"/>
        </w:rPr>
        <w:t>2018</w:t>
      </w:r>
      <w:r>
        <w:rPr>
          <w:spacing w:val="-3"/>
        </w:rPr>
        <w:t>年度股东大会审议通过了《南天信息</w:t>
      </w:r>
      <w:r>
        <w:rPr>
          <w:rFonts w:ascii="Times New Roman" w:hAnsi="Times New Roman" w:cs="Times New Roman" w:eastAsia="Times New Roman" w:hint="default"/>
          <w:spacing w:val="-3"/>
        </w:rPr>
        <w:t>2018</w:t>
      </w:r>
      <w:r>
        <w:rPr>
          <w:spacing w:val="-3"/>
        </w:rPr>
        <w:t>年度利润分配及资本公积转增股本的方案》，</w:t>
      </w:r>
      <w:r>
        <w:rPr>
          <w:rFonts w:ascii="Times New Roman" w:hAnsi="Times New Roman" w:cs="Times New Roman" w:eastAsia="Times New Roman" w:hint="default"/>
          <w:spacing w:val="-3"/>
        </w:rPr>
        <w:t>2018</w:t>
      </w:r>
    </w:p>
    <w:p>
      <w:pPr>
        <w:pStyle w:val="BodyText"/>
        <w:spacing w:line="300" w:lineRule="auto" w:before="63"/>
        <w:ind w:right="1121"/>
        <w:jc w:val="both"/>
      </w:pPr>
      <w:r>
        <w:rPr>
          <w:spacing w:val="-4"/>
        </w:rPr>
        <w:t>年度利润分配及资本公积转增股本的方案：公司以</w:t>
      </w: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31</w:t>
      </w:r>
      <w:r>
        <w:rPr>
          <w:spacing w:val="-4"/>
        </w:rPr>
        <w:t>日的总股本</w:t>
      </w:r>
      <w:r>
        <w:rPr>
          <w:rFonts w:ascii="Times New Roman" w:hAnsi="Times New Roman" w:cs="Times New Roman" w:eastAsia="Times New Roman" w:hint="default"/>
          <w:spacing w:val="-4"/>
        </w:rPr>
        <w:t>246,606,046</w:t>
      </w:r>
      <w:r>
        <w:rPr>
          <w:spacing w:val="-4"/>
        </w:rPr>
        <w:t>股为基数，向全体股东每</w:t>
      </w:r>
      <w:r>
        <w:rPr>
          <w:rFonts w:ascii="Times New Roman" w:hAnsi="Times New Roman" w:cs="Times New Roman" w:eastAsia="Times New Roman" w:hint="default"/>
          <w:spacing w:val="-4"/>
        </w:rPr>
        <w:t>10</w:t>
      </w:r>
      <w:r>
        <w:rPr>
          <w:spacing w:val="-4"/>
        </w:rPr>
        <w:t>股派发现</w:t>
      </w:r>
      <w:r>
        <w:rPr>
          <w:spacing w:val="3"/>
        </w:rPr>
        <w:t> </w:t>
      </w:r>
      <w:r>
        <w:rPr>
          <w:spacing w:val="3"/>
        </w:rPr>
      </w:r>
      <w:r>
        <w:rPr>
          <w:spacing w:val="-2"/>
        </w:rPr>
        <w:t>金红利</w:t>
      </w:r>
      <w:r>
        <w:rPr>
          <w:rFonts w:ascii="Times New Roman" w:hAnsi="Times New Roman" w:cs="Times New Roman" w:eastAsia="Times New Roman" w:hint="default"/>
          <w:spacing w:val="-2"/>
        </w:rPr>
        <w:t>0.50</w:t>
      </w:r>
      <w:r>
        <w:rPr>
          <w:spacing w:val="-2"/>
        </w:rPr>
        <w:t>元（含税），合计派发现金红利</w:t>
      </w:r>
      <w:r>
        <w:rPr>
          <w:rFonts w:ascii="Times New Roman" w:hAnsi="Times New Roman" w:cs="Times New Roman" w:eastAsia="Times New Roman" w:hint="default"/>
          <w:spacing w:val="-2"/>
        </w:rPr>
        <w:t>12,330,302.30</w:t>
      </w:r>
      <w:r>
        <w:rPr>
          <w:spacing w:val="-2"/>
        </w:rPr>
        <w:t>元（含税）；同时，以公司总股本</w:t>
      </w:r>
      <w:r>
        <w:rPr>
          <w:rFonts w:ascii="Times New Roman" w:hAnsi="Times New Roman" w:cs="Times New Roman" w:eastAsia="Times New Roman" w:hint="default"/>
          <w:spacing w:val="-2"/>
        </w:rPr>
        <w:t>246,606,046</w:t>
      </w:r>
      <w:r>
        <w:rPr>
          <w:spacing w:val="-2"/>
        </w:rPr>
        <w:t>股为基数，进行资本</w:t>
      </w:r>
      <w:r>
        <w:rPr>
          <w:spacing w:val="43"/>
        </w:rPr>
        <w:t> </w:t>
      </w:r>
      <w:r>
        <w:rPr>
          <w:spacing w:val="43"/>
        </w:rPr>
      </w:r>
      <w:r>
        <w:rPr>
          <w:spacing w:val="-3"/>
        </w:rPr>
        <w:t>公积金转增股本，向全体股东每</w:t>
      </w:r>
      <w:r>
        <w:rPr>
          <w:rFonts w:ascii="Times New Roman" w:hAnsi="Times New Roman" w:cs="Times New Roman" w:eastAsia="Times New Roman" w:hint="default"/>
          <w:spacing w:val="-3"/>
        </w:rPr>
        <w:t>10</w:t>
      </w:r>
      <w:r>
        <w:rPr>
          <w:spacing w:val="-3"/>
        </w:rPr>
        <w:t>股转增</w:t>
      </w:r>
      <w:r>
        <w:rPr>
          <w:rFonts w:ascii="Times New Roman" w:hAnsi="Times New Roman" w:cs="Times New Roman" w:eastAsia="Times New Roman" w:hint="default"/>
          <w:spacing w:val="-3"/>
        </w:rPr>
        <w:t>3</w:t>
      </w:r>
      <w:r>
        <w:rPr>
          <w:spacing w:val="-3"/>
        </w:rPr>
        <w:t>股，合计转增股本</w:t>
      </w:r>
      <w:r>
        <w:rPr>
          <w:rFonts w:ascii="Times New Roman" w:hAnsi="Times New Roman" w:cs="Times New Roman" w:eastAsia="Times New Roman" w:hint="default"/>
          <w:spacing w:val="-3"/>
        </w:rPr>
        <w:t>73,981,813</w:t>
      </w:r>
      <w:r>
        <w:rPr>
          <w:spacing w:val="-3"/>
        </w:rPr>
        <w:t>股。该分配方案已于</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4</w:t>
      </w:r>
      <w:r>
        <w:rPr>
          <w:spacing w:val="-3"/>
        </w:rPr>
        <w:t>月</w:t>
      </w:r>
      <w:r>
        <w:rPr>
          <w:rFonts w:ascii="Times New Roman" w:hAnsi="Times New Roman" w:cs="Times New Roman" w:eastAsia="Times New Roman" w:hint="default"/>
          <w:spacing w:val="-3"/>
        </w:rPr>
        <w:t>15</w:t>
      </w:r>
      <w:r>
        <w:rPr>
          <w:spacing w:val="-3"/>
        </w:rPr>
        <w:t>日实施完成，转增</w:t>
      </w:r>
      <w:r>
        <w:rPr>
          <w:spacing w:val="11"/>
        </w:rPr>
        <w:t> </w:t>
      </w:r>
      <w:r>
        <w:rPr>
          <w:spacing w:val="11"/>
        </w:rPr>
      </w:r>
      <w:r>
        <w:rPr>
          <w:spacing w:val="-6"/>
          <w:w w:val="101"/>
        </w:rPr>
        <w:t>后，公司的总股本由</w:t>
      </w:r>
      <w:r>
        <w:rPr>
          <w:rFonts w:ascii="Times New Roman" w:hAnsi="Times New Roman" w:cs="Times New Roman" w:eastAsia="Times New Roman" w:hint="default"/>
          <w:spacing w:val="-6"/>
          <w:w w:val="101"/>
        </w:rPr>
        <w:t>246,606,046</w:t>
      </w:r>
      <w:r>
        <w:rPr>
          <w:spacing w:val="-6"/>
          <w:w w:val="101"/>
        </w:rPr>
        <w:t>股增加至</w:t>
      </w:r>
      <w:r>
        <w:rPr>
          <w:rFonts w:ascii="Times New Roman" w:hAnsi="Times New Roman" w:cs="Times New Roman" w:eastAsia="Times New Roman" w:hint="default"/>
          <w:spacing w:val="-6"/>
          <w:w w:val="101"/>
        </w:rPr>
        <w:t>320,587,859</w:t>
      </w:r>
      <w:r>
        <w:rPr>
          <w:spacing w:val="-6"/>
          <w:w w:val="101"/>
        </w:rPr>
        <w:t>股。（详见公司于</w:t>
      </w:r>
      <w:r>
        <w:rPr>
          <w:rFonts w:ascii="Times New Roman" w:hAnsi="Times New Roman" w:cs="Times New Roman" w:eastAsia="Times New Roman" w:hint="default"/>
          <w:spacing w:val="-6"/>
          <w:w w:val="101"/>
        </w:rPr>
        <w:t>2019</w:t>
      </w:r>
      <w:r>
        <w:rPr>
          <w:spacing w:val="-6"/>
          <w:w w:val="101"/>
        </w:rPr>
        <w:t>年</w:t>
      </w:r>
      <w:r>
        <w:rPr>
          <w:rFonts w:ascii="Times New Roman" w:hAnsi="Times New Roman" w:cs="Times New Roman" w:eastAsia="Times New Roman" w:hint="default"/>
          <w:spacing w:val="-6"/>
          <w:w w:val="101"/>
        </w:rPr>
        <w:t>4</w:t>
      </w:r>
      <w:r>
        <w:rPr>
          <w:spacing w:val="-6"/>
          <w:w w:val="101"/>
        </w:rPr>
        <w:t>月</w:t>
      </w:r>
      <w:r>
        <w:rPr>
          <w:rFonts w:ascii="Times New Roman" w:hAnsi="Times New Roman" w:cs="Times New Roman" w:eastAsia="Times New Roman" w:hint="default"/>
          <w:spacing w:val="-6"/>
          <w:w w:val="101"/>
        </w:rPr>
        <w:t>8</w:t>
      </w:r>
      <w:r>
        <w:rPr>
          <w:spacing w:val="-6"/>
          <w:w w:val="101"/>
        </w:rPr>
        <w:t>日刊登在《证券时报》《中国证券报》《上</w:t>
      </w:r>
      <w:r>
        <w:rPr>
          <w:spacing w:val="-71"/>
          <w:w w:val="101"/>
        </w:rPr>
        <w:t> </w:t>
      </w:r>
      <w:r>
        <w:rPr>
          <w:spacing w:val="-71"/>
          <w:w w:val="101"/>
        </w:rPr>
      </w:r>
      <w:r>
        <w:rPr>
          <w:spacing w:val="-3"/>
        </w:rPr>
        <w:t>海证券报》《证券日报》</w:t>
      </w:r>
      <w:r>
        <w:rPr/>
        <w:t> </w:t>
      </w:r>
      <w:r>
        <w:rPr>
          <w:spacing w:val="28"/>
        </w:rPr>
        <w:t> </w:t>
      </w:r>
      <w:r>
        <w:rPr>
          <w:spacing w:val="-2"/>
        </w:rPr>
        <w:t>及巨潮资讯网</w:t>
      </w:r>
      <w:hyperlink r:id="rId15">
        <w:r>
          <w:rPr>
            <w:rFonts w:ascii="Times New Roman" w:hAnsi="Times New Roman" w:cs="Times New Roman" w:eastAsia="Times New Roman" w:hint="default"/>
            <w:spacing w:val="-2"/>
          </w:rPr>
          <w:t>http://www.cninfo.com.cn</w:t>
        </w:r>
        <w:r>
          <w:rPr>
            <w:spacing w:val="-2"/>
          </w:rPr>
          <w:t>上的《</w:t>
        </w:r>
      </w:hyperlink>
      <w:r>
        <w:rPr>
          <w:rFonts w:ascii="Times New Roman" w:hAnsi="Times New Roman" w:cs="Times New Roman" w:eastAsia="Times New Roman" w:hint="default"/>
          <w:spacing w:val="-2"/>
        </w:rPr>
        <w:t>2018</w:t>
      </w:r>
      <w:r>
        <w:rPr>
          <w:spacing w:val="-2"/>
        </w:rPr>
        <w:t>年度分红派息及转增股本实施公告》）。</w:t>
      </w:r>
    </w:p>
    <w:tbl>
      <w:tblPr>
        <w:tblW w:w="0" w:type="auto"/>
        <w:jc w:val="left"/>
        <w:tblInd w:w="148" w:type="dxa"/>
        <w:tblLayout w:type="fixed"/>
        <w:tblCellMar>
          <w:top w:w="0" w:type="dxa"/>
          <w:left w:w="0" w:type="dxa"/>
          <w:bottom w:w="0" w:type="dxa"/>
          <w:right w:w="0" w:type="dxa"/>
        </w:tblCellMar>
        <w:tblLook w:val="01E0"/>
      </w:tblPr>
      <w:tblGrid>
        <w:gridCol w:w="4965"/>
        <w:gridCol w:w="4605"/>
      </w:tblGrid>
      <w:tr>
        <w:trPr>
          <w:trHeight w:val="398" w:hRule="exact"/>
        </w:trPr>
        <w:tc>
          <w:tcPr>
            <w:tcW w:w="957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pacing w:val="-3"/>
                <w:sz w:val="18"/>
                <w:szCs w:val="18"/>
              </w:rPr>
              <w:t>现金分红政策的专项说明</w:t>
            </w:r>
          </w:p>
        </w:tc>
      </w:tr>
      <w:tr>
        <w:trPr>
          <w:trHeight w:val="408" w:hRule="exact"/>
        </w:trPr>
        <w:tc>
          <w:tcPr>
            <w:tcW w:w="49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是否符合公司章程的规定或股东大会决议的要求：</w:t>
            </w:r>
          </w:p>
        </w:tc>
        <w:tc>
          <w:tcPr>
            <w:tcW w:w="4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401" w:hRule="exact"/>
        </w:trPr>
        <w:tc>
          <w:tcPr>
            <w:tcW w:w="49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分红标准和比例是否明确和清晰：</w:t>
            </w:r>
          </w:p>
        </w:tc>
        <w:tc>
          <w:tcPr>
            <w:tcW w:w="4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401" w:hRule="exact"/>
        </w:trPr>
        <w:tc>
          <w:tcPr>
            <w:tcW w:w="49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pacing w:val="-3"/>
                <w:sz w:val="18"/>
                <w:szCs w:val="18"/>
              </w:rPr>
              <w:t>相关的决策程序和机制是否完备：</w:t>
            </w:r>
          </w:p>
        </w:tc>
        <w:tc>
          <w:tcPr>
            <w:tcW w:w="4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403" w:hRule="exact"/>
        </w:trPr>
        <w:tc>
          <w:tcPr>
            <w:tcW w:w="49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独立董事是否履职尽责并发挥了应有的作用：</w:t>
            </w:r>
          </w:p>
        </w:tc>
        <w:tc>
          <w:tcPr>
            <w:tcW w:w="4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5" w:hRule="exact"/>
        </w:trPr>
        <w:tc>
          <w:tcPr>
            <w:tcW w:w="49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24" w:right="66"/>
              <w:jc w:val="left"/>
              <w:rPr>
                <w:rFonts w:ascii="宋体" w:hAnsi="宋体" w:cs="宋体" w:eastAsia="宋体" w:hint="default"/>
                <w:sz w:val="18"/>
                <w:szCs w:val="18"/>
              </w:rPr>
            </w:pPr>
            <w:r>
              <w:rPr>
                <w:rFonts w:ascii="宋体" w:hAnsi="宋体" w:cs="宋体" w:eastAsia="宋体" w:hint="default"/>
                <w:spacing w:val="-3"/>
                <w:sz w:val="18"/>
                <w:szCs w:val="18"/>
              </w:rPr>
              <w:t>中小股东是否有充分表达意见和诉求的机会，其合法权益是否</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z w:val="18"/>
                <w:szCs w:val="18"/>
              </w:rPr>
              <w:t>得到了充分保护：</w:t>
            </w:r>
          </w:p>
        </w:tc>
        <w:tc>
          <w:tcPr>
            <w:tcW w:w="4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404" w:hRule="exact"/>
        </w:trPr>
        <w:tc>
          <w:tcPr>
            <w:tcW w:w="4965" w:type="dxa"/>
            <w:tcBorders>
              <w:top w:val="single" w:sz="4" w:space="0" w:color="000000"/>
              <w:left w:val="single" w:sz="4" w:space="0" w:color="000000"/>
              <w:bottom w:val="single" w:sz="4" w:space="0" w:color="000000"/>
              <w:right w:val="single" w:sz="10" w:space="0" w:color="FFFFFF"/>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5"/>
                <w:sz w:val="18"/>
                <w:szCs w:val="18"/>
              </w:rPr>
              <w:t>现金分红政策进行调整或变更的，条件及程序是否合规、透明</w:t>
            </w:r>
          </w:p>
        </w:tc>
        <w:tc>
          <w:tcPr>
            <w:tcW w:w="4605" w:type="dxa"/>
            <w:tcBorders>
              <w:top w:val="single" w:sz="4" w:space="0" w:color="000000"/>
              <w:left w:val="single" w:sz="10" w:space="0" w:color="FFFFFF"/>
              <w:bottom w:val="single" w:sz="4" w:space="0" w:color="000000"/>
              <w:right w:val="single" w:sz="10" w:space="0" w:color="FFFFFF"/>
            </w:tcBorders>
          </w:tcPr>
          <w:p>
            <w:pPr>
              <w:pStyle w:val="TableParagraph"/>
              <w:spacing w:line="240" w:lineRule="auto" w:before="54"/>
              <w:ind w:left="16"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bl>
    <w:p>
      <w:pPr>
        <w:pStyle w:val="BodyText"/>
        <w:spacing w:line="240" w:lineRule="auto" w:before="56"/>
        <w:ind w:right="855"/>
        <w:jc w:val="left"/>
      </w:pPr>
      <w:r>
        <w:rPr/>
        <w:pict>
          <v:shape style="position:absolute;margin-left:299.090881pt;margin-top:-20.072273pt;width:236.1pt;height:19.5pt;mso-position-horizontal-relative:page;mso-position-vertical-relative:paragraph;z-index:-982432" type="#_x0000_t202" filled="false" stroked="false">
            <v:textbox inset="0,0,0,0">
              <w:txbxContent>
                <w:p>
                  <w:pPr>
                    <w:pStyle w:val="BodyText"/>
                    <w:spacing w:line="240" w:lineRule="auto" w:before="54"/>
                    <w:ind w:left="0" w:right="0"/>
                    <w:jc w:val="left"/>
                  </w:pPr>
                  <w:r>
                    <w:rPr>
                      <w:w w:val="101"/>
                    </w:rPr>
                    <w:t>：</w:t>
                  </w:r>
                  <w:r>
                    <w:rPr/>
                  </w:r>
                </w:p>
              </w:txbxContent>
            </v:textbox>
            <w10:wrap type="none"/>
          </v:shape>
        </w:pict>
      </w:r>
      <w:r>
        <w:rPr>
          <w:w w:val="101"/>
        </w:rPr>
        <w:t>公司近</w:t>
      </w:r>
      <w:r>
        <w:rPr>
          <w:spacing w:val="-47"/>
        </w:rPr>
        <w:t> </w:t>
      </w:r>
      <w:r>
        <w:rPr>
          <w:rFonts w:ascii="Times New Roman" w:hAnsi="Times New Roman" w:cs="Times New Roman" w:eastAsia="Times New Roman" w:hint="default"/>
          <w:w w:val="101"/>
        </w:rPr>
        <w:t>3</w:t>
      </w:r>
      <w:r>
        <w:rPr>
          <w:rFonts w:ascii="Times New Roman" w:hAnsi="Times New Roman" w:cs="Times New Roman" w:eastAsia="Times New Roman" w:hint="default"/>
          <w:spacing w:val="-7"/>
        </w:rPr>
        <w:t> </w:t>
      </w:r>
      <w:r>
        <w:rPr>
          <w:w w:val="101"/>
        </w:rPr>
        <w:t>年</w:t>
      </w:r>
      <w:r>
        <w:rPr>
          <w:spacing w:val="-5"/>
          <w:w w:val="101"/>
        </w:rPr>
        <w:t>（</w:t>
      </w:r>
      <w:r>
        <w:rPr>
          <w:w w:val="101"/>
        </w:rPr>
        <w:t>包</w:t>
      </w:r>
      <w:r>
        <w:rPr>
          <w:spacing w:val="-5"/>
          <w:w w:val="101"/>
        </w:rPr>
        <w:t>括</w:t>
      </w:r>
      <w:r>
        <w:rPr>
          <w:w w:val="101"/>
        </w:rPr>
        <w:t>本</w:t>
      </w:r>
      <w:r>
        <w:rPr>
          <w:spacing w:val="-5"/>
          <w:w w:val="101"/>
        </w:rPr>
        <w:t>报</w:t>
      </w:r>
      <w:r>
        <w:rPr>
          <w:w w:val="101"/>
        </w:rPr>
        <w:t>告</w:t>
      </w:r>
      <w:r>
        <w:rPr>
          <w:spacing w:val="-5"/>
          <w:w w:val="101"/>
        </w:rPr>
        <w:t>期</w:t>
      </w:r>
      <w:r>
        <w:rPr>
          <w:w w:val="101"/>
        </w:rPr>
        <w:t>）</w:t>
      </w:r>
      <w:r>
        <w:rPr>
          <w:spacing w:val="-5"/>
          <w:w w:val="101"/>
        </w:rPr>
        <w:t>的</w:t>
      </w:r>
      <w:r>
        <w:rPr>
          <w:w w:val="101"/>
        </w:rPr>
        <w:t>普</w:t>
      </w:r>
      <w:r>
        <w:rPr>
          <w:spacing w:val="-5"/>
          <w:w w:val="101"/>
        </w:rPr>
        <w:t>通</w:t>
      </w:r>
      <w:r>
        <w:rPr>
          <w:w w:val="101"/>
        </w:rPr>
        <w:t>股</w:t>
      </w:r>
      <w:r>
        <w:rPr>
          <w:spacing w:val="-5"/>
          <w:w w:val="101"/>
        </w:rPr>
        <w:t>股</w:t>
      </w:r>
      <w:r>
        <w:rPr>
          <w:w w:val="101"/>
        </w:rPr>
        <w:t>利</w:t>
      </w:r>
      <w:r>
        <w:rPr>
          <w:spacing w:val="-5"/>
          <w:w w:val="101"/>
        </w:rPr>
        <w:t>分</w:t>
      </w:r>
      <w:r>
        <w:rPr>
          <w:w w:val="101"/>
        </w:rPr>
        <w:t>配</w:t>
      </w:r>
      <w:r>
        <w:rPr>
          <w:spacing w:val="-5"/>
          <w:w w:val="101"/>
        </w:rPr>
        <w:t>方</w:t>
      </w:r>
      <w:r>
        <w:rPr>
          <w:w w:val="101"/>
        </w:rPr>
        <w:t>案</w:t>
      </w:r>
      <w:r>
        <w:rPr>
          <w:spacing w:val="-5"/>
          <w:w w:val="101"/>
        </w:rPr>
        <w:t>（</w:t>
      </w:r>
      <w:r>
        <w:rPr>
          <w:w w:val="101"/>
        </w:rPr>
        <w:t>预案</w:t>
      </w:r>
      <w:r>
        <w:rPr>
          <w:spacing w:val="-96"/>
          <w:w w:val="101"/>
        </w:rPr>
        <w:t>）</w:t>
      </w:r>
      <w:r>
        <w:rPr>
          <w:w w:val="101"/>
        </w:rPr>
        <w:t>、</w:t>
      </w:r>
      <w:r>
        <w:rPr>
          <w:spacing w:val="-5"/>
          <w:w w:val="101"/>
        </w:rPr>
        <w:t>资</w:t>
      </w:r>
      <w:r>
        <w:rPr>
          <w:w w:val="101"/>
        </w:rPr>
        <w:t>本</w:t>
      </w:r>
      <w:r>
        <w:rPr>
          <w:spacing w:val="-5"/>
          <w:w w:val="101"/>
        </w:rPr>
        <w:t>公</w:t>
      </w:r>
      <w:r>
        <w:rPr>
          <w:w w:val="101"/>
        </w:rPr>
        <w:t>积</w:t>
      </w:r>
      <w:r>
        <w:rPr>
          <w:spacing w:val="-5"/>
          <w:w w:val="101"/>
        </w:rPr>
        <w:t>金</w:t>
      </w:r>
      <w:r>
        <w:rPr>
          <w:w w:val="101"/>
        </w:rPr>
        <w:t>转</w:t>
      </w:r>
      <w:r>
        <w:rPr>
          <w:spacing w:val="-5"/>
          <w:w w:val="101"/>
        </w:rPr>
        <w:t>增</w:t>
      </w:r>
      <w:r>
        <w:rPr>
          <w:w w:val="101"/>
        </w:rPr>
        <w:t>股</w:t>
      </w:r>
      <w:r>
        <w:rPr>
          <w:spacing w:val="-5"/>
          <w:w w:val="101"/>
        </w:rPr>
        <w:t>本</w:t>
      </w:r>
      <w:r>
        <w:rPr>
          <w:w w:val="101"/>
        </w:rPr>
        <w:t>方</w:t>
      </w:r>
      <w:r>
        <w:rPr>
          <w:spacing w:val="-5"/>
          <w:w w:val="101"/>
        </w:rPr>
        <w:t>案</w:t>
      </w:r>
      <w:r>
        <w:rPr>
          <w:w w:val="101"/>
        </w:rPr>
        <w:t>（</w:t>
      </w:r>
      <w:r>
        <w:rPr>
          <w:spacing w:val="-5"/>
          <w:w w:val="101"/>
        </w:rPr>
        <w:t>预</w:t>
      </w:r>
      <w:r>
        <w:rPr>
          <w:w w:val="101"/>
        </w:rPr>
        <w:t>案</w:t>
      </w:r>
      <w:r>
        <w:rPr>
          <w:spacing w:val="-5"/>
          <w:w w:val="101"/>
        </w:rPr>
        <w:t>）</w:t>
      </w:r>
      <w:r>
        <w:rPr>
          <w:w w:val="101"/>
        </w:rPr>
        <w:t>情况</w:t>
      </w:r>
      <w:r>
        <w:rPr/>
      </w:r>
    </w:p>
    <w:p>
      <w:pPr>
        <w:pStyle w:val="BodyText"/>
        <w:spacing w:line="240" w:lineRule="auto" w:before="96"/>
        <w:ind w:left="513" w:right="855"/>
        <w:jc w:val="left"/>
        <w:rPr>
          <w:rFonts w:ascii="Times New Roman" w:hAnsi="Times New Roman" w:cs="Times New Roman" w:eastAsia="Times New Roman" w:hint="default"/>
        </w:rPr>
      </w:pPr>
      <w:r>
        <w:rPr>
          <w:rFonts w:ascii="Times New Roman" w:hAnsi="Times New Roman" w:cs="Times New Roman" w:eastAsia="Times New Roman" w:hint="default"/>
          <w:w w:val="101"/>
        </w:rPr>
        <w:t>1</w:t>
      </w:r>
      <w:r>
        <w:rPr>
          <w:spacing w:val="-72"/>
          <w:w w:val="101"/>
        </w:rPr>
        <w:t>、</w:t>
      </w:r>
      <w:r>
        <w:rPr>
          <w:rFonts w:ascii="Times New Roman" w:hAnsi="Times New Roman" w:cs="Times New Roman" w:eastAsia="Times New Roman" w:hint="default"/>
          <w:w w:val="101"/>
        </w:rPr>
        <w:t>2</w:t>
      </w:r>
      <w:r>
        <w:rPr>
          <w:rFonts w:ascii="Times New Roman" w:hAnsi="Times New Roman" w:cs="Times New Roman" w:eastAsia="Times New Roman" w:hint="default"/>
          <w:spacing w:val="-5"/>
          <w:w w:val="101"/>
        </w:rPr>
        <w:t>0</w:t>
      </w:r>
      <w:r>
        <w:rPr>
          <w:rFonts w:ascii="Times New Roman" w:hAnsi="Times New Roman" w:cs="Times New Roman" w:eastAsia="Times New Roman" w:hint="default"/>
          <w:w w:val="101"/>
        </w:rPr>
        <w:t>19</w:t>
      </w:r>
      <w:r>
        <w:rPr>
          <w:spacing w:val="-5"/>
          <w:w w:val="101"/>
        </w:rPr>
        <w:t>年</w:t>
      </w:r>
      <w:r>
        <w:rPr>
          <w:w w:val="101"/>
        </w:rPr>
        <w:t>度</w:t>
      </w:r>
      <w:r>
        <w:rPr>
          <w:spacing w:val="-5"/>
          <w:w w:val="101"/>
        </w:rPr>
        <w:t>利</w:t>
      </w:r>
      <w:r>
        <w:rPr>
          <w:w w:val="101"/>
        </w:rPr>
        <w:t>润</w:t>
      </w:r>
      <w:r>
        <w:rPr>
          <w:spacing w:val="-5"/>
          <w:w w:val="101"/>
        </w:rPr>
        <w:t>分</w:t>
      </w:r>
      <w:r>
        <w:rPr>
          <w:w w:val="101"/>
        </w:rPr>
        <w:t>配</w:t>
      </w:r>
      <w:r>
        <w:rPr>
          <w:spacing w:val="-5"/>
          <w:w w:val="101"/>
        </w:rPr>
        <w:t>预</w:t>
      </w:r>
      <w:r>
        <w:rPr>
          <w:w w:val="101"/>
        </w:rPr>
        <w:t>案</w:t>
      </w:r>
      <w:r>
        <w:rPr>
          <w:spacing w:val="-77"/>
          <w:w w:val="101"/>
        </w:rPr>
        <w:t>：</w:t>
      </w:r>
      <w:r>
        <w:rPr>
          <w:w w:val="101"/>
        </w:rPr>
        <w:t>公</w:t>
      </w:r>
      <w:r>
        <w:rPr>
          <w:spacing w:val="-5"/>
          <w:w w:val="101"/>
        </w:rPr>
        <w:t>司</w:t>
      </w:r>
      <w:r>
        <w:rPr>
          <w:w w:val="101"/>
        </w:rPr>
        <w:t>拟</w:t>
      </w:r>
      <w:r>
        <w:rPr>
          <w:spacing w:val="-5"/>
          <w:w w:val="101"/>
        </w:rPr>
        <w:t>以</w:t>
      </w:r>
      <w:r>
        <w:rPr>
          <w:rFonts w:ascii="Times New Roman" w:hAnsi="Times New Roman" w:cs="Times New Roman" w:eastAsia="Times New Roman" w:hint="default"/>
          <w:w w:val="101"/>
        </w:rPr>
        <w:t>202</w:t>
      </w:r>
      <w:r>
        <w:rPr>
          <w:rFonts w:ascii="Times New Roman" w:hAnsi="Times New Roman" w:cs="Times New Roman" w:eastAsia="Times New Roman" w:hint="default"/>
          <w:spacing w:val="-5"/>
          <w:w w:val="101"/>
        </w:rPr>
        <w:t>0</w:t>
      </w:r>
      <w:r>
        <w:rPr>
          <w:w w:val="101"/>
        </w:rPr>
        <w:t>年</w:t>
      </w:r>
      <w:r>
        <w:rPr>
          <w:rFonts w:ascii="Times New Roman" w:hAnsi="Times New Roman" w:cs="Times New Roman" w:eastAsia="Times New Roman" w:hint="default"/>
          <w:spacing w:val="-5"/>
          <w:w w:val="101"/>
        </w:rPr>
        <w:t>4</w:t>
      </w:r>
      <w:r>
        <w:rPr>
          <w:w w:val="101"/>
        </w:rPr>
        <w:t>月</w:t>
      </w:r>
      <w:r>
        <w:rPr>
          <w:rFonts w:ascii="Times New Roman" w:hAnsi="Times New Roman" w:cs="Times New Roman" w:eastAsia="Times New Roman" w:hint="default"/>
          <w:w w:val="101"/>
        </w:rPr>
        <w:t>1</w:t>
      </w:r>
      <w:r>
        <w:rPr>
          <w:rFonts w:ascii="Times New Roman" w:hAnsi="Times New Roman" w:cs="Times New Roman" w:eastAsia="Times New Roman" w:hint="default"/>
          <w:spacing w:val="-5"/>
          <w:w w:val="101"/>
        </w:rPr>
        <w:t>0</w:t>
      </w:r>
      <w:r>
        <w:rPr>
          <w:w w:val="101"/>
        </w:rPr>
        <w:t>日</w:t>
      </w:r>
      <w:r>
        <w:rPr>
          <w:spacing w:val="-5"/>
          <w:w w:val="101"/>
        </w:rPr>
        <w:t>的</w:t>
      </w:r>
      <w:r>
        <w:rPr>
          <w:w w:val="101"/>
        </w:rPr>
        <w:t>总</w:t>
      </w:r>
      <w:r>
        <w:rPr>
          <w:spacing w:val="-5"/>
          <w:w w:val="101"/>
        </w:rPr>
        <w:t>股</w:t>
      </w:r>
      <w:r>
        <w:rPr>
          <w:spacing w:val="-1"/>
          <w:w w:val="101"/>
        </w:rPr>
        <w:t>本</w:t>
      </w:r>
      <w:r>
        <w:rPr>
          <w:rFonts w:ascii="Times New Roman" w:hAnsi="Times New Roman" w:cs="Times New Roman" w:eastAsia="Times New Roman" w:hint="default"/>
          <w:w w:val="101"/>
        </w:rPr>
        <w:t>3</w:t>
      </w:r>
      <w:r>
        <w:rPr>
          <w:rFonts w:ascii="Times New Roman" w:hAnsi="Times New Roman" w:cs="Times New Roman" w:eastAsia="Times New Roman" w:hint="default"/>
          <w:spacing w:val="-5"/>
          <w:w w:val="101"/>
        </w:rPr>
        <w:t>8</w:t>
      </w:r>
      <w:r>
        <w:rPr>
          <w:rFonts w:ascii="Times New Roman" w:hAnsi="Times New Roman" w:cs="Times New Roman" w:eastAsia="Times New Roman" w:hint="default"/>
          <w:w w:val="101"/>
        </w:rPr>
        <w:t>1</w:t>
      </w:r>
      <w:r>
        <w:rPr>
          <w:rFonts w:ascii="Times New Roman" w:hAnsi="Times New Roman" w:cs="Times New Roman" w:eastAsia="Times New Roman" w:hint="default"/>
          <w:spacing w:val="2"/>
          <w:w w:val="101"/>
        </w:rPr>
        <w:t>,</w:t>
      </w:r>
      <w:r>
        <w:rPr>
          <w:rFonts w:ascii="Times New Roman" w:hAnsi="Times New Roman" w:cs="Times New Roman" w:eastAsia="Times New Roman" w:hint="default"/>
          <w:w w:val="101"/>
        </w:rPr>
        <w:t>1</w:t>
      </w:r>
      <w:r>
        <w:rPr>
          <w:rFonts w:ascii="Times New Roman" w:hAnsi="Times New Roman" w:cs="Times New Roman" w:eastAsia="Times New Roman" w:hint="default"/>
          <w:spacing w:val="-5"/>
          <w:w w:val="101"/>
        </w:rPr>
        <w:t>6</w:t>
      </w:r>
      <w:r>
        <w:rPr>
          <w:rFonts w:ascii="Times New Roman" w:hAnsi="Times New Roman" w:cs="Times New Roman" w:eastAsia="Times New Roman" w:hint="default"/>
          <w:w w:val="101"/>
        </w:rPr>
        <w:t>5</w:t>
      </w:r>
      <w:r>
        <w:rPr>
          <w:rFonts w:ascii="Times New Roman" w:hAnsi="Times New Roman" w:cs="Times New Roman" w:eastAsia="Times New Roman" w:hint="default"/>
          <w:spacing w:val="-3"/>
          <w:w w:val="101"/>
        </w:rPr>
        <w:t>,</w:t>
      </w:r>
      <w:r>
        <w:rPr>
          <w:rFonts w:ascii="Times New Roman" w:hAnsi="Times New Roman" w:cs="Times New Roman" w:eastAsia="Times New Roman" w:hint="default"/>
          <w:w w:val="101"/>
        </w:rPr>
        <w:t>67</w:t>
      </w:r>
      <w:r>
        <w:rPr>
          <w:rFonts w:ascii="Times New Roman" w:hAnsi="Times New Roman" w:cs="Times New Roman" w:eastAsia="Times New Roman" w:hint="default"/>
          <w:spacing w:val="-5"/>
          <w:w w:val="101"/>
        </w:rPr>
        <w:t>7</w:t>
      </w:r>
      <w:r>
        <w:rPr>
          <w:w w:val="101"/>
        </w:rPr>
        <w:t>股</w:t>
      </w:r>
      <w:r>
        <w:rPr>
          <w:spacing w:val="-5"/>
          <w:w w:val="101"/>
        </w:rPr>
        <w:t>为</w:t>
      </w:r>
      <w:r>
        <w:rPr>
          <w:w w:val="101"/>
        </w:rPr>
        <w:t>基</w:t>
      </w:r>
      <w:r>
        <w:rPr>
          <w:spacing w:val="-5"/>
          <w:w w:val="101"/>
        </w:rPr>
        <w:t>数</w:t>
      </w:r>
      <w:r>
        <w:rPr>
          <w:spacing w:val="-73"/>
          <w:w w:val="101"/>
        </w:rPr>
        <w:t>，</w:t>
      </w:r>
      <w:r>
        <w:rPr>
          <w:spacing w:val="-5"/>
          <w:w w:val="101"/>
        </w:rPr>
        <w:t>向</w:t>
      </w:r>
      <w:r>
        <w:rPr>
          <w:w w:val="101"/>
        </w:rPr>
        <w:t>全</w:t>
      </w:r>
      <w:r>
        <w:rPr>
          <w:spacing w:val="-5"/>
          <w:w w:val="101"/>
        </w:rPr>
        <w:t>体</w:t>
      </w:r>
      <w:r>
        <w:rPr>
          <w:w w:val="101"/>
        </w:rPr>
        <w:t>股</w:t>
      </w:r>
      <w:r>
        <w:rPr>
          <w:spacing w:val="-5"/>
          <w:w w:val="101"/>
        </w:rPr>
        <w:t>东</w:t>
      </w:r>
      <w:r>
        <w:rPr>
          <w:w w:val="101"/>
        </w:rPr>
        <w:t>每</w:t>
      </w:r>
      <w:r>
        <w:rPr>
          <w:rFonts w:ascii="Times New Roman" w:hAnsi="Times New Roman" w:cs="Times New Roman" w:eastAsia="Times New Roman" w:hint="default"/>
          <w:w w:val="101"/>
        </w:rPr>
        <w:t>1</w:t>
      </w:r>
      <w:r>
        <w:rPr>
          <w:rFonts w:ascii="Times New Roman" w:hAnsi="Times New Roman" w:cs="Times New Roman" w:eastAsia="Times New Roman" w:hint="default"/>
          <w:spacing w:val="-5"/>
          <w:w w:val="101"/>
        </w:rPr>
        <w:t>0</w:t>
      </w:r>
      <w:r>
        <w:rPr>
          <w:w w:val="101"/>
        </w:rPr>
        <w:t>股</w:t>
      </w:r>
      <w:r>
        <w:rPr>
          <w:spacing w:val="-5"/>
          <w:w w:val="101"/>
        </w:rPr>
        <w:t>派</w:t>
      </w:r>
      <w:r>
        <w:rPr>
          <w:w w:val="101"/>
        </w:rPr>
        <w:t>发</w:t>
      </w:r>
      <w:r>
        <w:rPr>
          <w:spacing w:val="-5"/>
          <w:w w:val="101"/>
        </w:rPr>
        <w:t>现</w:t>
      </w:r>
      <w:r>
        <w:rPr>
          <w:w w:val="101"/>
        </w:rPr>
        <w:t>金</w:t>
      </w:r>
      <w:r>
        <w:rPr>
          <w:spacing w:val="-5"/>
          <w:w w:val="101"/>
        </w:rPr>
        <w:t>红</w:t>
      </w:r>
      <w:r>
        <w:rPr>
          <w:w w:val="101"/>
        </w:rPr>
        <w:t>利</w:t>
      </w:r>
      <w:r>
        <w:rPr>
          <w:rFonts w:ascii="Times New Roman" w:hAnsi="Times New Roman" w:cs="Times New Roman" w:eastAsia="Times New Roman" w:hint="default"/>
          <w:spacing w:val="-5"/>
          <w:w w:val="101"/>
        </w:rPr>
        <w:t>0</w:t>
      </w:r>
      <w:r>
        <w:rPr>
          <w:rFonts w:ascii="Times New Roman" w:hAnsi="Times New Roman" w:cs="Times New Roman" w:eastAsia="Times New Roman" w:hint="default"/>
          <w:spacing w:val="2"/>
          <w:w w:val="101"/>
        </w:rPr>
        <w:t>.</w:t>
      </w:r>
      <w:r>
        <w:rPr>
          <w:rFonts w:ascii="Times New Roman" w:hAnsi="Times New Roman" w:cs="Times New Roman" w:eastAsia="Times New Roman" w:hint="default"/>
          <w:w w:val="101"/>
        </w:rPr>
        <w:t>50</w:t>
      </w:r>
      <w:r>
        <w:rPr>
          <w:rFonts w:ascii="Times New Roman" w:hAnsi="Times New Roman" w:cs="Times New Roman" w:eastAsia="Times New Roman" w:hint="default"/>
        </w:rPr>
      </w:r>
    </w:p>
    <w:p>
      <w:pPr>
        <w:pStyle w:val="BodyText"/>
        <w:spacing w:line="240" w:lineRule="auto" w:before="63"/>
        <w:ind w:right="855"/>
        <w:jc w:val="left"/>
      </w:pPr>
      <w:r>
        <w:rPr>
          <w:spacing w:val="-2"/>
        </w:rPr>
        <w:t>元（含税），合计派发现金红利</w:t>
      </w:r>
      <w:r>
        <w:rPr>
          <w:rFonts w:ascii="Times New Roman" w:hAnsi="Times New Roman" w:cs="Times New Roman" w:eastAsia="Times New Roman" w:hint="default"/>
          <w:spacing w:val="-2"/>
        </w:rPr>
        <w:t>19,058,283.85</w:t>
      </w:r>
      <w:r>
        <w:rPr>
          <w:spacing w:val="-2"/>
        </w:rPr>
        <w:t>元（含税）。</w:t>
      </w:r>
    </w:p>
    <w:p>
      <w:pPr>
        <w:pStyle w:val="BodyText"/>
        <w:spacing w:line="300" w:lineRule="auto" w:before="63"/>
        <w:ind w:right="1126" w:firstLine="360"/>
        <w:jc w:val="both"/>
      </w:pPr>
      <w:r>
        <w:rPr>
          <w:rFonts w:ascii="Times New Roman" w:hAnsi="Times New Roman" w:cs="Times New Roman" w:eastAsia="Times New Roman" w:hint="default"/>
          <w:spacing w:val="-4"/>
        </w:rPr>
        <w:t>2</w:t>
      </w:r>
      <w:r>
        <w:rPr>
          <w:spacing w:val="-4"/>
        </w:rPr>
        <w:t>、</w:t>
      </w:r>
      <w:r>
        <w:rPr>
          <w:rFonts w:ascii="Times New Roman" w:hAnsi="Times New Roman" w:cs="Times New Roman" w:eastAsia="Times New Roman" w:hint="default"/>
          <w:spacing w:val="-4"/>
        </w:rPr>
        <w:t>2018</w:t>
      </w:r>
      <w:r>
        <w:rPr>
          <w:spacing w:val="-4"/>
        </w:rPr>
        <w:t>年度利润分配方案：公司以</w:t>
      </w: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31</w:t>
      </w:r>
      <w:r>
        <w:rPr>
          <w:spacing w:val="-4"/>
        </w:rPr>
        <w:t>日的总股本</w:t>
      </w:r>
      <w:r>
        <w:rPr>
          <w:rFonts w:ascii="Times New Roman" w:hAnsi="Times New Roman" w:cs="Times New Roman" w:eastAsia="Times New Roman" w:hint="default"/>
          <w:spacing w:val="-4"/>
        </w:rPr>
        <w:t>246,606,046</w:t>
      </w:r>
      <w:r>
        <w:rPr>
          <w:spacing w:val="-4"/>
        </w:rPr>
        <w:t>股为基数，向全体股东每</w:t>
      </w:r>
      <w:r>
        <w:rPr>
          <w:rFonts w:ascii="Times New Roman" w:hAnsi="Times New Roman" w:cs="Times New Roman" w:eastAsia="Times New Roman" w:hint="default"/>
          <w:spacing w:val="-4"/>
        </w:rPr>
        <w:t>10</w:t>
      </w:r>
      <w:r>
        <w:rPr>
          <w:spacing w:val="-4"/>
        </w:rPr>
        <w:t>股派发现金红利</w:t>
      </w:r>
      <w:r>
        <w:rPr>
          <w:rFonts w:ascii="Times New Roman" w:hAnsi="Times New Roman" w:cs="Times New Roman" w:eastAsia="Times New Roman" w:hint="default"/>
          <w:spacing w:val="-4"/>
        </w:rPr>
        <w:t>0.50</w:t>
      </w:r>
      <w:r>
        <w:rPr>
          <w:rFonts w:ascii="Times New Roman" w:hAnsi="Times New Roman" w:cs="Times New Roman" w:eastAsia="Times New Roman" w:hint="default"/>
          <w:w w:val="101"/>
        </w:rPr>
        <w:t> </w:t>
      </w:r>
      <w:r>
        <w:rPr>
          <w:spacing w:val="-3"/>
        </w:rPr>
        <w:t>元（含税），合计派发现金红利</w:t>
      </w:r>
      <w:r>
        <w:rPr>
          <w:rFonts w:ascii="Times New Roman" w:hAnsi="Times New Roman" w:cs="Times New Roman" w:eastAsia="Times New Roman" w:hint="default"/>
          <w:spacing w:val="-3"/>
        </w:rPr>
        <w:t>12,330,302.30</w:t>
      </w:r>
      <w:r>
        <w:rPr>
          <w:spacing w:val="-3"/>
        </w:rPr>
        <w:t>元（含税）。同时，进行资本公积金转增股本，以公司现有总股本</w:t>
      </w:r>
      <w:r>
        <w:rPr>
          <w:rFonts w:ascii="Times New Roman" w:hAnsi="Times New Roman" w:cs="Times New Roman" w:eastAsia="Times New Roman" w:hint="default"/>
          <w:spacing w:val="-3"/>
        </w:rPr>
        <w:t>246,606,046</w:t>
      </w:r>
      <w:r>
        <w:rPr>
          <w:rFonts w:ascii="Times New Roman" w:hAnsi="Times New Roman" w:cs="Times New Roman" w:eastAsia="Times New Roman" w:hint="default"/>
          <w:spacing w:val="28"/>
        </w:rPr>
        <w:t> </w:t>
      </w:r>
      <w:r>
        <w:rPr>
          <w:rFonts w:ascii="Times New Roman" w:hAnsi="Times New Roman" w:cs="Times New Roman" w:eastAsia="Times New Roman" w:hint="default"/>
          <w:spacing w:val="28"/>
        </w:rPr>
      </w:r>
      <w:r>
        <w:rPr>
          <w:spacing w:val="-3"/>
        </w:rPr>
        <w:t>股为基数，向全体股东每</w:t>
      </w:r>
      <w:r>
        <w:rPr>
          <w:rFonts w:ascii="Times New Roman" w:hAnsi="Times New Roman" w:cs="Times New Roman" w:eastAsia="Times New Roman" w:hint="default"/>
          <w:spacing w:val="-3"/>
        </w:rPr>
        <w:t>10</w:t>
      </w:r>
      <w:r>
        <w:rPr>
          <w:spacing w:val="-3"/>
        </w:rPr>
        <w:t>股转增</w:t>
      </w:r>
      <w:r>
        <w:rPr>
          <w:rFonts w:ascii="Times New Roman" w:hAnsi="Times New Roman" w:cs="Times New Roman" w:eastAsia="Times New Roman" w:hint="default"/>
          <w:spacing w:val="-3"/>
        </w:rPr>
        <w:t>3</w:t>
      </w:r>
      <w:r>
        <w:rPr>
          <w:spacing w:val="-3"/>
        </w:rPr>
        <w:t>股，合计转增股本</w:t>
      </w:r>
      <w:r>
        <w:rPr>
          <w:rFonts w:ascii="Times New Roman" w:hAnsi="Times New Roman" w:cs="Times New Roman" w:eastAsia="Times New Roman" w:hint="default"/>
          <w:spacing w:val="-3"/>
        </w:rPr>
        <w:t>73,981,813</w:t>
      </w:r>
      <w:r>
        <w:rPr>
          <w:spacing w:val="-3"/>
        </w:rPr>
        <w:t>股，转增后公司总股本增加至</w:t>
      </w:r>
      <w:r>
        <w:rPr>
          <w:rFonts w:ascii="Times New Roman" w:hAnsi="Times New Roman" w:cs="Times New Roman" w:eastAsia="Times New Roman" w:hint="default"/>
          <w:spacing w:val="-3"/>
        </w:rPr>
        <w:t>320,587,859</w:t>
      </w:r>
      <w:r>
        <w:rPr>
          <w:spacing w:val="-3"/>
        </w:rPr>
        <w:t>股。</w:t>
      </w:r>
      <w:r>
        <w:rPr/>
      </w:r>
    </w:p>
    <w:p>
      <w:pPr>
        <w:pStyle w:val="BodyText"/>
        <w:spacing w:line="240" w:lineRule="auto" w:before="13"/>
        <w:ind w:left="513" w:right="855"/>
        <w:jc w:val="left"/>
        <w:rPr>
          <w:rFonts w:ascii="Times New Roman" w:hAnsi="Times New Roman" w:cs="Times New Roman" w:eastAsia="Times New Roman" w:hint="default"/>
        </w:rPr>
      </w:pPr>
      <w:r>
        <w:rPr>
          <w:rFonts w:ascii="Times New Roman" w:hAnsi="Times New Roman" w:cs="Times New Roman" w:eastAsia="Times New Roman" w:hint="default"/>
          <w:spacing w:val="-4"/>
        </w:rPr>
        <w:t>3</w:t>
      </w:r>
      <w:r>
        <w:rPr>
          <w:spacing w:val="-4"/>
        </w:rPr>
        <w:t>、</w:t>
      </w:r>
      <w:r>
        <w:rPr>
          <w:rFonts w:ascii="Times New Roman" w:hAnsi="Times New Roman" w:cs="Times New Roman" w:eastAsia="Times New Roman" w:hint="default"/>
          <w:spacing w:val="-4"/>
        </w:rPr>
        <w:t>2017</w:t>
      </w:r>
      <w:r>
        <w:rPr>
          <w:spacing w:val="-4"/>
        </w:rPr>
        <w:t>年度利润分配方案：公司以</w:t>
      </w:r>
      <w:r>
        <w:rPr>
          <w:rFonts w:ascii="Times New Roman" w:hAnsi="Times New Roman" w:cs="Times New Roman" w:eastAsia="Times New Roman" w:hint="default"/>
          <w:spacing w:val="-4"/>
        </w:rPr>
        <w:t>2017</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31</w:t>
      </w:r>
      <w:r>
        <w:rPr>
          <w:spacing w:val="-4"/>
        </w:rPr>
        <w:t>日的总股本</w:t>
      </w:r>
      <w:r>
        <w:rPr>
          <w:rFonts w:ascii="Times New Roman" w:hAnsi="Times New Roman" w:cs="Times New Roman" w:eastAsia="Times New Roman" w:hint="default"/>
          <w:spacing w:val="-4"/>
        </w:rPr>
        <w:t>246,606,046</w:t>
      </w:r>
      <w:r>
        <w:rPr>
          <w:spacing w:val="-4"/>
        </w:rPr>
        <w:t>股为基数，向全体股东每</w:t>
      </w:r>
      <w:r>
        <w:rPr>
          <w:rFonts w:ascii="Times New Roman" w:hAnsi="Times New Roman" w:cs="Times New Roman" w:eastAsia="Times New Roman" w:hint="default"/>
          <w:spacing w:val="-4"/>
        </w:rPr>
        <w:t>10</w:t>
      </w:r>
      <w:r>
        <w:rPr>
          <w:spacing w:val="-4"/>
        </w:rPr>
        <w:t>股派发现金红利</w:t>
      </w:r>
      <w:r>
        <w:rPr>
          <w:rFonts w:ascii="Times New Roman" w:hAnsi="Times New Roman" w:cs="Times New Roman" w:eastAsia="Times New Roman" w:hint="default"/>
          <w:spacing w:val="-4"/>
        </w:rPr>
        <w:t>0.20</w:t>
      </w:r>
    </w:p>
    <w:p>
      <w:pPr>
        <w:pStyle w:val="BodyText"/>
        <w:spacing w:line="343" w:lineRule="auto" w:before="63"/>
        <w:ind w:right="6110"/>
        <w:jc w:val="left"/>
      </w:pPr>
      <w:r>
        <w:rPr>
          <w:spacing w:val="-2"/>
        </w:rPr>
        <w:t>元（含税），合计派发现金红利</w:t>
      </w:r>
      <w:r>
        <w:rPr>
          <w:rFonts w:ascii="Times New Roman" w:hAnsi="Times New Roman" w:cs="Times New Roman" w:eastAsia="Times New Roman" w:hint="default"/>
          <w:spacing w:val="-2"/>
        </w:rPr>
        <w:t>4,932,120.92</w:t>
      </w:r>
      <w:r>
        <w:rPr>
          <w:spacing w:val="-2"/>
        </w:rPr>
        <w:t>元（含税）。</w:t>
      </w:r>
      <w:r>
        <w:rPr>
          <w:spacing w:val="-24"/>
        </w:rPr>
        <w:t> </w:t>
      </w:r>
      <w:r>
        <w:rPr>
          <w:spacing w:val="-24"/>
        </w:rPr>
      </w:r>
      <w:r>
        <w:rPr>
          <w:spacing w:val="-3"/>
        </w:rPr>
        <w:t>公司近三年（包括本报告期）普通股现金分红情况表</w:t>
      </w:r>
    </w:p>
    <w:p>
      <w:pPr>
        <w:pStyle w:val="BodyText"/>
        <w:spacing w:line="240" w:lineRule="auto" w:before="38"/>
        <w:ind w:left="0" w:right="1121"/>
        <w:jc w:val="right"/>
      </w:pPr>
      <w:r>
        <w:rPr>
          <w:spacing w:val="-2"/>
        </w:rPr>
        <w:t>单位：元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850"/>
        <w:gridCol w:w="1138"/>
        <w:gridCol w:w="1133"/>
        <w:gridCol w:w="1416"/>
        <w:gridCol w:w="994"/>
        <w:gridCol w:w="1277"/>
        <w:gridCol w:w="1272"/>
        <w:gridCol w:w="1489"/>
      </w:tblGrid>
      <w:tr>
        <w:trPr>
          <w:trHeight w:val="1964" w:hRule="exact"/>
        </w:trPr>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62"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1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15" w:right="108"/>
              <w:jc w:val="left"/>
              <w:rPr>
                <w:rFonts w:ascii="宋体" w:hAnsi="宋体" w:cs="宋体" w:eastAsia="宋体" w:hint="default"/>
                <w:sz w:val="18"/>
                <w:szCs w:val="18"/>
              </w:rPr>
            </w:pPr>
            <w:r>
              <w:rPr>
                <w:rFonts w:ascii="宋体" w:hAnsi="宋体" w:cs="宋体" w:eastAsia="宋体" w:hint="default"/>
                <w:spacing w:val="-2"/>
                <w:sz w:val="18"/>
                <w:szCs w:val="18"/>
              </w:rPr>
              <w:t>现金分红金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额（含税）</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115" w:right="104"/>
              <w:jc w:val="both"/>
              <w:rPr>
                <w:rFonts w:ascii="宋体" w:hAnsi="宋体" w:cs="宋体" w:eastAsia="宋体" w:hint="default"/>
                <w:sz w:val="18"/>
                <w:szCs w:val="18"/>
              </w:rPr>
            </w:pPr>
            <w:r>
              <w:rPr>
                <w:rFonts w:ascii="宋体" w:hAnsi="宋体" w:cs="宋体" w:eastAsia="宋体" w:hint="default"/>
                <w:spacing w:val="-2"/>
                <w:sz w:val="18"/>
                <w:szCs w:val="18"/>
              </w:rPr>
              <w:t>分红年度合</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并报表中归</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属于上市公</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司普通股股</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东的净利润</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76" w:right="65"/>
              <w:jc w:val="center"/>
              <w:rPr>
                <w:rFonts w:ascii="宋体" w:hAnsi="宋体" w:cs="宋体" w:eastAsia="宋体" w:hint="default"/>
                <w:sz w:val="18"/>
                <w:szCs w:val="18"/>
              </w:rPr>
            </w:pPr>
            <w:r>
              <w:rPr>
                <w:rFonts w:ascii="宋体" w:hAnsi="宋体" w:cs="宋体" w:eastAsia="宋体" w:hint="default"/>
                <w:spacing w:val="-3"/>
                <w:sz w:val="18"/>
                <w:szCs w:val="18"/>
              </w:rPr>
              <w:t>现金分红金额占</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3"/>
                <w:sz w:val="18"/>
                <w:szCs w:val="18"/>
              </w:rPr>
              <w:t>合并报表中归属</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3"/>
                <w:sz w:val="18"/>
                <w:szCs w:val="18"/>
              </w:rPr>
              <w:t>于上市公司普通</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3"/>
                <w:sz w:val="18"/>
                <w:szCs w:val="18"/>
              </w:rPr>
              <w:t>股股东的净利润</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的比率</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43" w:right="0"/>
              <w:jc w:val="both"/>
              <w:rPr>
                <w:rFonts w:ascii="宋体" w:hAnsi="宋体" w:cs="宋体" w:eastAsia="宋体" w:hint="default"/>
                <w:sz w:val="18"/>
                <w:szCs w:val="18"/>
              </w:rPr>
            </w:pPr>
            <w:r>
              <w:rPr>
                <w:rFonts w:ascii="宋体" w:hAnsi="宋体" w:cs="宋体" w:eastAsia="宋体" w:hint="default"/>
                <w:sz w:val="18"/>
                <w:szCs w:val="18"/>
              </w:rPr>
              <w:t>以其他方式</w:t>
            </w:r>
          </w:p>
          <w:p>
            <w:pPr>
              <w:pStyle w:val="TableParagraph"/>
              <w:spacing w:line="319" w:lineRule="auto" w:before="76"/>
              <w:ind w:left="43" w:right="36"/>
              <w:jc w:val="both"/>
              <w:rPr>
                <w:rFonts w:ascii="宋体" w:hAnsi="宋体" w:cs="宋体" w:eastAsia="宋体" w:hint="default"/>
                <w:sz w:val="18"/>
                <w:szCs w:val="18"/>
              </w:rPr>
            </w:pPr>
            <w:r>
              <w:rPr>
                <w:rFonts w:ascii="宋体" w:hAnsi="宋体" w:cs="宋体" w:eastAsia="宋体" w:hint="default"/>
                <w:spacing w:val="-2"/>
                <w:sz w:val="18"/>
                <w:szCs w:val="18"/>
              </w:rPr>
              <w:t>（如回购股</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份）现金分</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红的金额</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91" w:right="89"/>
              <w:jc w:val="both"/>
              <w:rPr>
                <w:rFonts w:ascii="宋体" w:hAnsi="宋体" w:cs="宋体" w:eastAsia="宋体" w:hint="default"/>
                <w:sz w:val="18"/>
                <w:szCs w:val="18"/>
              </w:rPr>
            </w:pPr>
            <w:r>
              <w:rPr>
                <w:rFonts w:ascii="宋体" w:hAnsi="宋体" w:cs="宋体" w:eastAsia="宋体" w:hint="default"/>
                <w:spacing w:val="-2"/>
                <w:sz w:val="18"/>
                <w:szCs w:val="18"/>
              </w:rPr>
              <w:t>以其他方式现</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金分红金额占</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合并报表中归</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属于上市公司</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普通股股东的</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净利润的比例</w:t>
            </w:r>
          </w:p>
        </w:tc>
        <w:tc>
          <w:tcPr>
            <w:tcW w:w="1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91" w:right="0"/>
              <w:jc w:val="left"/>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240" w:lineRule="auto" w:before="76"/>
              <w:ind w:left="23" w:right="-24"/>
              <w:jc w:val="left"/>
              <w:rPr>
                <w:rFonts w:ascii="宋体" w:hAnsi="宋体" w:cs="宋体" w:eastAsia="宋体" w:hint="default"/>
                <w:sz w:val="18"/>
                <w:szCs w:val="18"/>
              </w:rPr>
            </w:pPr>
            <w:r>
              <w:rPr>
                <w:rFonts w:ascii="宋体" w:hAnsi="宋体" w:cs="宋体" w:eastAsia="宋体" w:hint="default"/>
                <w:spacing w:val="-3"/>
                <w:sz w:val="18"/>
                <w:szCs w:val="18"/>
              </w:rPr>
              <w:t>（含其他方式）</w:t>
            </w:r>
          </w:p>
        </w:tc>
        <w:tc>
          <w:tcPr>
            <w:tcW w:w="14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3" w:right="17"/>
              <w:jc w:val="center"/>
              <w:rPr>
                <w:rFonts w:ascii="宋体" w:hAnsi="宋体" w:cs="宋体" w:eastAsia="宋体" w:hint="default"/>
                <w:sz w:val="18"/>
                <w:szCs w:val="18"/>
              </w:rPr>
            </w:pPr>
            <w:r>
              <w:rPr>
                <w:rFonts w:ascii="宋体" w:hAnsi="宋体" w:cs="宋体" w:eastAsia="宋体" w:hint="default"/>
                <w:spacing w:val="-4"/>
                <w:sz w:val="18"/>
                <w:szCs w:val="18"/>
              </w:rPr>
              <w:t>现金分红总额（含</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4"/>
                <w:sz w:val="18"/>
                <w:szCs w:val="18"/>
              </w:rPr>
              <w:t>其他方式）占合并</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3"/>
                <w:sz w:val="18"/>
                <w:szCs w:val="18"/>
              </w:rPr>
              <w:t>报表中归属于上</w:t>
            </w:r>
            <w:r>
              <w:rPr>
                <w:rFonts w:ascii="宋体" w:hAnsi="宋体" w:cs="宋体" w:eastAsia="宋体" w:hint="default"/>
                <w:w w:val="101"/>
                <w:sz w:val="18"/>
                <w:szCs w:val="18"/>
              </w:rPr>
              <w:t> </w:t>
            </w:r>
            <w:r>
              <w:rPr>
                <w:rFonts w:ascii="宋体" w:hAnsi="宋体" w:cs="宋体" w:eastAsia="宋体" w:hint="default"/>
                <w:spacing w:val="-3"/>
                <w:sz w:val="18"/>
                <w:szCs w:val="18"/>
              </w:rPr>
              <w:t>市公司普通股股</w:t>
            </w:r>
            <w:r>
              <w:rPr>
                <w:rFonts w:ascii="宋体" w:hAnsi="宋体" w:cs="宋体" w:eastAsia="宋体" w:hint="default"/>
                <w:w w:val="101"/>
                <w:sz w:val="18"/>
                <w:szCs w:val="18"/>
              </w:rPr>
              <w:t> </w:t>
            </w:r>
            <w:r>
              <w:rPr>
                <w:rFonts w:ascii="宋体" w:hAnsi="宋体" w:cs="宋体" w:eastAsia="宋体" w:hint="default"/>
                <w:spacing w:val="-3"/>
                <w:sz w:val="18"/>
                <w:szCs w:val="18"/>
              </w:rPr>
              <w:t>东的净利润的比</w:t>
            </w:r>
            <w:r>
              <w:rPr>
                <w:rFonts w:ascii="宋体" w:hAnsi="宋体" w:cs="宋体" w:eastAsia="宋体" w:hint="default"/>
                <w:w w:val="101"/>
                <w:sz w:val="18"/>
                <w:szCs w:val="18"/>
              </w:rPr>
              <w:t> </w:t>
            </w:r>
            <w:r>
              <w:rPr>
                <w:rFonts w:ascii="宋体" w:hAnsi="宋体" w:cs="宋体" w:eastAsia="宋体" w:hint="default"/>
                <w:sz w:val="18"/>
                <w:szCs w:val="18"/>
              </w:rPr>
              <w:t>率</w:t>
            </w:r>
          </w:p>
        </w:tc>
      </w:tr>
      <w:tr>
        <w:trPr>
          <w:trHeight w:val="403" w:hRule="exact"/>
        </w:trPr>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7" w:right="0"/>
              <w:jc w:val="left"/>
              <w:rPr>
                <w:rFonts w:ascii="Times New Roman" w:hAnsi="Times New Roman" w:cs="Times New Roman" w:eastAsia="Times New Roman" w:hint="default"/>
                <w:sz w:val="18"/>
                <w:szCs w:val="18"/>
              </w:rPr>
            </w:pPr>
            <w:r>
              <w:rPr>
                <w:rFonts w:ascii="Times New Roman"/>
                <w:sz w:val="18"/>
              </w:rPr>
              <w:t>19,058,283.85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7" w:right="0"/>
              <w:jc w:val="left"/>
              <w:rPr>
                <w:rFonts w:ascii="Times New Roman" w:hAnsi="Times New Roman" w:cs="Times New Roman" w:eastAsia="Times New Roman" w:hint="default"/>
                <w:sz w:val="18"/>
                <w:szCs w:val="18"/>
              </w:rPr>
            </w:pPr>
            <w:r>
              <w:rPr>
                <w:rFonts w:ascii="Times New Roman"/>
                <w:sz w:val="18"/>
              </w:rPr>
              <w:t>59,178,171.08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30" w:right="0"/>
              <w:jc w:val="left"/>
              <w:rPr>
                <w:rFonts w:ascii="Times New Roman" w:hAnsi="Times New Roman" w:cs="Times New Roman" w:eastAsia="Times New Roman" w:hint="default"/>
                <w:sz w:val="18"/>
                <w:szCs w:val="18"/>
              </w:rPr>
            </w:pPr>
            <w:r>
              <w:rPr>
                <w:rFonts w:ascii="Times New Roman"/>
                <w:sz w:val="18"/>
              </w:rPr>
              <w:t>32.20%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43" w:right="0"/>
              <w:jc w:val="left"/>
              <w:rPr>
                <w:rFonts w:ascii="Times New Roman" w:hAnsi="Times New Roman" w:cs="Times New Roman" w:eastAsia="Times New Roman" w:hint="default"/>
                <w:sz w:val="18"/>
                <w:szCs w:val="18"/>
              </w:rPr>
            </w:pPr>
            <w:r>
              <w:rPr>
                <w:rFonts w:ascii="Times New Roman"/>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78" w:right="0"/>
              <w:jc w:val="left"/>
              <w:rPr>
                <w:rFonts w:ascii="Times New Roman" w:hAnsi="Times New Roman" w:cs="Times New Roman" w:eastAsia="Times New Roman" w:hint="default"/>
                <w:sz w:val="18"/>
                <w:szCs w:val="18"/>
              </w:rPr>
            </w:pPr>
            <w:r>
              <w:rPr>
                <w:rFonts w:ascii="Times New Roman"/>
                <w:sz w:val="18"/>
              </w:rPr>
              <w:t>0.00%</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06" w:right="0"/>
              <w:jc w:val="left"/>
              <w:rPr>
                <w:rFonts w:ascii="Times New Roman" w:hAnsi="Times New Roman" w:cs="Times New Roman" w:eastAsia="Times New Roman" w:hint="default"/>
                <w:sz w:val="18"/>
                <w:szCs w:val="18"/>
              </w:rPr>
            </w:pPr>
            <w:r>
              <w:rPr>
                <w:rFonts w:ascii="Times New Roman"/>
                <w:sz w:val="18"/>
              </w:rPr>
              <w:t>19,058,283.85</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98" w:right="0"/>
              <w:jc w:val="left"/>
              <w:rPr>
                <w:rFonts w:ascii="Times New Roman" w:hAnsi="Times New Roman" w:cs="Times New Roman" w:eastAsia="Times New Roman" w:hint="default"/>
                <w:sz w:val="18"/>
                <w:szCs w:val="18"/>
              </w:rPr>
            </w:pPr>
            <w:r>
              <w:rPr>
                <w:rFonts w:ascii="Times New Roman"/>
                <w:sz w:val="18"/>
              </w:rPr>
              <w:t>32.20%</w:t>
            </w:r>
          </w:p>
        </w:tc>
      </w:tr>
    </w:tbl>
    <w:p>
      <w:pPr>
        <w:spacing w:after="0" w:line="240" w:lineRule="auto"/>
        <w:jc w:val="left"/>
        <w:rPr>
          <w:rFonts w:ascii="Times New Roman" w:hAnsi="Times New Roman" w:cs="Times New Roman" w:eastAsia="Times New Roman" w:hint="default"/>
          <w:sz w:val="18"/>
          <w:szCs w:val="18"/>
        </w:rPr>
        <w:sectPr>
          <w:pgSz w:w="11910" w:h="16840"/>
          <w:pgMar w:header="746" w:footer="974" w:top="1060" w:bottom="1160" w:left="980" w:right="0"/>
        </w:sectPr>
      </w:pPr>
    </w:p>
    <w:p>
      <w:pPr>
        <w:spacing w:line="240" w:lineRule="auto" w:before="6"/>
        <w:rPr>
          <w:rFonts w:ascii="宋体" w:hAnsi="宋体" w:cs="宋体" w:eastAsia="宋体" w:hint="default"/>
          <w:sz w:val="28"/>
          <w:szCs w:val="28"/>
        </w:rPr>
      </w:pPr>
    </w:p>
    <w:tbl>
      <w:tblPr>
        <w:tblW w:w="0" w:type="auto"/>
        <w:jc w:val="left"/>
        <w:tblInd w:w="348" w:type="dxa"/>
        <w:tblLayout w:type="fixed"/>
        <w:tblCellMar>
          <w:top w:w="0" w:type="dxa"/>
          <w:left w:w="0" w:type="dxa"/>
          <w:bottom w:w="0" w:type="dxa"/>
          <w:right w:w="0" w:type="dxa"/>
        </w:tblCellMar>
        <w:tblLook w:val="01E0"/>
      </w:tblPr>
      <w:tblGrid>
        <w:gridCol w:w="850"/>
        <w:gridCol w:w="1138"/>
        <w:gridCol w:w="1133"/>
        <w:gridCol w:w="1416"/>
        <w:gridCol w:w="994"/>
        <w:gridCol w:w="1277"/>
        <w:gridCol w:w="1272"/>
        <w:gridCol w:w="1489"/>
      </w:tblGrid>
      <w:tr>
        <w:trPr>
          <w:trHeight w:val="403" w:hRule="exact"/>
        </w:trPr>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12,330,302.30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74,771,358.39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16.49%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12,330,302.30</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16.49%</w:t>
            </w:r>
          </w:p>
        </w:tc>
      </w:tr>
      <w:tr>
        <w:trPr>
          <w:trHeight w:val="403" w:hRule="exact"/>
        </w:trPr>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4,932,120.92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21,984,499.53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22.43%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4,932,120.92</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22.43%</w:t>
            </w:r>
          </w:p>
        </w:tc>
      </w:tr>
    </w:tbl>
    <w:p>
      <w:pPr>
        <w:pStyle w:val="BodyText"/>
        <w:spacing w:line="240" w:lineRule="auto" w:before="54"/>
        <w:ind w:left="353" w:right="1030"/>
        <w:jc w:val="left"/>
      </w:pPr>
      <w:r>
        <w:rPr>
          <w:spacing w:val="-3"/>
        </w:rPr>
        <w:t>公司报告期内盈利且母公司可供普通股股东分配利润为正但未提出普通股现金红利分配预案</w:t>
      </w:r>
    </w:p>
    <w:p>
      <w:pPr>
        <w:pStyle w:val="BodyText"/>
        <w:spacing w:line="240" w:lineRule="auto" w:before="110"/>
        <w:ind w:left="353" w:right="103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5"/>
        <w:rPr>
          <w:rFonts w:ascii="宋体" w:hAnsi="宋体" w:cs="宋体" w:eastAsia="宋体" w:hint="default"/>
          <w:sz w:val="24"/>
          <w:szCs w:val="24"/>
        </w:rPr>
      </w:pPr>
    </w:p>
    <w:p>
      <w:pPr>
        <w:pStyle w:val="Heading2"/>
        <w:spacing w:line="240" w:lineRule="auto"/>
        <w:ind w:left="353" w:right="1030"/>
        <w:jc w:val="left"/>
        <w:rPr>
          <w:b w:val="0"/>
          <w:bCs w:val="0"/>
        </w:rPr>
      </w:pPr>
      <w:r>
        <w:rPr/>
        <w:t>二、本报告期利润分配及资本公积金转增股本情况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353" w:right="103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1"/>
        </w:rPr>
        <w:t> </w:t>
      </w:r>
      <w:r>
        <w:rPr/>
        <w:t>不适用</w:t>
      </w:r>
    </w:p>
    <w:p>
      <w:pPr>
        <w:spacing w:line="240" w:lineRule="auto" w:before="13"/>
        <w:rPr>
          <w:rFonts w:ascii="宋体" w:hAnsi="宋体" w:cs="宋体" w:eastAsia="宋体" w:hint="default"/>
          <w:sz w:val="6"/>
          <w:szCs w:val="6"/>
        </w:rPr>
      </w:pPr>
    </w:p>
    <w:tbl>
      <w:tblPr>
        <w:tblW w:w="0" w:type="auto"/>
        <w:jc w:val="left"/>
        <w:tblInd w:w="348" w:type="dxa"/>
        <w:tblLayout w:type="fixed"/>
        <w:tblCellMar>
          <w:top w:w="0" w:type="dxa"/>
          <w:left w:w="0" w:type="dxa"/>
          <w:bottom w:w="0" w:type="dxa"/>
          <w:right w:w="0" w:type="dxa"/>
        </w:tblCellMar>
        <w:tblLook w:val="01E0"/>
      </w:tblPr>
      <w:tblGrid>
        <w:gridCol w:w="4111"/>
        <w:gridCol w:w="5460"/>
      </w:tblGrid>
      <w:tr>
        <w:trPr>
          <w:trHeight w:val="403" w:hRule="exact"/>
        </w:trPr>
        <w:tc>
          <w:tcPr>
            <w:tcW w:w="41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股送红股数（股）</w:t>
            </w:r>
          </w:p>
        </w:tc>
        <w:tc>
          <w:tcPr>
            <w:tcW w:w="5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398" w:hRule="exact"/>
        </w:trPr>
        <w:tc>
          <w:tcPr>
            <w:tcW w:w="41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每</w:t>
            </w:r>
            <w:r>
              <w:rPr>
                <w:rFonts w:ascii="宋体" w:hAnsi="宋体" w:cs="宋体" w:eastAsia="宋体" w:hint="default"/>
                <w:spacing w:val="-47"/>
                <w:sz w:val="18"/>
                <w:szCs w:val="18"/>
              </w:rPr>
              <w:t> </w:t>
            </w:r>
            <w:r>
              <w:rPr>
                <w:rFonts w:ascii="Times New Roman" w:hAnsi="Times New Roman" w:cs="Times New Roman" w:eastAsia="Times New Roman" w:hint="default"/>
                <w:w w:val="101"/>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w w:val="101"/>
                <w:sz w:val="18"/>
                <w:szCs w:val="18"/>
              </w:rPr>
              <w:t>股</w:t>
            </w:r>
            <w:r>
              <w:rPr>
                <w:rFonts w:ascii="宋体" w:hAnsi="宋体" w:cs="宋体" w:eastAsia="宋体" w:hint="default"/>
                <w:spacing w:val="-5"/>
                <w:w w:val="101"/>
                <w:sz w:val="18"/>
                <w:szCs w:val="18"/>
              </w:rPr>
              <w:t>派</w:t>
            </w:r>
            <w:r>
              <w:rPr>
                <w:rFonts w:ascii="宋体" w:hAnsi="宋体" w:cs="宋体" w:eastAsia="宋体" w:hint="default"/>
                <w:w w:val="101"/>
                <w:sz w:val="18"/>
                <w:szCs w:val="18"/>
              </w:rPr>
              <w:t>息</w:t>
            </w:r>
            <w:r>
              <w:rPr>
                <w:rFonts w:ascii="宋体" w:hAnsi="宋体" w:cs="宋体" w:eastAsia="宋体" w:hint="default"/>
                <w:spacing w:val="-5"/>
                <w:w w:val="101"/>
                <w:sz w:val="18"/>
                <w:szCs w:val="18"/>
              </w:rPr>
              <w:t>数</w:t>
            </w:r>
            <w:r>
              <w:rPr>
                <w:rFonts w:ascii="宋体" w:hAnsi="宋体" w:cs="宋体" w:eastAsia="宋体" w:hint="default"/>
                <w:w w:val="101"/>
                <w:sz w:val="18"/>
                <w:szCs w:val="18"/>
              </w:rPr>
              <w:t>（</w:t>
            </w:r>
            <w:r>
              <w:rPr>
                <w:rFonts w:ascii="宋体" w:hAnsi="宋体" w:cs="宋体" w:eastAsia="宋体" w:hint="default"/>
                <w:spacing w:val="-5"/>
                <w:w w:val="101"/>
                <w:sz w:val="18"/>
                <w:szCs w:val="18"/>
              </w:rPr>
              <w:t>元</w:t>
            </w:r>
            <w:r>
              <w:rPr>
                <w:rFonts w:ascii="宋体" w:hAnsi="宋体" w:cs="宋体" w:eastAsia="宋体" w:hint="default"/>
                <w:spacing w:val="-92"/>
                <w:w w:val="101"/>
                <w:sz w:val="18"/>
                <w:szCs w:val="18"/>
              </w:rPr>
              <w:t>）</w:t>
            </w:r>
            <w:r>
              <w:rPr>
                <w:rFonts w:ascii="宋体" w:hAnsi="宋体" w:cs="宋体" w:eastAsia="宋体" w:hint="default"/>
                <w:spacing w:val="-5"/>
                <w:w w:val="101"/>
                <w:sz w:val="18"/>
                <w:szCs w:val="18"/>
              </w:rPr>
              <w:t>（</w:t>
            </w:r>
            <w:r>
              <w:rPr>
                <w:rFonts w:ascii="宋体" w:hAnsi="宋体" w:cs="宋体" w:eastAsia="宋体" w:hint="default"/>
                <w:w w:val="101"/>
                <w:sz w:val="18"/>
                <w:szCs w:val="18"/>
              </w:rPr>
              <w:t>含</w:t>
            </w:r>
            <w:r>
              <w:rPr>
                <w:rFonts w:ascii="宋体" w:hAnsi="宋体" w:cs="宋体" w:eastAsia="宋体" w:hint="default"/>
                <w:spacing w:val="-5"/>
                <w:w w:val="101"/>
                <w:sz w:val="18"/>
                <w:szCs w:val="18"/>
              </w:rPr>
              <w:t>税</w:t>
            </w:r>
            <w:r>
              <w:rPr>
                <w:rFonts w:ascii="宋体" w:hAnsi="宋体" w:cs="宋体" w:eastAsia="宋体" w:hint="default"/>
                <w:w w:val="101"/>
                <w:sz w:val="18"/>
                <w:szCs w:val="18"/>
              </w:rPr>
              <w:t>）</w:t>
            </w:r>
            <w:r>
              <w:rPr>
                <w:rFonts w:ascii="宋体" w:hAnsi="宋体" w:cs="宋体" w:eastAsia="宋体" w:hint="default"/>
                <w:sz w:val="18"/>
                <w:szCs w:val="18"/>
              </w:rPr>
            </w:r>
          </w:p>
        </w:tc>
        <w:tc>
          <w:tcPr>
            <w:tcW w:w="5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0.5</w:t>
            </w:r>
          </w:p>
        </w:tc>
      </w:tr>
      <w:tr>
        <w:trPr>
          <w:trHeight w:val="403" w:hRule="exact"/>
        </w:trPr>
        <w:tc>
          <w:tcPr>
            <w:tcW w:w="41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每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2"/>
                <w:sz w:val="18"/>
                <w:szCs w:val="18"/>
              </w:rPr>
              <w:t> </w:t>
            </w:r>
            <w:r>
              <w:rPr>
                <w:rFonts w:ascii="宋体" w:hAnsi="宋体" w:cs="宋体" w:eastAsia="宋体" w:hint="default"/>
                <w:spacing w:val="-3"/>
                <w:sz w:val="18"/>
                <w:szCs w:val="18"/>
              </w:rPr>
              <w:t>股转增数（股）</w:t>
            </w:r>
          </w:p>
        </w:tc>
        <w:tc>
          <w:tcPr>
            <w:tcW w:w="5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404" w:hRule="exact"/>
        </w:trPr>
        <w:tc>
          <w:tcPr>
            <w:tcW w:w="41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分配预案的股本基数（股）</w:t>
            </w:r>
          </w:p>
        </w:tc>
        <w:tc>
          <w:tcPr>
            <w:tcW w:w="5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381,165,677</w:t>
            </w:r>
          </w:p>
        </w:tc>
      </w:tr>
      <w:tr>
        <w:trPr>
          <w:trHeight w:val="403" w:hRule="exact"/>
        </w:trPr>
        <w:tc>
          <w:tcPr>
            <w:tcW w:w="41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现</w:t>
            </w:r>
            <w:r>
              <w:rPr>
                <w:rFonts w:ascii="宋体" w:hAnsi="宋体" w:cs="宋体" w:eastAsia="宋体" w:hint="default"/>
                <w:spacing w:val="-5"/>
                <w:w w:val="101"/>
                <w:sz w:val="18"/>
                <w:szCs w:val="18"/>
              </w:rPr>
              <w:t>金</w:t>
            </w:r>
            <w:r>
              <w:rPr>
                <w:rFonts w:ascii="宋体" w:hAnsi="宋体" w:cs="宋体" w:eastAsia="宋体" w:hint="default"/>
                <w:w w:val="101"/>
                <w:sz w:val="18"/>
                <w:szCs w:val="18"/>
              </w:rPr>
              <w:t>分</w:t>
            </w:r>
            <w:r>
              <w:rPr>
                <w:rFonts w:ascii="宋体" w:hAnsi="宋体" w:cs="宋体" w:eastAsia="宋体" w:hint="default"/>
                <w:spacing w:val="-5"/>
                <w:w w:val="101"/>
                <w:sz w:val="18"/>
                <w:szCs w:val="18"/>
              </w:rPr>
              <w:t>红</w:t>
            </w:r>
            <w:r>
              <w:rPr>
                <w:rFonts w:ascii="宋体" w:hAnsi="宋体" w:cs="宋体" w:eastAsia="宋体" w:hint="default"/>
                <w:w w:val="101"/>
                <w:sz w:val="18"/>
                <w:szCs w:val="18"/>
              </w:rPr>
              <w:t>金</w:t>
            </w:r>
            <w:r>
              <w:rPr>
                <w:rFonts w:ascii="宋体" w:hAnsi="宋体" w:cs="宋体" w:eastAsia="宋体" w:hint="default"/>
                <w:spacing w:val="-5"/>
                <w:w w:val="101"/>
                <w:sz w:val="18"/>
                <w:szCs w:val="18"/>
              </w:rPr>
              <w:t>额</w:t>
            </w:r>
            <w:r>
              <w:rPr>
                <w:rFonts w:ascii="宋体" w:hAnsi="宋体" w:cs="宋体" w:eastAsia="宋体" w:hint="default"/>
                <w:w w:val="101"/>
                <w:sz w:val="18"/>
                <w:szCs w:val="18"/>
              </w:rPr>
              <w:t>（元</w:t>
            </w:r>
            <w:r>
              <w:rPr>
                <w:rFonts w:ascii="宋体" w:hAnsi="宋体" w:cs="宋体" w:eastAsia="宋体" w:hint="default"/>
                <w:spacing w:val="-96"/>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含</w:t>
            </w:r>
            <w:r>
              <w:rPr>
                <w:rFonts w:ascii="宋体" w:hAnsi="宋体" w:cs="宋体" w:eastAsia="宋体" w:hint="default"/>
                <w:w w:val="101"/>
                <w:sz w:val="18"/>
                <w:szCs w:val="18"/>
              </w:rPr>
              <w:t>税）</w:t>
            </w:r>
            <w:r>
              <w:rPr>
                <w:rFonts w:ascii="宋体" w:hAnsi="宋体" w:cs="宋体" w:eastAsia="宋体" w:hint="default"/>
                <w:sz w:val="18"/>
                <w:szCs w:val="18"/>
              </w:rPr>
            </w:r>
          </w:p>
        </w:tc>
        <w:tc>
          <w:tcPr>
            <w:tcW w:w="5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19,058,283.85</w:t>
            </w:r>
          </w:p>
        </w:tc>
      </w:tr>
      <w:tr>
        <w:trPr>
          <w:trHeight w:val="398" w:hRule="exact"/>
        </w:trPr>
        <w:tc>
          <w:tcPr>
            <w:tcW w:w="41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以其他方式（如回购股份）现金分红金额（元）</w:t>
            </w:r>
          </w:p>
        </w:tc>
        <w:tc>
          <w:tcPr>
            <w:tcW w:w="5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41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现</w:t>
            </w:r>
            <w:r>
              <w:rPr>
                <w:rFonts w:ascii="宋体" w:hAnsi="宋体" w:cs="宋体" w:eastAsia="宋体" w:hint="default"/>
                <w:spacing w:val="-5"/>
                <w:w w:val="101"/>
                <w:sz w:val="18"/>
                <w:szCs w:val="18"/>
              </w:rPr>
              <w:t>金</w:t>
            </w:r>
            <w:r>
              <w:rPr>
                <w:rFonts w:ascii="宋体" w:hAnsi="宋体" w:cs="宋体" w:eastAsia="宋体" w:hint="default"/>
                <w:w w:val="101"/>
                <w:sz w:val="18"/>
                <w:szCs w:val="18"/>
              </w:rPr>
              <w:t>分</w:t>
            </w:r>
            <w:r>
              <w:rPr>
                <w:rFonts w:ascii="宋体" w:hAnsi="宋体" w:cs="宋体" w:eastAsia="宋体" w:hint="default"/>
                <w:spacing w:val="-5"/>
                <w:w w:val="101"/>
                <w:sz w:val="18"/>
                <w:szCs w:val="18"/>
              </w:rPr>
              <w:t>红</w:t>
            </w:r>
            <w:r>
              <w:rPr>
                <w:rFonts w:ascii="宋体" w:hAnsi="宋体" w:cs="宋体" w:eastAsia="宋体" w:hint="default"/>
                <w:w w:val="101"/>
                <w:sz w:val="18"/>
                <w:szCs w:val="18"/>
              </w:rPr>
              <w:t>总</w:t>
            </w:r>
            <w:r>
              <w:rPr>
                <w:rFonts w:ascii="宋体" w:hAnsi="宋体" w:cs="宋体" w:eastAsia="宋体" w:hint="default"/>
                <w:spacing w:val="-5"/>
                <w:w w:val="101"/>
                <w:sz w:val="18"/>
                <w:szCs w:val="18"/>
              </w:rPr>
              <w:t>额</w:t>
            </w:r>
            <w:r>
              <w:rPr>
                <w:rFonts w:ascii="宋体" w:hAnsi="宋体" w:cs="宋体" w:eastAsia="宋体" w:hint="default"/>
                <w:w w:val="101"/>
                <w:sz w:val="18"/>
                <w:szCs w:val="18"/>
              </w:rPr>
              <w:t>（</w:t>
            </w:r>
            <w:r>
              <w:rPr>
                <w:rFonts w:ascii="宋体" w:hAnsi="宋体" w:cs="宋体" w:eastAsia="宋体" w:hint="default"/>
                <w:spacing w:val="-5"/>
                <w:w w:val="101"/>
                <w:sz w:val="18"/>
                <w:szCs w:val="18"/>
              </w:rPr>
              <w:t>含</w:t>
            </w:r>
            <w:r>
              <w:rPr>
                <w:rFonts w:ascii="宋体" w:hAnsi="宋体" w:cs="宋体" w:eastAsia="宋体" w:hint="default"/>
                <w:w w:val="101"/>
                <w:sz w:val="18"/>
                <w:szCs w:val="18"/>
              </w:rPr>
              <w:t>其</w:t>
            </w:r>
            <w:r>
              <w:rPr>
                <w:rFonts w:ascii="宋体" w:hAnsi="宋体" w:cs="宋体" w:eastAsia="宋体" w:hint="default"/>
                <w:spacing w:val="-5"/>
                <w:w w:val="101"/>
                <w:sz w:val="18"/>
                <w:szCs w:val="18"/>
              </w:rPr>
              <w:t>他</w:t>
            </w:r>
            <w:r>
              <w:rPr>
                <w:rFonts w:ascii="宋体" w:hAnsi="宋体" w:cs="宋体" w:eastAsia="宋体" w:hint="default"/>
                <w:w w:val="101"/>
                <w:sz w:val="18"/>
                <w:szCs w:val="18"/>
              </w:rPr>
              <w:t>方式</w:t>
            </w:r>
            <w:r>
              <w:rPr>
                <w:rFonts w:ascii="宋体" w:hAnsi="宋体" w:cs="宋体" w:eastAsia="宋体" w:hint="default"/>
                <w:spacing w:val="-96"/>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元</w:t>
            </w:r>
            <w:r>
              <w:rPr>
                <w:rFonts w:ascii="宋体" w:hAnsi="宋体" w:cs="宋体" w:eastAsia="宋体" w:hint="default"/>
                <w:w w:val="101"/>
                <w:sz w:val="18"/>
                <w:szCs w:val="18"/>
              </w:rPr>
              <w:t>）</w:t>
            </w:r>
            <w:r>
              <w:rPr>
                <w:rFonts w:ascii="宋体" w:hAnsi="宋体" w:cs="宋体" w:eastAsia="宋体" w:hint="default"/>
                <w:sz w:val="18"/>
                <w:szCs w:val="18"/>
              </w:rPr>
            </w:r>
          </w:p>
        </w:tc>
        <w:tc>
          <w:tcPr>
            <w:tcW w:w="5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19,058,283.85</w:t>
            </w:r>
          </w:p>
        </w:tc>
      </w:tr>
      <w:tr>
        <w:trPr>
          <w:trHeight w:val="404" w:hRule="exact"/>
        </w:trPr>
        <w:tc>
          <w:tcPr>
            <w:tcW w:w="41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366,439,804.29</w:t>
            </w:r>
          </w:p>
        </w:tc>
      </w:tr>
      <w:tr>
        <w:trPr>
          <w:trHeight w:val="408" w:hRule="exact"/>
        </w:trPr>
        <w:tc>
          <w:tcPr>
            <w:tcW w:w="41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6"/>
                <w:sz w:val="18"/>
                <w:szCs w:val="18"/>
              </w:rPr>
              <w:t>现金分红总额（含其他方式）占利润分配总额的比例</w:t>
            </w:r>
          </w:p>
        </w:tc>
        <w:tc>
          <w:tcPr>
            <w:tcW w:w="5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2"/>
                <w:sz w:val="18"/>
              </w:rPr>
              <w:t>100%</w:t>
            </w:r>
          </w:p>
        </w:tc>
      </w:tr>
      <w:tr>
        <w:trPr>
          <w:trHeight w:val="394" w:hRule="exact"/>
        </w:trPr>
        <w:tc>
          <w:tcPr>
            <w:tcW w:w="957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3" w:hRule="exact"/>
        </w:trPr>
        <w:tc>
          <w:tcPr>
            <w:tcW w:w="95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4"/>
                <w:sz w:val="18"/>
                <w:szCs w:val="18"/>
              </w:rPr>
              <w:t>公司发展阶段不易区分但有重大资金支出安排的，进行利润分配时，现金分红在本次利润分配中所占比例最低应达到 </w:t>
            </w:r>
            <w:r>
              <w:rPr>
                <w:rFonts w:ascii="宋体" w:hAnsi="宋体" w:cs="宋体" w:eastAsia="宋体" w:hint="default"/>
                <w:spacing w:val="3"/>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p>
        </w:tc>
      </w:tr>
      <w:tr>
        <w:trPr>
          <w:trHeight w:val="403" w:hRule="exact"/>
        </w:trPr>
        <w:tc>
          <w:tcPr>
            <w:tcW w:w="957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891" w:right="0"/>
              <w:jc w:val="left"/>
              <w:rPr>
                <w:rFonts w:ascii="宋体" w:hAnsi="宋体" w:cs="宋体" w:eastAsia="宋体" w:hint="default"/>
                <w:sz w:val="18"/>
                <w:szCs w:val="18"/>
              </w:rPr>
            </w:pPr>
            <w:r>
              <w:rPr>
                <w:rFonts w:ascii="宋体" w:hAnsi="宋体" w:cs="宋体" w:eastAsia="宋体" w:hint="default"/>
                <w:spacing w:val="-3"/>
                <w:sz w:val="18"/>
                <w:szCs w:val="18"/>
              </w:rPr>
              <w:t>利润分配或资本公积金转增预案的详细情况说明</w:t>
            </w:r>
          </w:p>
        </w:tc>
      </w:tr>
      <w:tr>
        <w:trPr>
          <w:trHeight w:val="2315" w:hRule="exact"/>
        </w:trPr>
        <w:tc>
          <w:tcPr>
            <w:tcW w:w="95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384" w:right="0"/>
              <w:jc w:val="left"/>
              <w:rPr>
                <w:rFonts w:ascii="宋体" w:hAnsi="宋体" w:cs="宋体" w:eastAsia="宋体" w:hint="default"/>
                <w:sz w:val="18"/>
                <w:szCs w:val="18"/>
              </w:rPr>
            </w:pPr>
            <w:r>
              <w:rPr>
                <w:rFonts w:ascii="宋体" w:hAnsi="宋体" w:cs="宋体" w:eastAsia="宋体" w:hint="default"/>
                <w:spacing w:val="-3"/>
                <w:sz w:val="18"/>
                <w:szCs w:val="18"/>
              </w:rPr>
              <w:t>经信永中和会计师事务所</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特殊普通合伙</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审计，</w:t>
            </w:r>
            <w:r>
              <w:rPr>
                <w:rFonts w:ascii="Times New Roman" w:hAnsi="Times New Roman" w:cs="Times New Roman" w:eastAsia="Times New Roman" w:hint="default"/>
                <w:spacing w:val="-3"/>
                <w:sz w:val="18"/>
                <w:szCs w:val="18"/>
              </w:rPr>
              <w:t>2019   </w:t>
            </w:r>
            <w:r>
              <w:rPr>
                <w:rFonts w:ascii="Times New Roman" w:hAnsi="Times New Roman" w:cs="Times New Roman" w:eastAsia="Times New Roman" w:hint="default"/>
                <w:spacing w:val="15"/>
                <w:sz w:val="18"/>
                <w:szCs w:val="18"/>
              </w:rPr>
              <w:t> </w:t>
            </w:r>
            <w:r>
              <w:rPr>
                <w:rFonts w:ascii="宋体" w:hAnsi="宋体" w:cs="宋体" w:eastAsia="宋体" w:hint="default"/>
                <w:spacing w:val="-3"/>
                <w:sz w:val="18"/>
                <w:szCs w:val="18"/>
              </w:rPr>
              <w:t>年度公司合并会计报表归属于母公司股东的净利润为</w:t>
            </w:r>
          </w:p>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59,178,171.08</w:t>
            </w:r>
            <w:r>
              <w:rPr>
                <w:rFonts w:ascii="Times New Roman" w:hAnsi="Times New Roman" w:cs="Times New Roman" w:eastAsia="Times New Roman" w:hint="default"/>
                <w:spacing w:val="7"/>
                <w:sz w:val="18"/>
                <w:szCs w:val="18"/>
              </w:rPr>
              <w:t> </w:t>
            </w:r>
            <w:r>
              <w:rPr>
                <w:rFonts w:ascii="宋体" w:hAnsi="宋体" w:cs="宋体" w:eastAsia="宋体" w:hint="default"/>
                <w:spacing w:val="-4"/>
                <w:sz w:val="18"/>
                <w:szCs w:val="18"/>
              </w:rPr>
              <w:t>元，母公司会计报表净利润为</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20,402,596.01</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元，</w:t>
            </w:r>
            <w:r>
              <w:rPr>
                <w:rFonts w:ascii="Times New Roman" w:hAnsi="Times New Roman" w:cs="Times New Roman" w:eastAsia="Times New Roman" w:hint="default"/>
                <w:spacing w:val="-5"/>
                <w:sz w:val="18"/>
                <w:szCs w:val="18"/>
              </w:rPr>
              <w:t>2019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年度提取法定盈余公积</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2,040,259.60</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元。根据法律法规</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pacing w:val="-7"/>
                <w:sz w:val="18"/>
                <w:szCs w:val="18"/>
              </w:rPr>
              <w:t>及《公司章程》的有关规定，利润分配以母公司会计报表净利润 </w:t>
            </w:r>
            <w:r>
              <w:rPr>
                <w:rFonts w:ascii="Times New Roman" w:hAnsi="Times New Roman" w:cs="Times New Roman" w:eastAsia="Times New Roman" w:hint="default"/>
                <w:sz w:val="18"/>
                <w:szCs w:val="18"/>
              </w:rPr>
              <w:t>20,402,596.01  </w:t>
            </w:r>
            <w:r>
              <w:rPr>
                <w:rFonts w:ascii="宋体" w:hAnsi="宋体" w:cs="宋体" w:eastAsia="宋体" w:hint="default"/>
                <w:spacing w:val="-6"/>
                <w:sz w:val="18"/>
                <w:szCs w:val="18"/>
              </w:rPr>
              <w:t>元为基准，加年初未分配利润</w:t>
            </w:r>
            <w:r>
              <w:rPr>
                <w:rFonts w:ascii="宋体" w:hAnsi="宋体" w:cs="宋体" w:eastAsia="宋体" w:hint="default"/>
                <w:spacing w:val="-25"/>
                <w:sz w:val="18"/>
                <w:szCs w:val="18"/>
              </w:rPr>
              <w:t> </w:t>
            </w:r>
            <w:r>
              <w:rPr>
                <w:rFonts w:ascii="Times New Roman" w:hAnsi="Times New Roman" w:cs="Times New Roman" w:eastAsia="Times New Roman" w:hint="default"/>
                <w:sz w:val="18"/>
                <w:szCs w:val="18"/>
              </w:rPr>
              <w:t>361,701,505.16</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pacing w:val="-3"/>
                <w:sz w:val="18"/>
                <w:szCs w:val="18"/>
              </w:rPr>
              <w:t>元，扣除因会计政策变更追溯调整年初未分配利润</w:t>
            </w:r>
            <w:r>
              <w:rPr>
                <w:rFonts w:ascii="宋体" w:hAnsi="宋体" w:cs="宋体" w:eastAsia="宋体" w:hint="default"/>
                <w:spacing w:val="-30"/>
                <w:sz w:val="18"/>
                <w:szCs w:val="18"/>
              </w:rPr>
              <w:t> </w:t>
            </w:r>
            <w:r>
              <w:rPr>
                <w:rFonts w:ascii="Times New Roman" w:hAnsi="Times New Roman" w:cs="Times New Roman" w:eastAsia="Times New Roman" w:hint="default"/>
                <w:sz w:val="18"/>
                <w:szCs w:val="18"/>
              </w:rPr>
              <w:t>1,293,734.98</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元，提取法定盈余公积</w:t>
            </w:r>
            <w:r>
              <w:rPr>
                <w:rFonts w:ascii="宋体" w:hAnsi="宋体" w:cs="宋体" w:eastAsia="宋体" w:hint="default"/>
                <w:spacing w:val="-32"/>
                <w:sz w:val="18"/>
                <w:szCs w:val="18"/>
              </w:rPr>
              <w:t> </w:t>
            </w:r>
            <w:r>
              <w:rPr>
                <w:rFonts w:ascii="Times New Roman" w:hAnsi="Times New Roman" w:cs="Times New Roman" w:eastAsia="Times New Roman" w:hint="default"/>
                <w:sz w:val="18"/>
                <w:szCs w:val="18"/>
              </w:rPr>
              <w:t>2,040,259.60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年已分配股</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利</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12,330,302.30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元，可供股东分配利润</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366,439,804.29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p>
            <w:pPr>
              <w:pStyle w:val="TableParagraph"/>
              <w:spacing w:line="240" w:lineRule="auto" w:before="106"/>
              <w:ind w:left="384" w:right="0"/>
              <w:jc w:val="left"/>
              <w:rPr>
                <w:rFonts w:ascii="Times New Roman" w:hAnsi="Times New Roman" w:cs="Times New Roman" w:eastAsia="Times New Roman" w:hint="default"/>
                <w:sz w:val="18"/>
                <w:szCs w:val="18"/>
              </w:rPr>
            </w:pPr>
            <w:r>
              <w:rPr>
                <w:rFonts w:ascii="宋体" w:hAnsi="宋体" w:cs="宋体" w:eastAsia="宋体" w:hint="default"/>
                <w:w w:val="101"/>
                <w:sz w:val="18"/>
                <w:szCs w:val="18"/>
              </w:rPr>
              <w:t>在</w:t>
            </w:r>
            <w:r>
              <w:rPr>
                <w:rFonts w:ascii="宋体" w:hAnsi="宋体" w:cs="宋体" w:eastAsia="宋体" w:hint="default"/>
                <w:spacing w:val="-5"/>
                <w:w w:val="101"/>
                <w:sz w:val="18"/>
                <w:szCs w:val="18"/>
              </w:rPr>
              <w:t>保</w:t>
            </w:r>
            <w:r>
              <w:rPr>
                <w:rFonts w:ascii="宋体" w:hAnsi="宋体" w:cs="宋体" w:eastAsia="宋体" w:hint="default"/>
                <w:w w:val="101"/>
                <w:sz w:val="18"/>
                <w:szCs w:val="18"/>
              </w:rPr>
              <w:t>证</w:t>
            </w:r>
            <w:r>
              <w:rPr>
                <w:rFonts w:ascii="宋体" w:hAnsi="宋体" w:cs="宋体" w:eastAsia="宋体" w:hint="default"/>
                <w:spacing w:val="-5"/>
                <w:w w:val="101"/>
                <w:sz w:val="18"/>
                <w:szCs w:val="18"/>
              </w:rPr>
              <w:t>公</w:t>
            </w:r>
            <w:r>
              <w:rPr>
                <w:rFonts w:ascii="宋体" w:hAnsi="宋体" w:cs="宋体" w:eastAsia="宋体" w:hint="default"/>
                <w:w w:val="101"/>
                <w:sz w:val="18"/>
                <w:szCs w:val="18"/>
              </w:rPr>
              <w:t>司</w:t>
            </w:r>
            <w:r>
              <w:rPr>
                <w:rFonts w:ascii="宋体" w:hAnsi="宋体" w:cs="宋体" w:eastAsia="宋体" w:hint="default"/>
                <w:spacing w:val="-5"/>
                <w:w w:val="101"/>
                <w:sz w:val="18"/>
                <w:szCs w:val="18"/>
              </w:rPr>
              <w:t>正</w:t>
            </w:r>
            <w:r>
              <w:rPr>
                <w:rFonts w:ascii="宋体" w:hAnsi="宋体" w:cs="宋体" w:eastAsia="宋体" w:hint="default"/>
                <w:w w:val="101"/>
                <w:sz w:val="18"/>
                <w:szCs w:val="18"/>
              </w:rPr>
              <w:t>常</w:t>
            </w:r>
            <w:r>
              <w:rPr>
                <w:rFonts w:ascii="宋体" w:hAnsi="宋体" w:cs="宋体" w:eastAsia="宋体" w:hint="default"/>
                <w:spacing w:val="-5"/>
                <w:w w:val="101"/>
                <w:sz w:val="18"/>
                <w:szCs w:val="18"/>
              </w:rPr>
              <w:t>经</w:t>
            </w:r>
            <w:r>
              <w:rPr>
                <w:rFonts w:ascii="宋体" w:hAnsi="宋体" w:cs="宋体" w:eastAsia="宋体" w:hint="default"/>
                <w:w w:val="101"/>
                <w:sz w:val="18"/>
                <w:szCs w:val="18"/>
              </w:rPr>
              <w:t>营</w:t>
            </w:r>
            <w:r>
              <w:rPr>
                <w:rFonts w:ascii="宋体" w:hAnsi="宋体" w:cs="宋体" w:eastAsia="宋体" w:hint="default"/>
                <w:spacing w:val="-5"/>
                <w:w w:val="101"/>
                <w:sz w:val="18"/>
                <w:szCs w:val="18"/>
              </w:rPr>
              <w:t>和</w:t>
            </w:r>
            <w:r>
              <w:rPr>
                <w:rFonts w:ascii="宋体" w:hAnsi="宋体" w:cs="宋体" w:eastAsia="宋体" w:hint="default"/>
                <w:w w:val="101"/>
                <w:sz w:val="18"/>
                <w:szCs w:val="18"/>
              </w:rPr>
              <w:t>长</w:t>
            </w:r>
            <w:r>
              <w:rPr>
                <w:rFonts w:ascii="宋体" w:hAnsi="宋体" w:cs="宋体" w:eastAsia="宋体" w:hint="default"/>
                <w:spacing w:val="-5"/>
                <w:w w:val="101"/>
                <w:sz w:val="18"/>
                <w:szCs w:val="18"/>
              </w:rPr>
              <w:t>远</w:t>
            </w:r>
            <w:r>
              <w:rPr>
                <w:rFonts w:ascii="宋体" w:hAnsi="宋体" w:cs="宋体" w:eastAsia="宋体" w:hint="default"/>
                <w:w w:val="101"/>
                <w:sz w:val="18"/>
                <w:szCs w:val="18"/>
              </w:rPr>
              <w:t>发</w:t>
            </w:r>
            <w:r>
              <w:rPr>
                <w:rFonts w:ascii="宋体" w:hAnsi="宋体" w:cs="宋体" w:eastAsia="宋体" w:hint="default"/>
                <w:spacing w:val="-5"/>
                <w:w w:val="101"/>
                <w:sz w:val="18"/>
                <w:szCs w:val="18"/>
              </w:rPr>
              <w:t>展</w:t>
            </w:r>
            <w:r>
              <w:rPr>
                <w:rFonts w:ascii="宋体" w:hAnsi="宋体" w:cs="宋体" w:eastAsia="宋体" w:hint="default"/>
                <w:w w:val="101"/>
                <w:sz w:val="18"/>
                <w:szCs w:val="18"/>
              </w:rPr>
              <w:t>的</w:t>
            </w:r>
            <w:r>
              <w:rPr>
                <w:rFonts w:ascii="宋体" w:hAnsi="宋体" w:cs="宋体" w:eastAsia="宋体" w:hint="default"/>
                <w:spacing w:val="-5"/>
                <w:w w:val="101"/>
                <w:sz w:val="18"/>
                <w:szCs w:val="18"/>
              </w:rPr>
              <w:t>前</w:t>
            </w:r>
            <w:r>
              <w:rPr>
                <w:rFonts w:ascii="宋体" w:hAnsi="宋体" w:cs="宋体" w:eastAsia="宋体" w:hint="default"/>
                <w:w w:val="101"/>
                <w:sz w:val="18"/>
                <w:szCs w:val="18"/>
              </w:rPr>
              <w:t>提下</w:t>
            </w:r>
            <w:r>
              <w:rPr>
                <w:rFonts w:ascii="宋体" w:hAnsi="宋体" w:cs="宋体" w:eastAsia="宋体" w:hint="default"/>
                <w:spacing w:val="-96"/>
                <w:w w:val="101"/>
                <w:sz w:val="18"/>
                <w:szCs w:val="18"/>
              </w:rPr>
              <w:t>，</w:t>
            </w:r>
            <w:r>
              <w:rPr>
                <w:rFonts w:ascii="宋体" w:hAnsi="宋体" w:cs="宋体" w:eastAsia="宋体" w:hint="default"/>
                <w:w w:val="101"/>
                <w:sz w:val="18"/>
                <w:szCs w:val="18"/>
              </w:rPr>
              <w:t>积</w:t>
            </w:r>
            <w:r>
              <w:rPr>
                <w:rFonts w:ascii="宋体" w:hAnsi="宋体" w:cs="宋体" w:eastAsia="宋体" w:hint="default"/>
                <w:spacing w:val="-5"/>
                <w:w w:val="101"/>
                <w:sz w:val="18"/>
                <w:szCs w:val="18"/>
              </w:rPr>
              <w:t>极</w:t>
            </w:r>
            <w:r>
              <w:rPr>
                <w:rFonts w:ascii="宋体" w:hAnsi="宋体" w:cs="宋体" w:eastAsia="宋体" w:hint="default"/>
                <w:w w:val="101"/>
                <w:sz w:val="18"/>
                <w:szCs w:val="18"/>
              </w:rPr>
              <w:t>合</w:t>
            </w:r>
            <w:r>
              <w:rPr>
                <w:rFonts w:ascii="宋体" w:hAnsi="宋体" w:cs="宋体" w:eastAsia="宋体" w:hint="default"/>
                <w:spacing w:val="-5"/>
                <w:w w:val="101"/>
                <w:sz w:val="18"/>
                <w:szCs w:val="18"/>
              </w:rPr>
              <w:t>理</w:t>
            </w:r>
            <w:r>
              <w:rPr>
                <w:rFonts w:ascii="宋体" w:hAnsi="宋体" w:cs="宋体" w:eastAsia="宋体" w:hint="default"/>
                <w:w w:val="101"/>
                <w:sz w:val="18"/>
                <w:szCs w:val="18"/>
              </w:rPr>
              <w:t>回</w:t>
            </w:r>
            <w:r>
              <w:rPr>
                <w:rFonts w:ascii="宋体" w:hAnsi="宋体" w:cs="宋体" w:eastAsia="宋体" w:hint="default"/>
                <w:spacing w:val="-5"/>
                <w:w w:val="101"/>
                <w:sz w:val="18"/>
                <w:szCs w:val="18"/>
              </w:rPr>
              <w:t>报</w:t>
            </w:r>
            <w:r>
              <w:rPr>
                <w:rFonts w:ascii="宋体" w:hAnsi="宋体" w:cs="宋体" w:eastAsia="宋体" w:hint="default"/>
                <w:w w:val="101"/>
                <w:sz w:val="18"/>
                <w:szCs w:val="18"/>
              </w:rPr>
              <w:t>广</w:t>
            </w:r>
            <w:r>
              <w:rPr>
                <w:rFonts w:ascii="宋体" w:hAnsi="宋体" w:cs="宋体" w:eastAsia="宋体" w:hint="default"/>
                <w:spacing w:val="-5"/>
                <w:w w:val="101"/>
                <w:sz w:val="18"/>
                <w:szCs w:val="18"/>
              </w:rPr>
              <w:t>大</w:t>
            </w:r>
            <w:r>
              <w:rPr>
                <w:rFonts w:ascii="宋体" w:hAnsi="宋体" w:cs="宋体" w:eastAsia="宋体" w:hint="default"/>
                <w:w w:val="101"/>
                <w:sz w:val="18"/>
                <w:szCs w:val="18"/>
              </w:rPr>
              <w:t>投</w:t>
            </w:r>
            <w:r>
              <w:rPr>
                <w:rFonts w:ascii="宋体" w:hAnsi="宋体" w:cs="宋体" w:eastAsia="宋体" w:hint="default"/>
                <w:spacing w:val="-5"/>
                <w:w w:val="101"/>
                <w:sz w:val="18"/>
                <w:szCs w:val="18"/>
              </w:rPr>
              <w:t>资</w:t>
            </w:r>
            <w:r>
              <w:rPr>
                <w:rFonts w:ascii="宋体" w:hAnsi="宋体" w:cs="宋体" w:eastAsia="宋体" w:hint="default"/>
                <w:w w:val="101"/>
                <w:sz w:val="18"/>
                <w:szCs w:val="18"/>
              </w:rPr>
              <w:t>者</w:t>
            </w:r>
            <w:r>
              <w:rPr>
                <w:rFonts w:ascii="宋体" w:hAnsi="宋体" w:cs="宋体" w:eastAsia="宋体" w:hint="default"/>
                <w:spacing w:val="-92"/>
                <w:w w:val="101"/>
                <w:sz w:val="18"/>
                <w:szCs w:val="18"/>
              </w:rPr>
              <w:t>，</w:t>
            </w:r>
            <w:r>
              <w:rPr>
                <w:rFonts w:ascii="宋体" w:hAnsi="宋体" w:cs="宋体" w:eastAsia="宋体" w:hint="default"/>
                <w:spacing w:val="-5"/>
                <w:w w:val="101"/>
                <w:sz w:val="18"/>
                <w:szCs w:val="18"/>
              </w:rPr>
              <w:t>公</w:t>
            </w:r>
            <w:r>
              <w:rPr>
                <w:rFonts w:ascii="宋体" w:hAnsi="宋体" w:cs="宋体" w:eastAsia="宋体" w:hint="default"/>
                <w:w w:val="101"/>
                <w:sz w:val="18"/>
                <w:szCs w:val="18"/>
              </w:rPr>
              <w:t>司</w:t>
            </w:r>
            <w:r>
              <w:rPr>
                <w:rFonts w:ascii="宋体" w:hAnsi="宋体" w:cs="宋体" w:eastAsia="宋体" w:hint="default"/>
                <w:spacing w:val="-5"/>
                <w:w w:val="101"/>
                <w:sz w:val="18"/>
                <w:szCs w:val="18"/>
              </w:rPr>
              <w:t>拟</w:t>
            </w:r>
            <w:r>
              <w:rPr>
                <w:rFonts w:ascii="宋体" w:hAnsi="宋体" w:cs="宋体" w:eastAsia="宋体" w:hint="default"/>
                <w:w w:val="101"/>
                <w:sz w:val="18"/>
                <w:szCs w:val="18"/>
              </w:rPr>
              <w:t>以</w:t>
            </w:r>
            <w:r>
              <w:rPr>
                <w:rFonts w:ascii="宋体" w:hAnsi="宋体" w:cs="宋体" w:eastAsia="宋体" w:hint="default"/>
                <w:spacing w:val="-55"/>
                <w:sz w:val="18"/>
                <w:szCs w:val="18"/>
              </w:rPr>
              <w:t> </w:t>
            </w:r>
            <w:r>
              <w:rPr>
                <w:rFonts w:ascii="Times New Roman" w:hAnsi="Times New Roman" w:cs="Times New Roman" w:eastAsia="Times New Roman" w:hint="default"/>
                <w:w w:val="101"/>
                <w:sz w:val="18"/>
                <w:szCs w:val="18"/>
              </w:rPr>
              <w:t>2020</w:t>
            </w:r>
            <w:r>
              <w:rPr>
                <w:rFonts w:ascii="Times New Roman" w:hAnsi="Times New Roman" w:cs="Times New Roman" w:eastAsia="Times New Roman" w:hint="default"/>
                <w:spacing w:val="-17"/>
                <w:sz w:val="18"/>
                <w:szCs w:val="18"/>
              </w:rPr>
              <w:t> </w:t>
            </w:r>
            <w:r>
              <w:rPr>
                <w:rFonts w:ascii="宋体" w:hAnsi="宋体" w:cs="宋体" w:eastAsia="宋体" w:hint="default"/>
                <w:w w:val="101"/>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w w:val="101"/>
                <w:sz w:val="18"/>
                <w:szCs w:val="18"/>
              </w:rPr>
              <w:t>4</w:t>
            </w:r>
            <w:r>
              <w:rPr>
                <w:rFonts w:ascii="Times New Roman" w:hAnsi="Times New Roman" w:cs="Times New Roman" w:eastAsia="Times New Roman" w:hint="default"/>
                <w:spacing w:val="-12"/>
                <w:sz w:val="18"/>
                <w:szCs w:val="18"/>
              </w:rPr>
              <w:t> </w:t>
            </w:r>
            <w:r>
              <w:rPr>
                <w:rFonts w:ascii="宋体" w:hAnsi="宋体" w:cs="宋体" w:eastAsia="宋体" w:hint="default"/>
                <w:w w:val="101"/>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w w:val="101"/>
                <w:sz w:val="18"/>
                <w:szCs w:val="18"/>
              </w:rPr>
              <w:t>10</w:t>
            </w:r>
            <w:r>
              <w:rPr>
                <w:rFonts w:ascii="Times New Roman" w:hAnsi="Times New Roman" w:cs="Times New Roman" w:eastAsia="Times New Roman" w:hint="default"/>
                <w:spacing w:val="-17"/>
                <w:sz w:val="18"/>
                <w:szCs w:val="18"/>
              </w:rPr>
              <w:t> </w:t>
            </w:r>
            <w:r>
              <w:rPr>
                <w:rFonts w:ascii="宋体" w:hAnsi="宋体" w:cs="宋体" w:eastAsia="宋体" w:hint="default"/>
                <w:w w:val="101"/>
                <w:sz w:val="18"/>
                <w:szCs w:val="18"/>
              </w:rPr>
              <w:t>日</w:t>
            </w:r>
            <w:r>
              <w:rPr>
                <w:rFonts w:ascii="宋体" w:hAnsi="宋体" w:cs="宋体" w:eastAsia="宋体" w:hint="default"/>
                <w:spacing w:val="-5"/>
                <w:w w:val="101"/>
                <w:sz w:val="18"/>
                <w:szCs w:val="18"/>
              </w:rPr>
              <w:t>的</w:t>
            </w:r>
            <w:r>
              <w:rPr>
                <w:rFonts w:ascii="宋体" w:hAnsi="宋体" w:cs="宋体" w:eastAsia="宋体" w:hint="default"/>
                <w:w w:val="101"/>
                <w:sz w:val="18"/>
                <w:szCs w:val="18"/>
              </w:rPr>
              <w:t>总</w:t>
            </w:r>
            <w:r>
              <w:rPr>
                <w:rFonts w:ascii="宋体" w:hAnsi="宋体" w:cs="宋体" w:eastAsia="宋体" w:hint="default"/>
                <w:spacing w:val="-5"/>
                <w:w w:val="101"/>
                <w:sz w:val="18"/>
                <w:szCs w:val="18"/>
              </w:rPr>
              <w:t>股</w:t>
            </w:r>
            <w:r>
              <w:rPr>
                <w:rFonts w:ascii="宋体" w:hAnsi="宋体" w:cs="宋体" w:eastAsia="宋体" w:hint="default"/>
                <w:w w:val="101"/>
                <w:sz w:val="18"/>
                <w:szCs w:val="18"/>
              </w:rPr>
              <w:t>本</w:t>
            </w:r>
            <w:r>
              <w:rPr>
                <w:rFonts w:ascii="宋体" w:hAnsi="宋体" w:cs="宋体" w:eastAsia="宋体" w:hint="default"/>
                <w:spacing w:val="-56"/>
                <w:sz w:val="18"/>
                <w:szCs w:val="18"/>
              </w:rPr>
              <w:t> </w:t>
            </w:r>
            <w:r>
              <w:rPr>
                <w:rFonts w:ascii="Times New Roman" w:hAnsi="Times New Roman" w:cs="Times New Roman" w:eastAsia="Times New Roman" w:hint="default"/>
                <w:w w:val="101"/>
                <w:sz w:val="18"/>
                <w:szCs w:val="18"/>
              </w:rPr>
              <w:t>38</w:t>
            </w:r>
            <w:r>
              <w:rPr>
                <w:rFonts w:ascii="Times New Roman" w:hAnsi="Times New Roman" w:cs="Times New Roman" w:eastAsia="Times New Roman" w:hint="default"/>
                <w:spacing w:val="-5"/>
                <w:w w:val="101"/>
                <w:sz w:val="18"/>
                <w:szCs w:val="18"/>
              </w:rPr>
              <w:t>1</w:t>
            </w:r>
            <w:r>
              <w:rPr>
                <w:rFonts w:ascii="Times New Roman" w:hAnsi="Times New Roman" w:cs="Times New Roman" w:eastAsia="Times New Roman" w:hint="default"/>
                <w:spacing w:val="2"/>
                <w:w w:val="101"/>
                <w:sz w:val="18"/>
                <w:szCs w:val="18"/>
              </w:rPr>
              <w:t>,</w:t>
            </w:r>
            <w:r>
              <w:rPr>
                <w:rFonts w:ascii="Times New Roman" w:hAnsi="Times New Roman" w:cs="Times New Roman" w:eastAsia="Times New Roman" w:hint="default"/>
                <w:spacing w:val="-5"/>
                <w:w w:val="101"/>
                <w:sz w:val="18"/>
                <w:szCs w:val="18"/>
              </w:rPr>
              <w:t>1</w:t>
            </w:r>
            <w:r>
              <w:rPr>
                <w:rFonts w:ascii="Times New Roman" w:hAnsi="Times New Roman" w:cs="Times New Roman" w:eastAsia="Times New Roman" w:hint="default"/>
                <w:w w:val="101"/>
                <w:sz w:val="18"/>
                <w:szCs w:val="18"/>
              </w:rPr>
              <w:t>65</w:t>
            </w:r>
            <w:r>
              <w:rPr>
                <w:rFonts w:ascii="Times New Roman" w:hAnsi="Times New Roman" w:cs="Times New Roman" w:eastAsia="Times New Roman" w:hint="default"/>
                <w:spacing w:val="-3"/>
                <w:w w:val="101"/>
                <w:sz w:val="18"/>
                <w:szCs w:val="18"/>
              </w:rPr>
              <w:t>,</w:t>
            </w:r>
            <w:r>
              <w:rPr>
                <w:rFonts w:ascii="Times New Roman" w:hAnsi="Times New Roman" w:cs="Times New Roman" w:eastAsia="Times New Roman" w:hint="default"/>
                <w:w w:val="101"/>
                <w:sz w:val="18"/>
                <w:szCs w:val="18"/>
              </w:rPr>
              <w:t>677</w:t>
            </w:r>
            <w:r>
              <w:rPr>
                <w:rFonts w:ascii="Times New Roman" w:hAnsi="Times New Roman" w:cs="Times New Roman" w:eastAsia="Times New Roman" w:hint="default"/>
                <w:sz w:val="18"/>
                <w:szCs w:val="18"/>
              </w:rPr>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w w:val="101"/>
                <w:sz w:val="18"/>
                <w:szCs w:val="18"/>
              </w:rPr>
              <w:t>股</w:t>
            </w:r>
            <w:r>
              <w:rPr>
                <w:rFonts w:ascii="宋体" w:hAnsi="宋体" w:cs="宋体" w:eastAsia="宋体" w:hint="default"/>
                <w:spacing w:val="-5"/>
                <w:w w:val="101"/>
                <w:sz w:val="18"/>
                <w:szCs w:val="18"/>
              </w:rPr>
              <w:t>为</w:t>
            </w:r>
            <w:r>
              <w:rPr>
                <w:rFonts w:ascii="宋体" w:hAnsi="宋体" w:cs="宋体" w:eastAsia="宋体" w:hint="default"/>
                <w:w w:val="101"/>
                <w:sz w:val="18"/>
                <w:szCs w:val="18"/>
              </w:rPr>
              <w:t>基</w:t>
            </w:r>
            <w:r>
              <w:rPr>
                <w:rFonts w:ascii="宋体" w:hAnsi="宋体" w:cs="宋体" w:eastAsia="宋体" w:hint="default"/>
                <w:spacing w:val="-5"/>
                <w:w w:val="101"/>
                <w:sz w:val="18"/>
                <w:szCs w:val="18"/>
              </w:rPr>
              <w:t>数</w:t>
            </w:r>
            <w:r>
              <w:rPr>
                <w:rFonts w:ascii="宋体" w:hAnsi="宋体" w:cs="宋体" w:eastAsia="宋体" w:hint="default"/>
                <w:w w:val="101"/>
                <w:sz w:val="18"/>
                <w:szCs w:val="18"/>
              </w:rPr>
              <w:t>，</w:t>
            </w:r>
            <w:r>
              <w:rPr>
                <w:rFonts w:ascii="宋体" w:hAnsi="宋体" w:cs="宋体" w:eastAsia="宋体" w:hint="default"/>
                <w:spacing w:val="-5"/>
                <w:w w:val="101"/>
                <w:sz w:val="18"/>
                <w:szCs w:val="18"/>
              </w:rPr>
              <w:t>向</w:t>
            </w:r>
            <w:r>
              <w:rPr>
                <w:rFonts w:ascii="宋体" w:hAnsi="宋体" w:cs="宋体" w:eastAsia="宋体" w:hint="default"/>
                <w:w w:val="101"/>
                <w:sz w:val="18"/>
                <w:szCs w:val="18"/>
              </w:rPr>
              <w:t>全</w:t>
            </w:r>
            <w:r>
              <w:rPr>
                <w:rFonts w:ascii="宋体" w:hAnsi="宋体" w:cs="宋体" w:eastAsia="宋体" w:hint="default"/>
                <w:spacing w:val="-5"/>
                <w:w w:val="101"/>
                <w:sz w:val="18"/>
                <w:szCs w:val="18"/>
              </w:rPr>
              <w:t>体</w:t>
            </w:r>
            <w:r>
              <w:rPr>
                <w:rFonts w:ascii="宋体" w:hAnsi="宋体" w:cs="宋体" w:eastAsia="宋体" w:hint="default"/>
                <w:w w:val="101"/>
                <w:sz w:val="18"/>
                <w:szCs w:val="18"/>
              </w:rPr>
              <w:t>股东每</w:t>
            </w:r>
            <w:r>
              <w:rPr>
                <w:rFonts w:ascii="宋体" w:hAnsi="宋体" w:cs="宋体" w:eastAsia="宋体" w:hint="default"/>
                <w:spacing w:val="-47"/>
                <w:sz w:val="18"/>
                <w:szCs w:val="18"/>
              </w:rPr>
              <w:t> </w:t>
            </w:r>
            <w:r>
              <w:rPr>
                <w:rFonts w:ascii="Times New Roman" w:hAnsi="Times New Roman" w:cs="Times New Roman" w:eastAsia="Times New Roman" w:hint="default"/>
                <w:w w:val="101"/>
                <w:sz w:val="18"/>
                <w:szCs w:val="18"/>
              </w:rPr>
              <w:t>10</w:t>
            </w:r>
            <w:r>
              <w:rPr>
                <w:rFonts w:ascii="Times New Roman" w:hAnsi="Times New Roman" w:cs="Times New Roman" w:eastAsia="Times New Roman" w:hint="default"/>
                <w:spacing w:val="-7"/>
                <w:sz w:val="18"/>
                <w:szCs w:val="18"/>
              </w:rPr>
              <w:t> </w:t>
            </w:r>
            <w:r>
              <w:rPr>
                <w:rFonts w:ascii="宋体" w:hAnsi="宋体" w:cs="宋体" w:eastAsia="宋体" w:hint="default"/>
                <w:w w:val="101"/>
                <w:sz w:val="18"/>
                <w:szCs w:val="18"/>
              </w:rPr>
              <w:t>股</w:t>
            </w:r>
            <w:r>
              <w:rPr>
                <w:rFonts w:ascii="宋体" w:hAnsi="宋体" w:cs="宋体" w:eastAsia="宋体" w:hint="default"/>
                <w:spacing w:val="-5"/>
                <w:w w:val="101"/>
                <w:sz w:val="18"/>
                <w:szCs w:val="18"/>
              </w:rPr>
              <w:t>派</w:t>
            </w:r>
            <w:r>
              <w:rPr>
                <w:rFonts w:ascii="宋体" w:hAnsi="宋体" w:cs="宋体" w:eastAsia="宋体" w:hint="default"/>
                <w:w w:val="101"/>
                <w:sz w:val="18"/>
                <w:szCs w:val="18"/>
              </w:rPr>
              <w:t>发</w:t>
            </w:r>
            <w:r>
              <w:rPr>
                <w:rFonts w:ascii="宋体" w:hAnsi="宋体" w:cs="宋体" w:eastAsia="宋体" w:hint="default"/>
                <w:spacing w:val="-5"/>
                <w:w w:val="101"/>
                <w:sz w:val="18"/>
                <w:szCs w:val="18"/>
              </w:rPr>
              <w:t>现</w:t>
            </w:r>
            <w:r>
              <w:rPr>
                <w:rFonts w:ascii="宋体" w:hAnsi="宋体" w:cs="宋体" w:eastAsia="宋体" w:hint="default"/>
                <w:w w:val="101"/>
                <w:sz w:val="18"/>
                <w:szCs w:val="18"/>
              </w:rPr>
              <w:t>金红利</w:t>
            </w:r>
            <w:r>
              <w:rPr>
                <w:rFonts w:ascii="宋体" w:hAnsi="宋体" w:cs="宋体" w:eastAsia="宋体" w:hint="default"/>
                <w:spacing w:val="-52"/>
                <w:sz w:val="18"/>
                <w:szCs w:val="18"/>
              </w:rPr>
              <w:t> </w:t>
            </w:r>
            <w:r>
              <w:rPr>
                <w:rFonts w:ascii="Times New Roman" w:hAnsi="Times New Roman" w:cs="Times New Roman" w:eastAsia="Times New Roman" w:hint="default"/>
                <w:w w:val="101"/>
                <w:sz w:val="18"/>
                <w:szCs w:val="18"/>
              </w:rPr>
              <w:t>0</w:t>
            </w:r>
            <w:r>
              <w:rPr>
                <w:rFonts w:ascii="Times New Roman" w:hAnsi="Times New Roman" w:cs="Times New Roman" w:eastAsia="Times New Roman" w:hint="default"/>
                <w:spacing w:val="2"/>
                <w:w w:val="101"/>
                <w:sz w:val="18"/>
                <w:szCs w:val="18"/>
              </w:rPr>
              <w:t>.</w:t>
            </w:r>
            <w:r>
              <w:rPr>
                <w:rFonts w:ascii="Times New Roman" w:hAnsi="Times New Roman" w:cs="Times New Roman" w:eastAsia="Times New Roman" w:hint="default"/>
                <w:w w:val="101"/>
                <w:sz w:val="18"/>
                <w:szCs w:val="18"/>
              </w:rPr>
              <w:t>5</w:t>
            </w:r>
            <w:r>
              <w:rPr>
                <w:rFonts w:ascii="Times New Roman" w:hAnsi="Times New Roman" w:cs="Times New Roman" w:eastAsia="Times New Roman" w:hint="default"/>
                <w:spacing w:val="-7"/>
                <w:sz w:val="18"/>
                <w:szCs w:val="18"/>
              </w:rPr>
              <w:t> </w:t>
            </w:r>
            <w:r>
              <w:rPr>
                <w:rFonts w:ascii="宋体" w:hAnsi="宋体" w:cs="宋体" w:eastAsia="宋体" w:hint="default"/>
                <w:w w:val="101"/>
                <w:sz w:val="18"/>
                <w:szCs w:val="18"/>
              </w:rPr>
              <w:t>元</w:t>
            </w:r>
            <w:r>
              <w:rPr>
                <w:rFonts w:ascii="宋体" w:hAnsi="宋体" w:cs="宋体" w:eastAsia="宋体" w:hint="default"/>
                <w:spacing w:val="-5"/>
                <w:w w:val="101"/>
                <w:sz w:val="18"/>
                <w:szCs w:val="18"/>
              </w:rPr>
              <w:t>（</w:t>
            </w:r>
            <w:r>
              <w:rPr>
                <w:rFonts w:ascii="宋体" w:hAnsi="宋体" w:cs="宋体" w:eastAsia="宋体" w:hint="default"/>
                <w:w w:val="101"/>
                <w:sz w:val="18"/>
                <w:szCs w:val="18"/>
              </w:rPr>
              <w:t>含</w:t>
            </w:r>
            <w:r>
              <w:rPr>
                <w:rFonts w:ascii="宋体" w:hAnsi="宋体" w:cs="宋体" w:eastAsia="宋体" w:hint="default"/>
                <w:spacing w:val="-5"/>
                <w:w w:val="101"/>
                <w:sz w:val="18"/>
                <w:szCs w:val="18"/>
              </w:rPr>
              <w:t>税</w:t>
            </w:r>
            <w:r>
              <w:rPr>
                <w:rFonts w:ascii="宋体" w:hAnsi="宋体" w:cs="宋体" w:eastAsia="宋体" w:hint="default"/>
                <w:spacing w:val="-92"/>
                <w:w w:val="101"/>
                <w:sz w:val="18"/>
                <w:szCs w:val="18"/>
              </w:rPr>
              <w:t>）</w:t>
            </w:r>
            <w:r>
              <w:rPr>
                <w:rFonts w:ascii="宋体" w:hAnsi="宋体" w:cs="宋体" w:eastAsia="宋体" w:hint="default"/>
                <w:spacing w:val="-5"/>
                <w:w w:val="101"/>
                <w:sz w:val="18"/>
                <w:szCs w:val="18"/>
              </w:rPr>
              <w:t>，</w:t>
            </w:r>
            <w:r>
              <w:rPr>
                <w:rFonts w:ascii="宋体" w:hAnsi="宋体" w:cs="宋体" w:eastAsia="宋体" w:hint="default"/>
                <w:w w:val="101"/>
                <w:sz w:val="18"/>
                <w:szCs w:val="18"/>
              </w:rPr>
              <w:t>合</w:t>
            </w:r>
            <w:r>
              <w:rPr>
                <w:rFonts w:ascii="宋体" w:hAnsi="宋体" w:cs="宋体" w:eastAsia="宋体" w:hint="default"/>
                <w:spacing w:val="-5"/>
                <w:w w:val="101"/>
                <w:sz w:val="18"/>
                <w:szCs w:val="18"/>
              </w:rPr>
              <w:t>计</w:t>
            </w:r>
            <w:r>
              <w:rPr>
                <w:rFonts w:ascii="宋体" w:hAnsi="宋体" w:cs="宋体" w:eastAsia="宋体" w:hint="default"/>
                <w:w w:val="101"/>
                <w:sz w:val="18"/>
                <w:szCs w:val="18"/>
              </w:rPr>
              <w:t>派</w:t>
            </w:r>
            <w:r>
              <w:rPr>
                <w:rFonts w:ascii="宋体" w:hAnsi="宋体" w:cs="宋体" w:eastAsia="宋体" w:hint="default"/>
                <w:spacing w:val="-5"/>
                <w:w w:val="101"/>
                <w:sz w:val="18"/>
                <w:szCs w:val="18"/>
              </w:rPr>
              <w:t>发</w:t>
            </w:r>
            <w:r>
              <w:rPr>
                <w:rFonts w:ascii="宋体" w:hAnsi="宋体" w:cs="宋体" w:eastAsia="宋体" w:hint="default"/>
                <w:w w:val="101"/>
                <w:sz w:val="18"/>
                <w:szCs w:val="18"/>
              </w:rPr>
              <w:t>现</w:t>
            </w:r>
            <w:r>
              <w:rPr>
                <w:rFonts w:ascii="宋体" w:hAnsi="宋体" w:cs="宋体" w:eastAsia="宋体" w:hint="default"/>
                <w:spacing w:val="-5"/>
                <w:w w:val="101"/>
                <w:sz w:val="18"/>
                <w:szCs w:val="18"/>
              </w:rPr>
              <w:t>金</w:t>
            </w:r>
            <w:r>
              <w:rPr>
                <w:rFonts w:ascii="宋体" w:hAnsi="宋体" w:cs="宋体" w:eastAsia="宋体" w:hint="default"/>
                <w:w w:val="101"/>
                <w:sz w:val="18"/>
                <w:szCs w:val="18"/>
              </w:rPr>
              <w:t>红利</w:t>
            </w:r>
            <w:r>
              <w:rPr>
                <w:rFonts w:ascii="宋体" w:hAnsi="宋体" w:cs="宋体" w:eastAsia="宋体" w:hint="default"/>
                <w:spacing w:val="-46"/>
                <w:sz w:val="18"/>
                <w:szCs w:val="18"/>
              </w:rPr>
              <w:t> </w:t>
            </w:r>
            <w:r>
              <w:rPr>
                <w:rFonts w:ascii="Times New Roman" w:hAnsi="Times New Roman" w:cs="Times New Roman" w:eastAsia="Times New Roman" w:hint="default"/>
                <w:w w:val="101"/>
                <w:sz w:val="18"/>
                <w:szCs w:val="18"/>
              </w:rPr>
              <w:t>1</w:t>
            </w:r>
            <w:r>
              <w:rPr>
                <w:rFonts w:ascii="Times New Roman" w:hAnsi="Times New Roman" w:cs="Times New Roman" w:eastAsia="Times New Roman" w:hint="default"/>
                <w:spacing w:val="-5"/>
                <w:w w:val="101"/>
                <w:sz w:val="18"/>
                <w:szCs w:val="18"/>
              </w:rPr>
              <w:t>9</w:t>
            </w:r>
            <w:r>
              <w:rPr>
                <w:rFonts w:ascii="Times New Roman" w:hAnsi="Times New Roman" w:cs="Times New Roman" w:eastAsia="Times New Roman" w:hint="default"/>
                <w:spacing w:val="2"/>
                <w:w w:val="101"/>
                <w:sz w:val="18"/>
                <w:szCs w:val="18"/>
              </w:rPr>
              <w:t>,</w:t>
            </w:r>
            <w:r>
              <w:rPr>
                <w:rFonts w:ascii="Times New Roman" w:hAnsi="Times New Roman" w:cs="Times New Roman" w:eastAsia="Times New Roman" w:hint="default"/>
                <w:w w:val="101"/>
                <w:sz w:val="18"/>
                <w:szCs w:val="18"/>
              </w:rPr>
              <w:t>0</w:t>
            </w:r>
            <w:r>
              <w:rPr>
                <w:rFonts w:ascii="Times New Roman" w:hAnsi="Times New Roman" w:cs="Times New Roman" w:eastAsia="Times New Roman" w:hint="default"/>
                <w:spacing w:val="-5"/>
                <w:w w:val="101"/>
                <w:sz w:val="18"/>
                <w:szCs w:val="18"/>
              </w:rPr>
              <w:t>5</w:t>
            </w:r>
            <w:r>
              <w:rPr>
                <w:rFonts w:ascii="Times New Roman" w:hAnsi="Times New Roman" w:cs="Times New Roman" w:eastAsia="Times New Roman" w:hint="default"/>
                <w:w w:val="101"/>
                <w:sz w:val="18"/>
                <w:szCs w:val="18"/>
              </w:rPr>
              <w:t>8</w:t>
            </w:r>
            <w:r>
              <w:rPr>
                <w:rFonts w:ascii="Times New Roman" w:hAnsi="Times New Roman" w:cs="Times New Roman" w:eastAsia="Times New Roman" w:hint="default"/>
                <w:spacing w:val="2"/>
                <w:w w:val="101"/>
                <w:sz w:val="18"/>
                <w:szCs w:val="18"/>
              </w:rPr>
              <w:t>,</w:t>
            </w:r>
            <w:r>
              <w:rPr>
                <w:rFonts w:ascii="Times New Roman" w:hAnsi="Times New Roman" w:cs="Times New Roman" w:eastAsia="Times New Roman" w:hint="default"/>
                <w:spacing w:val="-5"/>
                <w:w w:val="101"/>
                <w:sz w:val="18"/>
                <w:szCs w:val="18"/>
              </w:rPr>
              <w:t>2</w:t>
            </w:r>
            <w:r>
              <w:rPr>
                <w:rFonts w:ascii="Times New Roman" w:hAnsi="Times New Roman" w:cs="Times New Roman" w:eastAsia="Times New Roman" w:hint="default"/>
                <w:w w:val="101"/>
                <w:sz w:val="18"/>
                <w:szCs w:val="18"/>
              </w:rPr>
              <w:t>8</w:t>
            </w:r>
            <w:r>
              <w:rPr>
                <w:rFonts w:ascii="Times New Roman" w:hAnsi="Times New Roman" w:cs="Times New Roman" w:eastAsia="Times New Roman" w:hint="default"/>
                <w:spacing w:val="-5"/>
                <w:w w:val="101"/>
                <w:sz w:val="18"/>
                <w:szCs w:val="18"/>
              </w:rPr>
              <w:t>3</w:t>
            </w:r>
            <w:r>
              <w:rPr>
                <w:rFonts w:ascii="Times New Roman" w:hAnsi="Times New Roman" w:cs="Times New Roman" w:eastAsia="Times New Roman" w:hint="default"/>
                <w:spacing w:val="2"/>
                <w:w w:val="101"/>
                <w:sz w:val="18"/>
                <w:szCs w:val="18"/>
              </w:rPr>
              <w:t>.</w:t>
            </w:r>
            <w:r>
              <w:rPr>
                <w:rFonts w:ascii="Times New Roman" w:hAnsi="Times New Roman" w:cs="Times New Roman" w:eastAsia="Times New Roman" w:hint="default"/>
                <w:w w:val="101"/>
                <w:sz w:val="18"/>
                <w:szCs w:val="18"/>
              </w:rPr>
              <w:t>85</w:t>
            </w:r>
            <w:r>
              <w:rPr>
                <w:rFonts w:ascii="Times New Roman" w:hAnsi="Times New Roman" w:cs="Times New Roman" w:eastAsia="Times New Roman" w:hint="default"/>
                <w:spacing w:val="-1"/>
                <w:sz w:val="18"/>
                <w:szCs w:val="18"/>
              </w:rPr>
              <w:t> </w:t>
            </w:r>
            <w:r>
              <w:rPr>
                <w:rFonts w:ascii="宋体" w:hAnsi="宋体" w:cs="宋体" w:eastAsia="宋体" w:hint="default"/>
                <w:spacing w:val="-5"/>
                <w:w w:val="101"/>
                <w:sz w:val="18"/>
                <w:szCs w:val="18"/>
              </w:rPr>
              <w:t>元</w:t>
            </w:r>
            <w:r>
              <w:rPr>
                <w:rFonts w:ascii="宋体" w:hAnsi="宋体" w:cs="宋体" w:eastAsia="宋体" w:hint="default"/>
                <w:w w:val="101"/>
                <w:sz w:val="18"/>
                <w:szCs w:val="18"/>
              </w:rPr>
              <w:t>（</w:t>
            </w:r>
            <w:r>
              <w:rPr>
                <w:rFonts w:ascii="宋体" w:hAnsi="宋体" w:cs="宋体" w:eastAsia="宋体" w:hint="default"/>
                <w:spacing w:val="-5"/>
                <w:w w:val="101"/>
                <w:sz w:val="18"/>
                <w:szCs w:val="18"/>
              </w:rPr>
              <w:t>含</w:t>
            </w:r>
            <w:r>
              <w:rPr>
                <w:rFonts w:ascii="宋体" w:hAnsi="宋体" w:cs="宋体" w:eastAsia="宋体" w:hint="default"/>
                <w:w w:val="101"/>
                <w:sz w:val="18"/>
                <w:szCs w:val="18"/>
              </w:rPr>
              <w:t>税</w:t>
            </w:r>
            <w:r>
              <w:rPr>
                <w:rFonts w:ascii="宋体" w:hAnsi="宋体" w:cs="宋体" w:eastAsia="宋体" w:hint="default"/>
                <w:spacing w:val="-92"/>
                <w:w w:val="101"/>
                <w:sz w:val="18"/>
                <w:szCs w:val="18"/>
              </w:rPr>
              <w:t>）</w:t>
            </w:r>
            <w:r>
              <w:rPr>
                <w:rFonts w:ascii="宋体" w:hAnsi="宋体" w:cs="宋体" w:eastAsia="宋体" w:hint="default"/>
                <w:w w:val="101"/>
                <w:sz w:val="18"/>
                <w:szCs w:val="18"/>
              </w:rPr>
              <w:t>。</w:t>
            </w:r>
            <w:r>
              <w:rPr>
                <w:rFonts w:ascii="宋体" w:hAnsi="宋体" w:cs="宋体" w:eastAsia="宋体" w:hint="default"/>
                <w:sz w:val="18"/>
                <w:szCs w:val="18"/>
              </w:rPr>
            </w:r>
          </w:p>
        </w:tc>
      </w:tr>
    </w:tbl>
    <w:p>
      <w:pPr>
        <w:spacing w:line="240" w:lineRule="auto" w:before="1"/>
        <w:rPr>
          <w:rFonts w:ascii="宋体" w:hAnsi="宋体" w:cs="宋体" w:eastAsia="宋体" w:hint="default"/>
          <w:sz w:val="18"/>
          <w:szCs w:val="18"/>
        </w:rPr>
      </w:pPr>
    </w:p>
    <w:p>
      <w:pPr>
        <w:pStyle w:val="Heading2"/>
        <w:spacing w:line="240" w:lineRule="auto" w:before="26"/>
        <w:ind w:left="353" w:right="1030"/>
        <w:jc w:val="left"/>
        <w:rPr>
          <w:b w:val="0"/>
          <w:bCs w:val="0"/>
        </w:rPr>
      </w:pPr>
      <w:r>
        <w:rPr/>
        <w:t>三、承诺事项履行情况</w:t>
      </w:r>
      <w:r>
        <w:rPr>
          <w:b w:val="0"/>
          <w:bCs w:val="0"/>
        </w:rPr>
      </w:r>
    </w:p>
    <w:p>
      <w:pPr>
        <w:spacing w:line="240" w:lineRule="auto" w:before="7"/>
        <w:rPr>
          <w:rFonts w:ascii="宋体" w:hAnsi="宋体" w:cs="宋体" w:eastAsia="宋体" w:hint="default"/>
          <w:b/>
          <w:bCs/>
          <w:sz w:val="24"/>
          <w:szCs w:val="24"/>
        </w:rPr>
      </w:pPr>
    </w:p>
    <w:p>
      <w:pPr>
        <w:pStyle w:val="Heading4"/>
        <w:spacing w:line="261" w:lineRule="auto"/>
        <w:ind w:left="353" w:right="1030"/>
        <w:jc w:val="left"/>
        <w:rPr>
          <w:b w:val="0"/>
          <w:bCs w:val="0"/>
        </w:rPr>
      </w:pP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65"/>
        </w:rPr>
        <w:t> </w:t>
      </w:r>
      <w:r>
        <w:rPr>
          <w:spacing w:val="-65"/>
        </w:rPr>
      </w:r>
      <w:r>
        <w:rPr/>
        <w:t>尚未履行完毕的承诺事项</w:t>
      </w:r>
      <w:r>
        <w:rPr>
          <w:b w:val="0"/>
          <w:bCs w:val="0"/>
        </w:rPr>
      </w:r>
    </w:p>
    <w:p>
      <w:pPr>
        <w:spacing w:line="240" w:lineRule="auto" w:before="1"/>
        <w:rPr>
          <w:rFonts w:ascii="宋体" w:hAnsi="宋体" w:cs="宋体" w:eastAsia="宋体" w:hint="default"/>
          <w:b/>
          <w:bCs/>
          <w:sz w:val="26"/>
          <w:szCs w:val="26"/>
        </w:rPr>
      </w:pPr>
    </w:p>
    <w:p>
      <w:pPr>
        <w:pStyle w:val="BodyText"/>
        <w:spacing w:line="240" w:lineRule="auto"/>
        <w:ind w:left="353" w:right="103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1"/>
        </w:rPr>
        <w:t> </w:t>
      </w:r>
      <w:r>
        <w:rPr/>
        <w:t>不适用</w:t>
      </w:r>
    </w:p>
    <w:p>
      <w:pPr>
        <w:spacing w:line="240" w:lineRule="auto" w:before="4"/>
        <w:rPr>
          <w:rFonts w:ascii="宋体" w:hAnsi="宋体" w:cs="宋体" w:eastAsia="宋体" w:hint="default"/>
          <w:sz w:val="7"/>
          <w:szCs w:val="7"/>
        </w:rPr>
      </w:pPr>
    </w:p>
    <w:tbl>
      <w:tblPr>
        <w:tblW w:w="0" w:type="auto"/>
        <w:jc w:val="left"/>
        <w:tblInd w:w="113" w:type="dxa"/>
        <w:tblLayout w:type="fixed"/>
        <w:tblCellMar>
          <w:top w:w="0" w:type="dxa"/>
          <w:left w:w="0" w:type="dxa"/>
          <w:bottom w:w="0" w:type="dxa"/>
          <w:right w:w="0" w:type="dxa"/>
        </w:tblCellMar>
        <w:tblLook w:val="01E0"/>
      </w:tblPr>
      <w:tblGrid>
        <w:gridCol w:w="792"/>
        <w:gridCol w:w="620"/>
        <w:gridCol w:w="427"/>
        <w:gridCol w:w="6949"/>
        <w:gridCol w:w="422"/>
        <w:gridCol w:w="427"/>
        <w:gridCol w:w="476"/>
      </w:tblGrid>
      <w:tr>
        <w:trPr>
          <w:trHeight w:val="158" w:hRule="exact"/>
        </w:trPr>
        <w:tc>
          <w:tcPr>
            <w:tcW w:w="7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承诺事由</w:t>
            </w:r>
          </w:p>
        </w:tc>
        <w:tc>
          <w:tcPr>
            <w:tcW w:w="62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427"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3"/>
              <w:ind w:left="28" w:right="23"/>
              <w:jc w:val="left"/>
              <w:rPr>
                <w:rFonts w:ascii="宋体" w:hAnsi="宋体" w:cs="宋体" w:eastAsia="宋体" w:hint="default"/>
                <w:sz w:val="18"/>
                <w:szCs w:val="18"/>
              </w:rPr>
            </w:pPr>
            <w:r>
              <w:rPr>
                <w:rFonts w:ascii="宋体" w:hAnsi="宋体" w:cs="宋体" w:eastAsia="宋体" w:hint="default"/>
                <w:sz w:val="18"/>
                <w:szCs w:val="18"/>
              </w:rPr>
              <w:t>承诺</w:t>
            </w:r>
            <w:r>
              <w:rPr>
                <w:rFonts w:ascii="宋体" w:hAnsi="宋体" w:cs="宋体" w:eastAsia="宋体" w:hint="default"/>
                <w:spacing w:val="-86"/>
                <w:sz w:val="18"/>
                <w:szCs w:val="18"/>
              </w:rPr>
              <w:t> </w:t>
            </w:r>
            <w:r>
              <w:rPr>
                <w:rFonts w:ascii="宋体" w:hAnsi="宋体" w:cs="宋体" w:eastAsia="宋体" w:hint="default"/>
                <w:sz w:val="18"/>
                <w:szCs w:val="18"/>
              </w:rPr>
              <w:t>类型</w:t>
            </w:r>
          </w:p>
        </w:tc>
        <w:tc>
          <w:tcPr>
            <w:tcW w:w="6949" w:type="dxa"/>
            <w:tcBorders>
              <w:top w:val="single" w:sz="4" w:space="0" w:color="000000"/>
              <w:left w:val="single" w:sz="4" w:space="0" w:color="000000"/>
              <w:bottom w:val="nil" w:sz="6" w:space="0" w:color="auto"/>
              <w:right w:val="single" w:sz="4" w:space="0" w:color="000000"/>
            </w:tcBorders>
            <w:shd w:val="clear" w:color="auto" w:fill="D2D2D2"/>
          </w:tcPr>
          <w:p>
            <w:pPr/>
          </w:p>
        </w:tc>
        <w:tc>
          <w:tcPr>
            <w:tcW w:w="422"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3"/>
              <w:ind w:left="28" w:right="17"/>
              <w:jc w:val="left"/>
              <w:rPr>
                <w:rFonts w:ascii="宋体" w:hAnsi="宋体" w:cs="宋体" w:eastAsia="宋体" w:hint="default"/>
                <w:sz w:val="18"/>
                <w:szCs w:val="18"/>
              </w:rPr>
            </w:pPr>
            <w:r>
              <w:rPr>
                <w:rFonts w:ascii="宋体" w:hAnsi="宋体" w:cs="宋体" w:eastAsia="宋体" w:hint="default"/>
                <w:sz w:val="18"/>
                <w:szCs w:val="18"/>
              </w:rPr>
              <w:t>承诺</w:t>
            </w:r>
            <w:r>
              <w:rPr>
                <w:rFonts w:ascii="宋体" w:hAnsi="宋体" w:cs="宋体" w:eastAsia="宋体" w:hint="default"/>
                <w:spacing w:val="-86"/>
                <w:sz w:val="18"/>
                <w:szCs w:val="18"/>
              </w:rPr>
              <w:t> </w:t>
            </w:r>
            <w:r>
              <w:rPr>
                <w:rFonts w:ascii="宋体" w:hAnsi="宋体" w:cs="宋体" w:eastAsia="宋体" w:hint="default"/>
                <w:sz w:val="18"/>
                <w:szCs w:val="18"/>
              </w:rPr>
              <w:t>时间</w:t>
            </w:r>
          </w:p>
        </w:tc>
        <w:tc>
          <w:tcPr>
            <w:tcW w:w="427"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3"/>
              <w:ind w:left="28" w:right="23"/>
              <w:jc w:val="left"/>
              <w:rPr>
                <w:rFonts w:ascii="宋体" w:hAnsi="宋体" w:cs="宋体" w:eastAsia="宋体" w:hint="default"/>
                <w:sz w:val="18"/>
                <w:szCs w:val="18"/>
              </w:rPr>
            </w:pPr>
            <w:r>
              <w:rPr>
                <w:rFonts w:ascii="宋体" w:hAnsi="宋体" w:cs="宋体" w:eastAsia="宋体" w:hint="default"/>
                <w:sz w:val="18"/>
                <w:szCs w:val="18"/>
              </w:rPr>
              <w:t>承诺</w:t>
            </w:r>
            <w:r>
              <w:rPr>
                <w:rFonts w:ascii="宋体" w:hAnsi="宋体" w:cs="宋体" w:eastAsia="宋体" w:hint="default"/>
                <w:spacing w:val="-86"/>
                <w:sz w:val="18"/>
                <w:szCs w:val="18"/>
              </w:rPr>
              <w:t> </w:t>
            </w:r>
            <w:r>
              <w:rPr>
                <w:rFonts w:ascii="宋体" w:hAnsi="宋体" w:cs="宋体" w:eastAsia="宋体" w:hint="default"/>
                <w:sz w:val="18"/>
                <w:szCs w:val="18"/>
              </w:rPr>
              <w:t>期限</w:t>
            </w:r>
          </w:p>
        </w:tc>
        <w:tc>
          <w:tcPr>
            <w:tcW w:w="476"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3"/>
              <w:ind w:left="52" w:right="46"/>
              <w:jc w:val="left"/>
              <w:rPr>
                <w:rFonts w:ascii="宋体" w:hAnsi="宋体" w:cs="宋体" w:eastAsia="宋体" w:hint="default"/>
                <w:sz w:val="18"/>
                <w:szCs w:val="18"/>
              </w:rPr>
            </w:pPr>
            <w:r>
              <w:rPr>
                <w:rFonts w:ascii="宋体" w:hAnsi="宋体" w:cs="宋体" w:eastAsia="宋体" w:hint="default"/>
                <w:sz w:val="18"/>
                <w:szCs w:val="18"/>
              </w:rPr>
              <w:t>履行</w:t>
            </w:r>
            <w:r>
              <w:rPr>
                <w:rFonts w:ascii="宋体" w:hAnsi="宋体" w:cs="宋体" w:eastAsia="宋体" w:hint="default"/>
                <w:spacing w:val="-86"/>
                <w:sz w:val="18"/>
                <w:szCs w:val="18"/>
              </w:rPr>
              <w:t> </w:t>
            </w:r>
            <w:r>
              <w:rPr>
                <w:rFonts w:ascii="宋体" w:hAnsi="宋体" w:cs="宋体" w:eastAsia="宋体" w:hint="default"/>
                <w:sz w:val="18"/>
                <w:szCs w:val="18"/>
              </w:rPr>
              <w:t>情况</w:t>
            </w:r>
          </w:p>
        </w:tc>
      </w:tr>
      <w:tr>
        <w:trPr>
          <w:trHeight w:val="394" w:hRule="exact"/>
        </w:trPr>
        <w:tc>
          <w:tcPr>
            <w:tcW w:w="792" w:type="dxa"/>
            <w:vMerge/>
            <w:tcBorders>
              <w:left w:val="single" w:sz="4" w:space="0" w:color="000000"/>
              <w:right w:val="single" w:sz="4" w:space="0" w:color="000000"/>
            </w:tcBorders>
            <w:shd w:val="clear" w:color="auto" w:fill="D2D2D2"/>
          </w:tcPr>
          <w:p>
            <w:pPr/>
          </w:p>
        </w:tc>
        <w:tc>
          <w:tcPr>
            <w:tcW w:w="620" w:type="dxa"/>
            <w:vMerge/>
            <w:tcBorders>
              <w:left w:val="single" w:sz="4" w:space="0" w:color="000000"/>
              <w:right w:val="single" w:sz="4" w:space="0" w:color="000000"/>
            </w:tcBorders>
            <w:shd w:val="clear" w:color="auto" w:fill="D2D2D2"/>
          </w:tcPr>
          <w:p>
            <w:pPr/>
          </w:p>
        </w:tc>
        <w:tc>
          <w:tcPr>
            <w:tcW w:w="427" w:type="dxa"/>
            <w:vMerge/>
            <w:tcBorders>
              <w:left w:val="single" w:sz="4" w:space="0" w:color="000000"/>
              <w:right w:val="single" w:sz="4" w:space="0" w:color="000000"/>
            </w:tcBorders>
            <w:shd w:val="clear" w:color="auto" w:fill="D2D2D2"/>
          </w:tcPr>
          <w:p>
            <w:pPr/>
          </w:p>
        </w:tc>
        <w:tc>
          <w:tcPr>
            <w:tcW w:w="694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422" w:type="dxa"/>
            <w:vMerge/>
            <w:tcBorders>
              <w:left w:val="single" w:sz="4" w:space="0" w:color="000000"/>
              <w:right w:val="single" w:sz="4" w:space="0" w:color="000000"/>
            </w:tcBorders>
            <w:shd w:val="clear" w:color="auto" w:fill="D2D2D2"/>
          </w:tcPr>
          <w:p>
            <w:pPr/>
          </w:p>
        </w:tc>
        <w:tc>
          <w:tcPr>
            <w:tcW w:w="427" w:type="dxa"/>
            <w:vMerge/>
            <w:tcBorders>
              <w:left w:val="single" w:sz="4" w:space="0" w:color="000000"/>
              <w:right w:val="single" w:sz="4" w:space="0" w:color="000000"/>
            </w:tcBorders>
            <w:shd w:val="clear" w:color="auto" w:fill="D2D2D2"/>
          </w:tcPr>
          <w:p>
            <w:pPr/>
          </w:p>
        </w:tc>
        <w:tc>
          <w:tcPr>
            <w:tcW w:w="476" w:type="dxa"/>
            <w:vMerge/>
            <w:tcBorders>
              <w:left w:val="single" w:sz="4" w:space="0" w:color="000000"/>
              <w:right w:val="single" w:sz="4" w:space="0" w:color="000000"/>
            </w:tcBorders>
            <w:shd w:val="clear" w:color="auto" w:fill="D2D2D2"/>
          </w:tcPr>
          <w:p>
            <w:pPr/>
          </w:p>
        </w:tc>
      </w:tr>
      <w:tr>
        <w:trPr>
          <w:trHeight w:val="158" w:hRule="exact"/>
        </w:trPr>
        <w:tc>
          <w:tcPr>
            <w:tcW w:w="792" w:type="dxa"/>
            <w:vMerge/>
            <w:tcBorders>
              <w:left w:val="single" w:sz="4" w:space="0" w:color="000000"/>
              <w:bottom w:val="single" w:sz="4" w:space="0" w:color="000000"/>
              <w:right w:val="single" w:sz="4" w:space="0" w:color="000000"/>
            </w:tcBorders>
            <w:shd w:val="clear" w:color="auto" w:fill="D2D2D2"/>
          </w:tcPr>
          <w:p>
            <w:pPr/>
          </w:p>
        </w:tc>
        <w:tc>
          <w:tcPr>
            <w:tcW w:w="620" w:type="dxa"/>
            <w:vMerge/>
            <w:tcBorders>
              <w:left w:val="single" w:sz="4" w:space="0" w:color="000000"/>
              <w:bottom w:val="single" w:sz="4" w:space="0" w:color="000000"/>
              <w:right w:val="single" w:sz="4" w:space="0" w:color="000000"/>
            </w:tcBorders>
            <w:shd w:val="clear" w:color="auto" w:fill="D2D2D2"/>
          </w:tcPr>
          <w:p>
            <w:pPr/>
          </w:p>
        </w:tc>
        <w:tc>
          <w:tcPr>
            <w:tcW w:w="427" w:type="dxa"/>
            <w:vMerge/>
            <w:tcBorders>
              <w:left w:val="single" w:sz="4" w:space="0" w:color="000000"/>
              <w:bottom w:val="single" w:sz="4" w:space="0" w:color="000000"/>
              <w:right w:val="single" w:sz="4" w:space="0" w:color="000000"/>
            </w:tcBorders>
            <w:shd w:val="clear" w:color="auto" w:fill="D2D2D2"/>
          </w:tcPr>
          <w:p>
            <w:pPr/>
          </w:p>
        </w:tc>
        <w:tc>
          <w:tcPr>
            <w:tcW w:w="6949" w:type="dxa"/>
            <w:tcBorders>
              <w:top w:val="nil" w:sz="6" w:space="0" w:color="auto"/>
              <w:left w:val="single" w:sz="4" w:space="0" w:color="000000"/>
              <w:bottom w:val="single" w:sz="4" w:space="0" w:color="000000"/>
              <w:right w:val="single" w:sz="4" w:space="0" w:color="000000"/>
            </w:tcBorders>
            <w:shd w:val="clear" w:color="auto" w:fill="D2D2D2"/>
          </w:tcPr>
          <w:p>
            <w:pPr/>
          </w:p>
        </w:tc>
        <w:tc>
          <w:tcPr>
            <w:tcW w:w="422" w:type="dxa"/>
            <w:vMerge/>
            <w:tcBorders>
              <w:left w:val="single" w:sz="4" w:space="0" w:color="000000"/>
              <w:bottom w:val="single" w:sz="4" w:space="0" w:color="000000"/>
              <w:right w:val="single" w:sz="4" w:space="0" w:color="000000"/>
            </w:tcBorders>
            <w:shd w:val="clear" w:color="auto" w:fill="D2D2D2"/>
          </w:tcPr>
          <w:p>
            <w:pPr/>
          </w:p>
        </w:tc>
        <w:tc>
          <w:tcPr>
            <w:tcW w:w="427" w:type="dxa"/>
            <w:vMerge/>
            <w:tcBorders>
              <w:left w:val="single" w:sz="4" w:space="0" w:color="000000"/>
              <w:bottom w:val="single" w:sz="4" w:space="0" w:color="000000"/>
              <w:right w:val="single" w:sz="4" w:space="0" w:color="000000"/>
            </w:tcBorders>
            <w:shd w:val="clear" w:color="auto" w:fill="D2D2D2"/>
          </w:tcPr>
          <w:p>
            <w:pPr/>
          </w:p>
        </w:tc>
        <w:tc>
          <w:tcPr>
            <w:tcW w:w="47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620"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6949"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76" w:type="dxa"/>
            <w:tcBorders>
              <w:top w:val="single" w:sz="4" w:space="0" w:color="000000"/>
              <w:left w:val="single" w:sz="4" w:space="0" w:color="000000"/>
              <w:bottom w:val="single" w:sz="4" w:space="0" w:color="000000"/>
              <w:right w:val="single" w:sz="4" w:space="0" w:color="000000"/>
            </w:tcBorders>
          </w:tcPr>
          <w:p>
            <w:pPr/>
          </w:p>
        </w:tc>
      </w:tr>
      <w:tr>
        <w:trPr>
          <w:trHeight w:val="677" w:hRule="exact"/>
        </w:trPr>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31"/>
              <w:jc w:val="left"/>
              <w:rPr>
                <w:rFonts w:ascii="宋体" w:hAnsi="宋体" w:cs="宋体" w:eastAsia="宋体" w:hint="default"/>
                <w:sz w:val="18"/>
                <w:szCs w:val="18"/>
              </w:rPr>
            </w:pPr>
            <w:r>
              <w:rPr>
                <w:rFonts w:ascii="宋体" w:hAnsi="宋体" w:cs="宋体" w:eastAsia="宋体" w:hint="default"/>
                <w:sz w:val="18"/>
                <w:szCs w:val="18"/>
              </w:rPr>
              <w:t>收购报告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书或权益</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41"/>
              <w:jc w:val="left"/>
              <w:rPr>
                <w:rFonts w:ascii="宋体" w:hAnsi="宋体" w:cs="宋体" w:eastAsia="宋体" w:hint="default"/>
                <w:sz w:val="18"/>
                <w:szCs w:val="18"/>
              </w:rPr>
            </w:pPr>
            <w:r>
              <w:rPr>
                <w:rFonts w:ascii="宋体" w:hAnsi="宋体" w:cs="宋体" w:eastAsia="宋体" w:hint="default"/>
                <w:sz w:val="18"/>
                <w:szCs w:val="18"/>
              </w:rPr>
              <w:t>云南省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工业投</w:t>
            </w:r>
          </w:p>
        </w:tc>
        <w:tc>
          <w:tcPr>
            <w:tcW w:w="427" w:type="dxa"/>
            <w:tcBorders>
              <w:top w:val="single" w:sz="4" w:space="0" w:color="000000"/>
              <w:left w:val="single" w:sz="4" w:space="0" w:color="000000"/>
              <w:bottom w:val="single" w:sz="4" w:space="0" w:color="000000"/>
              <w:right w:val="single" w:sz="4" w:space="0" w:color="000000"/>
            </w:tcBorders>
          </w:tcPr>
          <w:p>
            <w:pPr/>
          </w:p>
        </w:tc>
        <w:tc>
          <w:tcPr>
            <w:tcW w:w="694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23" w:right="17"/>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）关于避免同业竞争的承诺：本公司及本公司控制的全资或控股子企业目前没有，将</w:t>
            </w:r>
            <w:r>
              <w:rPr>
                <w:rFonts w:ascii="宋体" w:hAnsi="宋体" w:cs="宋体" w:eastAsia="宋体" w:hint="default"/>
                <w:spacing w:val="24"/>
                <w:sz w:val="18"/>
                <w:szCs w:val="18"/>
              </w:rPr>
              <w:t> </w:t>
            </w:r>
            <w:r>
              <w:rPr>
                <w:rFonts w:ascii="宋体" w:hAnsi="宋体" w:cs="宋体" w:eastAsia="宋体" w:hint="default"/>
                <w:spacing w:val="24"/>
                <w:sz w:val="18"/>
                <w:szCs w:val="18"/>
              </w:rPr>
            </w:r>
            <w:r>
              <w:rPr>
                <w:rFonts w:ascii="宋体" w:hAnsi="宋体" w:cs="宋体" w:eastAsia="宋体" w:hint="default"/>
                <w:spacing w:val="-3"/>
                <w:sz w:val="18"/>
                <w:szCs w:val="18"/>
              </w:rPr>
              <w:t>来亦不会在中国境内外：①以任何方式直接或间接控制任何导致或可能导致与南天信息</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年</w:t>
            </w:r>
            <w:r>
              <w:rPr>
                <w:rFonts w:ascii="宋体" w:hAnsi="宋体" w:cs="宋体" w:eastAsia="宋体" w:hint="default"/>
                <w:sz w:val="18"/>
                <w:szCs w:val="18"/>
              </w:rPr>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4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5"/>
              <w:jc w:val="left"/>
              <w:rPr>
                <w:rFonts w:ascii="宋体" w:hAnsi="宋体" w:cs="宋体" w:eastAsia="宋体" w:hint="default"/>
                <w:sz w:val="18"/>
                <w:szCs w:val="18"/>
              </w:rPr>
            </w:pPr>
            <w:r>
              <w:rPr>
                <w:rFonts w:ascii="宋体" w:hAnsi="宋体" w:cs="宋体" w:eastAsia="宋体" w:hint="default"/>
                <w:sz w:val="18"/>
                <w:szCs w:val="18"/>
              </w:rPr>
              <w:t>按承</w:t>
            </w:r>
            <w:r>
              <w:rPr>
                <w:rFonts w:ascii="宋体" w:hAnsi="宋体" w:cs="宋体" w:eastAsia="宋体" w:hint="default"/>
                <w:spacing w:val="-86"/>
                <w:sz w:val="18"/>
                <w:szCs w:val="18"/>
              </w:rPr>
              <w:t> </w:t>
            </w:r>
            <w:r>
              <w:rPr>
                <w:rFonts w:ascii="宋体" w:hAnsi="宋体" w:cs="宋体" w:eastAsia="宋体" w:hint="default"/>
                <w:sz w:val="18"/>
                <w:szCs w:val="18"/>
              </w:rPr>
              <w:t>诺履</w:t>
            </w:r>
          </w:p>
        </w:tc>
      </w:tr>
    </w:tbl>
    <w:p>
      <w:pPr>
        <w:spacing w:after="0" w:line="316" w:lineRule="auto"/>
        <w:jc w:val="left"/>
        <w:rPr>
          <w:rFonts w:ascii="宋体" w:hAnsi="宋体" w:cs="宋体" w:eastAsia="宋体" w:hint="default"/>
          <w:sz w:val="18"/>
          <w:szCs w:val="18"/>
        </w:rPr>
        <w:sectPr>
          <w:pgSz w:w="11910" w:h="16840"/>
          <w:pgMar w:header="746" w:footer="974" w:top="1060" w:bottom="1160" w:left="780" w:right="0"/>
        </w:sectPr>
      </w:pPr>
    </w:p>
    <w:p>
      <w:pPr>
        <w:spacing w:line="240" w:lineRule="auto" w:before="0"/>
        <w:rPr>
          <w:rFonts w:ascii="Times New Roman" w:hAnsi="Times New Roman" w:cs="Times New Roman" w:eastAsia="Times New Roman" w:hint="default"/>
          <w:sz w:val="20"/>
          <w:szCs w:val="20"/>
        </w:rPr>
      </w:pPr>
      <w:r>
        <w:rPr/>
        <w:pict>
          <v:shape style="position:absolute;margin-left:478.42041pt;margin-top:72.509979pt;width:27pt;height:282.8pt;mso-position-horizontal-relative:page;mso-position-vertical-relative:page;z-index:-982384" type="#_x0000_t202" filled="false" stroked="false">
            <v:textbox inset="0,0,0,0">
              <w:txbxContent>
                <w:p>
                  <w:pPr>
                    <w:pStyle w:val="BodyText"/>
                    <w:spacing w:line="240" w:lineRule="auto" w:before="10"/>
                    <w:ind w:left="0" w:right="0"/>
                    <w:jc w:val="left"/>
                  </w:pPr>
                  <w:r>
                    <w:rPr>
                      <w:w w:val="101"/>
                    </w:rPr>
                    <w:t>，</w:t>
                  </w:r>
                  <w:r>
                    <w:rPr/>
                  </w:r>
                </w:p>
              </w:txbxContent>
            </v:textbox>
            <w10:wrap type="none"/>
          </v:shape>
        </w:pict>
      </w:r>
    </w:p>
    <w:p>
      <w:pPr>
        <w:spacing w:line="240" w:lineRule="auto" w:before="4"/>
        <w:rPr>
          <w:rFonts w:ascii="Times New Roman" w:hAnsi="Times New Roman" w:cs="Times New Roman" w:eastAsia="Times New Roman" w:hint="default"/>
          <w:sz w:val="12"/>
          <w:szCs w:val="12"/>
        </w:rPr>
      </w:pPr>
    </w:p>
    <w:tbl>
      <w:tblPr>
        <w:tblW w:w="0" w:type="auto"/>
        <w:jc w:val="left"/>
        <w:tblInd w:w="113" w:type="dxa"/>
        <w:tblLayout w:type="fixed"/>
        <w:tblCellMar>
          <w:top w:w="0" w:type="dxa"/>
          <w:left w:w="0" w:type="dxa"/>
          <w:bottom w:w="0" w:type="dxa"/>
          <w:right w:w="0" w:type="dxa"/>
        </w:tblCellMar>
        <w:tblLook w:val="01E0"/>
      </w:tblPr>
      <w:tblGrid>
        <w:gridCol w:w="792"/>
        <w:gridCol w:w="620"/>
        <w:gridCol w:w="427"/>
        <w:gridCol w:w="6949"/>
        <w:gridCol w:w="422"/>
        <w:gridCol w:w="427"/>
        <w:gridCol w:w="476"/>
      </w:tblGrid>
      <w:tr>
        <w:trPr>
          <w:trHeight w:val="5666" w:hRule="exact"/>
        </w:trPr>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24" w:right="31"/>
              <w:jc w:val="both"/>
              <w:rPr>
                <w:rFonts w:ascii="宋体" w:hAnsi="宋体" w:cs="宋体" w:eastAsia="宋体" w:hint="default"/>
                <w:sz w:val="18"/>
                <w:szCs w:val="18"/>
              </w:rPr>
            </w:pPr>
            <w:r>
              <w:rPr>
                <w:rFonts w:ascii="宋体" w:hAnsi="宋体" w:cs="宋体" w:eastAsia="宋体" w:hint="default"/>
                <w:sz w:val="18"/>
                <w:szCs w:val="18"/>
              </w:rPr>
              <w:t>变动报告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书中所作</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承诺</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4" w:right="41"/>
              <w:jc w:val="both"/>
              <w:rPr>
                <w:rFonts w:ascii="宋体" w:hAnsi="宋体" w:cs="宋体" w:eastAsia="宋体" w:hint="default"/>
                <w:sz w:val="18"/>
                <w:szCs w:val="18"/>
              </w:rPr>
            </w:pPr>
            <w:r>
              <w:rPr>
                <w:rFonts w:ascii="宋体" w:hAnsi="宋体" w:cs="宋体" w:eastAsia="宋体" w:hint="default"/>
                <w:sz w:val="18"/>
                <w:szCs w:val="18"/>
              </w:rPr>
              <w:t>资控股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集团有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限公司</w:t>
            </w:r>
          </w:p>
        </w:tc>
        <w:tc>
          <w:tcPr>
            <w:tcW w:w="427" w:type="dxa"/>
            <w:tcBorders>
              <w:top w:val="single" w:sz="4" w:space="0" w:color="000000"/>
              <w:left w:val="single" w:sz="4" w:space="0" w:color="000000"/>
              <w:bottom w:val="single" w:sz="4" w:space="0" w:color="000000"/>
              <w:right w:val="single" w:sz="4" w:space="0" w:color="000000"/>
            </w:tcBorders>
          </w:tcPr>
          <w:p>
            <w:pPr/>
          </w:p>
        </w:tc>
        <w:tc>
          <w:tcPr>
            <w:tcW w:w="694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3" w:right="17"/>
              <w:jc w:val="both"/>
              <w:rPr>
                <w:rFonts w:ascii="宋体" w:hAnsi="宋体" w:cs="宋体" w:eastAsia="宋体" w:hint="default"/>
                <w:sz w:val="18"/>
                <w:szCs w:val="18"/>
              </w:rPr>
            </w:pPr>
            <w:r>
              <w:rPr>
                <w:rFonts w:ascii="宋体" w:hAnsi="宋体" w:cs="宋体" w:eastAsia="宋体" w:hint="default"/>
                <w:spacing w:val="-4"/>
                <w:sz w:val="18"/>
                <w:szCs w:val="18"/>
              </w:rPr>
              <w:t>（包括南天信息控股子公司，下同）主营业务直接或间接产生竞争的业务或活动的企业</w:t>
            </w:r>
            <w:r>
              <w:rPr>
                <w:rFonts w:ascii="宋体" w:hAnsi="宋体" w:cs="宋体" w:eastAsia="宋体" w:hint="default"/>
                <w:spacing w:val="18"/>
                <w:sz w:val="18"/>
                <w:szCs w:val="18"/>
              </w:rPr>
              <w:t> </w:t>
            </w:r>
            <w:r>
              <w:rPr>
                <w:rFonts w:ascii="宋体" w:hAnsi="宋体" w:cs="宋体" w:eastAsia="宋体" w:hint="default"/>
                <w:spacing w:val="18"/>
                <w:sz w:val="18"/>
                <w:szCs w:val="18"/>
              </w:rPr>
            </w:r>
            <w:r>
              <w:rPr>
                <w:rFonts w:ascii="宋体" w:hAnsi="宋体" w:cs="宋体" w:eastAsia="宋体" w:hint="default"/>
                <w:spacing w:val="-3"/>
                <w:sz w:val="18"/>
                <w:szCs w:val="18"/>
              </w:rPr>
              <w:t>本公司及本公司控制的全资或控股子企业亦不生产任何与南天信息产品相同或相似或可</w:t>
            </w:r>
            <w:r>
              <w:rPr>
                <w:rFonts w:ascii="宋体" w:hAnsi="宋体" w:cs="宋体" w:eastAsia="宋体" w:hint="default"/>
                <w:spacing w:val="20"/>
                <w:sz w:val="18"/>
                <w:szCs w:val="18"/>
              </w:rPr>
              <w:t> </w:t>
            </w:r>
            <w:r>
              <w:rPr>
                <w:rFonts w:ascii="宋体" w:hAnsi="宋体" w:cs="宋体" w:eastAsia="宋体" w:hint="default"/>
                <w:spacing w:val="20"/>
                <w:sz w:val="18"/>
                <w:szCs w:val="18"/>
              </w:rPr>
            </w:r>
            <w:r>
              <w:rPr>
                <w:rFonts w:ascii="宋体" w:hAnsi="宋体" w:cs="宋体" w:eastAsia="宋体" w:hint="default"/>
                <w:spacing w:val="-3"/>
                <w:sz w:val="18"/>
                <w:szCs w:val="18"/>
              </w:rPr>
              <w:t>以取代南天信息公司产品的产品。②如南天信息认为本公司及本公司控制的全资或控股</w:t>
            </w:r>
            <w:r>
              <w:rPr>
                <w:rFonts w:ascii="宋体" w:hAnsi="宋体" w:cs="宋体" w:eastAsia="宋体" w:hint="default"/>
                <w:spacing w:val="21"/>
                <w:sz w:val="18"/>
                <w:szCs w:val="18"/>
              </w:rPr>
              <w:t> </w:t>
            </w:r>
            <w:r>
              <w:rPr>
                <w:rFonts w:ascii="宋体" w:hAnsi="宋体" w:cs="宋体" w:eastAsia="宋体" w:hint="default"/>
                <w:spacing w:val="21"/>
                <w:sz w:val="18"/>
                <w:szCs w:val="18"/>
              </w:rPr>
            </w:r>
            <w:r>
              <w:rPr>
                <w:rFonts w:ascii="宋体" w:hAnsi="宋体" w:cs="宋体" w:eastAsia="宋体" w:hint="default"/>
                <w:spacing w:val="-3"/>
                <w:sz w:val="18"/>
                <w:szCs w:val="18"/>
              </w:rPr>
              <w:t>子企业从事了对南天信息的业务构成竞争的业务，本公司及本公司控制的全资或控股子</w:t>
            </w:r>
            <w:r>
              <w:rPr>
                <w:rFonts w:ascii="宋体" w:hAnsi="宋体" w:cs="宋体" w:eastAsia="宋体" w:hint="default"/>
                <w:spacing w:val="20"/>
                <w:sz w:val="18"/>
                <w:szCs w:val="18"/>
              </w:rPr>
              <w:t> </w:t>
            </w:r>
            <w:r>
              <w:rPr>
                <w:rFonts w:ascii="宋体" w:hAnsi="宋体" w:cs="宋体" w:eastAsia="宋体" w:hint="default"/>
                <w:spacing w:val="20"/>
                <w:sz w:val="18"/>
                <w:szCs w:val="18"/>
              </w:rPr>
            </w:r>
            <w:r>
              <w:rPr>
                <w:rFonts w:ascii="宋体" w:hAnsi="宋体" w:cs="宋体" w:eastAsia="宋体" w:hint="default"/>
                <w:spacing w:val="-3"/>
                <w:sz w:val="18"/>
                <w:szCs w:val="18"/>
              </w:rPr>
              <w:t>企业将愿意以公平合理的价格将该等资产或股权转让给南天信息。③如果本公司及本公</w:t>
            </w:r>
            <w:r>
              <w:rPr>
                <w:rFonts w:ascii="宋体" w:hAnsi="宋体" w:cs="宋体" w:eastAsia="宋体" w:hint="default"/>
                <w:spacing w:val="21"/>
                <w:sz w:val="18"/>
                <w:szCs w:val="18"/>
              </w:rPr>
              <w:t> </w:t>
            </w:r>
            <w:r>
              <w:rPr>
                <w:rFonts w:ascii="宋体" w:hAnsi="宋体" w:cs="宋体" w:eastAsia="宋体" w:hint="default"/>
                <w:spacing w:val="21"/>
                <w:sz w:val="18"/>
                <w:szCs w:val="18"/>
              </w:rPr>
            </w:r>
            <w:r>
              <w:rPr>
                <w:rFonts w:ascii="宋体" w:hAnsi="宋体" w:cs="宋体" w:eastAsia="宋体" w:hint="default"/>
                <w:spacing w:val="-3"/>
                <w:sz w:val="18"/>
                <w:szCs w:val="18"/>
              </w:rPr>
              <w:t>司控制的全资或控股子企业将来可能存在任何与南天信息主营业务产生直接或间接竞争</w:t>
            </w:r>
            <w:r>
              <w:rPr>
                <w:rFonts w:ascii="宋体" w:hAnsi="宋体" w:cs="宋体" w:eastAsia="宋体" w:hint="default"/>
                <w:spacing w:val="21"/>
                <w:sz w:val="18"/>
                <w:szCs w:val="18"/>
              </w:rPr>
              <w:t> </w:t>
            </w:r>
            <w:r>
              <w:rPr>
                <w:rFonts w:ascii="宋体" w:hAnsi="宋体" w:cs="宋体" w:eastAsia="宋体" w:hint="default"/>
                <w:spacing w:val="21"/>
                <w:sz w:val="18"/>
                <w:szCs w:val="18"/>
              </w:rPr>
            </w:r>
            <w:r>
              <w:rPr>
                <w:rFonts w:ascii="宋体" w:hAnsi="宋体" w:cs="宋体" w:eastAsia="宋体" w:hint="default"/>
                <w:spacing w:val="-3"/>
                <w:sz w:val="18"/>
                <w:szCs w:val="18"/>
              </w:rPr>
              <w:t>的业务机会，应立即通知南天信息并尽力促使该业务机会按南天信息能合理接受的条款</w:t>
            </w:r>
            <w:r>
              <w:rPr>
                <w:rFonts w:ascii="宋体" w:hAnsi="宋体" w:cs="宋体" w:eastAsia="宋体" w:hint="default"/>
                <w:spacing w:val="20"/>
                <w:sz w:val="18"/>
                <w:szCs w:val="18"/>
              </w:rPr>
              <w:t> </w:t>
            </w:r>
            <w:r>
              <w:rPr>
                <w:rFonts w:ascii="宋体" w:hAnsi="宋体" w:cs="宋体" w:eastAsia="宋体" w:hint="default"/>
                <w:spacing w:val="20"/>
                <w:sz w:val="18"/>
                <w:szCs w:val="18"/>
              </w:rPr>
            </w:r>
            <w:r>
              <w:rPr>
                <w:rFonts w:ascii="宋体" w:hAnsi="宋体" w:cs="宋体" w:eastAsia="宋体" w:hint="default"/>
                <w:spacing w:val="-3"/>
                <w:sz w:val="18"/>
                <w:szCs w:val="18"/>
              </w:rPr>
              <w:t>和条件首先提供给南天信息，南天信息对上述业务享有优先购买权。本公司承诺，因违</w:t>
            </w:r>
            <w:r>
              <w:rPr>
                <w:rFonts w:ascii="宋体" w:hAnsi="宋体" w:cs="宋体" w:eastAsia="宋体" w:hint="default"/>
                <w:spacing w:val="20"/>
                <w:sz w:val="18"/>
                <w:szCs w:val="18"/>
              </w:rPr>
              <w:t> </w:t>
            </w:r>
            <w:r>
              <w:rPr>
                <w:rFonts w:ascii="宋体" w:hAnsi="宋体" w:cs="宋体" w:eastAsia="宋体" w:hint="default"/>
                <w:spacing w:val="20"/>
                <w:sz w:val="18"/>
                <w:szCs w:val="18"/>
              </w:rPr>
            </w:r>
            <w:r>
              <w:rPr>
                <w:rFonts w:ascii="宋体" w:hAnsi="宋体" w:cs="宋体" w:eastAsia="宋体" w:hint="default"/>
                <w:spacing w:val="-3"/>
                <w:sz w:val="18"/>
                <w:szCs w:val="18"/>
              </w:rPr>
              <w:t>反本承诺函的任何条款而导致南天信息遭受的一切损失、损害和开支，本公司将予以赔</w:t>
            </w:r>
            <w:r>
              <w:rPr>
                <w:rFonts w:ascii="宋体" w:hAnsi="宋体" w:cs="宋体" w:eastAsia="宋体" w:hint="default"/>
                <w:spacing w:val="20"/>
                <w:sz w:val="18"/>
                <w:szCs w:val="18"/>
              </w:rPr>
              <w:t> </w:t>
            </w:r>
            <w:r>
              <w:rPr>
                <w:rFonts w:ascii="宋体" w:hAnsi="宋体" w:cs="宋体" w:eastAsia="宋体" w:hint="default"/>
                <w:spacing w:val="20"/>
                <w:sz w:val="18"/>
                <w:szCs w:val="18"/>
              </w:rPr>
            </w:r>
            <w:r>
              <w:rPr>
                <w:rFonts w:ascii="宋体" w:hAnsi="宋体" w:cs="宋体" w:eastAsia="宋体" w:hint="default"/>
                <w:spacing w:val="-5"/>
                <w:w w:val="101"/>
                <w:sz w:val="18"/>
                <w:szCs w:val="18"/>
              </w:rPr>
              <w:t>偿。（</w:t>
            </w:r>
            <w:r>
              <w:rPr>
                <w:rFonts w:ascii="Times New Roman" w:hAnsi="Times New Roman" w:cs="Times New Roman" w:eastAsia="Times New Roman" w:hint="default"/>
                <w:spacing w:val="-5"/>
                <w:w w:val="101"/>
                <w:sz w:val="18"/>
                <w:szCs w:val="18"/>
              </w:rPr>
              <w:t>2</w:t>
            </w:r>
            <w:r>
              <w:rPr>
                <w:rFonts w:ascii="宋体" w:hAnsi="宋体" w:cs="宋体" w:eastAsia="宋体" w:hint="default"/>
                <w:spacing w:val="-5"/>
                <w:w w:val="101"/>
                <w:sz w:val="18"/>
                <w:szCs w:val="18"/>
              </w:rPr>
              <w:t>）关于规范关联交易的承诺：工投集团作为南天信息控股股东期间，工投集团将</w:t>
            </w:r>
            <w:r>
              <w:rPr>
                <w:rFonts w:ascii="宋体" w:hAnsi="宋体" w:cs="宋体" w:eastAsia="宋体" w:hint="default"/>
                <w:spacing w:val="-84"/>
                <w:w w:val="101"/>
                <w:sz w:val="18"/>
                <w:szCs w:val="18"/>
              </w:rPr>
              <w:t> </w:t>
            </w:r>
            <w:r>
              <w:rPr>
                <w:rFonts w:ascii="宋体" w:hAnsi="宋体" w:cs="宋体" w:eastAsia="宋体" w:hint="default"/>
                <w:spacing w:val="-84"/>
                <w:w w:val="101"/>
                <w:sz w:val="18"/>
                <w:szCs w:val="18"/>
              </w:rPr>
            </w:r>
            <w:r>
              <w:rPr>
                <w:rFonts w:ascii="宋体" w:hAnsi="宋体" w:cs="宋体" w:eastAsia="宋体" w:hint="default"/>
                <w:spacing w:val="-3"/>
                <w:sz w:val="18"/>
                <w:szCs w:val="18"/>
              </w:rPr>
              <w:t>尽量减少并规范与南天信息的关联交易。若有不可避免的关联交易，工投集团与南天信</w:t>
            </w:r>
            <w:r>
              <w:rPr>
                <w:rFonts w:ascii="宋体" w:hAnsi="宋体" w:cs="宋体" w:eastAsia="宋体" w:hint="default"/>
                <w:spacing w:val="20"/>
                <w:sz w:val="18"/>
                <w:szCs w:val="18"/>
              </w:rPr>
              <w:t> </w:t>
            </w:r>
            <w:r>
              <w:rPr>
                <w:rFonts w:ascii="宋体" w:hAnsi="宋体" w:cs="宋体" w:eastAsia="宋体" w:hint="default"/>
                <w:spacing w:val="20"/>
                <w:sz w:val="18"/>
                <w:szCs w:val="18"/>
              </w:rPr>
            </w:r>
            <w:r>
              <w:rPr>
                <w:rFonts w:ascii="宋体" w:hAnsi="宋体" w:cs="宋体" w:eastAsia="宋体" w:hint="default"/>
                <w:spacing w:val="-3"/>
                <w:sz w:val="18"/>
                <w:szCs w:val="18"/>
              </w:rPr>
              <w:t>息将依法签订协议，履行合法程序，并将按照有关法律、法规和《深圳证券交易所股票</w:t>
            </w:r>
            <w:r>
              <w:rPr>
                <w:rFonts w:ascii="宋体" w:hAnsi="宋体" w:cs="宋体" w:eastAsia="宋体" w:hint="default"/>
                <w:spacing w:val="20"/>
                <w:sz w:val="18"/>
                <w:szCs w:val="18"/>
              </w:rPr>
              <w:t> </w:t>
            </w:r>
            <w:r>
              <w:rPr>
                <w:rFonts w:ascii="宋体" w:hAnsi="宋体" w:cs="宋体" w:eastAsia="宋体" w:hint="default"/>
                <w:spacing w:val="20"/>
                <w:sz w:val="18"/>
                <w:szCs w:val="18"/>
              </w:rPr>
            </w:r>
            <w:r>
              <w:rPr>
                <w:rFonts w:ascii="宋体" w:hAnsi="宋体" w:cs="宋体" w:eastAsia="宋体" w:hint="default"/>
                <w:spacing w:val="-3"/>
                <w:sz w:val="18"/>
                <w:szCs w:val="18"/>
              </w:rPr>
              <w:t>上市规则》等有关规定履行信息披露义务和办理有关报批程序，保证不通过关联交易损</w:t>
            </w:r>
            <w:r>
              <w:rPr>
                <w:rFonts w:ascii="宋体" w:hAnsi="宋体" w:cs="宋体" w:eastAsia="宋体" w:hint="default"/>
                <w:spacing w:val="20"/>
                <w:sz w:val="18"/>
                <w:szCs w:val="18"/>
              </w:rPr>
              <w:t> </w:t>
            </w:r>
            <w:r>
              <w:rPr>
                <w:rFonts w:ascii="宋体" w:hAnsi="宋体" w:cs="宋体" w:eastAsia="宋体" w:hint="default"/>
                <w:spacing w:val="20"/>
                <w:sz w:val="18"/>
                <w:szCs w:val="18"/>
              </w:rPr>
            </w:r>
            <w:r>
              <w:rPr>
                <w:rFonts w:ascii="宋体" w:hAnsi="宋体" w:cs="宋体" w:eastAsia="宋体" w:hint="default"/>
                <w:spacing w:val="-6"/>
                <w:w w:val="101"/>
                <w:sz w:val="18"/>
                <w:szCs w:val="18"/>
              </w:rPr>
              <w:t>害南天信息及其他股东的合法权益。（</w:t>
            </w:r>
            <w:r>
              <w:rPr>
                <w:rFonts w:ascii="Times New Roman" w:hAnsi="Times New Roman" w:cs="Times New Roman" w:eastAsia="Times New Roman" w:hint="default"/>
                <w:spacing w:val="-6"/>
                <w:w w:val="101"/>
                <w:sz w:val="18"/>
                <w:szCs w:val="18"/>
              </w:rPr>
              <w:t>3</w:t>
            </w:r>
            <w:r>
              <w:rPr>
                <w:rFonts w:ascii="宋体" w:hAnsi="宋体" w:cs="宋体" w:eastAsia="宋体" w:hint="default"/>
                <w:spacing w:val="-6"/>
                <w:w w:val="101"/>
                <w:sz w:val="18"/>
                <w:szCs w:val="18"/>
              </w:rPr>
              <w:t>）关于上市公司的独立性的承诺：</w:t>
            </w:r>
            <w:r>
              <w:rPr>
                <w:rFonts w:ascii="宋体" w:hAnsi="宋体" w:cs="宋体" w:eastAsia="宋体" w:hint="default"/>
                <w:spacing w:val="-10"/>
                <w:w w:val="101"/>
                <w:sz w:val="18"/>
                <w:szCs w:val="18"/>
              </w:rPr>
              <w:t> </w:t>
            </w:r>
            <w:r>
              <w:rPr>
                <w:rFonts w:ascii="宋体" w:hAnsi="宋体" w:cs="宋体" w:eastAsia="宋体" w:hint="default"/>
                <w:spacing w:val="-3"/>
                <w:w w:val="101"/>
                <w:sz w:val="18"/>
                <w:szCs w:val="18"/>
              </w:rPr>
              <w:t>本次无偿划转</w:t>
            </w:r>
            <w:r>
              <w:rPr>
                <w:rFonts w:ascii="宋体" w:hAnsi="宋体" w:cs="宋体" w:eastAsia="宋体" w:hint="default"/>
                <w:spacing w:val="-89"/>
                <w:w w:val="101"/>
                <w:sz w:val="18"/>
                <w:szCs w:val="18"/>
              </w:rPr>
              <w:t> </w:t>
            </w:r>
            <w:r>
              <w:rPr>
                <w:rFonts w:ascii="宋体" w:hAnsi="宋体" w:cs="宋体" w:eastAsia="宋体" w:hint="default"/>
                <w:spacing w:val="-89"/>
                <w:w w:val="101"/>
                <w:sz w:val="18"/>
                <w:szCs w:val="18"/>
              </w:rPr>
            </w:r>
            <w:r>
              <w:rPr>
                <w:rFonts w:ascii="宋体" w:hAnsi="宋体" w:cs="宋体" w:eastAsia="宋体" w:hint="default"/>
                <w:spacing w:val="-3"/>
                <w:sz w:val="18"/>
                <w:szCs w:val="18"/>
              </w:rPr>
              <w:t>完成后，本公司承诺将继续保持南天信息完整的采购、生产、销售体系以及知识产权方</w:t>
            </w:r>
            <w:r>
              <w:rPr>
                <w:rFonts w:ascii="宋体" w:hAnsi="宋体" w:cs="宋体" w:eastAsia="宋体" w:hint="default"/>
                <w:spacing w:val="20"/>
                <w:sz w:val="18"/>
                <w:szCs w:val="18"/>
              </w:rPr>
              <w:t> </w:t>
            </w:r>
            <w:r>
              <w:rPr>
                <w:rFonts w:ascii="宋体" w:hAnsi="宋体" w:cs="宋体" w:eastAsia="宋体" w:hint="default"/>
                <w:spacing w:val="20"/>
                <w:sz w:val="18"/>
                <w:szCs w:val="18"/>
              </w:rPr>
            </w:r>
            <w:r>
              <w:rPr>
                <w:rFonts w:ascii="宋体" w:hAnsi="宋体" w:cs="宋体" w:eastAsia="宋体" w:hint="default"/>
                <w:spacing w:val="-3"/>
                <w:sz w:val="18"/>
                <w:szCs w:val="18"/>
              </w:rPr>
              <w:t>面的独立，保持其在业务、人员、资产、财务及机构方面的独立；严格遵守中国证监会</w:t>
            </w:r>
            <w:r>
              <w:rPr>
                <w:rFonts w:ascii="宋体" w:hAnsi="宋体" w:cs="宋体" w:eastAsia="宋体" w:hint="default"/>
                <w:spacing w:val="20"/>
                <w:sz w:val="18"/>
                <w:szCs w:val="18"/>
              </w:rPr>
              <w:t> </w:t>
            </w:r>
            <w:r>
              <w:rPr>
                <w:rFonts w:ascii="宋体" w:hAnsi="宋体" w:cs="宋体" w:eastAsia="宋体" w:hint="default"/>
                <w:spacing w:val="20"/>
                <w:sz w:val="18"/>
                <w:szCs w:val="18"/>
              </w:rPr>
            </w:r>
            <w:r>
              <w:rPr>
                <w:rFonts w:ascii="宋体" w:hAnsi="宋体" w:cs="宋体" w:eastAsia="宋体" w:hint="default"/>
                <w:spacing w:val="-3"/>
                <w:sz w:val="18"/>
                <w:szCs w:val="18"/>
              </w:rPr>
              <w:t>关于上市公司独立性的相关规定，不会要求南天信息为本公司提供违规担保或非法占用</w:t>
            </w:r>
            <w:r>
              <w:rPr>
                <w:rFonts w:ascii="宋体" w:hAnsi="宋体" w:cs="宋体" w:eastAsia="宋体" w:hint="default"/>
                <w:spacing w:val="20"/>
                <w:sz w:val="18"/>
                <w:szCs w:val="18"/>
              </w:rPr>
              <w:t> </w:t>
            </w:r>
            <w:r>
              <w:rPr>
                <w:rFonts w:ascii="宋体" w:hAnsi="宋体" w:cs="宋体" w:eastAsia="宋体" w:hint="default"/>
                <w:spacing w:val="20"/>
                <w:sz w:val="18"/>
                <w:szCs w:val="18"/>
              </w:rPr>
            </w:r>
            <w:r>
              <w:rPr>
                <w:rFonts w:ascii="宋体" w:hAnsi="宋体" w:cs="宋体" w:eastAsia="宋体" w:hint="default"/>
                <w:spacing w:val="-3"/>
                <w:sz w:val="18"/>
                <w:szCs w:val="18"/>
              </w:rPr>
              <w:t>南天信息资金，保持并维护南天信息的独立性。</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spacing w:val="-5"/>
                <w:sz w:val="18"/>
              </w:rPr>
              <w:t>11</w:t>
            </w:r>
            <w:r>
              <w:rPr>
                <w:rFonts w:ascii="Times New Roman"/>
                <w:sz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月</w:t>
            </w:r>
            <w:r>
              <w:rPr>
                <w:rFonts w:ascii="宋体" w:hAnsi="宋体" w:cs="宋体" w:eastAsia="宋体" w:hint="default"/>
                <w:sz w:val="18"/>
                <w:szCs w:val="18"/>
              </w:rPr>
            </w:r>
          </w:p>
          <w:p>
            <w:pPr>
              <w:pStyle w:val="TableParagraph"/>
              <w:spacing w:line="240" w:lineRule="auto" w:before="118"/>
              <w:ind w:left="23" w:right="0"/>
              <w:jc w:val="left"/>
              <w:rPr>
                <w:rFonts w:ascii="Times New Roman" w:hAnsi="Times New Roman" w:cs="Times New Roman" w:eastAsia="Times New Roman" w:hint="default"/>
                <w:sz w:val="18"/>
                <w:szCs w:val="18"/>
              </w:rPr>
            </w:pPr>
            <w:r>
              <w:rPr>
                <w:rFonts w:ascii="Times New Roman"/>
                <w:sz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p>
            <w:pPr>
              <w:pStyle w:val="TableParagraph"/>
              <w:spacing w:line="5656" w:lineRule="exact"/>
              <w:ind w:right="-56"/>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12"/>
                <w:sz w:val="20"/>
                <w:szCs w:val="20"/>
              </w:rPr>
              <w:pict>
                <v:group style="width:20.9pt;height:282.8pt;mso-position-horizontal-relative:char;mso-position-vertical-relative:line" coordorigin="0,0" coordsize="418,5656">
                  <v:group style="position:absolute;left:0;top:0;width:418;height:5656" coordorigin="0,0" coordsize="418,5656">
                    <v:shape style="position:absolute;left:0;top:0;width:418;height:5656" coordorigin="0,0" coordsize="418,5656" path="m0,5656l418,5656,418,0,0,0,0,5656xe" filled="true" fillcolor="#ffffff" stroked="false">
                      <v:path arrowok="t"/>
                      <v:fill type="solid"/>
                    </v:shape>
                  </v:group>
                  <v:group style="position:absolute;left:24;top:0;width:370;height:312" coordorigin="24,0" coordsize="370,312">
                    <v:shape style="position:absolute;left:24;top:0;width:370;height:312" coordorigin="24,0" coordsize="370,312" path="m24,312l394,312,394,0,24,0,24,312xe" filled="true" fillcolor="#ffffff" stroked="false">
                      <v:path arrowok="t"/>
                      <v:fill type="solid"/>
                    </v:shape>
                  </v:group>
                  <v:group style="position:absolute;left:24;top:312;width:370;height:312" coordorigin="24,312" coordsize="370,312">
                    <v:shape style="position:absolute;left:24;top:312;width:370;height:312" coordorigin="24,312" coordsize="370,312" path="m24,624l394,624,394,312,24,312,24,624xe" filled="true" fillcolor="#ffffff" stroked="false">
                      <v:path arrowok="t"/>
                      <v:fill type="solid"/>
                    </v:shape>
                  </v:group>
                  <v:group style="position:absolute;left:24;top:624;width:370;height:312" coordorigin="24,624" coordsize="370,312">
                    <v:shape style="position:absolute;left:24;top:624;width:370;height:312" coordorigin="24,624" coordsize="370,312" path="m24,936l394,936,394,624,24,624,24,936xe" filled="true" fillcolor="#ffffff" stroked="false">
                      <v:path arrowok="t"/>
                      <v:fill type="solid"/>
                    </v:shape>
                  </v:group>
                  <v:group style="position:absolute;left:24;top:936;width:370;height:351" coordorigin="24,936" coordsize="370,351">
                    <v:shape style="position:absolute;left:24;top:936;width:370;height:351" coordorigin="24,936" coordsize="370,351" path="m24,1287l394,1287,394,936,24,936,24,1287xe" filled="true" fillcolor="#ffffff" stroked="false">
                      <v:path arrowok="t"/>
                      <v:fill type="solid"/>
                    </v:shape>
                  </v:group>
                </v:group>
              </w:pict>
            </w:r>
            <w:r>
              <w:rPr>
                <w:rFonts w:ascii="Times New Roman" w:hAnsi="Times New Roman" w:cs="Times New Roman" w:eastAsia="Times New Roman" w:hint="default"/>
                <w:position w:val="-112"/>
                <w:sz w:val="20"/>
                <w:szCs w:val="20"/>
              </w:rPr>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有效</w:t>
            </w:r>
          </w:p>
        </w:tc>
        <w:tc>
          <w:tcPr>
            <w:tcW w:w="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w w:val="101"/>
                <w:sz w:val="18"/>
                <w:szCs w:val="18"/>
              </w:rPr>
              <w:t>行</w:t>
            </w:r>
            <w:r>
              <w:rPr>
                <w:rFonts w:ascii="宋体" w:hAnsi="宋体" w:cs="宋体" w:eastAsia="宋体" w:hint="default"/>
                <w:sz w:val="18"/>
                <w:szCs w:val="18"/>
              </w:rPr>
            </w:r>
          </w:p>
        </w:tc>
      </w:tr>
      <w:tr>
        <w:trPr>
          <w:trHeight w:val="1028" w:hRule="exact"/>
        </w:trPr>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4" w:right="31"/>
              <w:jc w:val="both"/>
              <w:rPr>
                <w:rFonts w:ascii="宋体" w:hAnsi="宋体" w:cs="宋体" w:eastAsia="宋体" w:hint="default"/>
                <w:sz w:val="18"/>
                <w:szCs w:val="18"/>
              </w:rPr>
            </w:pPr>
            <w:r>
              <w:rPr>
                <w:rFonts w:ascii="宋体" w:hAnsi="宋体" w:cs="宋体" w:eastAsia="宋体" w:hint="default"/>
                <w:sz w:val="18"/>
                <w:szCs w:val="18"/>
              </w:rPr>
              <w:t>资产重组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时所作承</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诺</w:t>
            </w:r>
          </w:p>
        </w:tc>
        <w:tc>
          <w:tcPr>
            <w:tcW w:w="620"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6949"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76" w:type="dxa"/>
            <w:tcBorders>
              <w:top w:val="single" w:sz="4" w:space="0" w:color="000000"/>
              <w:left w:val="single" w:sz="4" w:space="0" w:color="000000"/>
              <w:bottom w:val="single" w:sz="4" w:space="0" w:color="000000"/>
              <w:right w:val="single" w:sz="4" w:space="0" w:color="000000"/>
            </w:tcBorders>
          </w:tcPr>
          <w:p>
            <w:pPr/>
          </w:p>
        </w:tc>
      </w:tr>
      <w:tr>
        <w:trPr>
          <w:trHeight w:val="1964" w:hRule="exact"/>
        </w:trPr>
        <w:tc>
          <w:tcPr>
            <w:tcW w:w="7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316" w:lineRule="auto"/>
              <w:ind w:left="24" w:right="31"/>
              <w:jc w:val="both"/>
              <w:rPr>
                <w:rFonts w:ascii="宋体" w:hAnsi="宋体" w:cs="宋体" w:eastAsia="宋体" w:hint="default"/>
                <w:sz w:val="18"/>
                <w:szCs w:val="18"/>
              </w:rPr>
            </w:pPr>
            <w:r>
              <w:rPr>
                <w:rFonts w:ascii="宋体" w:hAnsi="宋体" w:cs="宋体" w:eastAsia="宋体" w:hint="default"/>
                <w:sz w:val="18"/>
                <w:szCs w:val="18"/>
              </w:rPr>
              <w:t>首次公开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发行或再</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融资时所</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作承诺</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41"/>
              <w:jc w:val="both"/>
              <w:rPr>
                <w:rFonts w:ascii="宋体" w:hAnsi="宋体" w:cs="宋体" w:eastAsia="宋体" w:hint="default"/>
                <w:sz w:val="18"/>
                <w:szCs w:val="18"/>
              </w:rPr>
            </w:pPr>
            <w:r>
              <w:rPr>
                <w:rFonts w:ascii="宋体" w:hAnsi="宋体" w:cs="宋体" w:eastAsia="宋体" w:hint="default"/>
                <w:sz w:val="18"/>
                <w:szCs w:val="18"/>
              </w:rPr>
              <w:t>云南省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工业投</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资控股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集团有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限责任</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w:t>
            </w:r>
          </w:p>
        </w:tc>
        <w:tc>
          <w:tcPr>
            <w:tcW w:w="427" w:type="dxa"/>
            <w:tcBorders>
              <w:top w:val="single" w:sz="4" w:space="0" w:color="000000"/>
              <w:left w:val="single" w:sz="4" w:space="0" w:color="000000"/>
              <w:bottom w:val="single" w:sz="4" w:space="0" w:color="000000"/>
              <w:right w:val="single" w:sz="4" w:space="0" w:color="000000"/>
            </w:tcBorders>
          </w:tcPr>
          <w:p>
            <w:pPr/>
          </w:p>
        </w:tc>
        <w:tc>
          <w:tcPr>
            <w:tcW w:w="6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7" w:lineRule="auto" w:before="110"/>
              <w:ind w:left="23" w:right="71"/>
              <w:jc w:val="both"/>
              <w:rPr>
                <w:rFonts w:ascii="宋体" w:hAnsi="宋体" w:cs="宋体" w:eastAsia="宋体" w:hint="default"/>
                <w:sz w:val="18"/>
                <w:szCs w:val="18"/>
              </w:rPr>
            </w:pPr>
            <w:r>
              <w:rPr>
                <w:rFonts w:ascii="宋体" w:hAnsi="宋体" w:cs="宋体" w:eastAsia="宋体" w:hint="default"/>
                <w:spacing w:val="-3"/>
                <w:sz w:val="18"/>
                <w:szCs w:val="18"/>
              </w:rPr>
              <w:t>本公司认购南天信息本次非公开发行的股份（包括但不限于送红股、转增股本等原因增</w:t>
            </w:r>
            <w:r>
              <w:rPr>
                <w:rFonts w:ascii="宋体" w:hAnsi="宋体" w:cs="宋体" w:eastAsia="宋体" w:hint="default"/>
                <w:spacing w:val="20"/>
                <w:sz w:val="18"/>
                <w:szCs w:val="18"/>
              </w:rPr>
              <w:t> </w:t>
            </w:r>
            <w:r>
              <w:rPr>
                <w:rFonts w:ascii="宋体" w:hAnsi="宋体" w:cs="宋体" w:eastAsia="宋体" w:hint="default"/>
                <w:spacing w:val="20"/>
                <w:sz w:val="18"/>
                <w:szCs w:val="18"/>
              </w:rPr>
            </w:r>
            <w:r>
              <w:rPr>
                <w:rFonts w:ascii="宋体" w:hAnsi="宋体" w:cs="宋体" w:eastAsia="宋体" w:hint="default"/>
                <w:spacing w:val="-9"/>
                <w:w w:val="101"/>
                <w:sz w:val="18"/>
                <w:szCs w:val="18"/>
              </w:rPr>
              <w:t>持的股份），自发行结束之日起</w:t>
            </w:r>
            <w:r>
              <w:rPr>
                <w:rFonts w:ascii="宋体" w:hAnsi="宋体" w:cs="宋体" w:eastAsia="宋体" w:hint="default"/>
                <w:spacing w:val="-45"/>
                <w:w w:val="101"/>
                <w:sz w:val="18"/>
                <w:szCs w:val="18"/>
              </w:rPr>
              <w:t> </w:t>
            </w:r>
            <w:r>
              <w:rPr>
                <w:rFonts w:ascii="Times New Roman" w:hAnsi="Times New Roman" w:cs="Times New Roman" w:eastAsia="Times New Roman" w:hint="default"/>
                <w:w w:val="101"/>
                <w:sz w:val="18"/>
                <w:szCs w:val="18"/>
              </w:rPr>
              <w:t>36</w:t>
            </w:r>
            <w:r>
              <w:rPr>
                <w:rFonts w:ascii="Times New Roman" w:hAnsi="Times New Roman" w:cs="Times New Roman" w:eastAsia="Times New Roman" w:hint="default"/>
                <w:spacing w:val="5"/>
                <w:w w:val="101"/>
                <w:sz w:val="18"/>
                <w:szCs w:val="18"/>
              </w:rPr>
              <w:t> </w:t>
            </w:r>
            <w:r>
              <w:rPr>
                <w:rFonts w:ascii="宋体" w:hAnsi="宋体" w:cs="宋体" w:eastAsia="宋体" w:hint="default"/>
                <w:spacing w:val="-3"/>
                <w:w w:val="101"/>
                <w:sz w:val="18"/>
                <w:szCs w:val="18"/>
              </w:rPr>
              <w:t>个月内不进行交易或转让，之后按中国证监会及深圳</w:t>
            </w:r>
            <w:r>
              <w:rPr>
                <w:rFonts w:ascii="宋体" w:hAnsi="宋体" w:cs="宋体" w:eastAsia="宋体" w:hint="default"/>
                <w:spacing w:val="-88"/>
                <w:w w:val="101"/>
                <w:sz w:val="18"/>
                <w:szCs w:val="18"/>
              </w:rPr>
              <w:t> </w:t>
            </w:r>
            <w:r>
              <w:rPr>
                <w:rFonts w:ascii="宋体" w:hAnsi="宋体" w:cs="宋体" w:eastAsia="宋体" w:hint="default"/>
                <w:spacing w:val="-88"/>
                <w:w w:val="101"/>
                <w:sz w:val="18"/>
                <w:szCs w:val="18"/>
              </w:rPr>
            </w:r>
            <w:r>
              <w:rPr>
                <w:rFonts w:ascii="宋体" w:hAnsi="宋体" w:cs="宋体" w:eastAsia="宋体" w:hint="default"/>
                <w:spacing w:val="-3"/>
                <w:sz w:val="18"/>
                <w:szCs w:val="18"/>
              </w:rPr>
              <w:t>证券交易所的有关规定执行。</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年</w:t>
            </w:r>
            <w:r>
              <w:rPr>
                <w:rFonts w:ascii="宋体" w:hAnsi="宋体" w:cs="宋体" w:eastAsia="宋体" w:hint="default"/>
                <w:sz w:val="18"/>
                <w:szCs w:val="18"/>
              </w:rPr>
            </w:r>
          </w:p>
          <w:p>
            <w:pPr>
              <w:pStyle w:val="TableParagraph"/>
              <w:spacing w:line="240" w:lineRule="auto" w:before="118"/>
              <w:ind w:left="23" w:right="0"/>
              <w:jc w:val="left"/>
              <w:rPr>
                <w:rFonts w:ascii="Times New Roman" w:hAnsi="Times New Roman" w:cs="Times New Roman" w:eastAsia="Times New Roman" w:hint="default"/>
                <w:sz w:val="18"/>
                <w:szCs w:val="18"/>
              </w:rPr>
            </w:pPr>
            <w:r>
              <w:rPr>
                <w:rFonts w:ascii="Times New Roman"/>
                <w:sz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月</w:t>
            </w:r>
            <w:r>
              <w:rPr>
                <w:rFonts w:ascii="宋体" w:hAnsi="宋体" w:cs="宋体" w:eastAsia="宋体" w:hint="default"/>
                <w:sz w:val="18"/>
                <w:szCs w:val="18"/>
              </w:rPr>
            </w:r>
          </w:p>
          <w:p>
            <w:pPr>
              <w:pStyle w:val="TableParagraph"/>
              <w:spacing w:line="240" w:lineRule="auto" w:before="118"/>
              <w:ind w:left="23" w:right="0"/>
              <w:jc w:val="left"/>
              <w:rPr>
                <w:rFonts w:ascii="Times New Roman" w:hAnsi="Times New Roman" w:cs="Times New Roman" w:eastAsia="Times New Roman" w:hint="default"/>
                <w:sz w:val="18"/>
                <w:szCs w:val="18"/>
              </w:rPr>
            </w:pPr>
            <w:r>
              <w:rPr>
                <w:rFonts w:ascii="Times New Roman"/>
                <w:sz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2023</w:t>
            </w:r>
          </w:p>
          <w:p>
            <w:pPr>
              <w:pStyle w:val="TableParagraph"/>
              <w:spacing w:line="240" w:lineRule="auto" w:before="67"/>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0"/>
              <w:ind w:left="24" w:right="75"/>
              <w:jc w:val="both"/>
              <w:rPr>
                <w:rFonts w:ascii="宋体" w:hAnsi="宋体" w:cs="宋体" w:eastAsia="宋体" w:hint="default"/>
                <w:sz w:val="18"/>
                <w:szCs w:val="18"/>
              </w:rPr>
            </w:pPr>
            <w:r>
              <w:rPr>
                <w:rFonts w:ascii="宋体" w:hAnsi="宋体" w:cs="宋体" w:eastAsia="宋体" w:hint="default"/>
                <w:sz w:val="18"/>
                <w:szCs w:val="18"/>
              </w:rPr>
              <w:t>按承</w:t>
            </w:r>
            <w:r>
              <w:rPr>
                <w:rFonts w:ascii="宋体" w:hAnsi="宋体" w:cs="宋体" w:eastAsia="宋体" w:hint="default"/>
                <w:spacing w:val="-86"/>
                <w:sz w:val="18"/>
                <w:szCs w:val="18"/>
              </w:rPr>
              <w:t> </w:t>
            </w:r>
            <w:r>
              <w:rPr>
                <w:rFonts w:ascii="宋体" w:hAnsi="宋体" w:cs="宋体" w:eastAsia="宋体" w:hint="default"/>
                <w:sz w:val="18"/>
                <w:szCs w:val="18"/>
              </w:rPr>
              <w:t>诺履</w:t>
            </w:r>
            <w:r>
              <w:rPr>
                <w:rFonts w:ascii="宋体" w:hAnsi="宋体" w:cs="宋体" w:eastAsia="宋体" w:hint="default"/>
                <w:spacing w:val="-86"/>
                <w:sz w:val="18"/>
                <w:szCs w:val="18"/>
              </w:rPr>
              <w:t> </w:t>
            </w:r>
            <w:r>
              <w:rPr>
                <w:rFonts w:ascii="宋体" w:hAnsi="宋体" w:cs="宋体" w:eastAsia="宋体" w:hint="default"/>
                <w:sz w:val="18"/>
                <w:szCs w:val="18"/>
              </w:rPr>
              <w:t>行</w:t>
            </w:r>
          </w:p>
        </w:tc>
      </w:tr>
      <w:tr>
        <w:trPr>
          <w:trHeight w:val="1964" w:hRule="exact"/>
        </w:trPr>
        <w:tc>
          <w:tcPr>
            <w:tcW w:w="792" w:type="dxa"/>
            <w:vMerge/>
            <w:tcBorders>
              <w:left w:val="single" w:sz="4" w:space="0" w:color="000000"/>
              <w:right w:val="single" w:sz="4" w:space="0" w:color="000000"/>
            </w:tcBorders>
            <w:shd w:val="clear" w:color="auto" w:fill="D2D2D2"/>
          </w:tcPr>
          <w:p>
            <w:pP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41"/>
              <w:jc w:val="both"/>
              <w:rPr>
                <w:rFonts w:ascii="宋体" w:hAnsi="宋体" w:cs="宋体" w:eastAsia="宋体" w:hint="default"/>
                <w:sz w:val="18"/>
                <w:szCs w:val="18"/>
              </w:rPr>
            </w:pPr>
            <w:r>
              <w:rPr>
                <w:rFonts w:ascii="宋体" w:hAnsi="宋体" w:cs="宋体" w:eastAsia="宋体" w:hint="default"/>
                <w:sz w:val="18"/>
                <w:szCs w:val="18"/>
              </w:rPr>
              <w:t>云南省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工业投</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资控股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集团有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限责任</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w:t>
            </w:r>
          </w:p>
        </w:tc>
        <w:tc>
          <w:tcPr>
            <w:tcW w:w="427" w:type="dxa"/>
            <w:tcBorders>
              <w:top w:val="single" w:sz="4" w:space="0" w:color="000000"/>
              <w:left w:val="single" w:sz="4" w:space="0" w:color="000000"/>
              <w:bottom w:val="single" w:sz="4" w:space="0" w:color="000000"/>
              <w:right w:val="single" w:sz="4" w:space="0" w:color="000000"/>
            </w:tcBorders>
          </w:tcPr>
          <w:p>
            <w:pPr/>
          </w:p>
        </w:tc>
        <w:tc>
          <w:tcPr>
            <w:tcW w:w="694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71"/>
              <w:jc w:val="both"/>
              <w:rPr>
                <w:rFonts w:ascii="宋体" w:hAnsi="宋体" w:cs="宋体" w:eastAsia="宋体" w:hint="default"/>
                <w:sz w:val="18"/>
                <w:szCs w:val="18"/>
              </w:rPr>
            </w:pPr>
            <w:r>
              <w:rPr>
                <w:rFonts w:ascii="宋体" w:hAnsi="宋体" w:cs="宋体" w:eastAsia="宋体" w:hint="default"/>
                <w:spacing w:val="-3"/>
                <w:sz w:val="18"/>
                <w:szCs w:val="18"/>
              </w:rPr>
              <w:t>本公司将全部以现金方式认购南天信息本次非公开发行的股票，且认购本次发行的认购</w:t>
            </w:r>
            <w:r>
              <w:rPr>
                <w:rFonts w:ascii="宋体" w:hAnsi="宋体" w:cs="宋体" w:eastAsia="宋体" w:hint="default"/>
                <w:spacing w:val="20"/>
                <w:sz w:val="18"/>
                <w:szCs w:val="18"/>
              </w:rPr>
              <w:t> </w:t>
            </w:r>
            <w:r>
              <w:rPr>
                <w:rFonts w:ascii="宋体" w:hAnsi="宋体" w:cs="宋体" w:eastAsia="宋体" w:hint="default"/>
                <w:spacing w:val="20"/>
                <w:sz w:val="18"/>
                <w:szCs w:val="18"/>
              </w:rPr>
            </w:r>
            <w:r>
              <w:rPr>
                <w:rFonts w:ascii="宋体" w:hAnsi="宋体" w:cs="宋体" w:eastAsia="宋体" w:hint="default"/>
                <w:spacing w:val="-3"/>
                <w:sz w:val="18"/>
                <w:szCs w:val="18"/>
              </w:rPr>
              <w:t>资金来源合法、合规，为自有资金或自筹资金，并且不存在对外募集、代持或分级收益</w:t>
            </w:r>
            <w:r>
              <w:rPr>
                <w:rFonts w:ascii="宋体" w:hAnsi="宋体" w:cs="宋体" w:eastAsia="宋体" w:hint="default"/>
                <w:spacing w:val="20"/>
                <w:sz w:val="18"/>
                <w:szCs w:val="18"/>
              </w:rPr>
              <w:t> </w:t>
            </w:r>
            <w:r>
              <w:rPr>
                <w:rFonts w:ascii="宋体" w:hAnsi="宋体" w:cs="宋体" w:eastAsia="宋体" w:hint="default"/>
                <w:spacing w:val="20"/>
                <w:sz w:val="18"/>
                <w:szCs w:val="18"/>
              </w:rPr>
            </w:r>
            <w:r>
              <w:rPr>
                <w:rFonts w:ascii="宋体" w:hAnsi="宋体" w:cs="宋体" w:eastAsia="宋体" w:hint="default"/>
                <w:spacing w:val="-3"/>
                <w:sz w:val="18"/>
                <w:szCs w:val="18"/>
              </w:rPr>
              <w:t>等结构化安排，亦不存在利用杠杆或其他结构化的方式进行融资的情形；不存在直接或</w:t>
            </w:r>
            <w:r>
              <w:rPr>
                <w:rFonts w:ascii="宋体" w:hAnsi="宋体" w:cs="宋体" w:eastAsia="宋体" w:hint="default"/>
                <w:spacing w:val="21"/>
                <w:sz w:val="18"/>
                <w:szCs w:val="18"/>
              </w:rPr>
              <w:t> </w:t>
            </w:r>
            <w:r>
              <w:rPr>
                <w:rFonts w:ascii="宋体" w:hAnsi="宋体" w:cs="宋体" w:eastAsia="宋体" w:hint="default"/>
                <w:spacing w:val="21"/>
                <w:sz w:val="18"/>
                <w:szCs w:val="18"/>
              </w:rPr>
            </w:r>
            <w:r>
              <w:rPr>
                <w:rFonts w:ascii="宋体" w:hAnsi="宋体" w:cs="宋体" w:eastAsia="宋体" w:hint="default"/>
                <w:spacing w:val="-3"/>
                <w:sz w:val="18"/>
                <w:szCs w:val="18"/>
              </w:rPr>
              <w:t>间接使用南天信息及其董事、监事、高级管理人员等关联方资金的情形；不存在接受南</w:t>
            </w:r>
            <w:r>
              <w:rPr>
                <w:rFonts w:ascii="宋体" w:hAnsi="宋体" w:cs="宋体" w:eastAsia="宋体" w:hint="default"/>
                <w:spacing w:val="20"/>
                <w:sz w:val="18"/>
                <w:szCs w:val="18"/>
              </w:rPr>
              <w:t> </w:t>
            </w:r>
            <w:r>
              <w:rPr>
                <w:rFonts w:ascii="宋体" w:hAnsi="宋体" w:cs="宋体" w:eastAsia="宋体" w:hint="default"/>
                <w:spacing w:val="20"/>
                <w:sz w:val="18"/>
                <w:szCs w:val="18"/>
              </w:rPr>
            </w:r>
            <w:r>
              <w:rPr>
                <w:rFonts w:ascii="宋体" w:hAnsi="宋体" w:cs="宋体" w:eastAsia="宋体" w:hint="default"/>
                <w:spacing w:val="-3"/>
                <w:sz w:val="18"/>
                <w:szCs w:val="18"/>
              </w:rPr>
              <w:t>天信息及其董事、监事、高级管理人员等关联方直接或间接的财务资助、借款、提供担</w:t>
            </w:r>
            <w:r>
              <w:rPr>
                <w:rFonts w:ascii="宋体" w:hAnsi="宋体" w:cs="宋体" w:eastAsia="宋体" w:hint="default"/>
                <w:spacing w:val="20"/>
                <w:sz w:val="18"/>
                <w:szCs w:val="18"/>
              </w:rPr>
              <w:t> </w:t>
            </w:r>
            <w:r>
              <w:rPr>
                <w:rFonts w:ascii="宋体" w:hAnsi="宋体" w:cs="宋体" w:eastAsia="宋体" w:hint="default"/>
                <w:spacing w:val="20"/>
                <w:sz w:val="18"/>
                <w:szCs w:val="18"/>
              </w:rPr>
            </w:r>
            <w:r>
              <w:rPr>
                <w:rFonts w:ascii="宋体" w:hAnsi="宋体" w:cs="宋体" w:eastAsia="宋体" w:hint="default"/>
                <w:spacing w:val="-3"/>
                <w:sz w:val="18"/>
                <w:szCs w:val="18"/>
              </w:rPr>
              <w:t>保或者补偿的情形；不存在直接或间接来自于银行理财产品或资金池的情形。</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年</w:t>
            </w:r>
            <w:r>
              <w:rPr>
                <w:rFonts w:ascii="宋体" w:hAnsi="宋体" w:cs="宋体" w:eastAsia="宋体" w:hint="default"/>
                <w:sz w:val="18"/>
                <w:szCs w:val="18"/>
              </w:rPr>
            </w:r>
          </w:p>
          <w:p>
            <w:pPr>
              <w:pStyle w:val="TableParagraph"/>
              <w:spacing w:line="240" w:lineRule="auto" w:before="119"/>
              <w:ind w:left="23" w:right="0"/>
              <w:jc w:val="left"/>
              <w:rPr>
                <w:rFonts w:ascii="Times New Roman" w:hAnsi="Times New Roman" w:cs="Times New Roman" w:eastAsia="Times New Roman" w:hint="default"/>
                <w:sz w:val="18"/>
                <w:szCs w:val="18"/>
              </w:rPr>
            </w:pPr>
            <w:r>
              <w:rPr>
                <w:rFonts w:ascii="Times New Roman"/>
                <w:sz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月</w:t>
            </w:r>
            <w:r>
              <w:rPr>
                <w:rFonts w:ascii="宋体" w:hAnsi="宋体" w:cs="宋体" w:eastAsia="宋体" w:hint="default"/>
                <w:sz w:val="18"/>
                <w:szCs w:val="18"/>
              </w:rPr>
            </w:r>
          </w:p>
          <w:p>
            <w:pPr>
              <w:pStyle w:val="TableParagraph"/>
              <w:spacing w:line="240" w:lineRule="auto" w:before="118"/>
              <w:ind w:left="23" w:right="0"/>
              <w:jc w:val="left"/>
              <w:rPr>
                <w:rFonts w:ascii="Times New Roman" w:hAnsi="Times New Roman" w:cs="Times New Roman" w:eastAsia="Times New Roman" w:hint="default"/>
                <w:sz w:val="18"/>
                <w:szCs w:val="18"/>
              </w:rPr>
            </w:pPr>
            <w:r>
              <w:rPr>
                <w:rFonts w:ascii="Times New Roman"/>
                <w:sz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2023</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4" w:right="75"/>
              <w:jc w:val="both"/>
              <w:rPr>
                <w:rFonts w:ascii="宋体" w:hAnsi="宋体" w:cs="宋体" w:eastAsia="宋体" w:hint="default"/>
                <w:sz w:val="18"/>
                <w:szCs w:val="18"/>
              </w:rPr>
            </w:pPr>
            <w:r>
              <w:rPr>
                <w:rFonts w:ascii="宋体" w:hAnsi="宋体" w:cs="宋体" w:eastAsia="宋体" w:hint="default"/>
                <w:sz w:val="18"/>
                <w:szCs w:val="18"/>
              </w:rPr>
              <w:t>按承</w:t>
            </w:r>
            <w:r>
              <w:rPr>
                <w:rFonts w:ascii="宋体" w:hAnsi="宋体" w:cs="宋体" w:eastAsia="宋体" w:hint="default"/>
                <w:spacing w:val="-86"/>
                <w:sz w:val="18"/>
                <w:szCs w:val="18"/>
              </w:rPr>
              <w:t> </w:t>
            </w:r>
            <w:r>
              <w:rPr>
                <w:rFonts w:ascii="宋体" w:hAnsi="宋体" w:cs="宋体" w:eastAsia="宋体" w:hint="default"/>
                <w:sz w:val="18"/>
                <w:szCs w:val="18"/>
              </w:rPr>
              <w:t>诺履</w:t>
            </w:r>
            <w:r>
              <w:rPr>
                <w:rFonts w:ascii="宋体" w:hAnsi="宋体" w:cs="宋体" w:eastAsia="宋体" w:hint="default"/>
                <w:spacing w:val="-86"/>
                <w:sz w:val="18"/>
                <w:szCs w:val="18"/>
              </w:rPr>
              <w:t> </w:t>
            </w:r>
            <w:r>
              <w:rPr>
                <w:rFonts w:ascii="宋体" w:hAnsi="宋体" w:cs="宋体" w:eastAsia="宋体" w:hint="default"/>
                <w:sz w:val="18"/>
                <w:szCs w:val="18"/>
              </w:rPr>
              <w:t>行</w:t>
            </w:r>
          </w:p>
        </w:tc>
      </w:tr>
      <w:tr>
        <w:trPr>
          <w:trHeight w:val="3207" w:hRule="exact"/>
        </w:trPr>
        <w:tc>
          <w:tcPr>
            <w:tcW w:w="792" w:type="dxa"/>
            <w:vMerge/>
            <w:tcBorders>
              <w:left w:val="single" w:sz="4" w:space="0" w:color="000000"/>
              <w:bottom w:val="single" w:sz="4" w:space="0" w:color="000000"/>
              <w:right w:val="single" w:sz="4" w:space="0" w:color="000000"/>
            </w:tcBorders>
            <w:shd w:val="clear" w:color="auto" w:fill="D2D2D2"/>
          </w:tcPr>
          <w:p>
            <w:pP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41"/>
              <w:jc w:val="both"/>
              <w:rPr>
                <w:rFonts w:ascii="宋体" w:hAnsi="宋体" w:cs="宋体" w:eastAsia="宋体" w:hint="default"/>
                <w:sz w:val="18"/>
                <w:szCs w:val="18"/>
              </w:rPr>
            </w:pPr>
            <w:r>
              <w:rPr>
                <w:rFonts w:ascii="宋体" w:hAnsi="宋体" w:cs="宋体" w:eastAsia="宋体" w:hint="default"/>
                <w:sz w:val="18"/>
                <w:szCs w:val="18"/>
              </w:rPr>
              <w:t>云南省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工业投</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资控股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集团有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限责任</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南天电</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子信息</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产业集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团公司</w:t>
            </w:r>
          </w:p>
        </w:tc>
        <w:tc>
          <w:tcPr>
            <w:tcW w:w="427" w:type="dxa"/>
            <w:tcBorders>
              <w:top w:val="single" w:sz="4" w:space="0" w:color="000000"/>
              <w:left w:val="single" w:sz="4" w:space="0" w:color="000000"/>
              <w:bottom w:val="single" w:sz="4" w:space="0" w:color="000000"/>
              <w:right w:val="single" w:sz="4" w:space="0" w:color="000000"/>
            </w:tcBorders>
          </w:tcPr>
          <w:p>
            <w:pPr/>
          </w:p>
        </w:tc>
        <w:tc>
          <w:tcPr>
            <w:tcW w:w="6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7" w:lineRule="auto" w:before="106"/>
              <w:ind w:left="23" w:right="18"/>
              <w:jc w:val="both"/>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、自本承诺函出具之日前六个月至今，本公司及本公司具有控制关系的关联方不存在减</w:t>
            </w:r>
            <w:r>
              <w:rPr>
                <w:rFonts w:ascii="宋体" w:hAnsi="宋体" w:cs="宋体" w:eastAsia="宋体" w:hint="default"/>
                <w:spacing w:val="23"/>
                <w:sz w:val="18"/>
                <w:szCs w:val="18"/>
              </w:rPr>
              <w:t> </w:t>
            </w:r>
            <w:r>
              <w:rPr>
                <w:rFonts w:ascii="宋体" w:hAnsi="宋体" w:cs="宋体" w:eastAsia="宋体" w:hint="default"/>
                <w:spacing w:val="23"/>
                <w:sz w:val="18"/>
                <w:szCs w:val="18"/>
              </w:rPr>
            </w:r>
            <w:r>
              <w:rPr>
                <w:rFonts w:ascii="宋体" w:hAnsi="宋体" w:cs="宋体" w:eastAsia="宋体" w:hint="default"/>
                <w:spacing w:val="-4"/>
                <w:sz w:val="18"/>
                <w:szCs w:val="18"/>
              </w:rPr>
              <w:t>持南天信息股票的情形。</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、自本承诺函出具之日至南天信息完成本次非公开发行后六个</w:t>
            </w:r>
            <w:r>
              <w:rPr>
                <w:rFonts w:ascii="宋体" w:hAnsi="宋体" w:cs="宋体" w:eastAsia="宋体" w:hint="default"/>
                <w:spacing w:val="24"/>
                <w:sz w:val="18"/>
                <w:szCs w:val="18"/>
              </w:rPr>
              <w:t> </w:t>
            </w:r>
            <w:r>
              <w:rPr>
                <w:rFonts w:ascii="宋体" w:hAnsi="宋体" w:cs="宋体" w:eastAsia="宋体" w:hint="default"/>
                <w:spacing w:val="24"/>
                <w:sz w:val="18"/>
                <w:szCs w:val="18"/>
              </w:rPr>
            </w:r>
            <w:r>
              <w:rPr>
                <w:rFonts w:ascii="宋体" w:hAnsi="宋体" w:cs="宋体" w:eastAsia="宋体" w:hint="default"/>
                <w:spacing w:val="-3"/>
                <w:sz w:val="18"/>
                <w:szCs w:val="18"/>
              </w:rPr>
              <w:t>月内，本公司承诺不减持南天信息股票（包括承诺期间因送股、公积金转增股本等权益</w:t>
            </w:r>
            <w:r>
              <w:rPr>
                <w:rFonts w:ascii="宋体" w:hAnsi="宋体" w:cs="宋体" w:eastAsia="宋体" w:hint="default"/>
                <w:spacing w:val="20"/>
                <w:sz w:val="18"/>
                <w:szCs w:val="18"/>
              </w:rPr>
              <w:t> </w:t>
            </w:r>
            <w:r>
              <w:rPr>
                <w:rFonts w:ascii="宋体" w:hAnsi="宋体" w:cs="宋体" w:eastAsia="宋体" w:hint="default"/>
                <w:spacing w:val="20"/>
                <w:sz w:val="18"/>
                <w:szCs w:val="18"/>
              </w:rPr>
            </w:r>
            <w:r>
              <w:rPr>
                <w:rFonts w:ascii="宋体" w:hAnsi="宋体" w:cs="宋体" w:eastAsia="宋体" w:hint="default"/>
                <w:spacing w:val="-5"/>
                <w:w w:val="101"/>
                <w:sz w:val="18"/>
                <w:szCs w:val="18"/>
              </w:rPr>
              <w:t>分派产生的股票），也不安排任何减持的计划。</w:t>
            </w:r>
            <w:r>
              <w:rPr>
                <w:rFonts w:ascii="Times New Roman" w:hAnsi="Times New Roman" w:cs="Times New Roman" w:eastAsia="Times New Roman" w:hint="default"/>
                <w:spacing w:val="-5"/>
                <w:w w:val="101"/>
                <w:sz w:val="18"/>
                <w:szCs w:val="18"/>
              </w:rPr>
              <w:t>3</w:t>
            </w:r>
            <w:r>
              <w:rPr>
                <w:rFonts w:ascii="宋体" w:hAnsi="宋体" w:cs="宋体" w:eastAsia="宋体" w:hint="default"/>
                <w:spacing w:val="-5"/>
                <w:w w:val="101"/>
                <w:sz w:val="18"/>
                <w:szCs w:val="18"/>
              </w:rPr>
              <w:t>、本公司及本公司具有控制关系的关联</w:t>
            </w:r>
            <w:r>
              <w:rPr>
                <w:rFonts w:ascii="宋体" w:hAnsi="宋体" w:cs="宋体" w:eastAsia="宋体" w:hint="default"/>
                <w:spacing w:val="-83"/>
                <w:w w:val="101"/>
                <w:sz w:val="18"/>
                <w:szCs w:val="18"/>
              </w:rPr>
              <w:t> </w:t>
            </w:r>
            <w:r>
              <w:rPr>
                <w:rFonts w:ascii="宋体" w:hAnsi="宋体" w:cs="宋体" w:eastAsia="宋体" w:hint="default"/>
                <w:spacing w:val="-83"/>
                <w:w w:val="101"/>
                <w:sz w:val="18"/>
                <w:szCs w:val="18"/>
              </w:rPr>
            </w:r>
            <w:r>
              <w:rPr>
                <w:rFonts w:ascii="宋体" w:hAnsi="宋体" w:cs="宋体" w:eastAsia="宋体" w:hint="default"/>
                <w:spacing w:val="-4"/>
                <w:sz w:val="18"/>
                <w:szCs w:val="18"/>
              </w:rPr>
              <w:t>方不存在违反《中华人民共和国证券法》第四十七条规定的情形。</w:t>
            </w:r>
            <w:r>
              <w:rPr>
                <w:rFonts w:ascii="Times New Roman" w:hAnsi="Times New Roman" w:cs="Times New Roman" w:eastAsia="Times New Roman" w:hint="default"/>
                <w:spacing w:val="-4"/>
                <w:sz w:val="18"/>
                <w:szCs w:val="18"/>
              </w:rPr>
              <w:t>4</w:t>
            </w:r>
            <w:r>
              <w:rPr>
                <w:rFonts w:ascii="宋体" w:hAnsi="宋体" w:cs="宋体" w:eastAsia="宋体" w:hint="default"/>
                <w:spacing w:val="-4"/>
                <w:sz w:val="18"/>
                <w:szCs w:val="18"/>
              </w:rPr>
              <w:t>、如有违反上述承诺</w:t>
            </w:r>
            <w:r>
              <w:rPr>
                <w:rFonts w:ascii="宋体" w:hAnsi="宋体" w:cs="宋体" w:eastAsia="宋体" w:hint="default"/>
                <w:spacing w:val="25"/>
                <w:sz w:val="18"/>
                <w:szCs w:val="18"/>
              </w:rPr>
              <w:t> </w:t>
            </w:r>
            <w:r>
              <w:rPr>
                <w:rFonts w:ascii="宋体" w:hAnsi="宋体" w:cs="宋体" w:eastAsia="宋体" w:hint="default"/>
                <w:spacing w:val="25"/>
                <w:sz w:val="18"/>
                <w:szCs w:val="18"/>
              </w:rPr>
            </w:r>
            <w:r>
              <w:rPr>
                <w:rFonts w:ascii="宋体" w:hAnsi="宋体" w:cs="宋体" w:eastAsia="宋体" w:hint="default"/>
                <w:spacing w:val="-3"/>
                <w:sz w:val="18"/>
                <w:szCs w:val="18"/>
              </w:rPr>
              <w:t>而发生减持南天信息股票的情况，本公司承诺因减持南天信息股票所得收益将全部归南</w:t>
            </w:r>
            <w:r>
              <w:rPr>
                <w:rFonts w:ascii="宋体" w:hAnsi="宋体" w:cs="宋体" w:eastAsia="宋体" w:hint="default"/>
                <w:spacing w:val="20"/>
                <w:sz w:val="18"/>
                <w:szCs w:val="18"/>
              </w:rPr>
              <w:t> </w:t>
            </w:r>
            <w:r>
              <w:rPr>
                <w:rFonts w:ascii="宋体" w:hAnsi="宋体" w:cs="宋体" w:eastAsia="宋体" w:hint="default"/>
                <w:spacing w:val="20"/>
                <w:sz w:val="18"/>
                <w:szCs w:val="18"/>
              </w:rPr>
            </w:r>
            <w:r>
              <w:rPr>
                <w:rFonts w:ascii="宋体" w:hAnsi="宋体" w:cs="宋体" w:eastAsia="宋体" w:hint="default"/>
                <w:spacing w:val="-3"/>
                <w:sz w:val="18"/>
                <w:szCs w:val="18"/>
              </w:rPr>
              <w:t>天信息所有，并依法承担由此产生的法律责任。</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年</w:t>
            </w:r>
            <w:r>
              <w:rPr>
                <w:rFonts w:ascii="宋体" w:hAnsi="宋体" w:cs="宋体" w:eastAsia="宋体" w:hint="default"/>
                <w:sz w:val="18"/>
                <w:szCs w:val="18"/>
              </w:rPr>
            </w:r>
          </w:p>
          <w:p>
            <w:pPr>
              <w:pStyle w:val="TableParagraph"/>
              <w:spacing w:line="240" w:lineRule="auto" w:before="118"/>
              <w:ind w:left="23" w:right="0"/>
              <w:jc w:val="left"/>
              <w:rPr>
                <w:rFonts w:ascii="Times New Roman" w:hAnsi="Times New Roman" w:cs="Times New Roman" w:eastAsia="Times New Roman" w:hint="default"/>
                <w:sz w:val="18"/>
                <w:szCs w:val="18"/>
              </w:rPr>
            </w:pPr>
            <w:r>
              <w:rPr>
                <w:rFonts w:ascii="Times New Roman"/>
                <w:sz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月</w:t>
            </w:r>
            <w:r>
              <w:rPr>
                <w:rFonts w:ascii="宋体" w:hAnsi="宋体" w:cs="宋体" w:eastAsia="宋体" w:hint="default"/>
                <w:sz w:val="18"/>
                <w:szCs w:val="18"/>
              </w:rPr>
            </w:r>
          </w:p>
          <w:p>
            <w:pPr>
              <w:pStyle w:val="TableParagraph"/>
              <w:spacing w:line="240" w:lineRule="auto" w:before="119"/>
              <w:ind w:left="23" w:right="0"/>
              <w:jc w:val="left"/>
              <w:rPr>
                <w:rFonts w:ascii="Times New Roman" w:hAnsi="Times New Roman" w:cs="Times New Roman" w:eastAsia="Times New Roman" w:hint="default"/>
                <w:sz w:val="18"/>
                <w:szCs w:val="18"/>
              </w:rPr>
            </w:pPr>
            <w:r>
              <w:rPr>
                <w:rFonts w:ascii="Times New Roman"/>
                <w:sz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312" w:lineRule="auto"/>
              <w:ind w:left="23" w:right="26"/>
              <w:jc w:val="left"/>
              <w:rPr>
                <w:rFonts w:ascii="宋体" w:hAnsi="宋体" w:cs="宋体" w:eastAsia="宋体" w:hint="default"/>
                <w:sz w:val="18"/>
                <w:szCs w:val="18"/>
              </w:rPr>
            </w:pPr>
            <w:r>
              <w:rPr>
                <w:rFonts w:ascii="宋体" w:hAnsi="宋体" w:cs="宋体" w:eastAsia="宋体" w:hint="default"/>
                <w:sz w:val="18"/>
                <w:szCs w:val="18"/>
              </w:rPr>
              <w:t>长期</w:t>
            </w:r>
            <w:r>
              <w:rPr>
                <w:rFonts w:ascii="宋体" w:hAnsi="宋体" w:cs="宋体" w:eastAsia="宋体" w:hint="default"/>
                <w:spacing w:val="-86"/>
                <w:sz w:val="18"/>
                <w:szCs w:val="18"/>
              </w:rPr>
              <w:t> </w:t>
            </w:r>
            <w:r>
              <w:rPr>
                <w:rFonts w:ascii="宋体" w:hAnsi="宋体" w:cs="宋体" w:eastAsia="宋体" w:hint="default"/>
                <w:sz w:val="18"/>
                <w:szCs w:val="18"/>
              </w:rPr>
              <w:t>有效</w:t>
            </w:r>
          </w:p>
        </w:tc>
        <w:tc>
          <w:tcPr>
            <w:tcW w:w="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9"/>
              <w:ind w:left="24" w:right="75"/>
              <w:jc w:val="both"/>
              <w:rPr>
                <w:rFonts w:ascii="宋体" w:hAnsi="宋体" w:cs="宋体" w:eastAsia="宋体" w:hint="default"/>
                <w:sz w:val="18"/>
                <w:szCs w:val="18"/>
              </w:rPr>
            </w:pPr>
            <w:r>
              <w:rPr>
                <w:rFonts w:ascii="宋体" w:hAnsi="宋体" w:cs="宋体" w:eastAsia="宋体" w:hint="default"/>
                <w:sz w:val="18"/>
                <w:szCs w:val="18"/>
              </w:rPr>
              <w:t>按承</w:t>
            </w:r>
            <w:r>
              <w:rPr>
                <w:rFonts w:ascii="宋体" w:hAnsi="宋体" w:cs="宋体" w:eastAsia="宋体" w:hint="default"/>
                <w:spacing w:val="-86"/>
                <w:sz w:val="18"/>
                <w:szCs w:val="18"/>
              </w:rPr>
              <w:t> </w:t>
            </w:r>
            <w:r>
              <w:rPr>
                <w:rFonts w:ascii="宋体" w:hAnsi="宋体" w:cs="宋体" w:eastAsia="宋体" w:hint="default"/>
                <w:sz w:val="18"/>
                <w:szCs w:val="18"/>
              </w:rPr>
              <w:t>诺履</w:t>
            </w:r>
            <w:r>
              <w:rPr>
                <w:rFonts w:ascii="宋体" w:hAnsi="宋体" w:cs="宋体" w:eastAsia="宋体" w:hint="default"/>
                <w:spacing w:val="-86"/>
                <w:sz w:val="18"/>
                <w:szCs w:val="18"/>
              </w:rPr>
              <w:t> </w:t>
            </w:r>
            <w:r>
              <w:rPr>
                <w:rFonts w:ascii="宋体" w:hAnsi="宋体" w:cs="宋体" w:eastAsia="宋体" w:hint="default"/>
                <w:sz w:val="18"/>
                <w:szCs w:val="18"/>
              </w:rPr>
              <w:t>行</w:t>
            </w:r>
          </w:p>
        </w:tc>
      </w:tr>
    </w:tbl>
    <w:p>
      <w:pPr>
        <w:spacing w:after="0" w:line="319" w:lineRule="auto"/>
        <w:jc w:val="both"/>
        <w:rPr>
          <w:rFonts w:ascii="宋体" w:hAnsi="宋体" w:cs="宋体" w:eastAsia="宋体" w:hint="default"/>
          <w:sz w:val="18"/>
          <w:szCs w:val="18"/>
        </w:rPr>
        <w:sectPr>
          <w:pgSz w:w="11910" w:h="16840"/>
          <w:pgMar w:header="746" w:footer="974" w:top="1060" w:bottom="1160" w:left="780" w:right="0"/>
        </w:sectPr>
      </w:pPr>
    </w:p>
    <w:p>
      <w:pPr>
        <w:spacing w:line="240" w:lineRule="auto" w:before="0"/>
        <w:rPr>
          <w:rFonts w:ascii="Times New Roman" w:hAnsi="Times New Roman" w:cs="Times New Roman" w:eastAsia="Times New Roman" w:hint="default"/>
          <w:sz w:val="20"/>
          <w:szCs w:val="20"/>
        </w:rPr>
      </w:pPr>
      <w:r>
        <w:rPr/>
        <w:pict>
          <v:shape style="position:absolute;margin-left:478.42041pt;margin-top:170.679977pt;width:27pt;height:362.75pt;mso-position-horizontal-relative:page;mso-position-vertical-relative:page;z-index:-98233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pStyle w:val="BodyText"/>
                    <w:spacing w:line="240" w:lineRule="auto" w:before="154"/>
                    <w:ind w:left="0" w:right="0"/>
                    <w:jc w:val="left"/>
                  </w:pPr>
                  <w:r>
                    <w:rPr>
                      <w:w w:val="101"/>
                    </w:rPr>
                    <w:t>，</w:t>
                  </w:r>
                  <w:r>
                    <w:rPr/>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6"/>
                    <w:rPr>
                      <w:rFonts w:ascii="Times New Roman" w:hAnsi="Times New Roman" w:cs="Times New Roman" w:eastAsia="Times New Roman" w:hint="default"/>
                      <w:sz w:val="25"/>
                      <w:szCs w:val="25"/>
                    </w:rPr>
                  </w:pPr>
                </w:p>
                <w:p>
                  <w:pPr>
                    <w:pStyle w:val="BodyText"/>
                    <w:spacing w:line="240" w:lineRule="auto"/>
                    <w:ind w:left="0" w:right="0"/>
                    <w:jc w:val="left"/>
                  </w:pPr>
                  <w:r>
                    <w:rPr>
                      <w:w w:val="101"/>
                    </w:rPr>
                    <w:t>、</w:t>
                  </w:r>
                  <w:r>
                    <w:rPr/>
                  </w:r>
                </w:p>
                <w:p>
                  <w:pPr>
                    <w:pStyle w:val="BodyText"/>
                    <w:spacing w:line="240" w:lineRule="auto" w:before="76"/>
                    <w:ind w:left="0" w:right="0"/>
                    <w:jc w:val="left"/>
                  </w:pPr>
                  <w:r>
                    <w:rPr>
                      <w:w w:val="101"/>
                    </w:rPr>
                    <w:t>）</w:t>
                  </w:r>
                  <w:r>
                    <w:rPr/>
                  </w:r>
                </w:p>
              </w:txbxContent>
            </v:textbox>
            <w10:wrap type="none"/>
          </v:shape>
        </w:pict>
      </w:r>
    </w:p>
    <w:p>
      <w:pPr>
        <w:spacing w:line="240" w:lineRule="auto" w:before="4"/>
        <w:rPr>
          <w:rFonts w:ascii="Times New Roman" w:hAnsi="Times New Roman" w:cs="Times New Roman" w:eastAsia="Times New Roman" w:hint="default"/>
          <w:sz w:val="12"/>
          <w:szCs w:val="12"/>
        </w:rPr>
      </w:pPr>
    </w:p>
    <w:tbl>
      <w:tblPr>
        <w:tblW w:w="0" w:type="auto"/>
        <w:jc w:val="left"/>
        <w:tblInd w:w="113" w:type="dxa"/>
        <w:tblLayout w:type="fixed"/>
        <w:tblCellMar>
          <w:top w:w="0" w:type="dxa"/>
          <w:left w:w="0" w:type="dxa"/>
          <w:bottom w:w="0" w:type="dxa"/>
          <w:right w:w="0" w:type="dxa"/>
        </w:tblCellMar>
        <w:tblLook w:val="01E0"/>
      </w:tblPr>
      <w:tblGrid>
        <w:gridCol w:w="792"/>
        <w:gridCol w:w="620"/>
        <w:gridCol w:w="427"/>
        <w:gridCol w:w="6949"/>
        <w:gridCol w:w="422"/>
        <w:gridCol w:w="427"/>
        <w:gridCol w:w="476"/>
      </w:tblGrid>
      <w:tr>
        <w:trPr>
          <w:trHeight w:val="1964" w:hRule="exact"/>
        </w:trPr>
        <w:tc>
          <w:tcPr>
            <w:tcW w:w="792" w:type="dxa"/>
            <w:vMerge w:val="restart"/>
            <w:tcBorders>
              <w:top w:val="single" w:sz="4" w:space="0" w:color="000000"/>
              <w:left w:val="single" w:sz="4" w:space="0" w:color="000000"/>
              <w:right w:val="single" w:sz="4" w:space="0" w:color="000000"/>
            </w:tcBorders>
            <w:shd w:val="clear" w:color="auto" w:fill="D2D2D2"/>
          </w:tcPr>
          <w:p>
            <w:pP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41"/>
              <w:jc w:val="both"/>
              <w:rPr>
                <w:rFonts w:ascii="宋体" w:hAnsi="宋体" w:cs="宋体" w:eastAsia="宋体" w:hint="default"/>
                <w:sz w:val="18"/>
                <w:szCs w:val="18"/>
              </w:rPr>
            </w:pPr>
            <w:r>
              <w:rPr>
                <w:rFonts w:ascii="宋体" w:hAnsi="宋体" w:cs="宋体" w:eastAsia="宋体" w:hint="default"/>
                <w:sz w:val="18"/>
                <w:szCs w:val="18"/>
              </w:rPr>
              <w:t>云南省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工业投</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资控股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集团有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限责任</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w:t>
            </w:r>
          </w:p>
        </w:tc>
        <w:tc>
          <w:tcPr>
            <w:tcW w:w="427" w:type="dxa"/>
            <w:tcBorders>
              <w:top w:val="single" w:sz="4" w:space="0" w:color="000000"/>
              <w:left w:val="single" w:sz="4" w:space="0" w:color="000000"/>
              <w:bottom w:val="single" w:sz="4" w:space="0" w:color="000000"/>
              <w:right w:val="single" w:sz="4" w:space="0" w:color="000000"/>
            </w:tcBorders>
          </w:tcPr>
          <w:p>
            <w:pPr/>
          </w:p>
        </w:tc>
        <w:tc>
          <w:tcPr>
            <w:tcW w:w="6949"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3"/>
              <w:ind w:left="23" w:right="18"/>
              <w:jc w:val="both"/>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、不越权干预南天信息经营管理活动，不侵占南天信息利益；</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、若本公司因越权干预</w:t>
            </w:r>
            <w:r>
              <w:rPr>
                <w:rFonts w:ascii="宋体" w:hAnsi="宋体" w:cs="宋体" w:eastAsia="宋体" w:hint="default"/>
                <w:spacing w:val="28"/>
                <w:sz w:val="18"/>
                <w:szCs w:val="18"/>
              </w:rPr>
              <w:t> </w:t>
            </w:r>
            <w:r>
              <w:rPr>
                <w:rFonts w:ascii="宋体" w:hAnsi="宋体" w:cs="宋体" w:eastAsia="宋体" w:hint="default"/>
                <w:spacing w:val="28"/>
                <w:sz w:val="18"/>
                <w:szCs w:val="18"/>
              </w:rPr>
            </w:r>
            <w:r>
              <w:rPr>
                <w:rFonts w:ascii="宋体" w:hAnsi="宋体" w:cs="宋体" w:eastAsia="宋体" w:hint="default"/>
                <w:spacing w:val="-3"/>
                <w:sz w:val="18"/>
                <w:szCs w:val="18"/>
              </w:rPr>
              <w:t>南天信息经营管理活动或侵占南天信息利益致使摊薄即期回报的填补措施无法得到有效</w:t>
            </w:r>
            <w:r>
              <w:rPr>
                <w:rFonts w:ascii="宋体" w:hAnsi="宋体" w:cs="宋体" w:eastAsia="宋体" w:hint="default"/>
                <w:spacing w:val="20"/>
                <w:sz w:val="18"/>
                <w:szCs w:val="18"/>
              </w:rPr>
              <w:t> </w:t>
            </w:r>
            <w:r>
              <w:rPr>
                <w:rFonts w:ascii="宋体" w:hAnsi="宋体" w:cs="宋体" w:eastAsia="宋体" w:hint="default"/>
                <w:spacing w:val="20"/>
                <w:sz w:val="18"/>
                <w:szCs w:val="18"/>
              </w:rPr>
            </w:r>
            <w:r>
              <w:rPr>
                <w:rFonts w:ascii="宋体" w:hAnsi="宋体" w:cs="宋体" w:eastAsia="宋体" w:hint="default"/>
                <w:spacing w:val="-3"/>
                <w:sz w:val="18"/>
                <w:szCs w:val="18"/>
              </w:rPr>
              <w:t>落实，从而给南天信息或者投资者造成损失的，本公司愿意依法承担对南天信息或者投</w:t>
            </w:r>
            <w:r>
              <w:rPr>
                <w:rFonts w:ascii="宋体" w:hAnsi="宋体" w:cs="宋体" w:eastAsia="宋体" w:hint="default"/>
                <w:spacing w:val="20"/>
                <w:sz w:val="18"/>
                <w:szCs w:val="18"/>
              </w:rPr>
              <w:t> </w:t>
            </w:r>
            <w:r>
              <w:rPr>
                <w:rFonts w:ascii="宋体" w:hAnsi="宋体" w:cs="宋体" w:eastAsia="宋体" w:hint="default"/>
                <w:spacing w:val="20"/>
                <w:sz w:val="18"/>
                <w:szCs w:val="18"/>
              </w:rPr>
            </w:r>
            <w:r>
              <w:rPr>
                <w:rFonts w:ascii="宋体" w:hAnsi="宋体" w:cs="宋体" w:eastAsia="宋体" w:hint="default"/>
                <w:spacing w:val="-4"/>
                <w:sz w:val="18"/>
                <w:szCs w:val="18"/>
              </w:rPr>
              <w:t>资者的补偿责任；</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、自本承诺函出具之日至南天信息本次发行实施完毕前，若中国证监</w:t>
            </w:r>
            <w:r>
              <w:rPr>
                <w:rFonts w:ascii="宋体" w:hAnsi="宋体" w:cs="宋体" w:eastAsia="宋体" w:hint="default"/>
                <w:spacing w:val="24"/>
                <w:sz w:val="18"/>
                <w:szCs w:val="18"/>
              </w:rPr>
              <w:t> </w:t>
            </w:r>
            <w:r>
              <w:rPr>
                <w:rFonts w:ascii="宋体" w:hAnsi="宋体" w:cs="宋体" w:eastAsia="宋体" w:hint="default"/>
                <w:spacing w:val="24"/>
                <w:sz w:val="18"/>
                <w:szCs w:val="18"/>
              </w:rPr>
            </w:r>
            <w:r>
              <w:rPr>
                <w:rFonts w:ascii="宋体" w:hAnsi="宋体" w:cs="宋体" w:eastAsia="宋体" w:hint="default"/>
                <w:spacing w:val="-3"/>
                <w:sz w:val="18"/>
                <w:szCs w:val="18"/>
              </w:rPr>
              <w:t>会作出关于填补回报措施及其承诺的其他新的监管规定的，且上述承诺不能满足中国证</w:t>
            </w:r>
            <w:r>
              <w:rPr>
                <w:rFonts w:ascii="宋体" w:hAnsi="宋体" w:cs="宋体" w:eastAsia="宋体" w:hint="default"/>
                <w:spacing w:val="20"/>
                <w:sz w:val="18"/>
                <w:szCs w:val="18"/>
              </w:rPr>
              <w:t> </w:t>
            </w:r>
            <w:r>
              <w:rPr>
                <w:rFonts w:ascii="宋体" w:hAnsi="宋体" w:cs="宋体" w:eastAsia="宋体" w:hint="default"/>
                <w:spacing w:val="20"/>
                <w:sz w:val="18"/>
                <w:szCs w:val="18"/>
              </w:rPr>
            </w:r>
            <w:r>
              <w:rPr>
                <w:rFonts w:ascii="宋体" w:hAnsi="宋体" w:cs="宋体" w:eastAsia="宋体" w:hint="default"/>
                <w:spacing w:val="-3"/>
                <w:sz w:val="18"/>
                <w:szCs w:val="18"/>
              </w:rPr>
              <w:t>监会该等规定时，本公司承诺届时将按照中国证监会的最新规定出具补充承诺。</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年</w:t>
            </w:r>
            <w:r>
              <w:rPr>
                <w:rFonts w:ascii="宋体" w:hAnsi="宋体" w:cs="宋体" w:eastAsia="宋体" w:hint="default"/>
                <w:sz w:val="18"/>
                <w:szCs w:val="18"/>
              </w:rPr>
            </w:r>
          </w:p>
          <w:p>
            <w:pPr>
              <w:pStyle w:val="TableParagraph"/>
              <w:spacing w:line="240" w:lineRule="auto" w:before="118"/>
              <w:ind w:left="23" w:right="0"/>
              <w:jc w:val="left"/>
              <w:rPr>
                <w:rFonts w:ascii="Times New Roman" w:hAnsi="Times New Roman" w:cs="Times New Roman" w:eastAsia="Times New Roman" w:hint="default"/>
                <w:sz w:val="18"/>
                <w:szCs w:val="18"/>
              </w:rPr>
            </w:pPr>
            <w:r>
              <w:rPr>
                <w:rFonts w:ascii="Times New Roman"/>
                <w:sz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月</w:t>
            </w:r>
            <w:r>
              <w:rPr>
                <w:rFonts w:ascii="宋体" w:hAnsi="宋体" w:cs="宋体" w:eastAsia="宋体" w:hint="default"/>
                <w:sz w:val="18"/>
                <w:szCs w:val="18"/>
              </w:rPr>
            </w:r>
          </w:p>
          <w:p>
            <w:pPr>
              <w:pStyle w:val="TableParagraph"/>
              <w:spacing w:line="240" w:lineRule="auto" w:before="118"/>
              <w:ind w:left="23" w:right="0"/>
              <w:jc w:val="left"/>
              <w:rPr>
                <w:rFonts w:ascii="Times New Roman" w:hAnsi="Times New Roman" w:cs="Times New Roman" w:eastAsia="Times New Roman" w:hint="default"/>
                <w:sz w:val="18"/>
                <w:szCs w:val="18"/>
              </w:rPr>
            </w:pPr>
            <w:r>
              <w:rPr>
                <w:rFonts w:ascii="Times New Roman"/>
                <w:sz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14" w:lineRule="auto"/>
              <w:ind w:left="23" w:right="26"/>
              <w:jc w:val="left"/>
              <w:rPr>
                <w:rFonts w:ascii="宋体" w:hAnsi="宋体" w:cs="宋体" w:eastAsia="宋体" w:hint="default"/>
                <w:sz w:val="18"/>
                <w:szCs w:val="18"/>
              </w:rPr>
            </w:pPr>
            <w:r>
              <w:rPr>
                <w:rFonts w:ascii="宋体" w:hAnsi="宋体" w:cs="宋体" w:eastAsia="宋体" w:hint="default"/>
                <w:sz w:val="18"/>
                <w:szCs w:val="18"/>
              </w:rPr>
              <w:t>长期</w:t>
            </w:r>
            <w:r>
              <w:rPr>
                <w:rFonts w:ascii="宋体" w:hAnsi="宋体" w:cs="宋体" w:eastAsia="宋体" w:hint="default"/>
                <w:spacing w:val="-86"/>
                <w:sz w:val="18"/>
                <w:szCs w:val="18"/>
              </w:rPr>
              <w:t> </w:t>
            </w:r>
            <w:r>
              <w:rPr>
                <w:rFonts w:ascii="宋体" w:hAnsi="宋体" w:cs="宋体" w:eastAsia="宋体" w:hint="default"/>
                <w:sz w:val="18"/>
                <w:szCs w:val="18"/>
              </w:rPr>
              <w:t>有效</w:t>
            </w:r>
          </w:p>
        </w:tc>
        <w:tc>
          <w:tcPr>
            <w:tcW w:w="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0"/>
              <w:ind w:left="24" w:right="75"/>
              <w:jc w:val="both"/>
              <w:rPr>
                <w:rFonts w:ascii="宋体" w:hAnsi="宋体" w:cs="宋体" w:eastAsia="宋体" w:hint="default"/>
                <w:sz w:val="18"/>
                <w:szCs w:val="18"/>
              </w:rPr>
            </w:pPr>
            <w:r>
              <w:rPr>
                <w:rFonts w:ascii="宋体" w:hAnsi="宋体" w:cs="宋体" w:eastAsia="宋体" w:hint="default"/>
                <w:sz w:val="18"/>
                <w:szCs w:val="18"/>
              </w:rPr>
              <w:t>按承</w:t>
            </w:r>
            <w:r>
              <w:rPr>
                <w:rFonts w:ascii="宋体" w:hAnsi="宋体" w:cs="宋体" w:eastAsia="宋体" w:hint="default"/>
                <w:spacing w:val="-86"/>
                <w:sz w:val="18"/>
                <w:szCs w:val="18"/>
              </w:rPr>
              <w:t> </w:t>
            </w:r>
            <w:r>
              <w:rPr>
                <w:rFonts w:ascii="宋体" w:hAnsi="宋体" w:cs="宋体" w:eastAsia="宋体" w:hint="default"/>
                <w:sz w:val="18"/>
                <w:szCs w:val="18"/>
              </w:rPr>
              <w:t>诺履</w:t>
            </w:r>
            <w:r>
              <w:rPr>
                <w:rFonts w:ascii="宋体" w:hAnsi="宋体" w:cs="宋体" w:eastAsia="宋体" w:hint="default"/>
                <w:spacing w:val="-86"/>
                <w:sz w:val="18"/>
                <w:szCs w:val="18"/>
              </w:rPr>
              <w:t> </w:t>
            </w:r>
            <w:r>
              <w:rPr>
                <w:rFonts w:ascii="宋体" w:hAnsi="宋体" w:cs="宋体" w:eastAsia="宋体" w:hint="default"/>
                <w:sz w:val="18"/>
                <w:szCs w:val="18"/>
              </w:rPr>
              <w:t>行</w:t>
            </w:r>
          </w:p>
        </w:tc>
      </w:tr>
      <w:tr>
        <w:trPr>
          <w:trHeight w:val="7264" w:hRule="exact"/>
        </w:trPr>
        <w:tc>
          <w:tcPr>
            <w:tcW w:w="792" w:type="dxa"/>
            <w:vMerge/>
            <w:tcBorders>
              <w:left w:val="single" w:sz="4" w:space="0" w:color="000000"/>
              <w:right w:val="single" w:sz="4" w:space="0" w:color="000000"/>
            </w:tcBorders>
            <w:shd w:val="clear" w:color="auto" w:fill="D2D2D2"/>
          </w:tcPr>
          <w:p>
            <w:pP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316" w:lineRule="auto"/>
              <w:ind w:left="24" w:right="41"/>
              <w:jc w:val="both"/>
              <w:rPr>
                <w:rFonts w:ascii="宋体" w:hAnsi="宋体" w:cs="宋体" w:eastAsia="宋体" w:hint="default"/>
                <w:sz w:val="18"/>
                <w:szCs w:val="18"/>
              </w:rPr>
            </w:pPr>
            <w:r>
              <w:rPr>
                <w:rFonts w:ascii="宋体" w:hAnsi="宋体" w:cs="宋体" w:eastAsia="宋体" w:hint="default"/>
                <w:sz w:val="18"/>
                <w:szCs w:val="18"/>
              </w:rPr>
              <w:t>云南南</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天电子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信息产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业股份</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有限公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w:t>
            </w:r>
          </w:p>
        </w:tc>
        <w:tc>
          <w:tcPr>
            <w:tcW w:w="427" w:type="dxa"/>
            <w:tcBorders>
              <w:top w:val="single" w:sz="4" w:space="0" w:color="000000"/>
              <w:left w:val="single" w:sz="4" w:space="0" w:color="000000"/>
              <w:bottom w:val="single" w:sz="4" w:space="0" w:color="000000"/>
              <w:right w:val="single" w:sz="4" w:space="0" w:color="000000"/>
            </w:tcBorders>
          </w:tcPr>
          <w:p>
            <w:pPr/>
          </w:p>
        </w:tc>
        <w:tc>
          <w:tcPr>
            <w:tcW w:w="694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3" w:right="12"/>
              <w:jc w:val="left"/>
              <w:rPr>
                <w:rFonts w:ascii="宋体" w:hAnsi="宋体" w:cs="宋体" w:eastAsia="宋体" w:hint="default"/>
                <w:sz w:val="18"/>
                <w:szCs w:val="18"/>
              </w:rPr>
            </w:pPr>
            <w:r>
              <w:rPr>
                <w:rFonts w:ascii="宋体" w:hAnsi="宋体" w:cs="宋体" w:eastAsia="宋体" w:hint="default"/>
                <w:spacing w:val="-3"/>
                <w:sz w:val="18"/>
                <w:szCs w:val="18"/>
              </w:rPr>
              <w:t>（一）加强募投项目推进力度，尽快实现项目预期收益：本次发行募集资金投资项目的</w:t>
            </w:r>
            <w:r>
              <w:rPr>
                <w:rFonts w:ascii="宋体" w:hAnsi="宋体" w:cs="宋体" w:eastAsia="宋体" w:hint="default"/>
                <w:spacing w:val="20"/>
                <w:sz w:val="18"/>
                <w:szCs w:val="18"/>
              </w:rPr>
              <w:t> </w:t>
            </w:r>
            <w:r>
              <w:rPr>
                <w:rFonts w:ascii="宋体" w:hAnsi="宋体" w:cs="宋体" w:eastAsia="宋体" w:hint="default"/>
                <w:spacing w:val="20"/>
                <w:sz w:val="18"/>
                <w:szCs w:val="18"/>
              </w:rPr>
            </w:r>
            <w:r>
              <w:rPr>
                <w:rFonts w:ascii="宋体" w:hAnsi="宋体" w:cs="宋体" w:eastAsia="宋体" w:hint="default"/>
                <w:spacing w:val="-4"/>
                <w:sz w:val="18"/>
                <w:szCs w:val="18"/>
              </w:rPr>
              <w:t>实施，有利于扩大公司的市场影响力，进一步提升公司竞争优势，提升可持续发展能力</w:t>
            </w:r>
            <w:r>
              <w:rPr>
                <w:rFonts w:ascii="宋体" w:hAnsi="宋体" w:cs="宋体" w:eastAsia="宋体" w:hint="default"/>
                <w:spacing w:val="23"/>
                <w:sz w:val="18"/>
                <w:szCs w:val="18"/>
              </w:rPr>
              <w:t> </w:t>
            </w:r>
            <w:r>
              <w:rPr>
                <w:rFonts w:ascii="宋体" w:hAnsi="宋体" w:cs="宋体" w:eastAsia="宋体" w:hint="default"/>
                <w:spacing w:val="23"/>
                <w:sz w:val="18"/>
                <w:szCs w:val="18"/>
              </w:rPr>
            </w:r>
            <w:r>
              <w:rPr>
                <w:rFonts w:ascii="宋体" w:hAnsi="宋体" w:cs="宋体" w:eastAsia="宋体" w:hint="default"/>
                <w:spacing w:val="-3"/>
                <w:sz w:val="18"/>
                <w:szCs w:val="18"/>
              </w:rPr>
              <w:t>有利于实现并维护股东的长远利益。公司将加快推进募投项目建设，争取募投项目尽快</w:t>
            </w:r>
            <w:r>
              <w:rPr>
                <w:rFonts w:ascii="宋体" w:hAnsi="宋体" w:cs="宋体" w:eastAsia="宋体" w:hint="default"/>
                <w:spacing w:val="20"/>
                <w:sz w:val="18"/>
                <w:szCs w:val="18"/>
              </w:rPr>
              <w:t> </w:t>
            </w:r>
            <w:r>
              <w:rPr>
                <w:rFonts w:ascii="宋体" w:hAnsi="宋体" w:cs="宋体" w:eastAsia="宋体" w:hint="default"/>
                <w:spacing w:val="20"/>
                <w:sz w:val="18"/>
                <w:szCs w:val="18"/>
              </w:rPr>
            </w:r>
            <w:r>
              <w:rPr>
                <w:rFonts w:ascii="宋体" w:hAnsi="宋体" w:cs="宋体" w:eastAsia="宋体" w:hint="default"/>
                <w:spacing w:val="-3"/>
                <w:sz w:val="18"/>
                <w:szCs w:val="18"/>
              </w:rPr>
              <w:t>完成，实现对提高公司经营业绩和盈利能力贡献，有助于填补本次发行对股东即期回报</w:t>
            </w:r>
            <w:r>
              <w:rPr>
                <w:rFonts w:ascii="宋体" w:hAnsi="宋体" w:cs="宋体" w:eastAsia="宋体" w:hint="default"/>
                <w:spacing w:val="20"/>
                <w:sz w:val="18"/>
                <w:szCs w:val="18"/>
              </w:rPr>
              <w:t> </w:t>
            </w:r>
            <w:r>
              <w:rPr>
                <w:rFonts w:ascii="宋体" w:hAnsi="宋体" w:cs="宋体" w:eastAsia="宋体" w:hint="default"/>
                <w:spacing w:val="20"/>
                <w:sz w:val="18"/>
                <w:szCs w:val="18"/>
              </w:rPr>
            </w:r>
            <w:r>
              <w:rPr>
                <w:rFonts w:ascii="宋体" w:hAnsi="宋体" w:cs="宋体" w:eastAsia="宋体" w:hint="default"/>
                <w:spacing w:val="-6"/>
                <w:w w:val="101"/>
                <w:sz w:val="18"/>
                <w:szCs w:val="18"/>
              </w:rPr>
              <w:t>的摊薄。（二）不断提升公司治理水平，为公司发展提供制度保障：公司将严格遵循《公</w:t>
            </w:r>
            <w:r>
              <w:rPr>
                <w:rFonts w:ascii="宋体" w:hAnsi="宋体" w:cs="宋体" w:eastAsia="宋体" w:hint="default"/>
                <w:spacing w:val="-79"/>
                <w:w w:val="101"/>
                <w:sz w:val="18"/>
                <w:szCs w:val="18"/>
              </w:rPr>
              <w:t> </w:t>
            </w:r>
            <w:r>
              <w:rPr>
                <w:rFonts w:ascii="宋体" w:hAnsi="宋体" w:cs="宋体" w:eastAsia="宋体" w:hint="default"/>
                <w:spacing w:val="-79"/>
                <w:w w:val="101"/>
                <w:sz w:val="18"/>
                <w:szCs w:val="18"/>
              </w:rPr>
            </w:r>
            <w:r>
              <w:rPr>
                <w:rFonts w:ascii="宋体" w:hAnsi="宋体" w:cs="宋体" w:eastAsia="宋体" w:hint="default"/>
                <w:spacing w:val="-12"/>
                <w:w w:val="101"/>
                <w:sz w:val="18"/>
                <w:szCs w:val="18"/>
              </w:rPr>
              <w:t>司法》、《证券法》、《上市公司治理准则》等法律法规和规范性文件的要求，不断完善公</w:t>
            </w:r>
            <w:r>
              <w:rPr>
                <w:rFonts w:ascii="宋体" w:hAnsi="宋体" w:cs="宋体" w:eastAsia="宋体" w:hint="default"/>
                <w:spacing w:val="-73"/>
                <w:w w:val="101"/>
                <w:sz w:val="18"/>
                <w:szCs w:val="18"/>
              </w:rPr>
              <w:t> </w:t>
            </w:r>
            <w:r>
              <w:rPr>
                <w:rFonts w:ascii="宋体" w:hAnsi="宋体" w:cs="宋体" w:eastAsia="宋体" w:hint="default"/>
                <w:spacing w:val="-73"/>
                <w:w w:val="101"/>
                <w:sz w:val="18"/>
                <w:szCs w:val="18"/>
              </w:rPr>
            </w:r>
            <w:r>
              <w:rPr>
                <w:rFonts w:ascii="宋体" w:hAnsi="宋体" w:cs="宋体" w:eastAsia="宋体" w:hint="default"/>
                <w:spacing w:val="-3"/>
                <w:sz w:val="18"/>
                <w:szCs w:val="18"/>
              </w:rPr>
              <w:t>司治理结构，确保股东能够充分行使权利，确保董事会能够按照法律、法规和公司章程</w:t>
            </w:r>
            <w:r>
              <w:rPr>
                <w:rFonts w:ascii="宋体" w:hAnsi="宋体" w:cs="宋体" w:eastAsia="宋体" w:hint="default"/>
                <w:spacing w:val="21"/>
                <w:sz w:val="18"/>
                <w:szCs w:val="18"/>
              </w:rPr>
              <w:t> </w:t>
            </w:r>
            <w:r>
              <w:rPr>
                <w:rFonts w:ascii="宋体" w:hAnsi="宋体" w:cs="宋体" w:eastAsia="宋体" w:hint="default"/>
                <w:spacing w:val="21"/>
                <w:sz w:val="18"/>
                <w:szCs w:val="18"/>
              </w:rPr>
            </w:r>
            <w:r>
              <w:rPr>
                <w:rFonts w:ascii="宋体" w:hAnsi="宋体" w:cs="宋体" w:eastAsia="宋体" w:hint="default"/>
                <w:spacing w:val="-3"/>
                <w:sz w:val="18"/>
                <w:szCs w:val="18"/>
              </w:rPr>
              <w:t>的规定行使职权，作出科学、迅速和谨慎地决策，确保独立董事能够认真履行职责，维</w:t>
            </w:r>
            <w:r>
              <w:rPr>
                <w:rFonts w:ascii="宋体" w:hAnsi="宋体" w:cs="宋体" w:eastAsia="宋体" w:hint="default"/>
                <w:spacing w:val="20"/>
                <w:sz w:val="18"/>
                <w:szCs w:val="18"/>
              </w:rPr>
              <w:t> </w:t>
            </w:r>
            <w:r>
              <w:rPr>
                <w:rFonts w:ascii="宋体" w:hAnsi="宋体" w:cs="宋体" w:eastAsia="宋体" w:hint="default"/>
                <w:spacing w:val="20"/>
                <w:sz w:val="18"/>
                <w:szCs w:val="18"/>
              </w:rPr>
            </w:r>
            <w:r>
              <w:rPr>
                <w:rFonts w:ascii="宋体" w:hAnsi="宋体" w:cs="宋体" w:eastAsia="宋体" w:hint="default"/>
                <w:spacing w:val="-4"/>
                <w:sz w:val="18"/>
                <w:szCs w:val="18"/>
              </w:rPr>
              <w:t>护公司整体利益，尤其是中小股东的合法权益，确保监事会能够独立有效地行使对董事</w:t>
            </w:r>
            <w:r>
              <w:rPr>
                <w:rFonts w:ascii="宋体" w:hAnsi="宋体" w:cs="宋体" w:eastAsia="宋体" w:hint="default"/>
                <w:spacing w:val="18"/>
                <w:sz w:val="18"/>
                <w:szCs w:val="18"/>
              </w:rPr>
              <w:t> </w:t>
            </w:r>
            <w:r>
              <w:rPr>
                <w:rFonts w:ascii="宋体" w:hAnsi="宋体" w:cs="宋体" w:eastAsia="宋体" w:hint="default"/>
                <w:spacing w:val="18"/>
                <w:sz w:val="18"/>
                <w:szCs w:val="18"/>
              </w:rPr>
            </w:r>
            <w:r>
              <w:rPr>
                <w:rFonts w:ascii="宋体" w:hAnsi="宋体" w:cs="宋体" w:eastAsia="宋体" w:hint="default"/>
                <w:spacing w:val="-8"/>
                <w:w w:val="101"/>
                <w:sz w:val="18"/>
                <w:szCs w:val="18"/>
              </w:rPr>
              <w:t>经理和其他高级管理人员及公司财务的监督权和检查权，为公司发展提供制度保障。（三</w:t>
            </w:r>
            <w:r>
              <w:rPr>
                <w:rFonts w:ascii="宋体" w:hAnsi="宋体" w:cs="宋体" w:eastAsia="宋体" w:hint="default"/>
                <w:w w:val="101"/>
                <w:sz w:val="18"/>
                <w:szCs w:val="18"/>
              </w:rPr>
              <w:t> </w:t>
            </w:r>
            <w:r>
              <w:rPr>
                <w:rFonts w:ascii="宋体" w:hAnsi="宋体" w:cs="宋体" w:eastAsia="宋体" w:hint="default"/>
                <w:spacing w:val="-12"/>
                <w:w w:val="101"/>
                <w:sz w:val="18"/>
                <w:szCs w:val="18"/>
              </w:rPr>
              <w:t>加强募集资金管理，确保募集资金使用规范：公司已根据《公司法》、《证券法》、《上市</w:t>
            </w:r>
            <w:r>
              <w:rPr>
                <w:rFonts w:ascii="宋体" w:hAnsi="宋体" w:cs="宋体" w:eastAsia="宋体" w:hint="default"/>
                <w:spacing w:val="-73"/>
                <w:w w:val="101"/>
                <w:sz w:val="18"/>
                <w:szCs w:val="18"/>
              </w:rPr>
              <w:t> </w:t>
            </w:r>
            <w:r>
              <w:rPr>
                <w:rFonts w:ascii="宋体" w:hAnsi="宋体" w:cs="宋体" w:eastAsia="宋体" w:hint="default"/>
                <w:spacing w:val="-73"/>
                <w:w w:val="101"/>
                <w:sz w:val="18"/>
                <w:szCs w:val="18"/>
              </w:rPr>
            </w:r>
            <w:r>
              <w:rPr>
                <w:rFonts w:ascii="宋体" w:hAnsi="宋体" w:cs="宋体" w:eastAsia="宋体" w:hint="default"/>
                <w:spacing w:val="-11"/>
                <w:w w:val="101"/>
                <w:sz w:val="18"/>
                <w:szCs w:val="18"/>
              </w:rPr>
              <w:t>公司证券发行管理办法》、《上市公司监管指引第</w:t>
            </w:r>
            <w:r>
              <w:rPr>
                <w:rFonts w:ascii="宋体" w:hAnsi="宋体" w:cs="宋体" w:eastAsia="宋体" w:hint="default"/>
                <w:spacing w:val="-42"/>
                <w:w w:val="101"/>
                <w:sz w:val="18"/>
                <w:szCs w:val="18"/>
              </w:rPr>
              <w:t> </w:t>
            </w:r>
            <w:r>
              <w:rPr>
                <w:rFonts w:ascii="Times New Roman" w:hAnsi="Times New Roman" w:cs="Times New Roman" w:eastAsia="Times New Roman" w:hint="default"/>
                <w:w w:val="101"/>
                <w:sz w:val="18"/>
                <w:szCs w:val="18"/>
              </w:rPr>
              <w:t>2</w:t>
            </w:r>
            <w:r>
              <w:rPr>
                <w:rFonts w:ascii="Times New Roman" w:hAnsi="Times New Roman" w:cs="Times New Roman" w:eastAsia="Times New Roman" w:hint="default"/>
                <w:spacing w:val="-3"/>
                <w:w w:val="101"/>
                <w:sz w:val="18"/>
                <w:szCs w:val="18"/>
              </w:rPr>
              <w:t> </w:t>
            </w:r>
            <w:r>
              <w:rPr>
                <w:rFonts w:ascii="宋体" w:hAnsi="宋体" w:cs="宋体" w:eastAsia="宋体" w:hint="default"/>
                <w:spacing w:val="-3"/>
                <w:w w:val="101"/>
                <w:sz w:val="18"/>
                <w:szCs w:val="18"/>
              </w:rPr>
              <w:t>号</w:t>
            </w:r>
            <w:r>
              <w:rPr>
                <w:rFonts w:ascii="Times New Roman" w:hAnsi="Times New Roman" w:cs="Times New Roman" w:eastAsia="Times New Roman" w:hint="default"/>
                <w:spacing w:val="-3"/>
                <w:w w:val="101"/>
                <w:sz w:val="18"/>
                <w:szCs w:val="18"/>
              </w:rPr>
              <w:t>——</w:t>
            </w:r>
            <w:r>
              <w:rPr>
                <w:rFonts w:ascii="宋体" w:hAnsi="宋体" w:cs="宋体" w:eastAsia="宋体" w:hint="default"/>
                <w:spacing w:val="-3"/>
                <w:w w:val="101"/>
                <w:sz w:val="18"/>
                <w:szCs w:val="18"/>
              </w:rPr>
              <w:t>上市公司募集资金管理和使用</w:t>
            </w:r>
            <w:r>
              <w:rPr>
                <w:rFonts w:ascii="宋体" w:hAnsi="宋体" w:cs="宋体" w:eastAsia="宋体" w:hint="default"/>
                <w:spacing w:val="-81"/>
                <w:w w:val="101"/>
                <w:sz w:val="18"/>
                <w:szCs w:val="18"/>
              </w:rPr>
              <w:t> </w:t>
            </w:r>
            <w:r>
              <w:rPr>
                <w:rFonts w:ascii="宋体" w:hAnsi="宋体" w:cs="宋体" w:eastAsia="宋体" w:hint="default"/>
                <w:spacing w:val="-81"/>
                <w:w w:val="101"/>
                <w:sz w:val="18"/>
                <w:szCs w:val="18"/>
              </w:rPr>
            </w:r>
            <w:r>
              <w:rPr>
                <w:rFonts w:ascii="宋体" w:hAnsi="宋体" w:cs="宋体" w:eastAsia="宋体" w:hint="default"/>
                <w:spacing w:val="-8"/>
                <w:w w:val="101"/>
                <w:sz w:val="18"/>
                <w:szCs w:val="18"/>
              </w:rPr>
              <w:t>的监管要求》、《深圳证券交易所股票上市规则》等法律法规、规范性文件的要求和《公</w:t>
            </w:r>
            <w:r>
              <w:rPr>
                <w:rFonts w:ascii="宋体" w:hAnsi="宋体" w:cs="宋体" w:eastAsia="宋体" w:hint="default"/>
                <w:spacing w:val="-58"/>
                <w:w w:val="101"/>
                <w:sz w:val="18"/>
                <w:szCs w:val="18"/>
              </w:rPr>
              <w:t> </w:t>
            </w:r>
            <w:r>
              <w:rPr>
                <w:rFonts w:ascii="宋体" w:hAnsi="宋体" w:cs="宋体" w:eastAsia="宋体" w:hint="default"/>
                <w:spacing w:val="-58"/>
                <w:w w:val="101"/>
                <w:sz w:val="18"/>
                <w:szCs w:val="18"/>
              </w:rPr>
            </w:r>
            <w:r>
              <w:rPr>
                <w:rFonts w:ascii="宋体" w:hAnsi="宋体" w:cs="宋体" w:eastAsia="宋体" w:hint="default"/>
                <w:spacing w:val="-6"/>
                <w:w w:val="101"/>
                <w:sz w:val="18"/>
                <w:szCs w:val="18"/>
              </w:rPr>
              <w:t>司章程》的规定制订了《募集资金使用管理办法》，对募集资金的专户存储、使用、用途</w:t>
            </w:r>
            <w:r>
              <w:rPr>
                <w:rFonts w:ascii="宋体" w:hAnsi="宋体" w:cs="宋体" w:eastAsia="宋体" w:hint="default"/>
                <w:spacing w:val="-79"/>
                <w:w w:val="101"/>
                <w:sz w:val="18"/>
                <w:szCs w:val="18"/>
              </w:rPr>
              <w:t> </w:t>
            </w:r>
            <w:r>
              <w:rPr>
                <w:rFonts w:ascii="宋体" w:hAnsi="宋体" w:cs="宋体" w:eastAsia="宋体" w:hint="default"/>
                <w:spacing w:val="-79"/>
                <w:w w:val="101"/>
                <w:sz w:val="18"/>
                <w:szCs w:val="18"/>
              </w:rPr>
            </w:r>
            <w:r>
              <w:rPr>
                <w:rFonts w:ascii="宋体" w:hAnsi="宋体" w:cs="宋体" w:eastAsia="宋体" w:hint="default"/>
                <w:spacing w:val="-3"/>
                <w:sz w:val="18"/>
                <w:szCs w:val="18"/>
              </w:rPr>
              <w:t>变更、管理和监督等进行了明确的规定。为保障公司规范、有效使用募集资金，本次非</w:t>
            </w:r>
            <w:r>
              <w:rPr>
                <w:rFonts w:ascii="宋体" w:hAnsi="宋体" w:cs="宋体" w:eastAsia="宋体" w:hint="default"/>
                <w:spacing w:val="20"/>
                <w:sz w:val="18"/>
                <w:szCs w:val="18"/>
              </w:rPr>
              <w:t> </w:t>
            </w:r>
            <w:r>
              <w:rPr>
                <w:rFonts w:ascii="宋体" w:hAnsi="宋体" w:cs="宋体" w:eastAsia="宋体" w:hint="default"/>
                <w:spacing w:val="20"/>
                <w:sz w:val="18"/>
                <w:szCs w:val="18"/>
              </w:rPr>
            </w:r>
            <w:r>
              <w:rPr>
                <w:rFonts w:ascii="宋体" w:hAnsi="宋体" w:cs="宋体" w:eastAsia="宋体" w:hint="default"/>
                <w:spacing w:val="-3"/>
                <w:sz w:val="18"/>
                <w:szCs w:val="18"/>
              </w:rPr>
              <w:t>公开发行募集资金到位后，公司董事会将持续监督募集资金的存储和使用，定期对募集</w:t>
            </w:r>
            <w:r>
              <w:rPr>
                <w:rFonts w:ascii="宋体" w:hAnsi="宋体" w:cs="宋体" w:eastAsia="宋体" w:hint="default"/>
                <w:spacing w:val="20"/>
                <w:sz w:val="18"/>
                <w:szCs w:val="18"/>
              </w:rPr>
              <w:t> </w:t>
            </w:r>
            <w:r>
              <w:rPr>
                <w:rFonts w:ascii="宋体" w:hAnsi="宋体" w:cs="宋体" w:eastAsia="宋体" w:hint="default"/>
                <w:spacing w:val="20"/>
                <w:sz w:val="18"/>
                <w:szCs w:val="18"/>
              </w:rPr>
            </w:r>
            <w:r>
              <w:rPr>
                <w:rFonts w:ascii="宋体" w:hAnsi="宋体" w:cs="宋体" w:eastAsia="宋体" w:hint="default"/>
                <w:spacing w:val="-3"/>
                <w:sz w:val="18"/>
                <w:szCs w:val="18"/>
              </w:rPr>
              <w:t>资金进行内部审计，配合监管银行和保荐机构对募集资金使用的检查和监督，以保证募</w:t>
            </w:r>
            <w:r>
              <w:rPr>
                <w:rFonts w:ascii="宋体" w:hAnsi="宋体" w:cs="宋体" w:eastAsia="宋体" w:hint="default"/>
                <w:spacing w:val="20"/>
                <w:sz w:val="18"/>
                <w:szCs w:val="18"/>
              </w:rPr>
              <w:t> </w:t>
            </w:r>
            <w:r>
              <w:rPr>
                <w:rFonts w:ascii="宋体" w:hAnsi="宋体" w:cs="宋体" w:eastAsia="宋体" w:hint="default"/>
                <w:spacing w:val="20"/>
                <w:sz w:val="18"/>
                <w:szCs w:val="18"/>
              </w:rPr>
            </w:r>
            <w:r>
              <w:rPr>
                <w:rFonts w:ascii="宋体" w:hAnsi="宋体" w:cs="宋体" w:eastAsia="宋体" w:hint="default"/>
                <w:spacing w:val="-6"/>
                <w:w w:val="101"/>
                <w:sz w:val="18"/>
                <w:szCs w:val="18"/>
              </w:rPr>
              <w:t>集资金合理规范使用，合理防范募集资金使用风险。（四）不断完善利润分配政策，强化</w:t>
            </w:r>
            <w:r>
              <w:rPr>
                <w:rFonts w:ascii="宋体" w:hAnsi="宋体" w:cs="宋体" w:eastAsia="宋体" w:hint="default"/>
                <w:spacing w:val="-84"/>
                <w:w w:val="101"/>
                <w:sz w:val="18"/>
                <w:szCs w:val="18"/>
              </w:rPr>
              <w:t> </w:t>
            </w:r>
            <w:r>
              <w:rPr>
                <w:rFonts w:ascii="宋体" w:hAnsi="宋体" w:cs="宋体" w:eastAsia="宋体" w:hint="default"/>
                <w:spacing w:val="-84"/>
                <w:w w:val="101"/>
                <w:sz w:val="18"/>
                <w:szCs w:val="18"/>
              </w:rPr>
            </w:r>
            <w:r>
              <w:rPr>
                <w:rFonts w:ascii="宋体" w:hAnsi="宋体" w:cs="宋体" w:eastAsia="宋体" w:hint="default"/>
                <w:spacing w:val="-3"/>
                <w:sz w:val="18"/>
                <w:szCs w:val="18"/>
              </w:rPr>
              <w:t>投资者回报机制：公司将更加重视对投资者的合理回报，根据中国证监会《关于进一步</w:t>
            </w:r>
            <w:r>
              <w:rPr>
                <w:rFonts w:ascii="宋体" w:hAnsi="宋体" w:cs="宋体" w:eastAsia="宋体" w:hint="default"/>
                <w:spacing w:val="20"/>
                <w:sz w:val="18"/>
                <w:szCs w:val="18"/>
              </w:rPr>
              <w:t> </w:t>
            </w:r>
            <w:r>
              <w:rPr>
                <w:rFonts w:ascii="宋体" w:hAnsi="宋体" w:cs="宋体" w:eastAsia="宋体" w:hint="default"/>
                <w:spacing w:val="20"/>
                <w:sz w:val="18"/>
                <w:szCs w:val="18"/>
              </w:rPr>
            </w:r>
            <w:r>
              <w:rPr>
                <w:rFonts w:ascii="宋体" w:hAnsi="宋体" w:cs="宋体" w:eastAsia="宋体" w:hint="default"/>
                <w:spacing w:val="-9"/>
                <w:w w:val="101"/>
                <w:sz w:val="18"/>
                <w:szCs w:val="18"/>
              </w:rPr>
              <w:t>落实上市公司现金分红有关事项的通知》、《上市公司监管指引第</w:t>
            </w:r>
            <w:r>
              <w:rPr>
                <w:rFonts w:ascii="宋体" w:hAnsi="宋体" w:cs="宋体" w:eastAsia="宋体" w:hint="default"/>
                <w:spacing w:val="-44"/>
                <w:w w:val="101"/>
                <w:sz w:val="18"/>
                <w:szCs w:val="18"/>
              </w:rPr>
              <w:t> </w:t>
            </w:r>
            <w:r>
              <w:rPr>
                <w:rFonts w:ascii="Times New Roman" w:hAnsi="Times New Roman" w:cs="Times New Roman" w:eastAsia="Times New Roman" w:hint="default"/>
                <w:w w:val="101"/>
                <w:sz w:val="18"/>
                <w:szCs w:val="18"/>
              </w:rPr>
              <w:t>3</w:t>
            </w:r>
            <w:r>
              <w:rPr>
                <w:rFonts w:ascii="Times New Roman" w:hAnsi="Times New Roman" w:cs="Times New Roman" w:eastAsia="Times New Roman" w:hint="default"/>
                <w:spacing w:val="1"/>
                <w:w w:val="101"/>
                <w:sz w:val="18"/>
                <w:szCs w:val="18"/>
              </w:rPr>
              <w:t> </w:t>
            </w:r>
            <w:r>
              <w:rPr>
                <w:rFonts w:ascii="宋体" w:hAnsi="宋体" w:cs="宋体" w:eastAsia="宋体" w:hint="default"/>
                <w:spacing w:val="-3"/>
                <w:w w:val="101"/>
                <w:sz w:val="18"/>
                <w:szCs w:val="18"/>
              </w:rPr>
              <w:t>号</w:t>
            </w:r>
            <w:r>
              <w:rPr>
                <w:rFonts w:ascii="Times New Roman" w:hAnsi="Times New Roman" w:cs="Times New Roman" w:eastAsia="Times New Roman" w:hint="default"/>
                <w:spacing w:val="-3"/>
                <w:w w:val="101"/>
                <w:sz w:val="18"/>
                <w:szCs w:val="18"/>
              </w:rPr>
              <w:t>——</w:t>
            </w:r>
            <w:r>
              <w:rPr>
                <w:rFonts w:ascii="宋体" w:hAnsi="宋体" w:cs="宋体" w:eastAsia="宋体" w:hint="default"/>
                <w:spacing w:val="-3"/>
                <w:w w:val="101"/>
                <w:sz w:val="18"/>
                <w:szCs w:val="18"/>
              </w:rPr>
              <w:t>上市公司现金</w:t>
            </w:r>
            <w:r>
              <w:rPr>
                <w:rFonts w:ascii="宋体" w:hAnsi="宋体" w:cs="宋体" w:eastAsia="宋体" w:hint="default"/>
                <w:spacing w:val="-85"/>
                <w:w w:val="101"/>
                <w:sz w:val="18"/>
                <w:szCs w:val="18"/>
              </w:rPr>
              <w:t> </w:t>
            </w:r>
            <w:r>
              <w:rPr>
                <w:rFonts w:ascii="宋体" w:hAnsi="宋体" w:cs="宋体" w:eastAsia="宋体" w:hint="default"/>
                <w:spacing w:val="-85"/>
                <w:w w:val="101"/>
                <w:sz w:val="18"/>
                <w:szCs w:val="18"/>
              </w:rPr>
            </w:r>
            <w:r>
              <w:rPr>
                <w:rFonts w:ascii="宋体" w:hAnsi="宋体" w:cs="宋体" w:eastAsia="宋体" w:hint="default"/>
                <w:spacing w:val="-3"/>
                <w:sz w:val="18"/>
                <w:szCs w:val="18"/>
              </w:rPr>
              <w:t>分红》等相关规定的要求，公司在充分考虑对股东的投资回报并兼顾公司的成长和发展</w:t>
            </w:r>
            <w:r>
              <w:rPr>
                <w:rFonts w:ascii="宋体" w:hAnsi="宋体" w:cs="宋体" w:eastAsia="宋体" w:hint="default"/>
                <w:spacing w:val="20"/>
                <w:sz w:val="18"/>
                <w:szCs w:val="18"/>
              </w:rPr>
              <w:t> </w:t>
            </w:r>
            <w:r>
              <w:rPr>
                <w:rFonts w:ascii="宋体" w:hAnsi="宋体" w:cs="宋体" w:eastAsia="宋体" w:hint="default"/>
                <w:spacing w:val="20"/>
                <w:sz w:val="18"/>
                <w:szCs w:val="18"/>
              </w:rPr>
            </w:r>
            <w:r>
              <w:rPr>
                <w:rFonts w:ascii="宋体" w:hAnsi="宋体" w:cs="宋体" w:eastAsia="宋体" w:hint="default"/>
                <w:spacing w:val="-4"/>
                <w:w w:val="101"/>
                <w:sz w:val="18"/>
                <w:szCs w:val="18"/>
              </w:rPr>
              <w:t>的基础上，结合自身实际情况制定了公司《未来三年股东回报规划（</w:t>
            </w:r>
            <w:r>
              <w:rPr>
                <w:rFonts w:ascii="Times New Roman" w:hAnsi="Times New Roman" w:cs="Times New Roman" w:eastAsia="Times New Roman" w:hint="default"/>
                <w:spacing w:val="-4"/>
                <w:w w:val="101"/>
                <w:sz w:val="18"/>
                <w:szCs w:val="18"/>
              </w:rPr>
              <w:t>2019-2021</w:t>
            </w:r>
            <w:r>
              <w:rPr>
                <w:rFonts w:ascii="Times New Roman" w:hAnsi="Times New Roman" w:cs="Times New Roman" w:eastAsia="Times New Roman" w:hint="default"/>
                <w:w w:val="101"/>
                <w:sz w:val="18"/>
                <w:szCs w:val="18"/>
              </w:rPr>
              <w:t> </w:t>
            </w:r>
            <w:r>
              <w:rPr>
                <w:rFonts w:ascii="宋体" w:hAnsi="宋体" w:cs="宋体" w:eastAsia="宋体" w:hint="default"/>
                <w:spacing w:val="-41"/>
                <w:w w:val="101"/>
                <w:sz w:val="18"/>
                <w:szCs w:val="18"/>
              </w:rPr>
              <w:t>年）》，公</w:t>
            </w:r>
            <w:r>
              <w:rPr>
                <w:rFonts w:ascii="宋体" w:hAnsi="宋体" w:cs="宋体" w:eastAsia="宋体" w:hint="default"/>
                <w:spacing w:val="-58"/>
                <w:w w:val="101"/>
                <w:sz w:val="18"/>
                <w:szCs w:val="18"/>
              </w:rPr>
              <w:t> </w:t>
            </w:r>
            <w:r>
              <w:rPr>
                <w:rFonts w:ascii="宋体" w:hAnsi="宋体" w:cs="宋体" w:eastAsia="宋体" w:hint="default"/>
                <w:spacing w:val="-58"/>
                <w:w w:val="101"/>
                <w:sz w:val="18"/>
                <w:szCs w:val="18"/>
              </w:rPr>
            </w:r>
            <w:r>
              <w:rPr>
                <w:rFonts w:ascii="宋体" w:hAnsi="宋体" w:cs="宋体" w:eastAsia="宋体" w:hint="default"/>
                <w:spacing w:val="-3"/>
                <w:sz w:val="18"/>
                <w:szCs w:val="18"/>
              </w:rPr>
              <w:t>司将严格执行相关规定，切实维护投资者合法权益，强化中小投资者权益保障机制。</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年</w:t>
            </w:r>
            <w:r>
              <w:rPr>
                <w:rFonts w:ascii="宋体" w:hAnsi="宋体" w:cs="宋体" w:eastAsia="宋体" w:hint="default"/>
                <w:sz w:val="18"/>
                <w:szCs w:val="18"/>
              </w:rPr>
            </w:r>
          </w:p>
          <w:p>
            <w:pPr>
              <w:pStyle w:val="TableParagraph"/>
              <w:spacing w:line="240" w:lineRule="auto" w:before="118"/>
              <w:ind w:left="23" w:right="0"/>
              <w:jc w:val="left"/>
              <w:rPr>
                <w:rFonts w:ascii="Times New Roman" w:hAnsi="Times New Roman" w:cs="Times New Roman" w:eastAsia="Times New Roman" w:hint="default"/>
                <w:sz w:val="18"/>
                <w:szCs w:val="18"/>
              </w:rPr>
            </w:pPr>
            <w:r>
              <w:rPr>
                <w:rFonts w:ascii="Times New Roman"/>
                <w:sz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月</w:t>
            </w:r>
            <w:r>
              <w:rPr>
                <w:rFonts w:ascii="宋体" w:hAnsi="宋体" w:cs="宋体" w:eastAsia="宋体" w:hint="default"/>
                <w:sz w:val="18"/>
                <w:szCs w:val="18"/>
              </w:rPr>
            </w:r>
          </w:p>
          <w:p>
            <w:pPr>
              <w:pStyle w:val="TableParagraph"/>
              <w:spacing w:line="240" w:lineRule="auto" w:before="119"/>
              <w:ind w:left="23" w:right="0"/>
              <w:jc w:val="left"/>
              <w:rPr>
                <w:rFonts w:ascii="Times New Roman" w:hAnsi="Times New Roman" w:cs="Times New Roman" w:eastAsia="Times New Roman" w:hint="default"/>
                <w:sz w:val="18"/>
                <w:szCs w:val="18"/>
              </w:rPr>
            </w:pPr>
            <w:r>
              <w:rPr>
                <w:rFonts w:ascii="Times New Roman"/>
                <w:sz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p>
            <w:pPr>
              <w:pStyle w:val="TableParagraph"/>
              <w:spacing w:line="7254" w:lineRule="exact"/>
              <w:ind w:right="-56"/>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44"/>
                <w:sz w:val="20"/>
                <w:szCs w:val="20"/>
              </w:rPr>
              <w:pict>
                <v:group style="width:20.9pt;height:362.75pt;mso-position-horizontal-relative:char;mso-position-vertical-relative:line" coordorigin="0,0" coordsize="418,7255">
                  <v:group style="position:absolute;left:0;top:0;width:418;height:7255" coordorigin="0,0" coordsize="418,7255">
                    <v:shape style="position:absolute;left:0;top:0;width:418;height:7255" coordorigin="0,0" coordsize="418,7255" path="m0,7255l418,7255,418,0,0,0,0,7255xe" filled="true" fillcolor="#ffffff" stroked="false">
                      <v:path arrowok="t"/>
                      <v:fill type="solid"/>
                    </v:shape>
                  </v:group>
                  <v:group style="position:absolute;left:24;top:2651;width:370;height:356" coordorigin="24,2651" coordsize="370,356">
                    <v:shape style="position:absolute;left:24;top:2651;width:370;height:356" coordorigin="24,2651" coordsize="370,356" path="m24,3006l394,3006,394,2651,24,2651,24,3006xe" filled="true" fillcolor="#ffffff" stroked="false">
                      <v:path arrowok="t"/>
                      <v:fill type="solid"/>
                    </v:shape>
                  </v:group>
                  <v:group style="position:absolute;left:24;top:3006;width:370;height:312" coordorigin="24,3006" coordsize="370,312">
                    <v:shape style="position:absolute;left:24;top:3006;width:370;height:312" coordorigin="24,3006" coordsize="370,312" path="m24,3318l394,3318,394,3006,24,3006,24,3318xe" filled="true" fillcolor="#ffffff" stroked="false">
                      <v:path arrowok="t"/>
                      <v:fill type="solid"/>
                    </v:shape>
                  </v:group>
                  <v:group style="position:absolute;left:24;top:3318;width:370;height:312" coordorigin="24,3318" coordsize="370,312">
                    <v:shape style="position:absolute;left:24;top:3318;width:370;height:312" coordorigin="24,3318" coordsize="370,312" path="m24,3630l394,3630,394,3318,24,3318,24,3630xe" filled="true" fillcolor="#ffffff" stroked="false">
                      <v:path arrowok="t"/>
                      <v:fill type="solid"/>
                    </v:shape>
                  </v:group>
                  <v:group style="position:absolute;left:24;top:3630;width:370;height:312" coordorigin="24,3630" coordsize="370,312">
                    <v:shape style="position:absolute;left:24;top:3630;width:370;height:312" coordorigin="24,3630" coordsize="370,312" path="m24,3942l394,3942,394,3630,24,3630,24,3942xe" filled="true" fillcolor="#ffffff" stroked="false">
                      <v:path arrowok="t"/>
                      <v:fill type="solid"/>
                    </v:shape>
                  </v:group>
                  <v:group style="position:absolute;left:24;top:3942;width:370;height:313" coordorigin="24,3942" coordsize="370,313">
                    <v:shape style="position:absolute;left:24;top:3942;width:370;height:313" coordorigin="24,3942" coordsize="370,313" path="m24,4254l394,4254,394,3942,24,3942,24,4254xe" filled="true" fillcolor="#ffffff" stroked="false">
                      <v:path arrowok="t"/>
                      <v:fill type="solid"/>
                    </v:shape>
                  </v:group>
                  <v:group style="position:absolute;left:24;top:4254;width:370;height:351" coordorigin="24,4254" coordsize="370,351">
                    <v:shape style="position:absolute;left:24;top:4254;width:370;height:351" coordorigin="24,4254" coordsize="370,351" path="m24,4605l394,4605,394,4254,24,4254,24,4605xe" filled="true" fillcolor="#ffffff" stroked="false">
                      <v:path arrowok="t"/>
                      <v:fill type="solid"/>
                    </v:shape>
                  </v:group>
                </v:group>
              </w:pict>
            </w:r>
            <w:r>
              <w:rPr>
                <w:rFonts w:ascii="Times New Roman" w:hAnsi="Times New Roman" w:cs="Times New Roman" w:eastAsia="Times New Roman" w:hint="default"/>
                <w:position w:val="-144"/>
                <w:sz w:val="20"/>
                <w:szCs w:val="20"/>
              </w:rPr>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316" w:lineRule="auto"/>
              <w:ind w:left="23" w:right="26"/>
              <w:jc w:val="left"/>
              <w:rPr>
                <w:rFonts w:ascii="宋体" w:hAnsi="宋体" w:cs="宋体" w:eastAsia="宋体" w:hint="default"/>
                <w:sz w:val="18"/>
                <w:szCs w:val="18"/>
              </w:rPr>
            </w:pPr>
            <w:r>
              <w:rPr>
                <w:rFonts w:ascii="宋体" w:hAnsi="宋体" w:cs="宋体" w:eastAsia="宋体" w:hint="default"/>
                <w:sz w:val="18"/>
                <w:szCs w:val="18"/>
              </w:rPr>
              <w:t>长期</w:t>
            </w:r>
            <w:r>
              <w:rPr>
                <w:rFonts w:ascii="宋体" w:hAnsi="宋体" w:cs="宋体" w:eastAsia="宋体" w:hint="default"/>
                <w:spacing w:val="-86"/>
                <w:sz w:val="18"/>
                <w:szCs w:val="18"/>
              </w:rPr>
              <w:t> </w:t>
            </w:r>
            <w:r>
              <w:rPr>
                <w:rFonts w:ascii="宋体" w:hAnsi="宋体" w:cs="宋体" w:eastAsia="宋体" w:hint="default"/>
                <w:sz w:val="18"/>
                <w:szCs w:val="18"/>
              </w:rPr>
              <w:t>有效</w:t>
            </w:r>
          </w:p>
        </w:tc>
        <w:tc>
          <w:tcPr>
            <w:tcW w:w="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314" w:lineRule="auto"/>
              <w:ind w:left="24" w:right="75"/>
              <w:jc w:val="both"/>
              <w:rPr>
                <w:rFonts w:ascii="宋体" w:hAnsi="宋体" w:cs="宋体" w:eastAsia="宋体" w:hint="default"/>
                <w:sz w:val="18"/>
                <w:szCs w:val="18"/>
              </w:rPr>
            </w:pPr>
            <w:r>
              <w:rPr>
                <w:rFonts w:ascii="宋体" w:hAnsi="宋体" w:cs="宋体" w:eastAsia="宋体" w:hint="default"/>
                <w:sz w:val="18"/>
                <w:szCs w:val="18"/>
              </w:rPr>
              <w:t>按承</w:t>
            </w:r>
            <w:r>
              <w:rPr>
                <w:rFonts w:ascii="宋体" w:hAnsi="宋体" w:cs="宋体" w:eastAsia="宋体" w:hint="default"/>
                <w:spacing w:val="-86"/>
                <w:sz w:val="18"/>
                <w:szCs w:val="18"/>
              </w:rPr>
              <w:t> </w:t>
            </w:r>
            <w:r>
              <w:rPr>
                <w:rFonts w:ascii="宋体" w:hAnsi="宋体" w:cs="宋体" w:eastAsia="宋体" w:hint="default"/>
                <w:sz w:val="18"/>
                <w:szCs w:val="18"/>
              </w:rPr>
              <w:t>诺履</w:t>
            </w:r>
            <w:r>
              <w:rPr>
                <w:rFonts w:ascii="宋体" w:hAnsi="宋体" w:cs="宋体" w:eastAsia="宋体" w:hint="default"/>
                <w:spacing w:val="-86"/>
                <w:sz w:val="18"/>
                <w:szCs w:val="18"/>
              </w:rPr>
              <w:t> </w:t>
            </w:r>
            <w:r>
              <w:rPr>
                <w:rFonts w:ascii="宋体" w:hAnsi="宋体" w:cs="宋体" w:eastAsia="宋体" w:hint="default"/>
                <w:sz w:val="18"/>
                <w:szCs w:val="18"/>
              </w:rPr>
              <w:t>行</w:t>
            </w:r>
          </w:p>
        </w:tc>
      </w:tr>
      <w:tr>
        <w:trPr>
          <w:trHeight w:val="3212" w:hRule="exact"/>
        </w:trPr>
        <w:tc>
          <w:tcPr>
            <w:tcW w:w="792" w:type="dxa"/>
            <w:vMerge/>
            <w:tcBorders>
              <w:left w:val="single" w:sz="4" w:space="0" w:color="000000"/>
              <w:right w:val="single" w:sz="4" w:space="0" w:color="000000"/>
            </w:tcBorders>
            <w:shd w:val="clear" w:color="auto" w:fill="D2D2D2"/>
          </w:tcPr>
          <w:p>
            <w:pP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4" w:right="41"/>
              <w:jc w:val="both"/>
              <w:rPr>
                <w:rFonts w:ascii="宋体" w:hAnsi="宋体" w:cs="宋体" w:eastAsia="宋体" w:hint="default"/>
                <w:sz w:val="18"/>
                <w:szCs w:val="18"/>
              </w:rPr>
            </w:pPr>
            <w:r>
              <w:rPr>
                <w:rFonts w:ascii="宋体" w:hAnsi="宋体" w:cs="宋体" w:eastAsia="宋体" w:hint="default"/>
                <w:sz w:val="18"/>
                <w:szCs w:val="18"/>
              </w:rPr>
              <w:t>南天电</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子信息</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产业集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团公司</w:t>
            </w:r>
          </w:p>
        </w:tc>
        <w:tc>
          <w:tcPr>
            <w:tcW w:w="427" w:type="dxa"/>
            <w:tcBorders>
              <w:top w:val="single" w:sz="4" w:space="0" w:color="000000"/>
              <w:left w:val="single" w:sz="4" w:space="0" w:color="000000"/>
              <w:bottom w:val="single" w:sz="4" w:space="0" w:color="000000"/>
              <w:right w:val="single" w:sz="4" w:space="0" w:color="000000"/>
            </w:tcBorders>
          </w:tcPr>
          <w:p>
            <w:pPr/>
          </w:p>
        </w:tc>
        <w:tc>
          <w:tcPr>
            <w:tcW w:w="6949"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9"/>
              <w:ind w:left="23" w:right="18"/>
              <w:jc w:val="both"/>
              <w:rPr>
                <w:rFonts w:ascii="宋体" w:hAnsi="宋体" w:cs="宋体" w:eastAsia="宋体" w:hint="default"/>
                <w:sz w:val="18"/>
                <w:szCs w:val="18"/>
              </w:rPr>
            </w:pPr>
            <w:r>
              <w:rPr>
                <w:rFonts w:ascii="宋体" w:hAnsi="宋体" w:cs="宋体" w:eastAsia="宋体" w:hint="default"/>
                <w:spacing w:val="-3"/>
                <w:sz w:val="18"/>
                <w:szCs w:val="18"/>
              </w:rPr>
              <w:t>关于避免同业竞争的承诺：承诺公司及公司控制的全资或控股子企业目前没有，将来亦</w:t>
            </w:r>
            <w:r>
              <w:rPr>
                <w:rFonts w:ascii="宋体" w:hAnsi="宋体" w:cs="宋体" w:eastAsia="宋体" w:hint="default"/>
                <w:spacing w:val="20"/>
                <w:sz w:val="18"/>
                <w:szCs w:val="18"/>
              </w:rPr>
              <w:t> </w:t>
            </w:r>
            <w:r>
              <w:rPr>
                <w:rFonts w:ascii="宋体" w:hAnsi="宋体" w:cs="宋体" w:eastAsia="宋体" w:hint="default"/>
                <w:spacing w:val="20"/>
                <w:sz w:val="18"/>
                <w:szCs w:val="18"/>
              </w:rPr>
            </w:r>
            <w:r>
              <w:rPr>
                <w:rFonts w:ascii="宋体" w:hAnsi="宋体" w:cs="宋体" w:eastAsia="宋体" w:hint="default"/>
                <w:spacing w:val="-8"/>
                <w:w w:val="101"/>
                <w:sz w:val="18"/>
                <w:szCs w:val="18"/>
              </w:rPr>
              <w:t>不会在中国境内外：（</w:t>
            </w:r>
            <w:r>
              <w:rPr>
                <w:rFonts w:ascii="Times New Roman" w:hAnsi="Times New Roman" w:cs="Times New Roman" w:eastAsia="Times New Roman" w:hint="default"/>
                <w:spacing w:val="-8"/>
                <w:w w:val="101"/>
                <w:sz w:val="18"/>
                <w:szCs w:val="18"/>
              </w:rPr>
              <w:t>1</w:t>
            </w:r>
            <w:r>
              <w:rPr>
                <w:rFonts w:ascii="宋体" w:hAnsi="宋体" w:cs="宋体" w:eastAsia="宋体" w:hint="default"/>
                <w:spacing w:val="-8"/>
                <w:w w:val="101"/>
                <w:sz w:val="18"/>
                <w:szCs w:val="18"/>
              </w:rPr>
              <w:t>）以任何方式直接或间接控制任何导致或可能导致与南天信息（包</w:t>
            </w:r>
            <w:r>
              <w:rPr>
                <w:rFonts w:ascii="宋体" w:hAnsi="宋体" w:cs="宋体" w:eastAsia="宋体" w:hint="default"/>
                <w:spacing w:val="-89"/>
                <w:w w:val="101"/>
                <w:sz w:val="18"/>
                <w:szCs w:val="18"/>
              </w:rPr>
              <w:t> </w:t>
            </w:r>
            <w:r>
              <w:rPr>
                <w:rFonts w:ascii="宋体" w:hAnsi="宋体" w:cs="宋体" w:eastAsia="宋体" w:hint="default"/>
                <w:spacing w:val="-89"/>
                <w:w w:val="101"/>
                <w:sz w:val="18"/>
                <w:szCs w:val="18"/>
              </w:rPr>
            </w:r>
            <w:r>
              <w:rPr>
                <w:rFonts w:ascii="宋体" w:hAnsi="宋体" w:cs="宋体" w:eastAsia="宋体" w:hint="default"/>
                <w:spacing w:val="-3"/>
                <w:sz w:val="18"/>
                <w:szCs w:val="18"/>
              </w:rPr>
              <w:t>括南天信息控股子公司，下同）主营业务直接或间接产生竞争的业务或活动的企业，本</w:t>
            </w:r>
            <w:r>
              <w:rPr>
                <w:rFonts w:ascii="宋体" w:hAnsi="宋体" w:cs="宋体" w:eastAsia="宋体" w:hint="default"/>
                <w:spacing w:val="20"/>
                <w:sz w:val="18"/>
                <w:szCs w:val="18"/>
              </w:rPr>
              <w:t> </w:t>
            </w:r>
            <w:r>
              <w:rPr>
                <w:rFonts w:ascii="宋体" w:hAnsi="宋体" w:cs="宋体" w:eastAsia="宋体" w:hint="default"/>
                <w:spacing w:val="20"/>
                <w:sz w:val="18"/>
                <w:szCs w:val="18"/>
              </w:rPr>
            </w:r>
            <w:r>
              <w:rPr>
                <w:rFonts w:ascii="宋体" w:hAnsi="宋体" w:cs="宋体" w:eastAsia="宋体" w:hint="default"/>
                <w:spacing w:val="-3"/>
                <w:sz w:val="18"/>
                <w:szCs w:val="18"/>
              </w:rPr>
              <w:t>公司及本公司控制的全资或控股子企业亦不生产任何与南天信息产品相同或相似或可以</w:t>
            </w:r>
            <w:r>
              <w:rPr>
                <w:rFonts w:ascii="宋体" w:hAnsi="宋体" w:cs="宋体" w:eastAsia="宋体" w:hint="default"/>
                <w:spacing w:val="20"/>
                <w:sz w:val="18"/>
                <w:szCs w:val="18"/>
              </w:rPr>
              <w:t> </w:t>
            </w:r>
            <w:r>
              <w:rPr>
                <w:rFonts w:ascii="宋体" w:hAnsi="宋体" w:cs="宋体" w:eastAsia="宋体" w:hint="default"/>
                <w:spacing w:val="20"/>
                <w:sz w:val="18"/>
                <w:szCs w:val="18"/>
              </w:rPr>
            </w:r>
            <w:r>
              <w:rPr>
                <w:rFonts w:ascii="宋体" w:hAnsi="宋体" w:cs="宋体" w:eastAsia="宋体" w:hint="default"/>
                <w:spacing w:val="-5"/>
                <w:w w:val="101"/>
                <w:sz w:val="18"/>
                <w:szCs w:val="18"/>
              </w:rPr>
              <w:t>取代南天信息公司产品的产品；（</w:t>
            </w:r>
            <w:r>
              <w:rPr>
                <w:rFonts w:ascii="Times New Roman" w:hAnsi="Times New Roman" w:cs="Times New Roman" w:eastAsia="Times New Roman" w:hint="default"/>
                <w:spacing w:val="-5"/>
                <w:w w:val="101"/>
                <w:sz w:val="18"/>
                <w:szCs w:val="18"/>
              </w:rPr>
              <w:t>2</w:t>
            </w:r>
            <w:r>
              <w:rPr>
                <w:rFonts w:ascii="宋体" w:hAnsi="宋体" w:cs="宋体" w:eastAsia="宋体" w:hint="default"/>
                <w:spacing w:val="-5"/>
                <w:w w:val="101"/>
                <w:sz w:val="18"/>
                <w:szCs w:val="18"/>
              </w:rPr>
              <w:t>）如南天信息认为本公司及本公司控制的全资或控股</w:t>
            </w:r>
            <w:r>
              <w:rPr>
                <w:rFonts w:ascii="宋体" w:hAnsi="宋体" w:cs="宋体" w:eastAsia="宋体" w:hint="default"/>
                <w:spacing w:val="-83"/>
                <w:w w:val="101"/>
                <w:sz w:val="18"/>
                <w:szCs w:val="18"/>
              </w:rPr>
              <w:t> </w:t>
            </w:r>
            <w:r>
              <w:rPr>
                <w:rFonts w:ascii="宋体" w:hAnsi="宋体" w:cs="宋体" w:eastAsia="宋体" w:hint="default"/>
                <w:spacing w:val="-83"/>
                <w:w w:val="101"/>
                <w:sz w:val="18"/>
                <w:szCs w:val="18"/>
              </w:rPr>
            </w:r>
            <w:r>
              <w:rPr>
                <w:rFonts w:ascii="宋体" w:hAnsi="宋体" w:cs="宋体" w:eastAsia="宋体" w:hint="default"/>
                <w:spacing w:val="-3"/>
                <w:sz w:val="18"/>
                <w:szCs w:val="18"/>
              </w:rPr>
              <w:t>子企业从事了对南天信息的业务构成竞争的业务，本公司及本公司控制的全资或控股子</w:t>
            </w:r>
            <w:r>
              <w:rPr>
                <w:rFonts w:ascii="宋体" w:hAnsi="宋体" w:cs="宋体" w:eastAsia="宋体" w:hint="default"/>
                <w:spacing w:val="20"/>
                <w:sz w:val="18"/>
                <w:szCs w:val="18"/>
              </w:rPr>
              <w:t> </w:t>
            </w:r>
            <w:r>
              <w:rPr>
                <w:rFonts w:ascii="宋体" w:hAnsi="宋体" w:cs="宋体" w:eastAsia="宋体" w:hint="default"/>
                <w:spacing w:val="20"/>
                <w:sz w:val="18"/>
                <w:szCs w:val="18"/>
              </w:rPr>
            </w:r>
            <w:r>
              <w:rPr>
                <w:rFonts w:ascii="宋体" w:hAnsi="宋体" w:cs="宋体" w:eastAsia="宋体" w:hint="default"/>
                <w:spacing w:val="-5"/>
                <w:w w:val="101"/>
                <w:sz w:val="18"/>
                <w:szCs w:val="18"/>
              </w:rPr>
              <w:t>企业将愿意以公平合理的价格将该等资产或股权转让给南天信息；（</w:t>
            </w:r>
            <w:r>
              <w:rPr>
                <w:rFonts w:ascii="Times New Roman" w:hAnsi="Times New Roman" w:cs="Times New Roman" w:eastAsia="Times New Roman" w:hint="default"/>
                <w:spacing w:val="-5"/>
                <w:w w:val="101"/>
                <w:sz w:val="18"/>
                <w:szCs w:val="18"/>
              </w:rPr>
              <w:t>3</w:t>
            </w:r>
            <w:r>
              <w:rPr>
                <w:rFonts w:ascii="宋体" w:hAnsi="宋体" w:cs="宋体" w:eastAsia="宋体" w:hint="default"/>
                <w:spacing w:val="-5"/>
                <w:w w:val="101"/>
                <w:sz w:val="18"/>
                <w:szCs w:val="18"/>
              </w:rPr>
              <w:t>）如果本公司及本</w:t>
            </w:r>
            <w:r>
              <w:rPr>
                <w:rFonts w:ascii="宋体" w:hAnsi="宋体" w:cs="宋体" w:eastAsia="宋体" w:hint="default"/>
                <w:spacing w:val="-83"/>
                <w:w w:val="101"/>
                <w:sz w:val="18"/>
                <w:szCs w:val="18"/>
              </w:rPr>
              <w:t> </w:t>
            </w:r>
            <w:r>
              <w:rPr>
                <w:rFonts w:ascii="宋体" w:hAnsi="宋体" w:cs="宋体" w:eastAsia="宋体" w:hint="default"/>
                <w:spacing w:val="-83"/>
                <w:w w:val="101"/>
                <w:sz w:val="18"/>
                <w:szCs w:val="18"/>
              </w:rPr>
            </w:r>
            <w:r>
              <w:rPr>
                <w:rFonts w:ascii="宋体" w:hAnsi="宋体" w:cs="宋体" w:eastAsia="宋体" w:hint="default"/>
                <w:spacing w:val="-3"/>
                <w:sz w:val="18"/>
                <w:szCs w:val="18"/>
              </w:rPr>
              <w:t>公司控制的全资或控股子企业将来可能存在任何与南天信息主营业务产生直接或间接竞</w:t>
            </w:r>
            <w:r>
              <w:rPr>
                <w:rFonts w:ascii="宋体" w:hAnsi="宋体" w:cs="宋体" w:eastAsia="宋体" w:hint="default"/>
                <w:spacing w:val="20"/>
                <w:sz w:val="18"/>
                <w:szCs w:val="18"/>
              </w:rPr>
              <w:t> </w:t>
            </w:r>
            <w:r>
              <w:rPr>
                <w:rFonts w:ascii="宋体" w:hAnsi="宋体" w:cs="宋体" w:eastAsia="宋体" w:hint="default"/>
                <w:spacing w:val="20"/>
                <w:sz w:val="18"/>
                <w:szCs w:val="18"/>
              </w:rPr>
            </w:r>
            <w:r>
              <w:rPr>
                <w:rFonts w:ascii="宋体" w:hAnsi="宋体" w:cs="宋体" w:eastAsia="宋体" w:hint="default"/>
                <w:spacing w:val="-3"/>
                <w:sz w:val="18"/>
                <w:szCs w:val="18"/>
              </w:rPr>
              <w:t>争的业务机会，应立即通知南天信息并尽力促使该业务机会按南天信息能合理接受的条</w:t>
            </w:r>
            <w:r>
              <w:rPr>
                <w:rFonts w:ascii="宋体" w:hAnsi="宋体" w:cs="宋体" w:eastAsia="宋体" w:hint="default"/>
                <w:spacing w:val="20"/>
                <w:sz w:val="18"/>
                <w:szCs w:val="18"/>
              </w:rPr>
              <w:t> </w:t>
            </w:r>
            <w:r>
              <w:rPr>
                <w:rFonts w:ascii="宋体" w:hAnsi="宋体" w:cs="宋体" w:eastAsia="宋体" w:hint="default"/>
                <w:spacing w:val="20"/>
                <w:sz w:val="18"/>
                <w:szCs w:val="18"/>
              </w:rPr>
            </w:r>
            <w:r>
              <w:rPr>
                <w:rFonts w:ascii="宋体" w:hAnsi="宋体" w:cs="宋体" w:eastAsia="宋体" w:hint="default"/>
                <w:spacing w:val="-3"/>
                <w:sz w:val="18"/>
                <w:szCs w:val="18"/>
              </w:rPr>
              <w:t>款和条件首先提供给南天信息，南天信息对上述业务享有优先购买权。</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年</w:t>
            </w:r>
            <w:r>
              <w:rPr>
                <w:rFonts w:ascii="宋体" w:hAnsi="宋体" w:cs="宋体" w:eastAsia="宋体" w:hint="default"/>
                <w:sz w:val="18"/>
                <w:szCs w:val="18"/>
              </w:rPr>
            </w:r>
          </w:p>
          <w:p>
            <w:pPr>
              <w:pStyle w:val="TableParagraph"/>
              <w:spacing w:line="240" w:lineRule="auto" w:before="118"/>
              <w:ind w:left="23" w:right="0"/>
              <w:jc w:val="left"/>
              <w:rPr>
                <w:rFonts w:ascii="Times New Roman" w:hAnsi="Times New Roman" w:cs="Times New Roman" w:eastAsia="Times New Roman" w:hint="default"/>
                <w:sz w:val="18"/>
                <w:szCs w:val="18"/>
              </w:rPr>
            </w:pPr>
            <w:r>
              <w:rPr>
                <w:rFonts w:ascii="Times New Roman"/>
                <w:sz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月</w:t>
            </w:r>
            <w:r>
              <w:rPr>
                <w:rFonts w:ascii="宋体" w:hAnsi="宋体" w:cs="宋体" w:eastAsia="宋体" w:hint="default"/>
                <w:sz w:val="18"/>
                <w:szCs w:val="18"/>
              </w:rPr>
            </w:r>
          </w:p>
          <w:p>
            <w:pPr>
              <w:pStyle w:val="TableParagraph"/>
              <w:spacing w:line="240" w:lineRule="auto" w:before="118"/>
              <w:ind w:left="23" w:right="0"/>
              <w:jc w:val="left"/>
              <w:rPr>
                <w:rFonts w:ascii="Times New Roman" w:hAnsi="Times New Roman" w:cs="Times New Roman" w:eastAsia="Times New Roman" w:hint="default"/>
                <w:sz w:val="18"/>
                <w:szCs w:val="18"/>
              </w:rPr>
            </w:pPr>
            <w:r>
              <w:rPr>
                <w:rFonts w:ascii="Times New Roman"/>
                <w:sz w:val="18"/>
              </w:rPr>
              <w:t>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314" w:lineRule="auto"/>
              <w:ind w:left="23" w:right="26"/>
              <w:jc w:val="left"/>
              <w:rPr>
                <w:rFonts w:ascii="宋体" w:hAnsi="宋体" w:cs="宋体" w:eastAsia="宋体" w:hint="default"/>
                <w:sz w:val="18"/>
                <w:szCs w:val="18"/>
              </w:rPr>
            </w:pPr>
            <w:r>
              <w:rPr>
                <w:rFonts w:ascii="宋体" w:hAnsi="宋体" w:cs="宋体" w:eastAsia="宋体" w:hint="default"/>
                <w:sz w:val="18"/>
                <w:szCs w:val="18"/>
              </w:rPr>
              <w:t>长期</w:t>
            </w:r>
            <w:r>
              <w:rPr>
                <w:rFonts w:ascii="宋体" w:hAnsi="宋体" w:cs="宋体" w:eastAsia="宋体" w:hint="default"/>
                <w:spacing w:val="-86"/>
                <w:sz w:val="18"/>
                <w:szCs w:val="18"/>
              </w:rPr>
              <w:t> </w:t>
            </w:r>
            <w:r>
              <w:rPr>
                <w:rFonts w:ascii="宋体" w:hAnsi="宋体" w:cs="宋体" w:eastAsia="宋体" w:hint="default"/>
                <w:sz w:val="18"/>
                <w:szCs w:val="18"/>
              </w:rPr>
              <w:t>有效</w:t>
            </w:r>
          </w:p>
        </w:tc>
        <w:tc>
          <w:tcPr>
            <w:tcW w:w="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4"/>
              <w:ind w:left="24" w:right="75"/>
              <w:jc w:val="both"/>
              <w:rPr>
                <w:rFonts w:ascii="宋体" w:hAnsi="宋体" w:cs="宋体" w:eastAsia="宋体" w:hint="default"/>
                <w:sz w:val="18"/>
                <w:szCs w:val="18"/>
              </w:rPr>
            </w:pPr>
            <w:r>
              <w:rPr>
                <w:rFonts w:ascii="宋体" w:hAnsi="宋体" w:cs="宋体" w:eastAsia="宋体" w:hint="default"/>
                <w:sz w:val="18"/>
                <w:szCs w:val="18"/>
              </w:rPr>
              <w:t>按承</w:t>
            </w:r>
            <w:r>
              <w:rPr>
                <w:rFonts w:ascii="宋体" w:hAnsi="宋体" w:cs="宋体" w:eastAsia="宋体" w:hint="default"/>
                <w:spacing w:val="-86"/>
                <w:sz w:val="18"/>
                <w:szCs w:val="18"/>
              </w:rPr>
              <w:t> </w:t>
            </w:r>
            <w:r>
              <w:rPr>
                <w:rFonts w:ascii="宋体" w:hAnsi="宋体" w:cs="宋体" w:eastAsia="宋体" w:hint="default"/>
                <w:sz w:val="18"/>
                <w:szCs w:val="18"/>
              </w:rPr>
              <w:t>诺履</w:t>
            </w:r>
            <w:r>
              <w:rPr>
                <w:rFonts w:ascii="宋体" w:hAnsi="宋体" w:cs="宋体" w:eastAsia="宋体" w:hint="default"/>
                <w:spacing w:val="-86"/>
                <w:sz w:val="18"/>
                <w:szCs w:val="18"/>
              </w:rPr>
              <w:t> </w:t>
            </w:r>
            <w:r>
              <w:rPr>
                <w:rFonts w:ascii="宋体" w:hAnsi="宋体" w:cs="宋体" w:eastAsia="宋体" w:hint="default"/>
                <w:sz w:val="18"/>
                <w:szCs w:val="18"/>
              </w:rPr>
              <w:t>行</w:t>
            </w:r>
          </w:p>
        </w:tc>
      </w:tr>
      <w:tr>
        <w:trPr>
          <w:trHeight w:val="1301" w:hRule="exact"/>
        </w:trPr>
        <w:tc>
          <w:tcPr>
            <w:tcW w:w="792" w:type="dxa"/>
            <w:vMerge/>
            <w:tcBorders>
              <w:left w:val="single" w:sz="4" w:space="0" w:color="000000"/>
              <w:bottom w:val="single" w:sz="4" w:space="0" w:color="000000"/>
              <w:right w:val="single" w:sz="4" w:space="0" w:color="000000"/>
            </w:tcBorders>
            <w:shd w:val="clear" w:color="auto" w:fill="D2D2D2"/>
          </w:tcPr>
          <w:p>
            <w:pP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41"/>
              <w:jc w:val="both"/>
              <w:rPr>
                <w:rFonts w:ascii="宋体" w:hAnsi="宋体" w:cs="宋体" w:eastAsia="宋体" w:hint="default"/>
                <w:sz w:val="18"/>
                <w:szCs w:val="18"/>
              </w:rPr>
            </w:pPr>
            <w:r>
              <w:rPr>
                <w:rFonts w:ascii="宋体" w:hAnsi="宋体" w:cs="宋体" w:eastAsia="宋体" w:hint="default"/>
                <w:sz w:val="18"/>
                <w:szCs w:val="18"/>
              </w:rPr>
              <w:t>云南南</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天电子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信息产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业股份</w:t>
            </w:r>
          </w:p>
        </w:tc>
        <w:tc>
          <w:tcPr>
            <w:tcW w:w="427" w:type="dxa"/>
            <w:tcBorders>
              <w:top w:val="single" w:sz="4" w:space="0" w:color="000000"/>
              <w:left w:val="single" w:sz="4" w:space="0" w:color="000000"/>
              <w:bottom w:val="single" w:sz="4" w:space="0" w:color="000000"/>
              <w:right w:val="single" w:sz="4" w:space="0" w:color="000000"/>
            </w:tcBorders>
          </w:tcPr>
          <w:p>
            <w:pPr/>
          </w:p>
        </w:tc>
        <w:tc>
          <w:tcPr>
            <w:tcW w:w="6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2" w:lineRule="auto" w:before="140"/>
              <w:ind w:left="23" w:right="72"/>
              <w:jc w:val="left"/>
              <w:rPr>
                <w:rFonts w:ascii="宋体" w:hAnsi="宋体" w:cs="宋体" w:eastAsia="宋体" w:hint="default"/>
                <w:sz w:val="18"/>
                <w:szCs w:val="18"/>
              </w:rPr>
            </w:pPr>
            <w:r>
              <w:rPr>
                <w:rFonts w:ascii="宋体" w:hAnsi="宋体" w:cs="宋体" w:eastAsia="宋体" w:hint="default"/>
                <w:spacing w:val="-12"/>
                <w:w w:val="101"/>
                <w:sz w:val="18"/>
                <w:szCs w:val="18"/>
              </w:rPr>
              <w:t>严格遵守《公司法》、《证券法》、《上市公司证券发行管理办法》等法律、法规和中国证</w:t>
            </w:r>
            <w:r>
              <w:rPr>
                <w:rFonts w:ascii="宋体" w:hAnsi="宋体" w:cs="宋体" w:eastAsia="宋体" w:hint="default"/>
                <w:spacing w:val="-73"/>
                <w:w w:val="101"/>
                <w:sz w:val="18"/>
                <w:szCs w:val="18"/>
              </w:rPr>
              <w:t> </w:t>
            </w:r>
            <w:r>
              <w:rPr>
                <w:rFonts w:ascii="宋体" w:hAnsi="宋体" w:cs="宋体" w:eastAsia="宋体" w:hint="default"/>
                <w:spacing w:val="-73"/>
                <w:w w:val="101"/>
                <w:sz w:val="18"/>
                <w:szCs w:val="18"/>
              </w:rPr>
            </w:r>
            <w:r>
              <w:rPr>
                <w:rFonts w:ascii="宋体" w:hAnsi="宋体" w:cs="宋体" w:eastAsia="宋体" w:hint="default"/>
                <w:spacing w:val="-3"/>
                <w:sz w:val="18"/>
                <w:szCs w:val="18"/>
              </w:rPr>
              <w:t>监会的有关规定的承诺。</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2013</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年</w:t>
            </w:r>
            <w:r>
              <w:rPr>
                <w:rFonts w:ascii="宋体" w:hAnsi="宋体" w:cs="宋体" w:eastAsia="宋体" w:hint="default"/>
                <w:sz w:val="18"/>
                <w:szCs w:val="18"/>
              </w:rPr>
            </w:r>
          </w:p>
          <w:p>
            <w:pPr>
              <w:pStyle w:val="TableParagraph"/>
              <w:spacing w:line="240" w:lineRule="auto" w:before="118"/>
              <w:ind w:left="23" w:right="0"/>
              <w:jc w:val="left"/>
              <w:rPr>
                <w:rFonts w:ascii="Times New Roman" w:hAnsi="Times New Roman" w:cs="Times New Roman" w:eastAsia="Times New Roman" w:hint="default"/>
                <w:sz w:val="18"/>
                <w:szCs w:val="18"/>
              </w:rPr>
            </w:pPr>
            <w:r>
              <w:rPr>
                <w:rFonts w:ascii="Times New Roman"/>
                <w:sz w:val="18"/>
              </w:rPr>
              <w:t>10</w:t>
            </w:r>
          </w:p>
          <w:p>
            <w:pPr>
              <w:pStyle w:val="TableParagraph"/>
              <w:spacing w:line="240" w:lineRule="auto" w:before="62"/>
              <w:ind w:left="23" w:right="0"/>
              <w:jc w:val="left"/>
              <w:rPr>
                <w:rFonts w:ascii="宋体" w:hAnsi="宋体" w:cs="宋体" w:eastAsia="宋体" w:hint="default"/>
                <w:sz w:val="18"/>
                <w:szCs w:val="18"/>
              </w:rPr>
            </w:pPr>
            <w:r>
              <w:rPr>
                <w:rFonts w:ascii="宋体" w:hAnsi="宋体" w:cs="宋体" w:eastAsia="宋体" w:hint="default"/>
                <w:w w:val="101"/>
                <w:sz w:val="18"/>
                <w:szCs w:val="18"/>
              </w:rPr>
              <w:t>月</w:t>
            </w:r>
            <w:r>
              <w:rPr>
                <w:rFonts w:ascii="宋体" w:hAnsi="宋体" w:cs="宋体" w:eastAsia="宋体" w:hint="default"/>
                <w:sz w:val="18"/>
                <w:szCs w:val="18"/>
              </w:rPr>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2" w:lineRule="auto" w:before="140"/>
              <w:ind w:left="23" w:right="26"/>
              <w:jc w:val="left"/>
              <w:rPr>
                <w:rFonts w:ascii="宋体" w:hAnsi="宋体" w:cs="宋体" w:eastAsia="宋体" w:hint="default"/>
                <w:sz w:val="18"/>
                <w:szCs w:val="18"/>
              </w:rPr>
            </w:pPr>
            <w:r>
              <w:rPr>
                <w:rFonts w:ascii="宋体" w:hAnsi="宋体" w:cs="宋体" w:eastAsia="宋体" w:hint="default"/>
                <w:sz w:val="18"/>
                <w:szCs w:val="18"/>
              </w:rPr>
              <w:t>长期</w:t>
            </w:r>
            <w:r>
              <w:rPr>
                <w:rFonts w:ascii="宋体" w:hAnsi="宋体" w:cs="宋体" w:eastAsia="宋体" w:hint="default"/>
                <w:spacing w:val="-86"/>
                <w:sz w:val="18"/>
                <w:szCs w:val="18"/>
              </w:rPr>
              <w:t> </w:t>
            </w:r>
            <w:r>
              <w:rPr>
                <w:rFonts w:ascii="宋体" w:hAnsi="宋体" w:cs="宋体" w:eastAsia="宋体" w:hint="default"/>
                <w:sz w:val="18"/>
                <w:szCs w:val="18"/>
              </w:rPr>
              <w:t>有效</w:t>
            </w:r>
          </w:p>
        </w:tc>
        <w:tc>
          <w:tcPr>
            <w:tcW w:w="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314" w:lineRule="auto"/>
              <w:ind w:left="24" w:right="75"/>
              <w:jc w:val="both"/>
              <w:rPr>
                <w:rFonts w:ascii="宋体" w:hAnsi="宋体" w:cs="宋体" w:eastAsia="宋体" w:hint="default"/>
                <w:sz w:val="18"/>
                <w:szCs w:val="18"/>
              </w:rPr>
            </w:pPr>
            <w:r>
              <w:rPr>
                <w:rFonts w:ascii="宋体" w:hAnsi="宋体" w:cs="宋体" w:eastAsia="宋体" w:hint="default"/>
                <w:sz w:val="18"/>
                <w:szCs w:val="18"/>
              </w:rPr>
              <w:t>按承</w:t>
            </w:r>
            <w:r>
              <w:rPr>
                <w:rFonts w:ascii="宋体" w:hAnsi="宋体" w:cs="宋体" w:eastAsia="宋体" w:hint="default"/>
                <w:spacing w:val="-86"/>
                <w:sz w:val="18"/>
                <w:szCs w:val="18"/>
              </w:rPr>
              <w:t> </w:t>
            </w:r>
            <w:r>
              <w:rPr>
                <w:rFonts w:ascii="宋体" w:hAnsi="宋体" w:cs="宋体" w:eastAsia="宋体" w:hint="default"/>
                <w:sz w:val="18"/>
                <w:szCs w:val="18"/>
              </w:rPr>
              <w:t>诺履</w:t>
            </w:r>
            <w:r>
              <w:rPr>
                <w:rFonts w:ascii="宋体" w:hAnsi="宋体" w:cs="宋体" w:eastAsia="宋体" w:hint="default"/>
                <w:spacing w:val="-86"/>
                <w:sz w:val="18"/>
                <w:szCs w:val="18"/>
              </w:rPr>
              <w:t> </w:t>
            </w:r>
            <w:r>
              <w:rPr>
                <w:rFonts w:ascii="宋体" w:hAnsi="宋体" w:cs="宋体" w:eastAsia="宋体" w:hint="default"/>
                <w:sz w:val="18"/>
                <w:szCs w:val="18"/>
              </w:rPr>
              <w:t>行</w:t>
            </w:r>
          </w:p>
        </w:tc>
      </w:tr>
    </w:tbl>
    <w:p>
      <w:pPr>
        <w:spacing w:after="0" w:line="314" w:lineRule="auto"/>
        <w:jc w:val="both"/>
        <w:rPr>
          <w:rFonts w:ascii="宋体" w:hAnsi="宋体" w:cs="宋体" w:eastAsia="宋体" w:hint="default"/>
          <w:sz w:val="18"/>
          <w:szCs w:val="18"/>
        </w:rPr>
        <w:sectPr>
          <w:pgSz w:w="11910" w:h="16840"/>
          <w:pgMar w:header="746" w:footer="974" w:top="1060" w:bottom="1160" w:left="78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13" w:type="dxa"/>
        <w:tblLayout w:type="fixed"/>
        <w:tblCellMar>
          <w:top w:w="0" w:type="dxa"/>
          <w:left w:w="0" w:type="dxa"/>
          <w:bottom w:w="0" w:type="dxa"/>
          <w:right w:w="0" w:type="dxa"/>
        </w:tblCellMar>
        <w:tblLook w:val="01E0"/>
      </w:tblPr>
      <w:tblGrid>
        <w:gridCol w:w="792"/>
        <w:gridCol w:w="620"/>
        <w:gridCol w:w="427"/>
        <w:gridCol w:w="6949"/>
        <w:gridCol w:w="422"/>
        <w:gridCol w:w="427"/>
        <w:gridCol w:w="476"/>
      </w:tblGrid>
      <w:tr>
        <w:trPr>
          <w:trHeight w:val="672" w:hRule="exact"/>
        </w:trPr>
        <w:tc>
          <w:tcPr>
            <w:tcW w:w="792"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4" w:right="41"/>
              <w:jc w:val="left"/>
              <w:rPr>
                <w:rFonts w:ascii="宋体" w:hAnsi="宋体" w:cs="宋体" w:eastAsia="宋体" w:hint="default"/>
                <w:sz w:val="18"/>
                <w:szCs w:val="18"/>
              </w:rPr>
            </w:pPr>
            <w:r>
              <w:rPr>
                <w:rFonts w:ascii="宋体" w:hAnsi="宋体" w:cs="宋体" w:eastAsia="宋体" w:hint="default"/>
                <w:sz w:val="18"/>
                <w:szCs w:val="18"/>
              </w:rPr>
              <w:t>有限公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w:t>
            </w:r>
          </w:p>
        </w:tc>
        <w:tc>
          <w:tcPr>
            <w:tcW w:w="427" w:type="dxa"/>
            <w:tcBorders>
              <w:top w:val="single" w:sz="4" w:space="0" w:color="000000"/>
              <w:left w:val="single" w:sz="4" w:space="0" w:color="000000"/>
              <w:bottom w:val="single" w:sz="4" w:space="0" w:color="000000"/>
              <w:right w:val="single" w:sz="4" w:space="0" w:color="000000"/>
            </w:tcBorders>
          </w:tcPr>
          <w:p>
            <w:pPr/>
          </w:p>
        </w:tc>
        <w:tc>
          <w:tcPr>
            <w:tcW w:w="6949"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sz w:val="18"/>
              </w:rPr>
              <w:t>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427" w:type="dxa"/>
            <w:tcBorders>
              <w:top w:val="single" w:sz="4" w:space="0" w:color="000000"/>
              <w:left w:val="single" w:sz="4" w:space="0" w:color="000000"/>
              <w:bottom w:val="single" w:sz="4" w:space="0" w:color="000000"/>
              <w:right w:val="single" w:sz="4" w:space="0" w:color="000000"/>
            </w:tcBorders>
          </w:tcPr>
          <w:p>
            <w:pPr/>
          </w:p>
        </w:tc>
        <w:tc>
          <w:tcPr>
            <w:tcW w:w="476"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4" w:right="31"/>
              <w:jc w:val="left"/>
              <w:rPr>
                <w:rFonts w:ascii="宋体" w:hAnsi="宋体" w:cs="宋体" w:eastAsia="宋体" w:hint="default"/>
                <w:sz w:val="18"/>
                <w:szCs w:val="18"/>
              </w:rPr>
            </w:pPr>
            <w:r>
              <w:rPr>
                <w:rFonts w:ascii="宋体" w:hAnsi="宋体" w:cs="宋体" w:eastAsia="宋体" w:hint="default"/>
                <w:sz w:val="18"/>
                <w:szCs w:val="18"/>
              </w:rPr>
              <w:t>股权激励</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承诺</w:t>
            </w:r>
          </w:p>
        </w:tc>
        <w:tc>
          <w:tcPr>
            <w:tcW w:w="620"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6949"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76"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31"/>
              <w:jc w:val="both"/>
              <w:rPr>
                <w:rFonts w:ascii="宋体" w:hAnsi="宋体" w:cs="宋体" w:eastAsia="宋体" w:hint="default"/>
                <w:sz w:val="18"/>
                <w:szCs w:val="18"/>
              </w:rPr>
            </w:pPr>
            <w:r>
              <w:rPr>
                <w:rFonts w:ascii="宋体" w:hAnsi="宋体" w:cs="宋体" w:eastAsia="宋体" w:hint="default"/>
                <w:sz w:val="18"/>
                <w:szCs w:val="18"/>
              </w:rPr>
              <w:t>其他对公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司中小股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东所作承</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诺</w:t>
            </w:r>
          </w:p>
        </w:tc>
        <w:tc>
          <w:tcPr>
            <w:tcW w:w="620"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6949"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7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24" w:right="31"/>
              <w:jc w:val="left"/>
              <w:rPr>
                <w:rFonts w:ascii="宋体" w:hAnsi="宋体" w:cs="宋体" w:eastAsia="宋体" w:hint="default"/>
                <w:sz w:val="18"/>
                <w:szCs w:val="18"/>
              </w:rPr>
            </w:pPr>
            <w:r>
              <w:rPr>
                <w:rFonts w:ascii="宋体" w:hAnsi="宋体" w:cs="宋体" w:eastAsia="宋体" w:hint="default"/>
                <w:sz w:val="18"/>
                <w:szCs w:val="18"/>
              </w:rPr>
              <w:t>承诺是否</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按时履行</w:t>
            </w:r>
          </w:p>
        </w:tc>
        <w:tc>
          <w:tcPr>
            <w:tcW w:w="9321"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bl>
    <w:p>
      <w:pPr>
        <w:spacing w:line="240" w:lineRule="auto" w:before="10"/>
        <w:rPr>
          <w:rFonts w:ascii="Times New Roman" w:hAnsi="Times New Roman" w:cs="Times New Roman" w:eastAsia="Times New Roman" w:hint="default"/>
          <w:sz w:val="21"/>
          <w:szCs w:val="21"/>
        </w:rPr>
      </w:pPr>
    </w:p>
    <w:p>
      <w:pPr>
        <w:pStyle w:val="Heading4"/>
        <w:spacing w:line="256" w:lineRule="auto" w:before="36"/>
        <w:ind w:left="353" w:right="1030"/>
        <w:jc w:val="left"/>
        <w:rPr>
          <w:b w:val="0"/>
          <w:bCs w:val="0"/>
        </w:rPr>
      </w:pP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65"/>
        </w:rPr>
        <w:t> </w:t>
      </w:r>
      <w:r>
        <w:rPr>
          <w:spacing w:val="-65"/>
        </w:rPr>
      </w:r>
      <w:r>
        <w:rPr/>
        <w:t>其原因做出说明</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353" w:right="103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5"/>
        <w:rPr>
          <w:rFonts w:ascii="宋体" w:hAnsi="宋体" w:cs="宋体" w:eastAsia="宋体" w:hint="default"/>
          <w:sz w:val="24"/>
          <w:szCs w:val="24"/>
        </w:rPr>
      </w:pPr>
    </w:p>
    <w:p>
      <w:pPr>
        <w:pStyle w:val="Heading2"/>
        <w:spacing w:line="240" w:lineRule="auto"/>
        <w:ind w:left="353" w:right="1030"/>
        <w:jc w:val="left"/>
        <w:rPr>
          <w:b w:val="0"/>
          <w:bCs w:val="0"/>
        </w:rPr>
      </w:pPr>
      <w:r>
        <w:rPr/>
        <w:t>四、控股股东及其关联方对上市公司的非经营性占用资金情况</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left="353" w:right="3848"/>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公司报告期不存在控股股东及其关联方对上市公司的非经营性占用资金。</w:t>
      </w:r>
    </w:p>
    <w:p>
      <w:pPr>
        <w:spacing w:line="240" w:lineRule="auto" w:before="6"/>
        <w:rPr>
          <w:rFonts w:ascii="宋体" w:hAnsi="宋体" w:cs="宋体" w:eastAsia="宋体" w:hint="default"/>
          <w:sz w:val="19"/>
          <w:szCs w:val="19"/>
        </w:rPr>
      </w:pPr>
    </w:p>
    <w:p>
      <w:pPr>
        <w:pStyle w:val="Heading2"/>
        <w:spacing w:line="240" w:lineRule="auto"/>
        <w:ind w:left="353" w:right="1030"/>
        <w:jc w:val="left"/>
        <w:rPr>
          <w:b w:val="0"/>
          <w:bCs w:val="0"/>
        </w:rPr>
      </w:pP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2"/>
        <w:rPr>
          <w:rFonts w:ascii="宋体" w:hAnsi="宋体" w:cs="宋体" w:eastAsia="宋体" w:hint="default"/>
          <w:b/>
          <w:bCs/>
          <w:sz w:val="25"/>
          <w:szCs w:val="25"/>
        </w:rPr>
      </w:pPr>
    </w:p>
    <w:p>
      <w:pPr>
        <w:pStyle w:val="BodyText"/>
        <w:spacing w:line="240" w:lineRule="auto"/>
        <w:ind w:left="353" w:right="103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0"/>
        <w:rPr>
          <w:rFonts w:ascii="宋体" w:hAnsi="宋体" w:cs="宋体" w:eastAsia="宋体" w:hint="default"/>
          <w:sz w:val="24"/>
          <w:szCs w:val="24"/>
        </w:rPr>
      </w:pPr>
    </w:p>
    <w:p>
      <w:pPr>
        <w:pStyle w:val="Heading2"/>
        <w:spacing w:line="240" w:lineRule="auto"/>
        <w:ind w:left="353" w:right="1030"/>
        <w:jc w:val="left"/>
        <w:rPr>
          <w:b w:val="0"/>
          <w:bCs w:val="0"/>
        </w:rPr>
      </w:pPr>
      <w:r>
        <w:rPr/>
        <w:t>六、与上年度财务报告相比，会计政策、会计估计和核算方法发生变化的情况说明</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353" w:right="103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1"/>
        </w:rPr>
        <w:t> </w:t>
      </w:r>
      <w:r>
        <w:rPr/>
        <w:t>不适用</w:t>
      </w:r>
    </w:p>
    <w:p>
      <w:pPr>
        <w:pStyle w:val="BodyText"/>
        <w:spacing w:line="240" w:lineRule="auto" w:before="106"/>
        <w:ind w:left="713" w:right="1030"/>
        <w:jc w:val="left"/>
      </w:pPr>
      <w:r>
        <w:rPr>
          <w:rFonts w:ascii="Times New Roman" w:hAnsi="Times New Roman" w:cs="Times New Roman" w:eastAsia="Times New Roman" w:hint="default"/>
          <w:spacing w:val="-6"/>
        </w:rPr>
        <w:t>(</w:t>
      </w:r>
      <w:r>
        <w:rPr>
          <w:spacing w:val="-6"/>
        </w:rPr>
        <w:t>一</w:t>
      </w:r>
      <w:r>
        <w:rPr>
          <w:rFonts w:ascii="Times New Roman" w:hAnsi="Times New Roman" w:cs="Times New Roman" w:eastAsia="Times New Roman" w:hint="default"/>
          <w:spacing w:val="-6"/>
        </w:rPr>
        <w:t>)2017</w:t>
      </w:r>
      <w:r>
        <w:rPr>
          <w:spacing w:val="-6"/>
        </w:rPr>
        <w:t>年</w:t>
      </w:r>
      <w:r>
        <w:rPr>
          <w:rFonts w:ascii="Times New Roman" w:hAnsi="Times New Roman" w:cs="Times New Roman" w:eastAsia="Times New Roman" w:hint="default"/>
          <w:spacing w:val="-6"/>
        </w:rPr>
        <w:t>3</w:t>
      </w:r>
      <w:r>
        <w:rPr>
          <w:spacing w:val="-6"/>
        </w:rPr>
        <w:t>月</w:t>
      </w:r>
      <w:r>
        <w:rPr>
          <w:rFonts w:ascii="Times New Roman" w:hAnsi="Times New Roman" w:cs="Times New Roman" w:eastAsia="Times New Roman" w:hint="default"/>
          <w:spacing w:val="-6"/>
        </w:rPr>
        <w:t>31</w:t>
      </w:r>
      <w:r>
        <w:rPr>
          <w:spacing w:val="-6"/>
        </w:rPr>
        <w:t>日，财政部发布了《企业会计准则第</w:t>
      </w:r>
      <w:r>
        <w:rPr>
          <w:rFonts w:ascii="Times New Roman" w:hAnsi="Times New Roman" w:cs="Times New Roman" w:eastAsia="Times New Roman" w:hint="default"/>
          <w:spacing w:val="-6"/>
        </w:rPr>
        <w:t>22</w:t>
      </w:r>
      <w:r>
        <w:rPr>
          <w:spacing w:val="-6"/>
        </w:rPr>
        <w:t>号</w:t>
      </w:r>
      <w:r>
        <w:rPr>
          <w:rFonts w:ascii="Times New Roman" w:hAnsi="Times New Roman" w:cs="Times New Roman" w:eastAsia="Times New Roman" w:hint="default"/>
          <w:spacing w:val="-6"/>
        </w:rPr>
        <w:t>--</w:t>
      </w:r>
      <w:r>
        <w:rPr>
          <w:spacing w:val="-6"/>
        </w:rPr>
        <w:t>金融工具确认和计量（</w:t>
      </w:r>
      <w:r>
        <w:rPr>
          <w:rFonts w:ascii="Times New Roman" w:hAnsi="Times New Roman" w:cs="Times New Roman" w:eastAsia="Times New Roman" w:hint="default"/>
          <w:spacing w:val="-6"/>
        </w:rPr>
        <w:t>2017</w:t>
      </w:r>
      <w:r>
        <w:rPr>
          <w:spacing w:val="-6"/>
        </w:rPr>
        <w:t>年修订）》（财会〔</w:t>
      </w:r>
      <w:r>
        <w:rPr>
          <w:rFonts w:ascii="Times New Roman" w:hAnsi="Times New Roman" w:cs="Times New Roman" w:eastAsia="Times New Roman" w:hint="default"/>
          <w:spacing w:val="-6"/>
        </w:rPr>
        <w:t>2017</w:t>
      </w:r>
      <w:r>
        <w:rPr>
          <w:spacing w:val="-6"/>
        </w:rPr>
        <w:t>〕</w:t>
      </w:r>
      <w:r>
        <w:rPr>
          <w:rFonts w:ascii="Times New Roman" w:hAnsi="Times New Roman" w:cs="Times New Roman" w:eastAsia="Times New Roman" w:hint="default"/>
          <w:spacing w:val="-6"/>
        </w:rPr>
        <w:t>7</w:t>
      </w:r>
      <w:r>
        <w:rPr>
          <w:spacing w:val="-6"/>
        </w:rPr>
        <w:t>号）、</w:t>
      </w:r>
    </w:p>
    <w:p>
      <w:pPr>
        <w:pStyle w:val="BodyText"/>
        <w:spacing w:line="300" w:lineRule="auto" w:before="63"/>
        <w:ind w:left="353" w:right="1030"/>
        <w:jc w:val="left"/>
      </w:pPr>
      <w:r>
        <w:rPr>
          <w:spacing w:val="-3"/>
        </w:rPr>
        <w:t>《企业会计准则第</w:t>
      </w:r>
      <w:r>
        <w:rPr>
          <w:rFonts w:ascii="Times New Roman" w:hAnsi="Times New Roman" w:cs="Times New Roman" w:eastAsia="Times New Roman" w:hint="default"/>
          <w:spacing w:val="-3"/>
        </w:rPr>
        <w:t>23</w:t>
      </w:r>
      <w:r>
        <w:rPr>
          <w:spacing w:val="-3"/>
        </w:rPr>
        <w:t>号</w:t>
      </w:r>
      <w:r>
        <w:rPr>
          <w:rFonts w:ascii="Times New Roman" w:hAnsi="Times New Roman" w:cs="Times New Roman" w:eastAsia="Times New Roman" w:hint="default"/>
          <w:spacing w:val="-3"/>
        </w:rPr>
        <w:t>--</w:t>
      </w:r>
      <w:r>
        <w:rPr>
          <w:spacing w:val="-3"/>
        </w:rPr>
        <w:t>金融资产转移（</w:t>
      </w:r>
      <w:r>
        <w:rPr>
          <w:rFonts w:ascii="Times New Roman" w:hAnsi="Times New Roman" w:cs="Times New Roman" w:eastAsia="Times New Roman" w:hint="default"/>
          <w:spacing w:val="-3"/>
        </w:rPr>
        <w:t>2017</w:t>
      </w:r>
      <w:r>
        <w:rPr>
          <w:spacing w:val="-3"/>
        </w:rPr>
        <w:t>年修订）》（财会〔</w:t>
      </w:r>
      <w:r>
        <w:rPr>
          <w:rFonts w:ascii="Times New Roman" w:hAnsi="Times New Roman" w:cs="Times New Roman" w:eastAsia="Times New Roman" w:hint="default"/>
          <w:spacing w:val="-3"/>
        </w:rPr>
        <w:t>2017</w:t>
      </w:r>
      <w:r>
        <w:rPr>
          <w:spacing w:val="-3"/>
        </w:rPr>
        <w:t>〕</w:t>
      </w:r>
      <w:r>
        <w:rPr>
          <w:rFonts w:ascii="Times New Roman" w:hAnsi="Times New Roman" w:cs="Times New Roman" w:eastAsia="Times New Roman" w:hint="default"/>
          <w:spacing w:val="-3"/>
        </w:rPr>
        <w:t>8</w:t>
      </w:r>
      <w:r>
        <w:rPr>
          <w:spacing w:val="-3"/>
        </w:rPr>
        <w:t>号）、《企业会计准则第</w:t>
      </w:r>
      <w:r>
        <w:rPr>
          <w:rFonts w:ascii="Times New Roman" w:hAnsi="Times New Roman" w:cs="Times New Roman" w:eastAsia="Times New Roman" w:hint="default"/>
          <w:spacing w:val="-3"/>
        </w:rPr>
        <w:t>24</w:t>
      </w:r>
      <w:r>
        <w:rPr>
          <w:spacing w:val="-3"/>
        </w:rPr>
        <w:t>号</w:t>
      </w:r>
      <w:r>
        <w:rPr>
          <w:rFonts w:ascii="Times New Roman" w:hAnsi="Times New Roman" w:cs="Times New Roman" w:eastAsia="Times New Roman" w:hint="default"/>
          <w:spacing w:val="-3"/>
        </w:rPr>
        <w:t>--</w:t>
      </w:r>
      <w:r>
        <w:rPr>
          <w:spacing w:val="-3"/>
        </w:rPr>
        <w:t>套期会计（</w:t>
      </w:r>
      <w:r>
        <w:rPr>
          <w:rFonts w:ascii="Times New Roman" w:hAnsi="Times New Roman" w:cs="Times New Roman" w:eastAsia="Times New Roman" w:hint="default"/>
          <w:spacing w:val="-3"/>
        </w:rPr>
        <w:t>2017</w:t>
      </w:r>
      <w:r>
        <w:rPr>
          <w:rFonts w:ascii="Times New Roman" w:hAnsi="Times New Roman" w:cs="Times New Roman" w:eastAsia="Times New Roman" w:hint="default"/>
          <w:spacing w:val="14"/>
        </w:rPr>
        <w:t> </w:t>
      </w:r>
      <w:r>
        <w:rPr>
          <w:rFonts w:ascii="Times New Roman" w:hAnsi="Times New Roman" w:cs="Times New Roman" w:eastAsia="Times New Roman" w:hint="default"/>
          <w:spacing w:val="14"/>
        </w:rPr>
      </w:r>
      <w:r>
        <w:rPr>
          <w:spacing w:val="-8"/>
        </w:rPr>
        <w:t>年修订）》（财会〔</w:t>
      </w:r>
      <w:r>
        <w:rPr>
          <w:rFonts w:ascii="Times New Roman" w:hAnsi="Times New Roman" w:cs="Times New Roman" w:eastAsia="Times New Roman" w:hint="default"/>
          <w:spacing w:val="-8"/>
        </w:rPr>
        <w:t>2017</w:t>
      </w:r>
      <w:r>
        <w:rPr>
          <w:spacing w:val="-8"/>
        </w:rPr>
        <w:t>〕</w:t>
      </w:r>
      <w:r>
        <w:rPr>
          <w:rFonts w:ascii="Times New Roman" w:hAnsi="Times New Roman" w:cs="Times New Roman" w:eastAsia="Times New Roman" w:hint="default"/>
          <w:spacing w:val="-8"/>
        </w:rPr>
        <w:t>9</w:t>
      </w:r>
      <w:r>
        <w:rPr>
          <w:spacing w:val="-8"/>
        </w:rPr>
        <w:t>号），于</w:t>
      </w:r>
      <w:r>
        <w:rPr>
          <w:rFonts w:ascii="Times New Roman" w:hAnsi="Times New Roman" w:cs="Times New Roman" w:eastAsia="Times New Roman" w:hint="default"/>
          <w:spacing w:val="-8"/>
        </w:rPr>
        <w:t>2017</w:t>
      </w:r>
      <w:r>
        <w:rPr>
          <w:spacing w:val="-8"/>
        </w:rPr>
        <w:t>年</w:t>
      </w:r>
      <w:r>
        <w:rPr>
          <w:rFonts w:ascii="Times New Roman" w:hAnsi="Times New Roman" w:cs="Times New Roman" w:eastAsia="Times New Roman" w:hint="default"/>
          <w:spacing w:val="-8"/>
        </w:rPr>
        <w:t>5</w:t>
      </w:r>
      <w:r>
        <w:rPr>
          <w:spacing w:val="-8"/>
        </w:rPr>
        <w:t>月</w:t>
      </w:r>
      <w:r>
        <w:rPr>
          <w:rFonts w:ascii="Times New Roman" w:hAnsi="Times New Roman" w:cs="Times New Roman" w:eastAsia="Times New Roman" w:hint="default"/>
          <w:spacing w:val="-8"/>
        </w:rPr>
        <w:t>2</w:t>
      </w:r>
      <w:r>
        <w:rPr>
          <w:spacing w:val="-8"/>
        </w:rPr>
        <w:t>日发布《企业会计准则第</w:t>
      </w:r>
      <w:r>
        <w:rPr>
          <w:rFonts w:ascii="Times New Roman" w:hAnsi="Times New Roman" w:cs="Times New Roman" w:eastAsia="Times New Roman" w:hint="default"/>
          <w:spacing w:val="-8"/>
        </w:rPr>
        <w:t>37</w:t>
      </w:r>
      <w:r>
        <w:rPr>
          <w:spacing w:val="-8"/>
        </w:rPr>
        <w:t>号</w:t>
      </w:r>
      <w:r>
        <w:rPr>
          <w:rFonts w:ascii="Times New Roman" w:hAnsi="Times New Roman" w:cs="Times New Roman" w:eastAsia="Times New Roman" w:hint="default"/>
          <w:spacing w:val="-8"/>
        </w:rPr>
        <w:t>--</w:t>
      </w:r>
      <w:r>
        <w:rPr>
          <w:spacing w:val="-8"/>
        </w:rPr>
        <w:t>金融工具列报（</w:t>
      </w:r>
      <w:r>
        <w:rPr>
          <w:rFonts w:ascii="Times New Roman" w:hAnsi="Times New Roman" w:cs="Times New Roman" w:eastAsia="Times New Roman" w:hint="default"/>
          <w:spacing w:val="-8"/>
        </w:rPr>
        <w:t>2017</w:t>
      </w:r>
      <w:r>
        <w:rPr>
          <w:spacing w:val="-8"/>
        </w:rPr>
        <w:t>年修订）》（财会〔</w:t>
      </w:r>
      <w:r>
        <w:rPr>
          <w:rFonts w:ascii="Times New Roman" w:hAnsi="Times New Roman" w:cs="Times New Roman" w:eastAsia="Times New Roman" w:hint="default"/>
          <w:spacing w:val="-8"/>
        </w:rPr>
        <w:t>2017</w:t>
      </w:r>
      <w:r>
        <w:rPr>
          <w:spacing w:val="-8"/>
        </w:rPr>
        <w:t>〕</w:t>
      </w:r>
      <w:r>
        <w:rPr>
          <w:spacing w:val="66"/>
        </w:rPr>
        <w:t> </w:t>
      </w:r>
      <w:r>
        <w:rPr>
          <w:rFonts w:ascii="Times New Roman" w:hAnsi="Times New Roman" w:cs="Times New Roman" w:eastAsia="Times New Roman" w:hint="default"/>
          <w:spacing w:val="-3"/>
        </w:rPr>
        <w:t>14</w:t>
      </w:r>
      <w:r>
        <w:rPr>
          <w:spacing w:val="-3"/>
        </w:rPr>
        <w:t>号）（上述准则以下统称</w:t>
      </w:r>
      <w:r>
        <w:rPr>
          <w:rFonts w:ascii="Times New Roman" w:hAnsi="Times New Roman" w:cs="Times New Roman" w:eastAsia="Times New Roman" w:hint="default"/>
          <w:spacing w:val="-3"/>
        </w:rPr>
        <w:t>"</w:t>
      </w:r>
      <w:r>
        <w:rPr>
          <w:spacing w:val="-3"/>
        </w:rPr>
        <w:t>新金融工具准则</w:t>
      </w:r>
      <w:r>
        <w:rPr>
          <w:rFonts w:ascii="Times New Roman" w:hAnsi="Times New Roman" w:cs="Times New Roman" w:eastAsia="Times New Roman" w:hint="default"/>
          <w:spacing w:val="-3"/>
        </w:rPr>
        <w:t>"</w:t>
      </w:r>
      <w:r>
        <w:rPr>
          <w:spacing w:val="-3"/>
        </w:rPr>
        <w:t>）。公司于</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1</w:t>
      </w:r>
      <w:r>
        <w:rPr>
          <w:spacing w:val="-3"/>
        </w:rPr>
        <w:t>月</w:t>
      </w:r>
      <w:r>
        <w:rPr>
          <w:rFonts w:ascii="Times New Roman" w:hAnsi="Times New Roman" w:cs="Times New Roman" w:eastAsia="Times New Roman" w:hint="default"/>
          <w:spacing w:val="-3"/>
        </w:rPr>
        <w:t>1</w:t>
      </w:r>
      <w:r>
        <w:rPr>
          <w:spacing w:val="-3"/>
        </w:rPr>
        <w:t>日起执行新金融工具准则。</w:t>
      </w:r>
    </w:p>
    <w:p>
      <w:pPr>
        <w:pStyle w:val="BodyText"/>
        <w:spacing w:line="300" w:lineRule="auto" w:before="13"/>
        <w:ind w:left="353" w:right="1165" w:firstLine="360"/>
        <w:jc w:val="both"/>
      </w:pPr>
      <w:r>
        <w:rPr>
          <w:rFonts w:ascii="Times New Roman" w:hAnsi="Times New Roman" w:cs="Times New Roman" w:eastAsia="Times New Roman" w:hint="default"/>
          <w:spacing w:val="-3"/>
        </w:rPr>
        <w:t>1</w:t>
      </w:r>
      <w:r>
        <w:rPr>
          <w:spacing w:val="-3"/>
        </w:rPr>
        <w:t>、减少金融资产类别，由现行</w:t>
      </w:r>
      <w:r>
        <w:rPr>
          <w:rFonts w:ascii="Times New Roman" w:hAnsi="Times New Roman" w:cs="Times New Roman" w:eastAsia="Times New Roman" w:hint="default"/>
          <w:spacing w:val="-3"/>
        </w:rPr>
        <w:t>“</w:t>
      </w:r>
      <w:r>
        <w:rPr>
          <w:spacing w:val="-3"/>
        </w:rPr>
        <w:t>四分类</w:t>
      </w:r>
      <w:r>
        <w:rPr>
          <w:rFonts w:ascii="Times New Roman" w:hAnsi="Times New Roman" w:cs="Times New Roman" w:eastAsia="Times New Roman" w:hint="default"/>
          <w:spacing w:val="-3"/>
        </w:rPr>
        <w:t>”</w:t>
      </w:r>
      <w:r>
        <w:rPr>
          <w:spacing w:val="-3"/>
        </w:rPr>
        <w:t>改为</w:t>
      </w:r>
      <w:r>
        <w:rPr>
          <w:rFonts w:ascii="Times New Roman" w:hAnsi="Times New Roman" w:cs="Times New Roman" w:eastAsia="Times New Roman" w:hint="default"/>
          <w:spacing w:val="-3"/>
        </w:rPr>
        <w:t>“</w:t>
      </w:r>
      <w:r>
        <w:rPr>
          <w:spacing w:val="-3"/>
        </w:rPr>
        <w:t>三分类</w:t>
      </w:r>
      <w:r>
        <w:rPr>
          <w:rFonts w:ascii="Times New Roman" w:hAnsi="Times New Roman" w:cs="Times New Roman" w:eastAsia="Times New Roman" w:hint="default"/>
          <w:spacing w:val="-3"/>
        </w:rPr>
        <w:t>”</w:t>
      </w:r>
      <w:r>
        <w:rPr>
          <w:spacing w:val="-3"/>
        </w:rPr>
        <w:t>。即以企业持有金融资产的业务模式和金融资产的合同现金流量</w:t>
      </w:r>
      <w:r>
        <w:rPr>
          <w:w w:val="101"/>
        </w:rPr>
        <w:t> </w:t>
      </w:r>
      <w:r>
        <w:rPr>
          <w:spacing w:val="-3"/>
        </w:rPr>
        <w:t>特征作为金融资产分类的判断依据，将金融资产划分为</w:t>
      </w:r>
      <w:r>
        <w:rPr>
          <w:rFonts w:ascii="Times New Roman" w:hAnsi="Times New Roman" w:cs="Times New Roman" w:eastAsia="Times New Roman" w:hint="default"/>
          <w:spacing w:val="-3"/>
        </w:rPr>
        <w:t>“</w:t>
      </w:r>
      <w:r>
        <w:rPr>
          <w:spacing w:val="-3"/>
        </w:rPr>
        <w:t>以摊余成本计量的金融资产</w:t>
      </w:r>
      <w:r>
        <w:rPr>
          <w:rFonts w:ascii="Times New Roman" w:hAnsi="Times New Roman" w:cs="Times New Roman" w:eastAsia="Times New Roman" w:hint="default"/>
          <w:spacing w:val="-3"/>
        </w:rPr>
        <w:t>”</w:t>
      </w:r>
      <w:r>
        <w:rPr>
          <w:spacing w:val="-3"/>
        </w:rPr>
        <w:t>、</w:t>
      </w:r>
      <w:r>
        <w:rPr>
          <w:rFonts w:ascii="Times New Roman" w:hAnsi="Times New Roman" w:cs="Times New Roman" w:eastAsia="Times New Roman" w:hint="default"/>
          <w:spacing w:val="-3"/>
        </w:rPr>
        <w:t>“</w:t>
      </w:r>
      <w:r>
        <w:rPr>
          <w:spacing w:val="-3"/>
        </w:rPr>
        <w:t>以公允价值计量且其变动计入其他</w:t>
      </w:r>
      <w:r>
        <w:rPr>
          <w:spacing w:val="69"/>
        </w:rPr>
        <w:t> </w:t>
      </w:r>
      <w:r>
        <w:rPr>
          <w:spacing w:val="69"/>
        </w:rPr>
      </w:r>
      <w:r>
        <w:rPr>
          <w:spacing w:val="-3"/>
        </w:rPr>
        <w:t>综合收益的金融资产</w:t>
      </w:r>
      <w:r>
        <w:rPr>
          <w:rFonts w:ascii="Times New Roman" w:hAnsi="Times New Roman" w:cs="Times New Roman" w:eastAsia="Times New Roman" w:hint="default"/>
          <w:spacing w:val="-3"/>
        </w:rPr>
        <w:t>”</w:t>
      </w:r>
      <w:r>
        <w:rPr>
          <w:spacing w:val="-3"/>
        </w:rPr>
        <w:t>、</w:t>
      </w:r>
      <w:r>
        <w:rPr>
          <w:rFonts w:ascii="Times New Roman" w:hAnsi="Times New Roman" w:cs="Times New Roman" w:eastAsia="Times New Roman" w:hint="default"/>
          <w:spacing w:val="-3"/>
        </w:rPr>
        <w:t>“</w:t>
      </w:r>
      <w:r>
        <w:rPr>
          <w:spacing w:val="-3"/>
        </w:rPr>
        <w:t>以公允价值计量且其变动计入当期损益的金融资产</w:t>
      </w:r>
      <w:r>
        <w:rPr>
          <w:rFonts w:ascii="Times New Roman" w:hAnsi="Times New Roman" w:cs="Times New Roman" w:eastAsia="Times New Roman" w:hint="default"/>
          <w:spacing w:val="-3"/>
        </w:rPr>
        <w:t>”</w:t>
      </w:r>
      <w:r>
        <w:rPr>
          <w:spacing w:val="-3"/>
        </w:rPr>
        <w:t>；</w:t>
      </w:r>
    </w:p>
    <w:p>
      <w:pPr>
        <w:pStyle w:val="BodyText"/>
        <w:spacing w:line="300" w:lineRule="auto" w:before="13"/>
        <w:ind w:left="353" w:right="1030" w:firstLine="360"/>
        <w:jc w:val="left"/>
      </w:pPr>
      <w:r>
        <w:rPr>
          <w:rFonts w:ascii="Times New Roman" w:hAnsi="Times New Roman" w:cs="Times New Roman" w:eastAsia="Times New Roman" w:hint="default"/>
          <w:spacing w:val="-4"/>
        </w:rPr>
        <w:t>2</w:t>
      </w:r>
      <w:r>
        <w:rPr>
          <w:spacing w:val="-4"/>
        </w:rPr>
        <w:t>、将金融资产减值计提，由</w:t>
      </w:r>
      <w:r>
        <w:rPr>
          <w:rFonts w:ascii="Times New Roman" w:hAnsi="Times New Roman" w:cs="Times New Roman" w:eastAsia="Times New Roman" w:hint="default"/>
          <w:spacing w:val="-4"/>
        </w:rPr>
        <w:t>“</w:t>
      </w:r>
      <w:r>
        <w:rPr>
          <w:spacing w:val="-4"/>
        </w:rPr>
        <w:t>已发生信用损失法</w:t>
      </w:r>
      <w:r>
        <w:rPr>
          <w:rFonts w:ascii="Times New Roman" w:hAnsi="Times New Roman" w:cs="Times New Roman" w:eastAsia="Times New Roman" w:hint="default"/>
          <w:spacing w:val="-4"/>
        </w:rPr>
        <w:t>”</w:t>
      </w:r>
      <w:r>
        <w:rPr>
          <w:spacing w:val="-4"/>
        </w:rPr>
        <w:t>，改为</w:t>
      </w:r>
      <w:r>
        <w:rPr>
          <w:rFonts w:ascii="Times New Roman" w:hAnsi="Times New Roman" w:cs="Times New Roman" w:eastAsia="Times New Roman" w:hint="default"/>
          <w:spacing w:val="-4"/>
        </w:rPr>
        <w:t>“</w:t>
      </w:r>
      <w:r>
        <w:rPr>
          <w:spacing w:val="-4"/>
        </w:rPr>
        <w:t>预期信用损失法</w:t>
      </w:r>
      <w:r>
        <w:rPr>
          <w:rFonts w:ascii="Times New Roman" w:hAnsi="Times New Roman" w:cs="Times New Roman" w:eastAsia="Times New Roman" w:hint="default"/>
          <w:spacing w:val="-4"/>
        </w:rPr>
        <w:t>”</w:t>
      </w:r>
      <w:r>
        <w:rPr>
          <w:spacing w:val="-4"/>
        </w:rPr>
        <w:t>，要求考虑金融资产未来预期信用损失情况，</w:t>
      </w:r>
      <w:r>
        <w:rPr>
          <w:w w:val="101"/>
        </w:rPr>
        <w:t> </w:t>
      </w:r>
      <w:r>
        <w:rPr>
          <w:spacing w:val="-3"/>
        </w:rPr>
        <w:t>从而更及时、足额地计提金融资产减值准备，解释和防控金融资产信用风险；</w:t>
      </w:r>
    </w:p>
    <w:p>
      <w:pPr>
        <w:pStyle w:val="BodyText"/>
        <w:spacing w:line="240" w:lineRule="auto" w:before="31"/>
        <w:ind w:left="713" w:right="1030"/>
        <w:jc w:val="left"/>
      </w:pPr>
      <w:r>
        <w:rPr>
          <w:rFonts w:ascii="Times New Roman" w:hAnsi="Times New Roman" w:cs="Times New Roman" w:eastAsia="Times New Roman" w:hint="default"/>
          <w:spacing w:val="-4"/>
        </w:rPr>
        <w:t>3</w:t>
      </w:r>
      <w:r>
        <w:rPr>
          <w:spacing w:val="-4"/>
        </w:rPr>
        <w:t>、简化了套期会计的规则，拓宽套期工具和被套期项目的范围，以定性的套期有效性要求取代了现行准则的定量要求；</w:t>
      </w:r>
    </w:p>
    <w:p>
      <w:pPr>
        <w:pStyle w:val="BodyText"/>
        <w:spacing w:line="240" w:lineRule="auto" w:before="63"/>
        <w:ind w:left="713" w:right="1030"/>
        <w:jc w:val="left"/>
      </w:pPr>
      <w:r>
        <w:rPr>
          <w:rFonts w:ascii="Times New Roman" w:hAnsi="Times New Roman" w:cs="Times New Roman" w:eastAsia="Times New Roman" w:hint="default"/>
          <w:spacing w:val="-3"/>
        </w:rPr>
        <w:t>4</w:t>
      </w:r>
      <w:r>
        <w:rPr>
          <w:spacing w:val="-3"/>
        </w:rPr>
        <w:t>、进一步明确金融资产转移的判断原则及其会计处理；</w:t>
      </w:r>
    </w:p>
    <w:p>
      <w:pPr>
        <w:pStyle w:val="BodyText"/>
        <w:spacing w:line="240" w:lineRule="auto" w:before="63"/>
        <w:ind w:left="713" w:right="1030"/>
        <w:jc w:val="left"/>
      </w:pPr>
      <w:r>
        <w:rPr>
          <w:rFonts w:ascii="Times New Roman" w:hAnsi="Times New Roman" w:cs="Times New Roman" w:eastAsia="Times New Roman" w:hint="default"/>
          <w:spacing w:val="-3"/>
        </w:rPr>
        <w:t>5</w:t>
      </w:r>
      <w:r>
        <w:rPr>
          <w:spacing w:val="-3"/>
        </w:rPr>
        <w:t>、简化嵌入衍生工具的会计处理，调整非交易性权益工具投资的会计处理等。</w:t>
      </w:r>
    </w:p>
    <w:p>
      <w:pPr>
        <w:pStyle w:val="BodyText"/>
        <w:spacing w:line="240" w:lineRule="auto" w:before="63"/>
        <w:ind w:left="713" w:right="1030"/>
        <w:jc w:val="left"/>
      </w:pPr>
      <w:r>
        <w:rPr>
          <w:spacing w:val="-3"/>
        </w:rPr>
        <w:t>（二）</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04</w:t>
      </w:r>
      <w:r>
        <w:rPr>
          <w:spacing w:val="-3"/>
        </w:rPr>
        <w:t>月</w:t>
      </w:r>
      <w:r>
        <w:rPr>
          <w:rFonts w:ascii="Times New Roman" w:hAnsi="Times New Roman" w:cs="Times New Roman" w:eastAsia="Times New Roman" w:hint="default"/>
          <w:spacing w:val="-3"/>
        </w:rPr>
        <w:t>30</w:t>
      </w:r>
      <w:r>
        <w:rPr>
          <w:spacing w:val="-3"/>
        </w:rPr>
        <w:t>日，财政部颁布了《关于修订印发</w:t>
      </w:r>
      <w:r>
        <w:rPr>
          <w:rFonts w:ascii="Times New Roman" w:hAnsi="Times New Roman" w:cs="Times New Roman" w:eastAsia="Times New Roman" w:hint="default"/>
          <w:spacing w:val="-3"/>
        </w:rPr>
        <w:t>2019</w:t>
      </w:r>
      <w:r>
        <w:rPr>
          <w:spacing w:val="-3"/>
        </w:rPr>
        <w:t>年度一般企业财务报表格式的通知》（财会〔</w:t>
      </w:r>
      <w:r>
        <w:rPr>
          <w:rFonts w:ascii="Times New Roman" w:hAnsi="Times New Roman" w:cs="Times New Roman" w:eastAsia="Times New Roman" w:hint="default"/>
          <w:spacing w:val="-3"/>
        </w:rPr>
        <w:t>2019</w:t>
      </w:r>
      <w:r>
        <w:rPr>
          <w:spacing w:val="-3"/>
        </w:rPr>
        <w:t>〕</w:t>
      </w:r>
      <w:r>
        <w:rPr>
          <w:rFonts w:ascii="Times New Roman" w:hAnsi="Times New Roman" w:cs="Times New Roman" w:eastAsia="Times New Roman" w:hint="default"/>
          <w:spacing w:val="-3"/>
        </w:rPr>
        <w:t>6</w:t>
      </w:r>
      <w:r>
        <w:rPr>
          <w:spacing w:val="-3"/>
        </w:rPr>
        <w:t>号）</w:t>
      </w:r>
    </w:p>
    <w:p>
      <w:pPr>
        <w:pStyle w:val="BodyText"/>
        <w:spacing w:line="300" w:lineRule="auto" w:before="63"/>
        <w:ind w:left="713" w:right="1030" w:hanging="360"/>
        <w:jc w:val="left"/>
      </w:pPr>
      <w:r>
        <w:rPr>
          <w:spacing w:val="-3"/>
        </w:rPr>
        <w:t>（以下简称</w:t>
      </w:r>
      <w:r>
        <w:rPr>
          <w:rFonts w:ascii="Times New Roman" w:hAnsi="Times New Roman" w:cs="Times New Roman" w:eastAsia="Times New Roman" w:hint="default"/>
          <w:spacing w:val="-3"/>
        </w:rPr>
        <w:t>“</w:t>
      </w:r>
      <w:r>
        <w:rPr>
          <w:spacing w:val="-3"/>
        </w:rPr>
        <w:t>《通知》（财会〔</w:t>
      </w:r>
      <w:r>
        <w:rPr>
          <w:rFonts w:ascii="Times New Roman" w:hAnsi="Times New Roman" w:cs="Times New Roman" w:eastAsia="Times New Roman" w:hint="default"/>
          <w:spacing w:val="-3"/>
        </w:rPr>
        <w:t>2019</w:t>
      </w:r>
      <w:r>
        <w:rPr>
          <w:spacing w:val="-3"/>
        </w:rPr>
        <w:t>〕</w:t>
      </w:r>
      <w:r>
        <w:rPr>
          <w:rFonts w:ascii="Times New Roman" w:hAnsi="Times New Roman" w:cs="Times New Roman" w:eastAsia="Times New Roman" w:hint="default"/>
          <w:spacing w:val="-3"/>
        </w:rPr>
        <w:t>6</w:t>
      </w:r>
      <w:r>
        <w:rPr>
          <w:spacing w:val="-3"/>
        </w:rPr>
        <w:t>号）</w:t>
      </w:r>
      <w:r>
        <w:rPr>
          <w:rFonts w:ascii="Times New Roman" w:hAnsi="Times New Roman" w:cs="Times New Roman" w:eastAsia="Times New Roman" w:hint="default"/>
          <w:spacing w:val="-3"/>
        </w:rPr>
        <w:t>”</w:t>
      </w:r>
      <w:r>
        <w:rPr>
          <w:spacing w:val="-3"/>
        </w:rPr>
        <w:t>），修订了一般企业财务报表格式。</w:t>
      </w:r>
      <w:r>
        <w:rPr>
          <w:spacing w:val="20"/>
        </w:rPr>
        <w:t> </w:t>
      </w:r>
      <w:r>
        <w:rPr>
          <w:spacing w:val="20"/>
        </w:rPr>
      </w:r>
      <w:r>
        <w:rPr>
          <w:spacing w:val="-3"/>
        </w:rPr>
        <w:t>根据《通知》（财会〔</w:t>
      </w:r>
      <w:r>
        <w:rPr>
          <w:rFonts w:ascii="Times New Roman" w:hAnsi="Times New Roman" w:cs="Times New Roman" w:eastAsia="Times New Roman" w:hint="default"/>
          <w:spacing w:val="-3"/>
        </w:rPr>
        <w:t>2019</w:t>
      </w:r>
      <w:r>
        <w:rPr>
          <w:spacing w:val="-3"/>
        </w:rPr>
        <w:t>〕</w:t>
      </w:r>
      <w:r>
        <w:rPr>
          <w:rFonts w:ascii="Times New Roman" w:hAnsi="Times New Roman" w:cs="Times New Roman" w:eastAsia="Times New Roman" w:hint="default"/>
          <w:spacing w:val="-3"/>
        </w:rPr>
        <w:t>6</w:t>
      </w:r>
      <w:r>
        <w:rPr>
          <w:spacing w:val="-3"/>
        </w:rPr>
        <w:t>号）的要求，公司对财务报表格式进行如下主要变动，未作具体说明的事项以财政部文</w:t>
      </w:r>
    </w:p>
    <w:p>
      <w:pPr>
        <w:spacing w:after="0" w:line="300" w:lineRule="auto"/>
        <w:jc w:val="left"/>
        <w:sectPr>
          <w:pgSz w:w="11910" w:h="16840"/>
          <w:pgMar w:header="746" w:footer="974" w:top="1060" w:bottom="1160" w:left="780" w:right="0"/>
        </w:sectPr>
      </w:pPr>
    </w:p>
    <w:p>
      <w:pPr>
        <w:spacing w:line="240" w:lineRule="auto" w:before="9"/>
        <w:rPr>
          <w:rFonts w:ascii="宋体" w:hAnsi="宋体" w:cs="宋体" w:eastAsia="宋体" w:hint="default"/>
          <w:sz w:val="25"/>
          <w:szCs w:val="25"/>
        </w:rPr>
      </w:pPr>
    </w:p>
    <w:p>
      <w:pPr>
        <w:pStyle w:val="BodyText"/>
        <w:spacing w:line="240" w:lineRule="auto" w:before="46"/>
        <w:ind w:right="855"/>
        <w:jc w:val="left"/>
      </w:pPr>
      <w:r>
        <w:rPr/>
        <w:t>件为准：</w:t>
      </w:r>
    </w:p>
    <w:p>
      <w:pPr>
        <w:pStyle w:val="BodyText"/>
        <w:spacing w:line="240" w:lineRule="auto" w:before="76"/>
        <w:ind w:left="513" w:right="855"/>
        <w:jc w:val="left"/>
      </w:pPr>
      <w:r>
        <w:rPr>
          <w:rFonts w:ascii="Times New Roman" w:hAnsi="Times New Roman" w:cs="Times New Roman" w:eastAsia="Times New Roman" w:hint="default"/>
        </w:rPr>
        <w:t>1</w:t>
      </w:r>
      <w:r>
        <w:rPr/>
        <w:t>、资产负债表：</w:t>
      </w:r>
    </w:p>
    <w:p>
      <w:pPr>
        <w:pStyle w:val="BodyText"/>
        <w:spacing w:line="240" w:lineRule="auto" w:before="63"/>
        <w:ind w:left="513" w:right="855"/>
        <w:jc w:val="left"/>
      </w:pPr>
      <w:r>
        <w:rPr>
          <w:spacing w:val="-3"/>
        </w:rPr>
        <w:t>（</w:t>
      </w:r>
      <w:r>
        <w:rPr>
          <w:rFonts w:ascii="Times New Roman" w:hAnsi="Times New Roman" w:cs="Times New Roman" w:eastAsia="Times New Roman" w:hint="default"/>
          <w:spacing w:val="-3"/>
        </w:rPr>
        <w:t>1</w:t>
      </w:r>
      <w:r>
        <w:rPr>
          <w:spacing w:val="-3"/>
        </w:rPr>
        <w:t>）将原</w:t>
      </w:r>
      <w:r>
        <w:rPr>
          <w:rFonts w:ascii="Times New Roman" w:hAnsi="Times New Roman" w:cs="Times New Roman" w:eastAsia="Times New Roman" w:hint="default"/>
          <w:spacing w:val="-3"/>
        </w:rPr>
        <w:t>“</w:t>
      </w:r>
      <w:r>
        <w:rPr>
          <w:spacing w:val="-3"/>
        </w:rPr>
        <w:t>应收票据及应收账款</w:t>
      </w:r>
      <w:r>
        <w:rPr>
          <w:rFonts w:ascii="Times New Roman" w:hAnsi="Times New Roman" w:cs="Times New Roman" w:eastAsia="Times New Roman" w:hint="default"/>
          <w:spacing w:val="-3"/>
        </w:rPr>
        <w:t>”</w:t>
      </w:r>
      <w:r>
        <w:rPr>
          <w:spacing w:val="-3"/>
        </w:rPr>
        <w:t>项目拆分为</w:t>
      </w:r>
      <w:r>
        <w:rPr>
          <w:rFonts w:ascii="Times New Roman" w:hAnsi="Times New Roman" w:cs="Times New Roman" w:eastAsia="Times New Roman" w:hint="default"/>
          <w:spacing w:val="-3"/>
        </w:rPr>
        <w:t>“</w:t>
      </w:r>
      <w:r>
        <w:rPr>
          <w:spacing w:val="-3"/>
        </w:rPr>
        <w:t>应收票据</w:t>
      </w:r>
      <w:r>
        <w:rPr>
          <w:rFonts w:ascii="Times New Roman" w:hAnsi="Times New Roman" w:cs="Times New Roman" w:eastAsia="Times New Roman" w:hint="default"/>
          <w:spacing w:val="-3"/>
        </w:rPr>
        <w:t>”</w:t>
      </w:r>
      <w:r>
        <w:rPr>
          <w:spacing w:val="-3"/>
        </w:rPr>
        <w:t>和</w:t>
      </w:r>
      <w:r>
        <w:rPr>
          <w:rFonts w:ascii="Times New Roman" w:hAnsi="Times New Roman" w:cs="Times New Roman" w:eastAsia="Times New Roman" w:hint="default"/>
          <w:spacing w:val="-3"/>
        </w:rPr>
        <w:t>“</w:t>
      </w:r>
      <w:r>
        <w:rPr>
          <w:spacing w:val="-3"/>
        </w:rPr>
        <w:t>应收账款</w:t>
      </w:r>
      <w:r>
        <w:rPr>
          <w:rFonts w:ascii="Times New Roman" w:hAnsi="Times New Roman" w:cs="Times New Roman" w:eastAsia="Times New Roman" w:hint="default"/>
          <w:spacing w:val="-3"/>
        </w:rPr>
        <w:t>”</w:t>
      </w:r>
      <w:r>
        <w:rPr>
          <w:spacing w:val="-3"/>
        </w:rPr>
        <w:t>二个项目；</w:t>
      </w:r>
    </w:p>
    <w:p>
      <w:pPr>
        <w:pStyle w:val="BodyText"/>
        <w:spacing w:line="240" w:lineRule="auto" w:before="63"/>
        <w:ind w:left="513" w:right="855"/>
        <w:jc w:val="left"/>
      </w:pPr>
      <w:r>
        <w:rPr>
          <w:spacing w:val="-3"/>
        </w:rPr>
        <w:t>（</w:t>
      </w:r>
      <w:r>
        <w:rPr>
          <w:rFonts w:ascii="Times New Roman" w:hAnsi="Times New Roman" w:cs="Times New Roman" w:eastAsia="Times New Roman" w:hint="default"/>
          <w:spacing w:val="-3"/>
        </w:rPr>
        <w:t>2</w:t>
      </w:r>
      <w:r>
        <w:rPr>
          <w:spacing w:val="-3"/>
        </w:rPr>
        <w:t>）将原</w:t>
      </w:r>
      <w:r>
        <w:rPr>
          <w:rFonts w:ascii="Times New Roman" w:hAnsi="Times New Roman" w:cs="Times New Roman" w:eastAsia="Times New Roman" w:hint="default"/>
          <w:spacing w:val="-3"/>
        </w:rPr>
        <w:t>“</w:t>
      </w:r>
      <w:r>
        <w:rPr>
          <w:spacing w:val="-3"/>
        </w:rPr>
        <w:t>应付票据及应付账款</w:t>
      </w:r>
      <w:r>
        <w:rPr>
          <w:rFonts w:ascii="Times New Roman" w:hAnsi="Times New Roman" w:cs="Times New Roman" w:eastAsia="Times New Roman" w:hint="default"/>
          <w:spacing w:val="-3"/>
        </w:rPr>
        <w:t>”</w:t>
      </w:r>
      <w:r>
        <w:rPr>
          <w:spacing w:val="-3"/>
        </w:rPr>
        <w:t>项目拆分为</w:t>
      </w:r>
      <w:r>
        <w:rPr>
          <w:rFonts w:ascii="Times New Roman" w:hAnsi="Times New Roman" w:cs="Times New Roman" w:eastAsia="Times New Roman" w:hint="default"/>
          <w:spacing w:val="-3"/>
        </w:rPr>
        <w:t>“</w:t>
      </w:r>
      <w:r>
        <w:rPr>
          <w:spacing w:val="-3"/>
        </w:rPr>
        <w:t>应付票据</w:t>
      </w:r>
      <w:r>
        <w:rPr>
          <w:rFonts w:ascii="Times New Roman" w:hAnsi="Times New Roman" w:cs="Times New Roman" w:eastAsia="Times New Roman" w:hint="default"/>
          <w:spacing w:val="-3"/>
        </w:rPr>
        <w:t>”</w:t>
      </w:r>
      <w:r>
        <w:rPr>
          <w:spacing w:val="-3"/>
        </w:rPr>
        <w:t>和</w:t>
      </w:r>
      <w:r>
        <w:rPr>
          <w:rFonts w:ascii="Times New Roman" w:hAnsi="Times New Roman" w:cs="Times New Roman" w:eastAsia="Times New Roman" w:hint="default"/>
          <w:spacing w:val="-3"/>
        </w:rPr>
        <w:t>“</w:t>
      </w:r>
      <w:r>
        <w:rPr>
          <w:spacing w:val="-3"/>
        </w:rPr>
        <w:t>应付账款</w:t>
      </w:r>
      <w:r>
        <w:rPr>
          <w:rFonts w:ascii="Times New Roman" w:hAnsi="Times New Roman" w:cs="Times New Roman" w:eastAsia="Times New Roman" w:hint="default"/>
          <w:spacing w:val="-3"/>
        </w:rPr>
        <w:t>”</w:t>
      </w:r>
      <w:r>
        <w:rPr>
          <w:spacing w:val="-3"/>
        </w:rPr>
        <w:t>二个项目；</w:t>
      </w:r>
    </w:p>
    <w:p>
      <w:pPr>
        <w:pStyle w:val="BodyText"/>
        <w:spacing w:line="240" w:lineRule="auto" w:before="63"/>
        <w:ind w:left="513" w:right="855"/>
        <w:jc w:val="left"/>
      </w:pPr>
      <w:r>
        <w:rPr>
          <w:spacing w:val="-3"/>
        </w:rPr>
        <w:t>（</w:t>
      </w:r>
      <w:r>
        <w:rPr>
          <w:rFonts w:ascii="Times New Roman" w:hAnsi="Times New Roman" w:cs="Times New Roman" w:eastAsia="Times New Roman" w:hint="default"/>
          <w:spacing w:val="-3"/>
        </w:rPr>
        <w:t>3</w:t>
      </w:r>
      <w:r>
        <w:rPr>
          <w:spacing w:val="-3"/>
        </w:rPr>
        <w:t>）增加</w:t>
      </w:r>
      <w:r>
        <w:rPr>
          <w:rFonts w:ascii="Times New Roman" w:hAnsi="Times New Roman" w:cs="Times New Roman" w:eastAsia="Times New Roman" w:hint="default"/>
          <w:spacing w:val="-3"/>
        </w:rPr>
        <w:t>“</w:t>
      </w:r>
      <w:r>
        <w:rPr>
          <w:spacing w:val="-3"/>
        </w:rPr>
        <w:t>其他权益工具投资</w:t>
      </w:r>
      <w:r>
        <w:rPr>
          <w:rFonts w:ascii="Times New Roman" w:hAnsi="Times New Roman" w:cs="Times New Roman" w:eastAsia="Times New Roman" w:hint="default"/>
          <w:spacing w:val="-3"/>
        </w:rPr>
        <w:t>”</w:t>
      </w:r>
      <w:r>
        <w:rPr>
          <w:spacing w:val="-3"/>
        </w:rPr>
        <w:t>、</w:t>
      </w:r>
      <w:r>
        <w:rPr>
          <w:rFonts w:ascii="Times New Roman" w:hAnsi="Times New Roman" w:cs="Times New Roman" w:eastAsia="Times New Roman" w:hint="default"/>
          <w:spacing w:val="-3"/>
        </w:rPr>
        <w:t>“</w:t>
      </w:r>
      <w:r>
        <w:rPr>
          <w:spacing w:val="-3"/>
        </w:rPr>
        <w:t>其他非流动金融资产</w:t>
      </w:r>
      <w:r>
        <w:rPr>
          <w:rFonts w:ascii="Times New Roman" w:hAnsi="Times New Roman" w:cs="Times New Roman" w:eastAsia="Times New Roman" w:hint="default"/>
          <w:spacing w:val="-3"/>
        </w:rPr>
        <w:t>”</w:t>
      </w:r>
      <w:r>
        <w:rPr>
          <w:spacing w:val="-3"/>
        </w:rPr>
        <w:t>项目。</w:t>
      </w:r>
    </w:p>
    <w:p>
      <w:pPr>
        <w:pStyle w:val="BodyText"/>
        <w:spacing w:line="240" w:lineRule="auto" w:before="63"/>
        <w:ind w:left="513" w:right="855"/>
        <w:jc w:val="left"/>
      </w:pPr>
      <w:r>
        <w:rPr>
          <w:rFonts w:ascii="Times New Roman" w:hAnsi="Times New Roman" w:cs="Times New Roman" w:eastAsia="Times New Roman" w:hint="default"/>
        </w:rPr>
        <w:t>2</w:t>
      </w:r>
      <w:r>
        <w:rPr/>
        <w:t>、利润表：</w:t>
      </w:r>
    </w:p>
    <w:p>
      <w:pPr>
        <w:pStyle w:val="BodyText"/>
        <w:spacing w:line="240" w:lineRule="auto" w:before="63"/>
        <w:ind w:left="513" w:right="855"/>
        <w:jc w:val="left"/>
      </w:pPr>
      <w:r>
        <w:rPr>
          <w:spacing w:val="-3"/>
        </w:rPr>
        <w:t>（</w:t>
      </w:r>
      <w:r>
        <w:rPr>
          <w:rFonts w:ascii="Times New Roman" w:hAnsi="Times New Roman" w:cs="Times New Roman" w:eastAsia="Times New Roman" w:hint="default"/>
          <w:spacing w:val="-3"/>
        </w:rPr>
        <w:t>1</w:t>
      </w:r>
      <w:r>
        <w:rPr>
          <w:spacing w:val="-3"/>
        </w:rPr>
        <w:t>）将利润表</w:t>
      </w:r>
      <w:r>
        <w:rPr>
          <w:rFonts w:ascii="Times New Roman" w:hAnsi="Times New Roman" w:cs="Times New Roman" w:eastAsia="Times New Roman" w:hint="default"/>
          <w:spacing w:val="-3"/>
        </w:rPr>
        <w:t>“</w:t>
      </w:r>
      <w:r>
        <w:rPr>
          <w:spacing w:val="-3"/>
        </w:rPr>
        <w:t>减：资产减值损失</w:t>
      </w:r>
      <w:r>
        <w:rPr>
          <w:rFonts w:ascii="Times New Roman" w:hAnsi="Times New Roman" w:cs="Times New Roman" w:eastAsia="Times New Roman" w:hint="default"/>
          <w:spacing w:val="-3"/>
        </w:rPr>
        <w:t>”</w:t>
      </w:r>
      <w:r>
        <w:rPr>
          <w:spacing w:val="-3"/>
        </w:rPr>
        <w:t>调整为</w:t>
      </w:r>
      <w:r>
        <w:rPr>
          <w:rFonts w:ascii="Times New Roman" w:hAnsi="Times New Roman" w:cs="Times New Roman" w:eastAsia="Times New Roman" w:hint="default"/>
          <w:spacing w:val="-3"/>
        </w:rPr>
        <w:t>“</w:t>
      </w:r>
      <w:r>
        <w:rPr>
          <w:spacing w:val="-3"/>
        </w:rPr>
        <w:t>加：资产减值损失（损失以</w:t>
      </w:r>
      <w:r>
        <w:rPr>
          <w:rFonts w:ascii="Times New Roman" w:hAnsi="Times New Roman" w:cs="Times New Roman" w:eastAsia="Times New Roman" w:hint="default"/>
          <w:spacing w:val="-3"/>
        </w:rPr>
        <w:t>“</w:t>
      </w:r>
      <w:r>
        <w:rPr>
          <w:rFonts w:ascii="Times New Roman" w:hAnsi="Times New Roman" w:cs="Times New Roman" w:eastAsia="Times New Roman" w:hint="default"/>
          <w:spacing w:val="-3"/>
        </w:rPr>
        <w:t>-</w:t>
      </w:r>
      <w:r>
        <w:rPr>
          <w:rFonts w:ascii="Times New Roman" w:hAnsi="Times New Roman" w:cs="Times New Roman" w:eastAsia="Times New Roman" w:hint="default"/>
          <w:spacing w:val="-3"/>
        </w:rPr>
        <w:t>”</w:t>
      </w:r>
      <w:r>
        <w:rPr>
          <w:spacing w:val="-3"/>
        </w:rPr>
        <w:t>号填列）</w:t>
      </w:r>
      <w:r>
        <w:rPr>
          <w:rFonts w:ascii="Times New Roman" w:hAnsi="Times New Roman" w:cs="Times New Roman" w:eastAsia="Times New Roman" w:hint="default"/>
          <w:spacing w:val="-3"/>
        </w:rPr>
        <w:t>”</w:t>
      </w:r>
      <w:r>
        <w:rPr>
          <w:spacing w:val="-3"/>
        </w:rPr>
        <w:t>；</w:t>
      </w:r>
    </w:p>
    <w:p>
      <w:pPr>
        <w:pStyle w:val="BodyText"/>
        <w:spacing w:line="240" w:lineRule="auto" w:before="63"/>
        <w:ind w:left="513" w:right="855"/>
        <w:jc w:val="left"/>
      </w:pPr>
      <w:r>
        <w:rPr>
          <w:spacing w:val="-3"/>
        </w:rPr>
        <w:t>（</w:t>
      </w:r>
      <w:r>
        <w:rPr>
          <w:rFonts w:ascii="Times New Roman" w:hAnsi="Times New Roman" w:cs="Times New Roman" w:eastAsia="Times New Roman" w:hint="default"/>
          <w:spacing w:val="-3"/>
        </w:rPr>
        <w:t>2</w:t>
      </w:r>
      <w:r>
        <w:rPr>
          <w:spacing w:val="-3"/>
        </w:rPr>
        <w:t>）增加</w:t>
      </w:r>
      <w:r>
        <w:rPr>
          <w:rFonts w:ascii="Times New Roman" w:hAnsi="Times New Roman" w:cs="Times New Roman" w:eastAsia="Times New Roman" w:hint="default"/>
          <w:spacing w:val="-3"/>
        </w:rPr>
        <w:t>“</w:t>
      </w:r>
      <w:r>
        <w:rPr>
          <w:spacing w:val="-3"/>
        </w:rPr>
        <w:t>以摊余成本计量的金融资产终止确认收益（损失以</w:t>
      </w:r>
      <w:r>
        <w:rPr>
          <w:rFonts w:ascii="Times New Roman" w:hAnsi="Times New Roman" w:cs="Times New Roman" w:eastAsia="Times New Roman" w:hint="default"/>
          <w:spacing w:val="-3"/>
        </w:rPr>
        <w:t>“</w:t>
      </w:r>
      <w:r>
        <w:rPr>
          <w:rFonts w:ascii="Times New Roman" w:hAnsi="Times New Roman" w:cs="Times New Roman" w:eastAsia="Times New Roman" w:hint="default"/>
          <w:spacing w:val="-3"/>
        </w:rPr>
        <w:t>-</w:t>
      </w:r>
      <w:r>
        <w:rPr>
          <w:rFonts w:ascii="Times New Roman" w:hAnsi="Times New Roman" w:cs="Times New Roman" w:eastAsia="Times New Roman" w:hint="default"/>
          <w:spacing w:val="-3"/>
        </w:rPr>
        <w:t>”</w:t>
      </w:r>
      <w:r>
        <w:rPr>
          <w:spacing w:val="-3"/>
        </w:rPr>
        <w:t>号填列）</w:t>
      </w:r>
      <w:r>
        <w:rPr>
          <w:rFonts w:ascii="Times New Roman" w:hAnsi="Times New Roman" w:cs="Times New Roman" w:eastAsia="Times New Roman" w:hint="default"/>
          <w:spacing w:val="-3"/>
        </w:rPr>
        <w:t>”</w:t>
      </w:r>
      <w:r>
        <w:rPr>
          <w:spacing w:val="-3"/>
        </w:rPr>
        <w:t>、</w:t>
      </w:r>
      <w:r>
        <w:rPr>
          <w:rFonts w:ascii="Times New Roman" w:hAnsi="Times New Roman" w:cs="Times New Roman" w:eastAsia="Times New Roman" w:hint="default"/>
          <w:spacing w:val="-3"/>
        </w:rPr>
        <w:t>“</w:t>
      </w:r>
      <w:r>
        <w:rPr>
          <w:spacing w:val="-3"/>
        </w:rPr>
        <w:t>净敞口套期收益（损失以</w:t>
      </w:r>
      <w:r>
        <w:rPr>
          <w:rFonts w:ascii="Times New Roman" w:hAnsi="Times New Roman" w:cs="Times New Roman" w:eastAsia="Times New Roman" w:hint="default"/>
          <w:spacing w:val="-3"/>
        </w:rPr>
        <w:t>“</w:t>
      </w:r>
      <w:r>
        <w:rPr>
          <w:rFonts w:ascii="Times New Roman" w:hAnsi="Times New Roman" w:cs="Times New Roman" w:eastAsia="Times New Roman" w:hint="default"/>
          <w:spacing w:val="-3"/>
        </w:rPr>
        <w:t>-</w:t>
      </w:r>
      <w:r>
        <w:rPr>
          <w:rFonts w:ascii="Times New Roman" w:hAnsi="Times New Roman" w:cs="Times New Roman" w:eastAsia="Times New Roman" w:hint="default"/>
          <w:spacing w:val="-3"/>
        </w:rPr>
        <w:t>”</w:t>
      </w:r>
      <w:r>
        <w:rPr>
          <w:spacing w:val="-3"/>
        </w:rPr>
        <w:t>号填列）</w:t>
      </w:r>
      <w:r>
        <w:rPr>
          <w:rFonts w:ascii="Times New Roman" w:hAnsi="Times New Roman" w:cs="Times New Roman" w:eastAsia="Times New Roman" w:hint="default"/>
          <w:spacing w:val="-3"/>
        </w:rPr>
        <w:t>”</w:t>
      </w:r>
      <w:r>
        <w:rPr>
          <w:spacing w:val="-3"/>
        </w:rPr>
        <w:t>、</w:t>
      </w:r>
    </w:p>
    <w:p>
      <w:pPr>
        <w:pStyle w:val="BodyText"/>
        <w:spacing w:line="300" w:lineRule="auto" w:before="63"/>
        <w:ind w:left="513" w:right="6110" w:hanging="360"/>
        <w:jc w:val="left"/>
      </w:pPr>
      <w:r>
        <w:rPr>
          <w:rFonts w:ascii="Times New Roman" w:hAnsi="Times New Roman" w:cs="Times New Roman" w:eastAsia="Times New Roman" w:hint="default"/>
          <w:spacing w:val="-3"/>
        </w:rPr>
        <w:t>“</w:t>
      </w:r>
      <w:r>
        <w:rPr>
          <w:spacing w:val="-3"/>
        </w:rPr>
        <w:t>信用减值损失（损失以</w:t>
      </w:r>
      <w:r>
        <w:rPr>
          <w:rFonts w:ascii="Times New Roman" w:hAnsi="Times New Roman" w:cs="Times New Roman" w:eastAsia="Times New Roman" w:hint="default"/>
          <w:spacing w:val="-3"/>
        </w:rPr>
        <w:t>“</w:t>
      </w:r>
      <w:r>
        <w:rPr>
          <w:rFonts w:ascii="Times New Roman" w:hAnsi="Times New Roman" w:cs="Times New Roman" w:eastAsia="Times New Roman" w:hint="default"/>
          <w:spacing w:val="-3"/>
        </w:rPr>
        <w:t>-</w:t>
      </w:r>
      <w:r>
        <w:rPr>
          <w:rFonts w:ascii="Times New Roman" w:hAnsi="Times New Roman" w:cs="Times New Roman" w:eastAsia="Times New Roman" w:hint="default"/>
          <w:spacing w:val="-3"/>
        </w:rPr>
        <w:t>”</w:t>
      </w:r>
      <w:r>
        <w:rPr>
          <w:spacing w:val="-3"/>
        </w:rPr>
        <w:t>号填列）</w:t>
      </w:r>
      <w:r>
        <w:rPr>
          <w:rFonts w:ascii="Times New Roman" w:hAnsi="Times New Roman" w:cs="Times New Roman" w:eastAsia="Times New Roman" w:hint="default"/>
          <w:spacing w:val="-3"/>
        </w:rPr>
        <w:t>”</w:t>
      </w:r>
      <w:r>
        <w:rPr>
          <w:spacing w:val="-3"/>
        </w:rPr>
        <w:t>项目。</w:t>
      </w:r>
      <w:r>
        <w:rPr>
          <w:spacing w:val="-27"/>
        </w:rPr>
        <w:t> </w:t>
      </w:r>
      <w:r>
        <w:rPr>
          <w:spacing w:val="-27"/>
        </w:rPr>
      </w:r>
      <w:r>
        <w:rPr>
          <w:rFonts w:ascii="Times New Roman" w:hAnsi="Times New Roman" w:cs="Times New Roman" w:eastAsia="Times New Roman" w:hint="default"/>
        </w:rPr>
        <w:t>3</w:t>
      </w:r>
      <w:r>
        <w:rPr/>
        <w:t>、现金流量表：</w:t>
      </w:r>
    </w:p>
    <w:p>
      <w:pPr>
        <w:pStyle w:val="BodyText"/>
        <w:spacing w:line="300" w:lineRule="auto" w:before="13"/>
        <w:ind w:right="855" w:firstLine="360"/>
        <w:jc w:val="left"/>
      </w:pPr>
      <w:r>
        <w:rPr>
          <w:spacing w:val="-3"/>
        </w:rPr>
        <w:t>明确了政府补助的填列口径，企业实际收到的政府补助，无论是与资产相关还是与收益相关，均在</w:t>
      </w:r>
      <w:r>
        <w:rPr>
          <w:rFonts w:ascii="Times New Roman" w:hAnsi="Times New Roman" w:cs="Times New Roman" w:eastAsia="Times New Roman" w:hint="default"/>
          <w:spacing w:val="-3"/>
        </w:rPr>
        <w:t>“</w:t>
      </w:r>
      <w:r>
        <w:rPr>
          <w:spacing w:val="-3"/>
        </w:rPr>
        <w:t>收到其他与经营活</w:t>
      </w:r>
      <w:r>
        <w:rPr>
          <w:w w:val="101"/>
        </w:rPr>
        <w:t> </w:t>
      </w:r>
      <w:r>
        <w:rPr>
          <w:spacing w:val="-3"/>
        </w:rPr>
        <w:t>动有关的现金</w:t>
      </w:r>
      <w:r>
        <w:rPr>
          <w:rFonts w:ascii="Times New Roman" w:hAnsi="Times New Roman" w:cs="Times New Roman" w:eastAsia="Times New Roman" w:hint="default"/>
          <w:spacing w:val="-3"/>
        </w:rPr>
        <w:t>”</w:t>
      </w:r>
      <w:r>
        <w:rPr>
          <w:spacing w:val="-3"/>
        </w:rPr>
        <w:t>项目填列。</w:t>
      </w:r>
    </w:p>
    <w:p>
      <w:pPr>
        <w:pStyle w:val="BodyText"/>
        <w:spacing w:line="300" w:lineRule="auto" w:before="13"/>
        <w:ind w:left="513" w:right="855"/>
        <w:jc w:val="left"/>
      </w:pPr>
      <w:r>
        <w:rPr>
          <w:rFonts w:ascii="Times New Roman" w:hAnsi="Times New Roman" w:cs="Times New Roman" w:eastAsia="Times New Roman" w:hint="default"/>
        </w:rPr>
        <w:t>4</w:t>
      </w:r>
      <w:r>
        <w:rPr/>
        <w:t>、所有者权益变动表：</w:t>
      </w:r>
      <w:r>
        <w:rPr>
          <w:spacing w:val="-85"/>
        </w:rPr>
        <w:t> </w:t>
      </w:r>
      <w:r>
        <w:rPr>
          <w:spacing w:val="-85"/>
        </w:rPr>
      </w:r>
      <w:r>
        <w:rPr>
          <w:spacing w:val="-4"/>
        </w:rPr>
        <w:t>明确了</w:t>
      </w:r>
      <w:r>
        <w:rPr>
          <w:rFonts w:ascii="Times New Roman" w:hAnsi="Times New Roman" w:cs="Times New Roman" w:eastAsia="Times New Roman" w:hint="default"/>
          <w:spacing w:val="-4"/>
        </w:rPr>
        <w:t>“</w:t>
      </w:r>
      <w:r>
        <w:rPr>
          <w:spacing w:val="-4"/>
        </w:rPr>
        <w:t>其他权益工具持有者投入资本</w:t>
      </w:r>
      <w:r>
        <w:rPr>
          <w:rFonts w:ascii="Times New Roman" w:hAnsi="Times New Roman" w:cs="Times New Roman" w:eastAsia="Times New Roman" w:hint="default"/>
          <w:spacing w:val="-4"/>
        </w:rPr>
        <w:t>”</w:t>
      </w:r>
      <w:r>
        <w:rPr>
          <w:spacing w:val="-4"/>
        </w:rPr>
        <w:t>项目的填列口径，</w:t>
      </w:r>
      <w:r>
        <w:rPr>
          <w:rFonts w:ascii="Times New Roman" w:hAnsi="Times New Roman" w:cs="Times New Roman" w:eastAsia="Times New Roman" w:hint="default"/>
          <w:spacing w:val="-4"/>
        </w:rPr>
        <w:t>“</w:t>
      </w:r>
      <w:r>
        <w:rPr>
          <w:spacing w:val="-4"/>
        </w:rPr>
        <w:t>其他权益工具持有者投入资本</w:t>
      </w:r>
      <w:r>
        <w:rPr>
          <w:rFonts w:ascii="Times New Roman" w:hAnsi="Times New Roman" w:cs="Times New Roman" w:eastAsia="Times New Roman" w:hint="default"/>
          <w:spacing w:val="-4"/>
        </w:rPr>
        <w:t>”</w:t>
      </w:r>
      <w:r>
        <w:rPr>
          <w:spacing w:val="-4"/>
        </w:rPr>
        <w:t>项目，反映企业发行的除普通</w:t>
      </w:r>
    </w:p>
    <w:p>
      <w:pPr>
        <w:pStyle w:val="BodyText"/>
        <w:spacing w:line="240" w:lineRule="auto" w:before="13"/>
        <w:ind w:right="855"/>
        <w:jc w:val="left"/>
      </w:pPr>
      <w:r>
        <w:rPr>
          <w:spacing w:val="-3"/>
        </w:rPr>
        <w:t>股以外分类为权益工具的金融工具的持有者投入资本的金额。</w:t>
      </w:r>
    </w:p>
    <w:p>
      <w:pPr>
        <w:pStyle w:val="BodyText"/>
        <w:spacing w:line="300" w:lineRule="auto" w:before="76"/>
        <w:ind w:right="855" w:firstLine="360"/>
        <w:jc w:val="left"/>
      </w:pPr>
      <w:r>
        <w:rPr>
          <w:spacing w:val="-6"/>
        </w:rPr>
        <w:t>（三）</w:t>
      </w:r>
      <w:r>
        <w:rPr>
          <w:rFonts w:ascii="Times New Roman" w:hAnsi="Times New Roman" w:cs="Times New Roman" w:eastAsia="Times New Roman" w:hint="default"/>
          <w:spacing w:val="-6"/>
        </w:rPr>
        <w:t>2019</w:t>
      </w:r>
      <w:r>
        <w:rPr>
          <w:spacing w:val="-6"/>
        </w:rPr>
        <w:t>年</w:t>
      </w:r>
      <w:r>
        <w:rPr>
          <w:rFonts w:ascii="Times New Roman" w:hAnsi="Times New Roman" w:cs="Times New Roman" w:eastAsia="Times New Roman" w:hint="default"/>
          <w:spacing w:val="-6"/>
        </w:rPr>
        <w:t>9</w:t>
      </w:r>
      <w:r>
        <w:rPr>
          <w:spacing w:val="-6"/>
        </w:rPr>
        <w:t>月</w:t>
      </w:r>
      <w:r>
        <w:rPr>
          <w:rFonts w:ascii="Times New Roman" w:hAnsi="Times New Roman" w:cs="Times New Roman" w:eastAsia="Times New Roman" w:hint="default"/>
          <w:spacing w:val="-6"/>
        </w:rPr>
        <w:t>19</w:t>
      </w:r>
      <w:r>
        <w:rPr>
          <w:spacing w:val="-6"/>
        </w:rPr>
        <w:t>日，财政部发布了《关于修订印发合并财务报表格式（</w:t>
      </w:r>
      <w:r>
        <w:rPr>
          <w:rFonts w:ascii="Times New Roman" w:hAnsi="Times New Roman" w:cs="Times New Roman" w:eastAsia="Times New Roman" w:hint="default"/>
          <w:spacing w:val="-6"/>
        </w:rPr>
        <w:t>2019</w:t>
      </w:r>
      <w:r>
        <w:rPr>
          <w:spacing w:val="-6"/>
        </w:rPr>
        <w:t>版）的通知》（财会〔</w:t>
      </w:r>
      <w:r>
        <w:rPr>
          <w:rFonts w:ascii="Times New Roman" w:hAnsi="Times New Roman" w:cs="Times New Roman" w:eastAsia="Times New Roman" w:hint="default"/>
          <w:spacing w:val="-6"/>
        </w:rPr>
        <w:t>2019</w:t>
      </w:r>
      <w:r>
        <w:rPr>
          <w:spacing w:val="-6"/>
        </w:rPr>
        <w:t>〕</w:t>
      </w:r>
      <w:r>
        <w:rPr>
          <w:rFonts w:ascii="Times New Roman" w:hAnsi="Times New Roman" w:cs="Times New Roman" w:eastAsia="Times New Roman" w:hint="default"/>
          <w:spacing w:val="-6"/>
        </w:rPr>
        <w:t>16</w:t>
      </w:r>
      <w:r>
        <w:rPr>
          <w:spacing w:val="-6"/>
        </w:rPr>
        <w:t>号）（以</w:t>
      </w:r>
      <w:r>
        <w:rPr>
          <w:w w:val="101"/>
        </w:rPr>
        <w:t> </w:t>
      </w:r>
      <w:r>
        <w:rPr>
          <w:spacing w:val="-3"/>
        </w:rPr>
        <w:t>下简称</w:t>
      </w:r>
      <w:r>
        <w:rPr>
          <w:rFonts w:ascii="Times New Roman" w:hAnsi="Times New Roman" w:cs="Times New Roman" w:eastAsia="Times New Roman" w:hint="default"/>
          <w:spacing w:val="-3"/>
        </w:rPr>
        <w:t>“</w:t>
      </w:r>
      <w:r>
        <w:rPr>
          <w:spacing w:val="-3"/>
        </w:rPr>
        <w:t>《通知》（财会〔</w:t>
      </w:r>
      <w:r>
        <w:rPr>
          <w:rFonts w:ascii="Times New Roman" w:hAnsi="Times New Roman" w:cs="Times New Roman" w:eastAsia="Times New Roman" w:hint="default"/>
          <w:spacing w:val="-3"/>
        </w:rPr>
        <w:t>2019</w:t>
      </w:r>
      <w:r>
        <w:rPr>
          <w:spacing w:val="-3"/>
        </w:rPr>
        <w:t>〕</w:t>
      </w:r>
      <w:r>
        <w:rPr>
          <w:rFonts w:ascii="Times New Roman" w:hAnsi="Times New Roman" w:cs="Times New Roman" w:eastAsia="Times New Roman" w:hint="default"/>
          <w:spacing w:val="-3"/>
        </w:rPr>
        <w:t>16</w:t>
      </w:r>
      <w:r>
        <w:rPr>
          <w:spacing w:val="-3"/>
        </w:rPr>
        <w:t>号）</w:t>
      </w:r>
      <w:r>
        <w:rPr>
          <w:rFonts w:ascii="Times New Roman" w:hAnsi="Times New Roman" w:cs="Times New Roman" w:eastAsia="Times New Roman" w:hint="default"/>
          <w:spacing w:val="-3"/>
        </w:rPr>
        <w:t>”</w:t>
      </w:r>
      <w:r>
        <w:rPr>
          <w:spacing w:val="-3"/>
        </w:rPr>
        <w:t>），修订了合并财务报表格式。</w:t>
      </w:r>
    </w:p>
    <w:p>
      <w:pPr>
        <w:pStyle w:val="BodyText"/>
        <w:spacing w:line="300" w:lineRule="auto" w:before="13"/>
        <w:ind w:right="855" w:firstLine="360"/>
        <w:jc w:val="left"/>
      </w:pPr>
      <w:r>
        <w:rPr>
          <w:spacing w:val="-4"/>
        </w:rPr>
        <w:t>根据《通知》（财会〔</w:t>
      </w:r>
      <w:r>
        <w:rPr>
          <w:rFonts w:ascii="Times New Roman" w:hAnsi="Times New Roman" w:cs="Times New Roman" w:eastAsia="Times New Roman" w:hint="default"/>
          <w:spacing w:val="-4"/>
        </w:rPr>
        <w:t>2019</w:t>
      </w:r>
      <w:r>
        <w:rPr>
          <w:spacing w:val="-4"/>
        </w:rPr>
        <w:t>〕</w:t>
      </w:r>
      <w:r>
        <w:rPr>
          <w:rFonts w:ascii="Times New Roman" w:hAnsi="Times New Roman" w:cs="Times New Roman" w:eastAsia="Times New Roman" w:hint="default"/>
          <w:spacing w:val="-4"/>
        </w:rPr>
        <w:t>16</w:t>
      </w:r>
      <w:r>
        <w:rPr>
          <w:spacing w:val="-4"/>
        </w:rPr>
        <w:t>号）的要求，公司对合并财务报表格式进行如下主要变动，未作具体说明的事项以财政</w:t>
      </w:r>
      <w:r>
        <w:rPr>
          <w:w w:val="101"/>
        </w:rPr>
        <w:t> </w:t>
      </w:r>
      <w:r>
        <w:rPr/>
        <w:t>部文件为准：</w:t>
      </w:r>
    </w:p>
    <w:p>
      <w:pPr>
        <w:pStyle w:val="BodyText"/>
        <w:spacing w:line="240" w:lineRule="auto" w:before="32"/>
        <w:ind w:left="513" w:right="855"/>
        <w:jc w:val="left"/>
      </w:pPr>
      <w:r>
        <w:rPr>
          <w:rFonts w:ascii="Times New Roman" w:hAnsi="Times New Roman" w:cs="Times New Roman" w:eastAsia="Times New Roman" w:hint="default"/>
          <w:spacing w:val="-3"/>
        </w:rPr>
        <w:t>1</w:t>
      </w:r>
      <w:r>
        <w:rPr>
          <w:spacing w:val="-3"/>
        </w:rPr>
        <w:t>、合并资产负债表项目：</w:t>
      </w:r>
    </w:p>
    <w:p>
      <w:pPr>
        <w:pStyle w:val="BodyText"/>
        <w:spacing w:line="240" w:lineRule="auto" w:before="63"/>
        <w:ind w:left="513" w:right="855"/>
        <w:jc w:val="left"/>
      </w:pPr>
      <w:r>
        <w:rPr>
          <w:spacing w:val="-3"/>
        </w:rPr>
        <w:t>（</w:t>
      </w:r>
      <w:r>
        <w:rPr>
          <w:rFonts w:ascii="Times New Roman" w:hAnsi="Times New Roman" w:cs="Times New Roman" w:eastAsia="Times New Roman" w:hint="default"/>
          <w:spacing w:val="-3"/>
        </w:rPr>
        <w:t>1</w:t>
      </w:r>
      <w:r>
        <w:rPr>
          <w:spacing w:val="-3"/>
        </w:rPr>
        <w:t>）增加</w:t>
      </w:r>
      <w:r>
        <w:rPr>
          <w:rFonts w:ascii="Times New Roman" w:hAnsi="Times New Roman" w:cs="Times New Roman" w:eastAsia="Times New Roman" w:hint="default"/>
          <w:spacing w:val="-3"/>
        </w:rPr>
        <w:t>“</w:t>
      </w:r>
      <w:r>
        <w:rPr>
          <w:spacing w:val="-3"/>
        </w:rPr>
        <w:t>使用权资产</w:t>
      </w:r>
      <w:r>
        <w:rPr>
          <w:rFonts w:ascii="Times New Roman" w:hAnsi="Times New Roman" w:cs="Times New Roman" w:eastAsia="Times New Roman" w:hint="default"/>
          <w:spacing w:val="-3"/>
        </w:rPr>
        <w:t>”“</w:t>
      </w:r>
      <w:r>
        <w:rPr>
          <w:spacing w:val="-3"/>
        </w:rPr>
        <w:t>租赁负债</w:t>
      </w:r>
      <w:r>
        <w:rPr>
          <w:rFonts w:ascii="Times New Roman" w:hAnsi="Times New Roman" w:cs="Times New Roman" w:eastAsia="Times New Roman" w:hint="default"/>
          <w:spacing w:val="-3"/>
        </w:rPr>
        <w:t>”</w:t>
      </w:r>
      <w:r>
        <w:rPr>
          <w:spacing w:val="-3"/>
        </w:rPr>
        <w:t>等项目；</w:t>
      </w:r>
    </w:p>
    <w:p>
      <w:pPr>
        <w:pStyle w:val="BodyText"/>
        <w:spacing w:line="240" w:lineRule="auto" w:before="63"/>
        <w:ind w:left="513" w:right="855"/>
        <w:jc w:val="left"/>
      </w:pPr>
      <w:r>
        <w:rPr>
          <w:spacing w:val="-3"/>
        </w:rPr>
        <w:t>（</w:t>
      </w:r>
      <w:r>
        <w:rPr>
          <w:rFonts w:ascii="Times New Roman" w:hAnsi="Times New Roman" w:cs="Times New Roman" w:eastAsia="Times New Roman" w:hint="default"/>
          <w:spacing w:val="-3"/>
        </w:rPr>
        <w:t>2</w:t>
      </w:r>
      <w:r>
        <w:rPr>
          <w:spacing w:val="-3"/>
        </w:rPr>
        <w:t>）将原</w:t>
      </w:r>
      <w:r>
        <w:rPr>
          <w:rFonts w:ascii="Times New Roman" w:hAnsi="Times New Roman" w:cs="Times New Roman" w:eastAsia="Times New Roman" w:hint="default"/>
          <w:spacing w:val="-3"/>
        </w:rPr>
        <w:t>“</w:t>
      </w:r>
      <w:r>
        <w:rPr>
          <w:spacing w:val="-3"/>
        </w:rPr>
        <w:t>应收票据及应收账款</w:t>
      </w:r>
      <w:r>
        <w:rPr>
          <w:rFonts w:ascii="Times New Roman" w:hAnsi="Times New Roman" w:cs="Times New Roman" w:eastAsia="Times New Roman" w:hint="default"/>
          <w:spacing w:val="-3"/>
        </w:rPr>
        <w:t>”</w:t>
      </w:r>
      <w:r>
        <w:rPr>
          <w:spacing w:val="-3"/>
        </w:rPr>
        <w:t>项目拆分为</w:t>
      </w:r>
      <w:r>
        <w:rPr>
          <w:rFonts w:ascii="Times New Roman" w:hAnsi="Times New Roman" w:cs="Times New Roman" w:eastAsia="Times New Roman" w:hint="default"/>
          <w:spacing w:val="-3"/>
        </w:rPr>
        <w:t>“</w:t>
      </w:r>
      <w:r>
        <w:rPr>
          <w:spacing w:val="-3"/>
        </w:rPr>
        <w:t>应收票据</w:t>
      </w:r>
      <w:r>
        <w:rPr>
          <w:rFonts w:ascii="Times New Roman" w:hAnsi="Times New Roman" w:cs="Times New Roman" w:eastAsia="Times New Roman" w:hint="default"/>
          <w:spacing w:val="-3"/>
        </w:rPr>
        <w:t>”</w:t>
      </w:r>
      <w:r>
        <w:rPr>
          <w:spacing w:val="-3"/>
        </w:rPr>
        <w:t>、</w:t>
      </w:r>
      <w:r>
        <w:rPr>
          <w:rFonts w:ascii="Times New Roman" w:hAnsi="Times New Roman" w:cs="Times New Roman" w:eastAsia="Times New Roman" w:hint="default"/>
          <w:spacing w:val="-3"/>
        </w:rPr>
        <w:t>“</w:t>
      </w:r>
      <w:r>
        <w:rPr>
          <w:spacing w:val="-3"/>
        </w:rPr>
        <w:t>应收账款</w:t>
      </w:r>
      <w:r>
        <w:rPr>
          <w:rFonts w:ascii="Times New Roman" w:hAnsi="Times New Roman" w:cs="Times New Roman" w:eastAsia="Times New Roman" w:hint="default"/>
          <w:spacing w:val="-3"/>
        </w:rPr>
        <w:t>”</w:t>
      </w:r>
      <w:r>
        <w:rPr>
          <w:spacing w:val="-3"/>
        </w:rPr>
        <w:t>和</w:t>
      </w:r>
      <w:r>
        <w:rPr>
          <w:rFonts w:ascii="Times New Roman" w:hAnsi="Times New Roman" w:cs="Times New Roman" w:eastAsia="Times New Roman" w:hint="default"/>
          <w:spacing w:val="-3"/>
        </w:rPr>
        <w:t>“</w:t>
      </w:r>
      <w:r>
        <w:rPr>
          <w:spacing w:val="-3"/>
        </w:rPr>
        <w:t>应收款项融资</w:t>
      </w:r>
      <w:r>
        <w:rPr>
          <w:rFonts w:ascii="Times New Roman" w:hAnsi="Times New Roman" w:cs="Times New Roman" w:eastAsia="Times New Roman" w:hint="default"/>
          <w:spacing w:val="-3"/>
        </w:rPr>
        <w:t>”</w:t>
      </w:r>
      <w:r>
        <w:rPr>
          <w:spacing w:val="-3"/>
        </w:rPr>
        <w:t>三个项目；</w:t>
      </w:r>
    </w:p>
    <w:p>
      <w:pPr>
        <w:pStyle w:val="BodyText"/>
        <w:spacing w:line="240" w:lineRule="auto" w:before="63"/>
        <w:ind w:left="513" w:right="855"/>
        <w:jc w:val="left"/>
      </w:pPr>
      <w:r>
        <w:rPr>
          <w:spacing w:val="-3"/>
        </w:rPr>
        <w:t>（</w:t>
      </w:r>
      <w:r>
        <w:rPr>
          <w:rFonts w:ascii="Times New Roman" w:hAnsi="Times New Roman" w:cs="Times New Roman" w:eastAsia="Times New Roman" w:hint="default"/>
          <w:spacing w:val="-3"/>
        </w:rPr>
        <w:t>3</w:t>
      </w:r>
      <w:r>
        <w:rPr>
          <w:spacing w:val="-3"/>
        </w:rPr>
        <w:t>）将原</w:t>
      </w:r>
      <w:r>
        <w:rPr>
          <w:rFonts w:ascii="Times New Roman" w:hAnsi="Times New Roman" w:cs="Times New Roman" w:eastAsia="Times New Roman" w:hint="default"/>
          <w:spacing w:val="-3"/>
        </w:rPr>
        <w:t>“</w:t>
      </w:r>
      <w:r>
        <w:rPr>
          <w:spacing w:val="-3"/>
        </w:rPr>
        <w:t>应付票据及应付账款</w:t>
      </w:r>
      <w:r>
        <w:rPr>
          <w:rFonts w:ascii="Times New Roman" w:hAnsi="Times New Roman" w:cs="Times New Roman" w:eastAsia="Times New Roman" w:hint="default"/>
          <w:spacing w:val="-3"/>
        </w:rPr>
        <w:t>”</w:t>
      </w:r>
      <w:r>
        <w:rPr>
          <w:spacing w:val="-3"/>
        </w:rPr>
        <w:t>项目拆分为</w:t>
      </w:r>
      <w:r>
        <w:rPr>
          <w:rFonts w:ascii="Times New Roman" w:hAnsi="Times New Roman" w:cs="Times New Roman" w:eastAsia="Times New Roman" w:hint="default"/>
          <w:spacing w:val="-3"/>
        </w:rPr>
        <w:t>“</w:t>
      </w:r>
      <w:r>
        <w:rPr>
          <w:spacing w:val="-3"/>
        </w:rPr>
        <w:t>应付票据</w:t>
      </w:r>
      <w:r>
        <w:rPr>
          <w:rFonts w:ascii="Times New Roman" w:hAnsi="Times New Roman" w:cs="Times New Roman" w:eastAsia="Times New Roman" w:hint="default"/>
          <w:spacing w:val="-3"/>
        </w:rPr>
        <w:t>”</w:t>
      </w:r>
      <w:r>
        <w:rPr>
          <w:spacing w:val="-3"/>
        </w:rPr>
        <w:t>和</w:t>
      </w:r>
      <w:r>
        <w:rPr>
          <w:rFonts w:ascii="Times New Roman" w:hAnsi="Times New Roman" w:cs="Times New Roman" w:eastAsia="Times New Roman" w:hint="default"/>
          <w:spacing w:val="-3"/>
        </w:rPr>
        <w:t>“</w:t>
      </w:r>
      <w:r>
        <w:rPr>
          <w:spacing w:val="-3"/>
        </w:rPr>
        <w:t>应付账款</w:t>
      </w:r>
      <w:r>
        <w:rPr>
          <w:rFonts w:ascii="Times New Roman" w:hAnsi="Times New Roman" w:cs="Times New Roman" w:eastAsia="Times New Roman" w:hint="default"/>
          <w:spacing w:val="-3"/>
        </w:rPr>
        <w:t>”</w:t>
      </w:r>
      <w:r>
        <w:rPr>
          <w:spacing w:val="-3"/>
        </w:rPr>
        <w:t>两个项目。</w:t>
      </w:r>
    </w:p>
    <w:p>
      <w:pPr>
        <w:pStyle w:val="BodyText"/>
        <w:spacing w:line="240" w:lineRule="auto" w:before="63"/>
        <w:ind w:left="513" w:right="855"/>
        <w:jc w:val="left"/>
      </w:pPr>
      <w:r>
        <w:rPr>
          <w:spacing w:val="-3"/>
        </w:rPr>
        <w:t>（</w:t>
      </w:r>
      <w:r>
        <w:rPr>
          <w:rFonts w:ascii="Times New Roman" w:hAnsi="Times New Roman" w:cs="Times New Roman" w:eastAsia="Times New Roman" w:hint="default"/>
          <w:spacing w:val="-3"/>
        </w:rPr>
        <w:t>4</w:t>
      </w:r>
      <w:r>
        <w:rPr>
          <w:spacing w:val="-3"/>
        </w:rPr>
        <w:t>）新增</w:t>
      </w:r>
      <w:r>
        <w:rPr>
          <w:rFonts w:ascii="Times New Roman" w:hAnsi="Times New Roman" w:cs="Times New Roman" w:eastAsia="Times New Roman" w:hint="default"/>
          <w:spacing w:val="-3"/>
        </w:rPr>
        <w:t>“</w:t>
      </w:r>
      <w:r>
        <w:rPr>
          <w:spacing w:val="-3"/>
        </w:rPr>
        <w:t>专项储备</w:t>
      </w:r>
      <w:r>
        <w:rPr>
          <w:rFonts w:ascii="Times New Roman" w:hAnsi="Times New Roman" w:cs="Times New Roman" w:eastAsia="Times New Roman" w:hint="default"/>
          <w:spacing w:val="-3"/>
        </w:rPr>
        <w:t>”</w:t>
      </w:r>
      <w:r>
        <w:rPr>
          <w:spacing w:val="-3"/>
        </w:rPr>
        <w:t>项目。</w:t>
      </w:r>
    </w:p>
    <w:p>
      <w:pPr>
        <w:pStyle w:val="BodyText"/>
        <w:spacing w:line="240" w:lineRule="auto" w:before="63"/>
        <w:ind w:left="513" w:right="855"/>
        <w:jc w:val="left"/>
      </w:pPr>
      <w:r>
        <w:rPr>
          <w:rFonts w:ascii="Times New Roman" w:hAnsi="Times New Roman" w:cs="Times New Roman" w:eastAsia="Times New Roman" w:hint="default"/>
        </w:rPr>
        <w:t>2</w:t>
      </w:r>
      <w:r>
        <w:rPr/>
        <w:t>、利润表项目：</w:t>
      </w:r>
    </w:p>
    <w:p>
      <w:pPr>
        <w:pStyle w:val="BodyText"/>
        <w:spacing w:line="240" w:lineRule="auto" w:before="63"/>
        <w:ind w:left="513" w:right="855"/>
        <w:jc w:val="left"/>
      </w:pPr>
      <w:r>
        <w:rPr>
          <w:spacing w:val="-3"/>
        </w:rPr>
        <w:t>（</w:t>
      </w:r>
      <w:r>
        <w:rPr>
          <w:rFonts w:ascii="Times New Roman" w:hAnsi="Times New Roman" w:cs="Times New Roman" w:eastAsia="Times New Roman" w:hint="default"/>
          <w:spacing w:val="-3"/>
        </w:rPr>
        <w:t>1</w:t>
      </w:r>
      <w:r>
        <w:rPr>
          <w:spacing w:val="-3"/>
        </w:rPr>
        <w:t>）原</w:t>
      </w:r>
      <w:r>
        <w:rPr>
          <w:rFonts w:ascii="Times New Roman" w:hAnsi="Times New Roman" w:cs="Times New Roman" w:eastAsia="Times New Roman" w:hint="default"/>
          <w:spacing w:val="-3"/>
        </w:rPr>
        <w:t>“</w:t>
      </w:r>
      <w:r>
        <w:rPr>
          <w:spacing w:val="-3"/>
        </w:rPr>
        <w:t>投资收益</w:t>
      </w:r>
      <w:r>
        <w:rPr>
          <w:rFonts w:ascii="Times New Roman" w:hAnsi="Times New Roman" w:cs="Times New Roman" w:eastAsia="Times New Roman" w:hint="default"/>
          <w:spacing w:val="-3"/>
        </w:rPr>
        <w:t>”</w:t>
      </w:r>
      <w:r>
        <w:rPr>
          <w:spacing w:val="-3"/>
        </w:rPr>
        <w:t>项目下增加</w:t>
      </w:r>
      <w:r>
        <w:rPr>
          <w:rFonts w:ascii="Times New Roman" w:hAnsi="Times New Roman" w:cs="Times New Roman" w:eastAsia="Times New Roman" w:hint="default"/>
          <w:spacing w:val="-3"/>
        </w:rPr>
        <w:t>“</w:t>
      </w:r>
      <w:r>
        <w:rPr>
          <w:spacing w:val="-3"/>
        </w:rPr>
        <w:t>其中：以摊余成本计量的金融资产终止确认收益</w:t>
      </w:r>
      <w:r>
        <w:rPr>
          <w:rFonts w:ascii="Times New Roman" w:hAnsi="Times New Roman" w:cs="Times New Roman" w:eastAsia="Times New Roman" w:hint="default"/>
          <w:spacing w:val="-3"/>
        </w:rPr>
        <w:t>”</w:t>
      </w:r>
      <w:r>
        <w:rPr>
          <w:spacing w:val="-3"/>
        </w:rPr>
        <w:t>项目；</w:t>
      </w:r>
    </w:p>
    <w:p>
      <w:pPr>
        <w:pStyle w:val="BodyText"/>
        <w:spacing w:line="240" w:lineRule="auto" w:before="63"/>
        <w:ind w:left="513" w:right="855"/>
        <w:jc w:val="left"/>
      </w:pPr>
      <w:r>
        <w:rPr>
          <w:spacing w:val="-3"/>
        </w:rPr>
        <w:t>（</w:t>
      </w:r>
      <w:r>
        <w:rPr>
          <w:rFonts w:ascii="Times New Roman" w:hAnsi="Times New Roman" w:cs="Times New Roman" w:eastAsia="Times New Roman" w:hint="default"/>
          <w:spacing w:val="-3"/>
        </w:rPr>
        <w:t>2</w:t>
      </w:r>
      <w:r>
        <w:rPr>
          <w:spacing w:val="-3"/>
        </w:rPr>
        <w:t>）原</w:t>
      </w:r>
      <w:r>
        <w:rPr>
          <w:rFonts w:ascii="Times New Roman" w:hAnsi="Times New Roman" w:cs="Times New Roman" w:eastAsia="Times New Roman" w:hint="default"/>
          <w:spacing w:val="-3"/>
        </w:rPr>
        <w:t>“</w:t>
      </w:r>
      <w:r>
        <w:rPr>
          <w:spacing w:val="-3"/>
        </w:rPr>
        <w:t>资产减值损失</w:t>
      </w:r>
      <w:r>
        <w:rPr>
          <w:rFonts w:ascii="Times New Roman" w:hAnsi="Times New Roman" w:cs="Times New Roman" w:eastAsia="Times New Roman" w:hint="default"/>
          <w:spacing w:val="-3"/>
        </w:rPr>
        <w:t>”</w:t>
      </w:r>
      <w:r>
        <w:rPr>
          <w:spacing w:val="-3"/>
        </w:rPr>
        <w:t>、</w:t>
      </w:r>
      <w:r>
        <w:rPr>
          <w:rFonts w:ascii="Times New Roman" w:hAnsi="Times New Roman" w:cs="Times New Roman" w:eastAsia="Times New Roman" w:hint="default"/>
          <w:spacing w:val="-3"/>
        </w:rPr>
        <w:t>“</w:t>
      </w:r>
      <w:r>
        <w:rPr>
          <w:spacing w:val="-3"/>
        </w:rPr>
        <w:t>信用减值损失</w:t>
      </w:r>
      <w:r>
        <w:rPr>
          <w:rFonts w:ascii="Times New Roman" w:hAnsi="Times New Roman" w:cs="Times New Roman" w:eastAsia="Times New Roman" w:hint="default"/>
          <w:spacing w:val="-3"/>
        </w:rPr>
        <w:t>”</w:t>
      </w:r>
      <w:r>
        <w:rPr>
          <w:spacing w:val="-3"/>
        </w:rPr>
        <w:t>项目的列报行次进行了调整。</w:t>
      </w:r>
    </w:p>
    <w:p>
      <w:pPr>
        <w:pStyle w:val="BodyText"/>
        <w:spacing w:line="240" w:lineRule="auto" w:before="63"/>
        <w:ind w:left="513" w:right="855"/>
        <w:jc w:val="left"/>
      </w:pPr>
      <w:r>
        <w:rPr>
          <w:rFonts w:ascii="Times New Roman" w:hAnsi="Times New Roman" w:cs="Times New Roman" w:eastAsia="Times New Roman" w:hint="default"/>
          <w:spacing w:val="-3"/>
        </w:rPr>
        <w:t>3</w:t>
      </w:r>
      <w:r>
        <w:rPr>
          <w:spacing w:val="-3"/>
        </w:rPr>
        <w:t>、现金流量表项目：删除</w:t>
      </w:r>
      <w:r>
        <w:rPr>
          <w:rFonts w:ascii="Times New Roman" w:hAnsi="Times New Roman" w:cs="Times New Roman" w:eastAsia="Times New Roman" w:hint="default"/>
          <w:spacing w:val="-3"/>
        </w:rPr>
        <w:t>“</w:t>
      </w:r>
      <w:r>
        <w:rPr>
          <w:spacing w:val="-3"/>
        </w:rPr>
        <w:t>为交易目的而持有的金融资产净增加额</w:t>
      </w:r>
      <w:r>
        <w:rPr>
          <w:rFonts w:ascii="Times New Roman" w:hAnsi="Times New Roman" w:cs="Times New Roman" w:eastAsia="Times New Roman" w:hint="default"/>
          <w:spacing w:val="-3"/>
        </w:rPr>
        <w:t>”</w:t>
      </w:r>
      <w:r>
        <w:rPr>
          <w:spacing w:val="-3"/>
        </w:rPr>
        <w:t>、</w:t>
      </w:r>
      <w:r>
        <w:rPr>
          <w:rFonts w:ascii="Times New Roman" w:hAnsi="Times New Roman" w:cs="Times New Roman" w:eastAsia="Times New Roman" w:hint="default"/>
          <w:spacing w:val="-3"/>
        </w:rPr>
        <w:t>“</w:t>
      </w:r>
      <w:r>
        <w:rPr>
          <w:spacing w:val="-3"/>
        </w:rPr>
        <w:t>发行债券收到的现金</w:t>
      </w:r>
      <w:r>
        <w:rPr>
          <w:rFonts w:ascii="Times New Roman" w:hAnsi="Times New Roman" w:cs="Times New Roman" w:eastAsia="Times New Roman" w:hint="default"/>
          <w:spacing w:val="-3"/>
        </w:rPr>
        <w:t>”</w:t>
      </w:r>
      <w:r>
        <w:rPr>
          <w:spacing w:val="-3"/>
        </w:rPr>
        <w:t>等项目。</w:t>
      </w:r>
    </w:p>
    <w:p>
      <w:pPr>
        <w:pStyle w:val="BodyText"/>
        <w:spacing w:line="300" w:lineRule="auto" w:before="63"/>
        <w:ind w:left="513" w:right="6110"/>
        <w:jc w:val="left"/>
      </w:pPr>
      <w:r>
        <w:rPr>
          <w:rFonts w:ascii="Times New Roman" w:hAnsi="Times New Roman" w:cs="Times New Roman" w:eastAsia="Times New Roman" w:hint="default"/>
          <w:spacing w:val="-3"/>
        </w:rPr>
        <w:t>4</w:t>
      </w:r>
      <w:r>
        <w:rPr>
          <w:spacing w:val="-3"/>
        </w:rPr>
        <w:t>、所有者权益变动表项目：新增</w:t>
      </w:r>
      <w:r>
        <w:rPr>
          <w:rFonts w:ascii="Times New Roman" w:hAnsi="Times New Roman" w:cs="Times New Roman" w:eastAsia="Times New Roman" w:hint="default"/>
          <w:spacing w:val="-3"/>
        </w:rPr>
        <w:t>“</w:t>
      </w:r>
      <w:r>
        <w:rPr>
          <w:spacing w:val="-3"/>
        </w:rPr>
        <w:t>专项储备</w:t>
      </w:r>
      <w:r>
        <w:rPr>
          <w:rFonts w:ascii="Times New Roman" w:hAnsi="Times New Roman" w:cs="Times New Roman" w:eastAsia="Times New Roman" w:hint="default"/>
          <w:spacing w:val="-3"/>
        </w:rPr>
        <w:t>”</w:t>
      </w:r>
      <w:r>
        <w:rPr>
          <w:spacing w:val="-3"/>
        </w:rPr>
        <w:t>项目。</w:t>
      </w:r>
      <w:r>
        <w:rPr>
          <w:spacing w:val="-20"/>
        </w:rPr>
        <w:t> </w:t>
      </w:r>
      <w:r>
        <w:rPr>
          <w:spacing w:val="-20"/>
        </w:rPr>
      </w:r>
      <w:r>
        <w:rPr>
          <w:spacing w:val="-3"/>
        </w:rPr>
        <w:t>按照上述文件的要求，公司对会计政策予以相应变更。</w:t>
      </w:r>
    </w:p>
    <w:p>
      <w:pPr>
        <w:spacing w:line="240" w:lineRule="auto" w:before="9"/>
        <w:rPr>
          <w:rFonts w:ascii="宋体" w:hAnsi="宋体" w:cs="宋体" w:eastAsia="宋体" w:hint="default"/>
          <w:sz w:val="21"/>
          <w:szCs w:val="21"/>
        </w:rPr>
      </w:pPr>
    </w:p>
    <w:p>
      <w:pPr>
        <w:pStyle w:val="Heading2"/>
        <w:spacing w:line="240" w:lineRule="auto"/>
        <w:ind w:right="855"/>
        <w:jc w:val="left"/>
        <w:rPr>
          <w:b w:val="0"/>
          <w:bCs w:val="0"/>
        </w:rPr>
      </w:pPr>
      <w:r>
        <w:rPr/>
        <w:t>七、报告期内发生重大会计差错更正需追溯重述的情况说明</w:t>
      </w:r>
      <w:r>
        <w:rPr>
          <w:b w:val="0"/>
          <w:bCs w:val="0"/>
        </w:rPr>
      </w:r>
    </w:p>
    <w:p>
      <w:pPr>
        <w:spacing w:line="240" w:lineRule="auto" w:before="6"/>
        <w:rPr>
          <w:rFonts w:ascii="宋体" w:hAnsi="宋体" w:cs="宋体" w:eastAsia="宋体" w:hint="default"/>
          <w:b/>
          <w:bCs/>
          <w:sz w:val="26"/>
          <w:szCs w:val="26"/>
        </w:rPr>
      </w:pPr>
    </w:p>
    <w:p>
      <w:pPr>
        <w:pStyle w:val="BodyText"/>
        <w:spacing w:line="343" w:lineRule="auto"/>
        <w:ind w:right="611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公司报告期无重大会计差错更正需追溯重述的情况。</w:t>
      </w:r>
    </w:p>
    <w:p>
      <w:pPr>
        <w:spacing w:line="240" w:lineRule="auto" w:before="2"/>
        <w:rPr>
          <w:rFonts w:ascii="宋体" w:hAnsi="宋体" w:cs="宋体" w:eastAsia="宋体" w:hint="default"/>
          <w:sz w:val="19"/>
          <w:szCs w:val="19"/>
        </w:rPr>
      </w:pPr>
    </w:p>
    <w:p>
      <w:pPr>
        <w:pStyle w:val="Heading2"/>
        <w:spacing w:line="240" w:lineRule="auto"/>
        <w:ind w:right="855"/>
        <w:jc w:val="left"/>
        <w:rPr>
          <w:b w:val="0"/>
          <w:bCs w:val="0"/>
        </w:rPr>
      </w:pPr>
      <w:r>
        <w:rPr/>
        <w:t>八、与上年度财务报告相比，合并报表范围发生变化的情况说明</w:t>
      </w:r>
      <w:r>
        <w:rPr>
          <w:b w:val="0"/>
          <w:bCs w:val="0"/>
        </w:rPr>
      </w:r>
    </w:p>
    <w:p>
      <w:pPr>
        <w:spacing w:line="240" w:lineRule="auto" w:before="6"/>
        <w:rPr>
          <w:rFonts w:ascii="宋体" w:hAnsi="宋体" w:cs="宋体" w:eastAsia="宋体" w:hint="default"/>
          <w:b/>
          <w:bCs/>
          <w:sz w:val="26"/>
          <w:szCs w:val="26"/>
        </w:rPr>
      </w:pPr>
    </w:p>
    <w:p>
      <w:pPr>
        <w:pStyle w:val="BodyText"/>
        <w:spacing w:line="338" w:lineRule="auto"/>
        <w:ind w:left="513" w:right="2924" w:hanging="360"/>
        <w:jc w:val="left"/>
      </w:pPr>
      <w:r>
        <w:rPr/>
        <w:pict>
          <v:shape style="position:absolute;margin-left:56.424pt;margin-top:32.591755pt;width:482.5pt;height:35.550pt;mso-position-horizontal-relative:page;mso-position-vertical-relative:paragraph;z-index:157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16"/>
                    <w:gridCol w:w="4278"/>
                    <w:gridCol w:w="2127"/>
                    <w:gridCol w:w="2406"/>
                  </w:tblGrid>
                  <w:tr>
                    <w:trPr>
                      <w:trHeight w:val="346" w:hRule="exact"/>
                    </w:trPr>
                    <w:tc>
                      <w:tcPr>
                        <w:tcW w:w="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4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9" w:right="0"/>
                          <w:jc w:val="center"/>
                          <w:rPr>
                            <w:rFonts w:ascii="宋体" w:hAnsi="宋体" w:cs="宋体" w:eastAsia="宋体" w:hint="default"/>
                            <w:sz w:val="18"/>
                            <w:szCs w:val="18"/>
                          </w:rPr>
                        </w:pPr>
                        <w:r>
                          <w:rPr>
                            <w:rFonts w:ascii="宋体" w:hAnsi="宋体" w:cs="宋体" w:eastAsia="宋体" w:hint="default"/>
                            <w:b/>
                            <w:bCs/>
                            <w:sz w:val="18"/>
                            <w:szCs w:val="18"/>
                          </w:rPr>
                          <w:t>名称</w:t>
                        </w:r>
                        <w:r>
                          <w:rPr>
                            <w:rFonts w:ascii="宋体" w:hAnsi="宋体" w:cs="宋体" w:eastAsia="宋体" w:hint="default"/>
                            <w:sz w:val="18"/>
                            <w:szCs w:val="18"/>
                          </w:rPr>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9" w:right="0"/>
                          <w:jc w:val="center"/>
                          <w:rPr>
                            <w:rFonts w:ascii="宋体" w:hAnsi="宋体" w:cs="宋体" w:eastAsia="宋体" w:hint="default"/>
                            <w:sz w:val="18"/>
                            <w:szCs w:val="18"/>
                          </w:rPr>
                        </w:pPr>
                        <w:r>
                          <w:rPr>
                            <w:rFonts w:ascii="宋体" w:hAnsi="宋体" w:cs="宋体" w:eastAsia="宋体" w:hint="default"/>
                            <w:b/>
                            <w:bCs/>
                            <w:sz w:val="18"/>
                            <w:szCs w:val="18"/>
                          </w:rPr>
                          <w:t>变动情况</w:t>
                        </w:r>
                        <w:r>
                          <w:rPr>
                            <w:rFonts w:ascii="宋体" w:hAnsi="宋体" w:cs="宋体" w:eastAsia="宋体" w:hint="default"/>
                            <w:sz w:val="18"/>
                            <w:szCs w:val="18"/>
                          </w:rPr>
                        </w:r>
                      </w:p>
                    </w:tc>
                    <w:tc>
                      <w:tcPr>
                        <w:tcW w:w="24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9" w:right="0"/>
                          <w:jc w:val="center"/>
                          <w:rPr>
                            <w:rFonts w:ascii="宋体" w:hAnsi="宋体" w:cs="宋体" w:eastAsia="宋体" w:hint="default"/>
                            <w:sz w:val="18"/>
                            <w:szCs w:val="18"/>
                          </w:rPr>
                        </w:pPr>
                        <w:r>
                          <w:rPr>
                            <w:rFonts w:ascii="宋体" w:hAnsi="宋体" w:cs="宋体" w:eastAsia="宋体" w:hint="default"/>
                            <w:b/>
                            <w:bCs/>
                            <w:sz w:val="18"/>
                            <w:szCs w:val="18"/>
                          </w:rPr>
                          <w:t>变更原因</w:t>
                        </w:r>
                        <w:r>
                          <w:rPr>
                            <w:rFonts w:ascii="宋体" w:hAnsi="宋体" w:cs="宋体" w:eastAsia="宋体" w:hint="default"/>
                            <w:sz w:val="18"/>
                            <w:szCs w:val="18"/>
                          </w:rPr>
                        </w:r>
                      </w:p>
                    </w:tc>
                  </w:tr>
                  <w:tr>
                    <w:trPr>
                      <w:trHeight w:val="350" w:hRule="exact"/>
                    </w:trPr>
                    <w:tc>
                      <w:tcPr>
                        <w:tcW w:w="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0"/>
                          <w:jc w:val="center"/>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4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8" w:right="0"/>
                          <w:jc w:val="center"/>
                          <w:rPr>
                            <w:rFonts w:ascii="宋体" w:hAnsi="宋体" w:cs="宋体" w:eastAsia="宋体" w:hint="default"/>
                            <w:sz w:val="18"/>
                            <w:szCs w:val="18"/>
                          </w:rPr>
                        </w:pPr>
                        <w:r>
                          <w:rPr>
                            <w:rFonts w:ascii="宋体" w:hAnsi="宋体" w:cs="宋体" w:eastAsia="宋体" w:hint="default"/>
                            <w:spacing w:val="-3"/>
                            <w:sz w:val="18"/>
                            <w:szCs w:val="18"/>
                          </w:rPr>
                          <w:t>广州市海捷计算机科技有限公司</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9" w:right="0"/>
                          <w:jc w:val="center"/>
                          <w:rPr>
                            <w:rFonts w:ascii="宋体" w:hAnsi="宋体" w:cs="宋体" w:eastAsia="宋体" w:hint="default"/>
                            <w:sz w:val="18"/>
                            <w:szCs w:val="18"/>
                          </w:rPr>
                        </w:pPr>
                        <w:r>
                          <w:rPr>
                            <w:rFonts w:ascii="宋体" w:hAnsi="宋体" w:cs="宋体" w:eastAsia="宋体" w:hint="default"/>
                            <w:sz w:val="18"/>
                            <w:szCs w:val="18"/>
                          </w:rPr>
                          <w:t>增加</w:t>
                        </w:r>
                      </w:p>
                    </w:tc>
                    <w:tc>
                      <w:tcPr>
                        <w:tcW w:w="24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 w:right="0"/>
                          <w:jc w:val="center"/>
                          <w:rPr>
                            <w:rFonts w:ascii="宋体" w:hAnsi="宋体" w:cs="宋体" w:eastAsia="宋体" w:hint="default"/>
                            <w:sz w:val="18"/>
                            <w:szCs w:val="18"/>
                          </w:rPr>
                        </w:pPr>
                        <w:r>
                          <w:rPr>
                            <w:rFonts w:ascii="宋体" w:hAnsi="宋体" w:cs="宋体" w:eastAsia="宋体" w:hint="default"/>
                            <w:sz w:val="18"/>
                            <w:szCs w:val="18"/>
                          </w:rPr>
                          <w:t>受让股份</w:t>
                        </w:r>
                      </w:p>
                    </w:tc>
                  </w:tr>
                </w:tbl>
                <w:p>
                  <w:pPr/>
                </w:p>
              </w:txbxContent>
            </v:textbox>
            <w10:wrap type="none"/>
          </v:shape>
        </w:pict>
      </w: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9"/>
        </w:rPr>
        <w:t> </w:t>
      </w:r>
      <w:r>
        <w:rPr>
          <w:spacing w:val="-79"/>
        </w:rPr>
      </w:r>
      <w:r>
        <w:rPr>
          <w:spacing w:val="-3"/>
        </w:rPr>
        <w:t>与上年度财务报告相比，本报告期新增纳入合并范围内的子公司</w:t>
      </w:r>
      <w:r>
        <w:rPr>
          <w:rFonts w:ascii="Times New Roman" w:hAnsi="Times New Roman" w:cs="Times New Roman" w:eastAsia="Times New Roman" w:hint="default"/>
          <w:spacing w:val="-3"/>
        </w:rPr>
        <w:t>1</w:t>
      </w:r>
      <w:r>
        <w:rPr>
          <w:spacing w:val="-3"/>
        </w:rPr>
        <w:t>家。具体情况如下：</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9"/>
          <w:szCs w:val="29"/>
        </w:rPr>
      </w:pPr>
    </w:p>
    <w:p>
      <w:pPr>
        <w:pStyle w:val="BodyText"/>
        <w:spacing w:line="300" w:lineRule="auto" w:before="46"/>
        <w:ind w:right="855" w:firstLine="360"/>
        <w:jc w:val="left"/>
      </w:pPr>
      <w:r>
        <w:rPr>
          <w:spacing w:val="-4"/>
        </w:rPr>
        <w:t>经公司第七届董事会第十八次会议、第七届董事会第二十五次会议审议同意，合计受让易航科技持有海捷科技</w:t>
      </w:r>
      <w:r>
        <w:rPr>
          <w:rFonts w:ascii="Times New Roman" w:hAnsi="Times New Roman" w:cs="Times New Roman" w:eastAsia="Times New Roman" w:hint="default"/>
          <w:spacing w:val="-4"/>
        </w:rPr>
        <w:t>60%</w:t>
      </w:r>
      <w:r>
        <w:rPr>
          <w:spacing w:val="-4"/>
        </w:rPr>
        <w:t>的股</w:t>
      </w:r>
      <w:r>
        <w:rPr>
          <w:w w:val="101"/>
        </w:rPr>
        <w:t> </w:t>
      </w:r>
      <w:r>
        <w:rPr>
          <w:spacing w:val="-6"/>
        </w:rPr>
        <w:t>权，投资完成后，公司成为其控股股东，</w:t>
      </w:r>
      <w:r>
        <w:rPr>
          <w:rFonts w:ascii="Times New Roman" w:hAnsi="Times New Roman" w:cs="Times New Roman" w:eastAsia="Times New Roman" w:hint="default"/>
          <w:spacing w:val="-6"/>
        </w:rPr>
        <w:t>2019</w:t>
      </w:r>
      <w:r>
        <w:rPr>
          <w:spacing w:val="-6"/>
        </w:rPr>
        <w:t>年</w:t>
      </w:r>
      <w:r>
        <w:rPr>
          <w:rFonts w:ascii="Times New Roman" w:hAnsi="Times New Roman" w:cs="Times New Roman" w:eastAsia="Times New Roman" w:hint="default"/>
          <w:spacing w:val="-6"/>
        </w:rPr>
        <w:t>12</w:t>
      </w:r>
      <w:r>
        <w:rPr>
          <w:spacing w:val="-6"/>
        </w:rPr>
        <w:t>月</w:t>
      </w:r>
      <w:r>
        <w:rPr>
          <w:rFonts w:ascii="Times New Roman" w:hAnsi="Times New Roman" w:cs="Times New Roman" w:eastAsia="Times New Roman" w:hint="default"/>
          <w:spacing w:val="-6"/>
        </w:rPr>
        <w:t>17</w:t>
      </w:r>
      <w:r>
        <w:rPr>
          <w:spacing w:val="-6"/>
        </w:rPr>
        <w:t>日，公司收到广州市天河区行政审批局出具的《准予变更登记（备案）</w:t>
      </w:r>
    </w:p>
    <w:p>
      <w:pPr>
        <w:spacing w:after="0" w:line="300" w:lineRule="auto"/>
        <w:jc w:val="left"/>
        <w:sectPr>
          <w:pgSz w:w="11910" w:h="16840"/>
          <w:pgMar w:header="746" w:footer="974"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6"/>
        <w:ind w:right="855"/>
        <w:jc w:val="left"/>
      </w:pPr>
      <w:r>
        <w:rPr>
          <w:spacing w:val="-3"/>
        </w:rPr>
        <w:t>通知书》，本次投资事宜已完成工商变更登记。公司将海捷科技于</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日纳入公司合并报表范围。</w:t>
      </w:r>
    </w:p>
    <w:p>
      <w:pPr>
        <w:spacing w:line="240" w:lineRule="auto" w:before="0"/>
        <w:rPr>
          <w:rFonts w:ascii="宋体" w:hAnsi="宋体" w:cs="宋体" w:eastAsia="宋体" w:hint="default"/>
          <w:sz w:val="24"/>
          <w:szCs w:val="24"/>
        </w:rPr>
      </w:pPr>
    </w:p>
    <w:p>
      <w:pPr>
        <w:pStyle w:val="Heading2"/>
        <w:spacing w:line="240" w:lineRule="auto"/>
        <w:ind w:right="855"/>
        <w:jc w:val="left"/>
        <w:rPr>
          <w:b w:val="0"/>
          <w:bCs w:val="0"/>
        </w:rPr>
      </w:pPr>
      <w:r>
        <w:rPr/>
        <w:t>九、聘任、解聘会计师事务所情况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855"/>
        <w:jc w:val="left"/>
      </w:pPr>
      <w:r>
        <w:rPr/>
        <w:t>现聘任的会计师事务所</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92"/>
        <w:gridCol w:w="4778"/>
      </w:tblGrid>
      <w:tr>
        <w:trPr>
          <w:trHeight w:val="398"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信永中和会计师事务所（特殊普通合伙）</w:t>
            </w:r>
          </w:p>
        </w:tc>
      </w:tr>
      <w:tr>
        <w:trPr>
          <w:trHeight w:val="403"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境内会计师事务所报酬（万元）</w:t>
            </w:r>
          </w:p>
        </w:tc>
        <w:tc>
          <w:tcPr>
            <w:tcW w:w="4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112</w:t>
            </w:r>
          </w:p>
        </w:tc>
      </w:tr>
      <w:tr>
        <w:trPr>
          <w:trHeight w:val="404"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境内会计师事务所审计服务的连续年限</w:t>
            </w:r>
          </w:p>
        </w:tc>
        <w:tc>
          <w:tcPr>
            <w:tcW w:w="4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r>
      <w:tr>
        <w:trPr>
          <w:trHeight w:val="403"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境内会计师事务所注册会计师姓名</w:t>
            </w:r>
          </w:p>
        </w:tc>
        <w:tc>
          <w:tcPr>
            <w:tcW w:w="4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hAnsi="宋体" w:cs="宋体" w:eastAsia="宋体" w:hint="default"/>
                <w:spacing w:val="-2"/>
                <w:sz w:val="18"/>
                <w:szCs w:val="18"/>
              </w:rPr>
              <w:t>何诚、张为</w:t>
            </w:r>
          </w:p>
        </w:tc>
      </w:tr>
      <w:tr>
        <w:trPr>
          <w:trHeight w:val="398"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境内会计师事务所注册会计师审计服务的连续年限</w:t>
            </w:r>
          </w:p>
        </w:tc>
        <w:tc>
          <w:tcPr>
            <w:tcW w:w="4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r>
    </w:tbl>
    <w:p>
      <w:pPr>
        <w:pStyle w:val="BodyText"/>
        <w:spacing w:line="240" w:lineRule="auto" w:before="53"/>
        <w:ind w:right="0"/>
        <w:jc w:val="both"/>
      </w:pPr>
      <w:r>
        <w:rPr>
          <w:spacing w:val="-3"/>
        </w:rPr>
        <w:t>当期是否改聘会计师事务所</w:t>
      </w:r>
    </w:p>
    <w:p>
      <w:pPr>
        <w:pStyle w:val="BodyText"/>
        <w:spacing w:line="338" w:lineRule="auto" w:before="115"/>
        <w:ind w:right="7349"/>
        <w:jc w:val="left"/>
      </w:pP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是</w:t>
      </w:r>
      <w:r>
        <w:rPr>
          <w:spacing w:val="-4"/>
        </w:rPr>
        <w:t>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否</w:t>
      </w:r>
      <w:r>
        <w:rPr>
          <w:spacing w:val="-84"/>
        </w:rPr>
        <w:t> </w:t>
      </w:r>
      <w:r>
        <w:rPr>
          <w:spacing w:val="-3"/>
        </w:rPr>
        <w:t>是否在审计期间改聘会计师事务所</w:t>
      </w:r>
    </w:p>
    <w:p>
      <w:pPr>
        <w:pStyle w:val="BodyText"/>
        <w:spacing w:line="338" w:lineRule="auto" w:before="46"/>
        <w:ind w:right="7349"/>
        <w:jc w:val="left"/>
      </w:pP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是</w:t>
      </w:r>
      <w:r>
        <w:rPr>
          <w:spacing w:val="-4"/>
        </w:rPr>
        <w:t>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否</w:t>
      </w:r>
      <w:r>
        <w:rPr>
          <w:spacing w:val="-84"/>
        </w:rPr>
        <w:t> </w:t>
      </w:r>
      <w:r>
        <w:rPr>
          <w:spacing w:val="-3"/>
        </w:rPr>
        <w:t>更换会计师事务所是否履行审批程序</w:t>
      </w:r>
    </w:p>
    <w:p>
      <w:pPr>
        <w:pStyle w:val="BodyText"/>
        <w:spacing w:line="343" w:lineRule="auto" w:before="41"/>
        <w:ind w:right="7349"/>
        <w:jc w:val="left"/>
      </w:pP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是</w:t>
      </w:r>
      <w:r>
        <w:rPr>
          <w:spacing w:val="-4"/>
        </w:rPr>
        <w:t>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否</w:t>
      </w:r>
      <w:r>
        <w:rPr>
          <w:spacing w:val="-84"/>
        </w:rPr>
        <w:t> </w:t>
      </w:r>
      <w:r>
        <w:rPr>
          <w:spacing w:val="-3"/>
        </w:rPr>
        <w:t>对改聘、变更会计师事务所情况的详细说明</w:t>
      </w:r>
    </w:p>
    <w:p>
      <w:pPr>
        <w:pStyle w:val="BodyText"/>
        <w:spacing w:line="316" w:lineRule="auto" w:before="38"/>
        <w:ind w:left="513" w:right="855"/>
        <w:jc w:val="left"/>
      </w:pPr>
      <w:r>
        <w:rPr>
          <w:spacing w:val="-3"/>
        </w:rPr>
        <w:t>（一）更换会计师事务所的情况说明</w:t>
      </w:r>
      <w:r>
        <w:rPr>
          <w:spacing w:val="-39"/>
        </w:rPr>
        <w:t> </w:t>
      </w:r>
      <w:r>
        <w:rPr>
          <w:spacing w:val="-39"/>
        </w:rPr>
      </w:r>
      <w:r>
        <w:rPr>
          <w:spacing w:val="-3"/>
        </w:rPr>
        <w:t>公司原聘任的中审众环同一审计团队已经连续</w:t>
      </w:r>
      <w:r>
        <w:rPr>
          <w:rFonts w:ascii="Times New Roman" w:hAnsi="Times New Roman" w:cs="Times New Roman" w:eastAsia="Times New Roman" w:hint="default"/>
          <w:spacing w:val="-3"/>
        </w:rPr>
        <w:t>5</w:t>
      </w:r>
      <w:r>
        <w:rPr>
          <w:spacing w:val="-3"/>
        </w:rPr>
        <w:t>年为公司承担年报审计业务，根据云南省人民政府国有资产监督管理委</w:t>
      </w:r>
    </w:p>
    <w:p>
      <w:pPr>
        <w:pStyle w:val="BodyText"/>
        <w:spacing w:line="300" w:lineRule="auto"/>
        <w:ind w:right="1121"/>
        <w:jc w:val="both"/>
      </w:pPr>
      <w:r>
        <w:rPr>
          <w:spacing w:val="-4"/>
        </w:rPr>
        <w:t>员会关于选聘中介机构开展年报审计工作的相关规定，选聘同一中介机构连续承担年报审计业务不得超过</w:t>
      </w:r>
      <w:r>
        <w:rPr>
          <w:rFonts w:ascii="Times New Roman" w:hAnsi="Times New Roman" w:cs="Times New Roman" w:eastAsia="Times New Roman" w:hint="default"/>
          <w:spacing w:val="-4"/>
        </w:rPr>
        <w:t>5</w:t>
      </w:r>
      <w:r>
        <w:rPr>
          <w:spacing w:val="-4"/>
        </w:rPr>
        <w:t>年，超过</w:t>
      </w:r>
      <w:r>
        <w:rPr>
          <w:rFonts w:ascii="Times New Roman" w:hAnsi="Times New Roman" w:cs="Times New Roman" w:eastAsia="Times New Roman" w:hint="default"/>
          <w:spacing w:val="-4"/>
        </w:rPr>
        <w:t>5</w:t>
      </w:r>
      <w:r>
        <w:rPr>
          <w:spacing w:val="-4"/>
        </w:rPr>
        <w:t>年应当</w:t>
      </w:r>
      <w:r>
        <w:rPr>
          <w:spacing w:val="49"/>
        </w:rPr>
        <w:t> </w:t>
      </w:r>
      <w:r>
        <w:rPr>
          <w:spacing w:val="49"/>
        </w:rPr>
      </w:r>
      <w:r>
        <w:rPr>
          <w:spacing w:val="-4"/>
        </w:rPr>
        <w:t>予以更换。根据上述规定，同时为保证上市公司审计的独立性以及更好地适应公司未来业务发展，公司</w:t>
      </w:r>
      <w:r>
        <w:rPr>
          <w:rFonts w:ascii="Times New Roman" w:hAnsi="Times New Roman" w:cs="Times New Roman" w:eastAsia="Times New Roman" w:hint="default"/>
          <w:spacing w:val="-4"/>
        </w:rPr>
        <w:t>2019</w:t>
      </w:r>
      <w:r>
        <w:rPr>
          <w:spacing w:val="-4"/>
        </w:rPr>
        <w:t>年年报审计不再</w:t>
      </w:r>
      <w:r>
        <w:rPr>
          <w:spacing w:val="52"/>
        </w:rPr>
        <w:t> </w:t>
      </w:r>
      <w:r>
        <w:rPr>
          <w:spacing w:val="52"/>
        </w:rPr>
      </w:r>
      <w:r>
        <w:rPr>
          <w:spacing w:val="-4"/>
        </w:rPr>
        <w:t>续聘中审众环为公司审计机构，拟聘任信永中和担任公司</w:t>
      </w:r>
      <w:r>
        <w:rPr>
          <w:rFonts w:ascii="Times New Roman" w:hAnsi="Times New Roman" w:cs="Times New Roman" w:eastAsia="Times New Roman" w:hint="default"/>
          <w:spacing w:val="-4"/>
        </w:rPr>
        <w:t>2019</w:t>
      </w:r>
      <w:r>
        <w:rPr>
          <w:spacing w:val="-4"/>
        </w:rPr>
        <w:t>年度财务审计及内部控制审计机构，聘期一年。财务审计及内</w:t>
      </w:r>
      <w:r>
        <w:rPr>
          <w:spacing w:val="52"/>
        </w:rPr>
        <w:t> </w:t>
      </w:r>
      <w:r>
        <w:rPr>
          <w:spacing w:val="52"/>
        </w:rPr>
      </w:r>
      <w:r>
        <w:rPr>
          <w:spacing w:val="-3"/>
        </w:rPr>
        <w:t>部控制审计费用合计</w:t>
      </w:r>
      <w:r>
        <w:rPr>
          <w:rFonts w:ascii="Times New Roman" w:hAnsi="Times New Roman" w:cs="Times New Roman" w:eastAsia="Times New Roman" w:hint="default"/>
          <w:spacing w:val="-3"/>
        </w:rPr>
        <w:t>112</w:t>
      </w:r>
      <w:r>
        <w:rPr>
          <w:spacing w:val="-3"/>
        </w:rPr>
        <w:t>万元人民币（不承担差旅费）。</w:t>
      </w:r>
    </w:p>
    <w:p>
      <w:pPr>
        <w:pStyle w:val="BodyText"/>
        <w:spacing w:line="240" w:lineRule="auto" w:before="13"/>
        <w:ind w:left="513" w:right="855"/>
        <w:jc w:val="left"/>
      </w:pPr>
      <w:r>
        <w:rPr>
          <w:spacing w:val="-3"/>
        </w:rPr>
        <w:t>（二）更换会计师事务所履行的程序说明</w:t>
      </w:r>
    </w:p>
    <w:p>
      <w:pPr>
        <w:pStyle w:val="BodyText"/>
        <w:spacing w:line="240" w:lineRule="auto" w:before="76"/>
        <w:ind w:left="513" w:right="855"/>
        <w:jc w:val="left"/>
      </w:pPr>
      <w:r>
        <w:rPr>
          <w:rFonts w:ascii="Times New Roman" w:hAnsi="Times New Roman" w:cs="Times New Roman" w:eastAsia="Times New Roman" w:hint="default"/>
          <w:spacing w:val="-3"/>
        </w:rPr>
        <w:t>1</w:t>
      </w:r>
      <w:r>
        <w:rPr>
          <w:spacing w:val="-3"/>
        </w:rPr>
        <w:t>、公司事先已与原审计机构中审众环进行了沟通，中审众环知悉本事项并确认无异议。</w:t>
      </w:r>
    </w:p>
    <w:p>
      <w:pPr>
        <w:pStyle w:val="BodyText"/>
        <w:spacing w:line="300" w:lineRule="auto" w:before="63"/>
        <w:ind w:right="1131" w:firstLine="360"/>
        <w:jc w:val="both"/>
      </w:pPr>
      <w:r>
        <w:rPr>
          <w:rFonts w:ascii="Times New Roman" w:hAnsi="Times New Roman" w:cs="Times New Roman" w:eastAsia="Times New Roman" w:hint="default"/>
          <w:spacing w:val="-3"/>
        </w:rPr>
        <w:t>2</w:t>
      </w:r>
      <w:r>
        <w:rPr>
          <w:spacing w:val="-3"/>
        </w:rPr>
        <w:t>、公司董事会审计委员会对信永中和的资质进行了审查，认为其具有为公司提供审计服务的资质要求，具备多年为上</w:t>
      </w:r>
      <w:r>
        <w:rPr>
          <w:w w:val="101"/>
        </w:rPr>
        <w:t> </w:t>
      </w:r>
      <w:r>
        <w:rPr>
          <w:spacing w:val="-3"/>
        </w:rPr>
        <w:t>市公司提供审计服务的经验与能力，同意将聘任会计师事务所的议案提交公司董事会会议审议。</w:t>
      </w:r>
    </w:p>
    <w:p>
      <w:pPr>
        <w:pStyle w:val="BodyText"/>
        <w:spacing w:line="300" w:lineRule="auto" w:before="32"/>
        <w:ind w:right="1121" w:firstLine="360"/>
        <w:jc w:val="both"/>
      </w:pPr>
      <w:r>
        <w:rPr>
          <w:rFonts w:ascii="Times New Roman" w:hAnsi="Times New Roman" w:cs="Times New Roman" w:eastAsia="Times New Roman" w:hint="default"/>
          <w:spacing w:val="-3"/>
        </w:rPr>
        <w:t>3</w:t>
      </w:r>
      <w:r>
        <w:rPr>
          <w:spacing w:val="-3"/>
        </w:rPr>
        <w:t>、经公司独立董事对公司更换会计师事务所事项进行了事前认可，公司于</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24</w:t>
      </w:r>
      <w:r>
        <w:rPr>
          <w:spacing w:val="-3"/>
        </w:rPr>
        <w:t>日召开第七届董事会第二十六</w:t>
      </w:r>
      <w:r>
        <w:rPr>
          <w:w w:val="101"/>
        </w:rPr>
        <w:t> </w:t>
      </w:r>
      <w:r>
        <w:rPr>
          <w:spacing w:val="-4"/>
        </w:rPr>
        <w:t>次会议、第七届监事会第十七次会议，审议通过了《关于更换会计师事务所的议案》，同意聘任信永中和为公司</w:t>
      </w:r>
      <w:r>
        <w:rPr>
          <w:rFonts w:ascii="Times New Roman" w:hAnsi="Times New Roman" w:cs="Times New Roman" w:eastAsia="Times New Roman" w:hint="default"/>
          <w:spacing w:val="-4"/>
        </w:rPr>
        <w:t>2019</w:t>
      </w:r>
      <w:r>
        <w:rPr>
          <w:spacing w:val="-4"/>
        </w:rPr>
        <w:t>年度财</w:t>
      </w:r>
      <w:r>
        <w:rPr>
          <w:spacing w:val="49"/>
        </w:rPr>
        <w:t> </w:t>
      </w:r>
      <w:r>
        <w:rPr>
          <w:spacing w:val="49"/>
        </w:rPr>
      </w:r>
      <w:r>
        <w:rPr>
          <w:spacing w:val="-3"/>
        </w:rPr>
        <w:t>务审计和内部控制审计机构。独立董事对该事项发表了独立意见。</w:t>
      </w:r>
    </w:p>
    <w:p>
      <w:pPr>
        <w:pStyle w:val="BodyText"/>
        <w:spacing w:line="300" w:lineRule="auto" w:before="31"/>
        <w:ind w:right="1122" w:firstLine="360"/>
        <w:jc w:val="both"/>
      </w:pPr>
      <w:r>
        <w:rPr>
          <w:rFonts w:ascii="Times New Roman" w:hAnsi="Times New Roman" w:cs="Times New Roman" w:eastAsia="Times New Roman" w:hint="default"/>
          <w:spacing w:val="-4"/>
        </w:rPr>
        <w:t>4</w:t>
      </w:r>
      <w:r>
        <w:rPr>
          <w:spacing w:val="-4"/>
        </w:rPr>
        <w:t>、公司于</w:t>
      </w:r>
      <w:r>
        <w:rPr>
          <w:rFonts w:ascii="Times New Roman" w:hAnsi="Times New Roman" w:cs="Times New Roman" w:eastAsia="Times New Roman" w:hint="default"/>
          <w:spacing w:val="-4"/>
        </w:rPr>
        <w:t>2020</w:t>
      </w:r>
      <w:r>
        <w:rPr>
          <w:spacing w:val="-4"/>
        </w:rPr>
        <w:t>年</w:t>
      </w:r>
      <w:r>
        <w:rPr>
          <w:rFonts w:ascii="Times New Roman" w:hAnsi="Times New Roman" w:cs="Times New Roman" w:eastAsia="Times New Roman" w:hint="default"/>
          <w:spacing w:val="-4"/>
        </w:rPr>
        <w:t>1</w:t>
      </w:r>
      <w:r>
        <w:rPr>
          <w:spacing w:val="-4"/>
        </w:rPr>
        <w:t>月</w:t>
      </w:r>
      <w:r>
        <w:rPr>
          <w:rFonts w:ascii="Times New Roman" w:hAnsi="Times New Roman" w:cs="Times New Roman" w:eastAsia="Times New Roman" w:hint="default"/>
          <w:spacing w:val="-4"/>
        </w:rPr>
        <w:t>10</w:t>
      </w:r>
      <w:r>
        <w:rPr>
          <w:spacing w:val="-4"/>
        </w:rPr>
        <w:t>日召开</w:t>
      </w:r>
      <w:r>
        <w:rPr>
          <w:rFonts w:ascii="Times New Roman" w:hAnsi="Times New Roman" w:cs="Times New Roman" w:eastAsia="Times New Roman" w:hint="default"/>
          <w:spacing w:val="-4"/>
        </w:rPr>
        <w:t>2020</w:t>
      </w:r>
      <w:r>
        <w:rPr>
          <w:spacing w:val="-4"/>
        </w:rPr>
        <w:t>年第一次临时股东大会审议通过了《关于更换会计师事务所的议案》，同意聘任信永</w:t>
      </w:r>
      <w:r>
        <w:rPr>
          <w:w w:val="101"/>
        </w:rPr>
        <w:t> </w:t>
      </w:r>
      <w:r>
        <w:rPr>
          <w:spacing w:val="-3"/>
        </w:rPr>
        <w:t>中和担任公司</w:t>
      </w:r>
      <w:r>
        <w:rPr>
          <w:rFonts w:ascii="Times New Roman" w:hAnsi="Times New Roman" w:cs="Times New Roman" w:eastAsia="Times New Roman" w:hint="default"/>
          <w:spacing w:val="-3"/>
        </w:rPr>
        <w:t>2019</w:t>
      </w:r>
      <w:r>
        <w:rPr>
          <w:spacing w:val="-3"/>
        </w:rPr>
        <w:t>年度财务审计及内部控制审计机构。</w:t>
      </w:r>
    </w:p>
    <w:p>
      <w:pPr>
        <w:pStyle w:val="BodyText"/>
        <w:spacing w:line="343" w:lineRule="auto" w:before="13"/>
        <w:ind w:right="1035" w:firstLine="360"/>
        <w:jc w:val="both"/>
      </w:pPr>
      <w:r>
        <w:rPr>
          <w:spacing w:val="-2"/>
        </w:rPr>
        <w:t>（三）具体情况详见公司于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25</w:t>
      </w:r>
      <w:r>
        <w:rPr>
          <w:spacing w:val="-2"/>
        </w:rPr>
        <w:t>日、</w:t>
      </w:r>
      <w:r>
        <w:rPr>
          <w:rFonts w:ascii="Times New Roman" w:hAnsi="Times New Roman" w:cs="Times New Roman" w:eastAsia="Times New Roman" w:hint="default"/>
          <w:spacing w:val="-2"/>
        </w:rPr>
        <w:t>2020</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11</w:t>
      </w:r>
      <w:r>
        <w:rPr>
          <w:spacing w:val="-2"/>
        </w:rPr>
        <w:t>日在巨潮资讯网</w:t>
      </w:r>
      <w:hyperlink r:id="rId16">
        <w:r>
          <w:rPr>
            <w:rFonts w:ascii="Times New Roman" w:hAnsi="Times New Roman" w:cs="Times New Roman" w:eastAsia="Times New Roman" w:hint="default"/>
            <w:spacing w:val="-2"/>
          </w:rPr>
          <w:t>http://www.cninfo.com.cn</w:t>
        </w:r>
        <w:r>
          <w:rPr>
            <w:spacing w:val="-2"/>
          </w:rPr>
          <w:t>上披露的相关公告</w:t>
        </w:r>
      </w:hyperlink>
      <w:r>
        <w:rPr>
          <w:spacing w:val="-2"/>
        </w:rPr>
        <w:t>。</w:t>
      </w:r>
      <w:r>
        <w:rPr>
          <w:w w:val="101"/>
        </w:rPr>
        <w:t> </w:t>
      </w:r>
      <w:r>
        <w:rPr>
          <w:spacing w:val="-3"/>
        </w:rPr>
        <w:t>聘请内部控制审计会计师事务所、财务顾问或保荐人情况</w:t>
      </w:r>
    </w:p>
    <w:p>
      <w:pPr>
        <w:pStyle w:val="BodyText"/>
        <w:spacing w:line="240" w:lineRule="auto" w:before="37"/>
        <w:ind w:right="0"/>
        <w:jc w:val="both"/>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1"/>
        </w:rPr>
        <w:t> </w:t>
      </w:r>
      <w:r>
        <w:rPr/>
        <w:t>不适用</w:t>
      </w:r>
    </w:p>
    <w:p>
      <w:pPr>
        <w:pStyle w:val="BodyText"/>
        <w:spacing w:line="300" w:lineRule="auto" w:before="101"/>
        <w:ind w:right="1123" w:firstLine="360"/>
        <w:jc w:val="both"/>
      </w:pPr>
      <w:r>
        <w:rPr>
          <w:spacing w:val="-4"/>
        </w:rPr>
        <w:t>（一）公司聘请信永中和担任公司</w:t>
      </w:r>
      <w:r>
        <w:rPr>
          <w:rFonts w:ascii="Times New Roman" w:hAnsi="Times New Roman" w:cs="Times New Roman" w:eastAsia="Times New Roman" w:hint="default"/>
          <w:spacing w:val="-4"/>
        </w:rPr>
        <w:t>2019</w:t>
      </w:r>
      <w:r>
        <w:rPr>
          <w:spacing w:val="-4"/>
        </w:rPr>
        <w:t>年度财务审计及内部控制审计机构，聘期一年。具体聘任情况及履行的的程序详</w:t>
      </w:r>
      <w:r>
        <w:rPr>
          <w:w w:val="101"/>
        </w:rPr>
        <w:t> </w:t>
      </w:r>
      <w:r>
        <w:rPr/>
        <w:t>见本节前述内容。</w:t>
      </w:r>
    </w:p>
    <w:p>
      <w:pPr>
        <w:pStyle w:val="BodyText"/>
        <w:spacing w:line="307" w:lineRule="auto" w:before="32"/>
        <w:ind w:right="1122" w:firstLine="360"/>
        <w:jc w:val="both"/>
      </w:pPr>
      <w:r>
        <w:rPr>
          <w:spacing w:val="-4"/>
        </w:rPr>
        <w:t>（二）公司聘请中信建投证券股份有限公司担任公司非公开发行股票的保荐承销机构，公司本次非公开发行股票募集资</w:t>
      </w:r>
      <w:r>
        <w:rPr>
          <w:w w:val="101"/>
        </w:rPr>
        <w:t> </w:t>
      </w:r>
      <w:r>
        <w:rPr>
          <w:spacing w:val="-4"/>
        </w:rPr>
        <w:t>金总额</w:t>
      </w:r>
      <w:r>
        <w:rPr>
          <w:rFonts w:ascii="Times New Roman" w:hAnsi="Times New Roman" w:cs="Times New Roman" w:eastAsia="Times New Roman" w:hint="default"/>
          <w:spacing w:val="-4"/>
        </w:rPr>
        <w:t>649,999,987.14</w:t>
      </w:r>
      <w:r>
        <w:rPr>
          <w:spacing w:val="-4"/>
        </w:rPr>
        <w:t>元，中信建投于</w:t>
      </w:r>
      <w:r>
        <w:rPr>
          <w:rFonts w:ascii="Times New Roman" w:hAnsi="Times New Roman" w:cs="Times New Roman" w:eastAsia="Times New Roman" w:hint="default"/>
          <w:spacing w:val="-4"/>
        </w:rPr>
        <w:t>2020</w:t>
      </w:r>
      <w:r>
        <w:rPr>
          <w:spacing w:val="-4"/>
        </w:rPr>
        <w:t>年</w:t>
      </w:r>
      <w:r>
        <w:rPr>
          <w:rFonts w:ascii="Times New Roman" w:hAnsi="Times New Roman" w:cs="Times New Roman" w:eastAsia="Times New Roman" w:hint="default"/>
          <w:spacing w:val="-4"/>
        </w:rPr>
        <w:t>3</w:t>
      </w:r>
      <w:r>
        <w:rPr>
          <w:spacing w:val="-4"/>
        </w:rPr>
        <w:t>月</w:t>
      </w:r>
      <w:r>
        <w:rPr>
          <w:rFonts w:ascii="Times New Roman" w:hAnsi="Times New Roman" w:cs="Times New Roman" w:eastAsia="Times New Roman" w:hint="default"/>
          <w:spacing w:val="-4"/>
        </w:rPr>
        <w:t>17</w:t>
      </w:r>
      <w:r>
        <w:rPr>
          <w:spacing w:val="-4"/>
        </w:rPr>
        <w:t>日将扣除承销费</w:t>
      </w:r>
      <w:r>
        <w:rPr>
          <w:rFonts w:ascii="Times New Roman" w:hAnsi="Times New Roman" w:cs="Times New Roman" w:eastAsia="Times New Roman" w:hint="default"/>
          <w:spacing w:val="-4"/>
        </w:rPr>
        <w:t>5,249,999.85</w:t>
      </w:r>
      <w:r>
        <w:rPr>
          <w:spacing w:val="-4"/>
        </w:rPr>
        <w:t>元（含税）后的募集资金汇入公司募集资金专</w:t>
      </w:r>
      <w:r>
        <w:rPr>
          <w:spacing w:val="21"/>
        </w:rPr>
        <w:t> </w:t>
      </w:r>
      <w:r>
        <w:rPr>
          <w:spacing w:val="21"/>
        </w:rPr>
      </w:r>
      <w:r>
        <w:rPr>
          <w:spacing w:val="-4"/>
        </w:rPr>
        <w:t>项账户。中信建投将按照《证券发行上市保荐业务管理办法》的规定，自南天信息证券上市（</w:t>
      </w:r>
      <w:r>
        <w:rPr>
          <w:rFonts w:ascii="Times New Roman" w:hAnsi="Times New Roman" w:cs="Times New Roman" w:eastAsia="Times New Roman" w:hint="default"/>
          <w:spacing w:val="-4"/>
        </w:rPr>
        <w:t>2020</w:t>
      </w:r>
      <w:r>
        <w:rPr>
          <w:spacing w:val="-4"/>
        </w:rPr>
        <w:t>年</w:t>
      </w:r>
      <w:r>
        <w:rPr>
          <w:rFonts w:ascii="Times New Roman" w:hAnsi="Times New Roman" w:cs="Times New Roman" w:eastAsia="Times New Roman" w:hint="default"/>
          <w:spacing w:val="-4"/>
        </w:rPr>
        <w:t>4</w:t>
      </w:r>
      <w:r>
        <w:rPr>
          <w:spacing w:val="-4"/>
        </w:rPr>
        <w:t>月</w:t>
      </w:r>
      <w:r>
        <w:rPr>
          <w:rFonts w:ascii="Times New Roman" w:hAnsi="Times New Roman" w:cs="Times New Roman" w:eastAsia="Times New Roman" w:hint="default"/>
          <w:spacing w:val="-4"/>
        </w:rPr>
        <w:t>9</w:t>
      </w:r>
      <w:r>
        <w:rPr>
          <w:spacing w:val="-4"/>
        </w:rPr>
        <w:t>日）当年剩余时间</w:t>
      </w:r>
      <w:r>
        <w:rPr>
          <w:spacing w:val="53"/>
        </w:rPr>
        <w:t> </w:t>
      </w:r>
      <w:r>
        <w:rPr>
          <w:spacing w:val="53"/>
        </w:rPr>
      </w:r>
      <w:r>
        <w:rPr>
          <w:spacing w:val="-3"/>
        </w:rPr>
        <w:t>及其后</w:t>
      </w:r>
      <w:r>
        <w:rPr>
          <w:rFonts w:ascii="Times New Roman" w:hAnsi="Times New Roman" w:cs="Times New Roman" w:eastAsia="Times New Roman" w:hint="default"/>
          <w:spacing w:val="-3"/>
        </w:rPr>
        <w:t>1</w:t>
      </w:r>
      <w:r>
        <w:rPr>
          <w:spacing w:val="-3"/>
        </w:rPr>
        <w:t>个完整会计年度持续督导公司履行规范运作、信守承诺、信息披露等义务。</w:t>
      </w:r>
    </w:p>
    <w:p>
      <w:pPr>
        <w:spacing w:after="0" w:line="307" w:lineRule="auto"/>
        <w:jc w:val="both"/>
        <w:sectPr>
          <w:pgSz w:w="11910" w:h="16840"/>
          <w:pgMar w:header="746" w:footer="974" w:top="1060" w:bottom="1160" w:left="980" w:right="0"/>
        </w:sectPr>
      </w:pPr>
    </w:p>
    <w:p>
      <w:pPr>
        <w:spacing w:line="240" w:lineRule="auto" w:before="10"/>
        <w:rPr>
          <w:rFonts w:ascii="宋体" w:hAnsi="宋体" w:cs="宋体" w:eastAsia="宋体" w:hint="default"/>
          <w:sz w:val="23"/>
          <w:szCs w:val="23"/>
        </w:rPr>
      </w:pPr>
    </w:p>
    <w:p>
      <w:pPr>
        <w:pStyle w:val="Heading2"/>
        <w:spacing w:line="240" w:lineRule="auto" w:before="26"/>
        <w:ind w:right="855"/>
        <w:jc w:val="left"/>
        <w:rPr>
          <w:b w:val="0"/>
          <w:bCs w:val="0"/>
        </w:rPr>
      </w:pPr>
      <w:r>
        <w:rPr/>
        <w:t>十、年度报告披露后面临暂停上市和终止上市情况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855"/>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1"/>
        <w:rPr>
          <w:rFonts w:ascii="宋体" w:hAnsi="宋体" w:cs="宋体" w:eastAsia="宋体" w:hint="default"/>
          <w:sz w:val="24"/>
          <w:szCs w:val="24"/>
        </w:rPr>
      </w:pPr>
    </w:p>
    <w:p>
      <w:pPr>
        <w:pStyle w:val="Heading2"/>
        <w:spacing w:line="240" w:lineRule="auto"/>
        <w:ind w:right="855"/>
        <w:jc w:val="left"/>
        <w:rPr>
          <w:b w:val="0"/>
          <w:bCs w:val="0"/>
        </w:rPr>
      </w:pPr>
      <w:r>
        <w:rPr/>
        <w:t>十一、破产重整相关事项</w:t>
      </w:r>
      <w:r>
        <w:rPr>
          <w:b w:val="0"/>
          <w:bCs w:val="0"/>
        </w:rPr>
      </w:r>
    </w:p>
    <w:p>
      <w:pPr>
        <w:spacing w:line="240" w:lineRule="auto" w:before="6"/>
        <w:rPr>
          <w:rFonts w:ascii="宋体" w:hAnsi="宋体" w:cs="宋体" w:eastAsia="宋体" w:hint="default"/>
          <w:b/>
          <w:bCs/>
          <w:sz w:val="26"/>
          <w:szCs w:val="26"/>
        </w:rPr>
      </w:pPr>
    </w:p>
    <w:p>
      <w:pPr>
        <w:pStyle w:val="BodyText"/>
        <w:spacing w:line="338" w:lineRule="auto"/>
        <w:ind w:right="7349"/>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公司报告期未发生破产重整相关事项。</w:t>
      </w:r>
    </w:p>
    <w:p>
      <w:pPr>
        <w:spacing w:line="240" w:lineRule="auto" w:before="11"/>
        <w:rPr>
          <w:rFonts w:ascii="宋体" w:hAnsi="宋体" w:cs="宋体" w:eastAsia="宋体" w:hint="default"/>
          <w:sz w:val="19"/>
          <w:szCs w:val="19"/>
        </w:rPr>
      </w:pPr>
    </w:p>
    <w:p>
      <w:pPr>
        <w:pStyle w:val="Heading2"/>
        <w:spacing w:line="240" w:lineRule="auto"/>
        <w:ind w:right="855"/>
        <w:jc w:val="left"/>
        <w:rPr>
          <w:b w:val="0"/>
          <w:bCs w:val="0"/>
        </w:rPr>
      </w:pPr>
      <w:r>
        <w:rPr/>
        <w:t>十二、重大诉讼、仲裁事项</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855"/>
        <w:jc w:val="left"/>
      </w:pPr>
      <w:r>
        <w:rPr/>
        <w:pict>
          <v:shape style="position:absolute;margin-left:341.662872pt;margin-top:68.86171pt;width:76.350pt;height:113.1pt;mso-position-horizontal-relative:page;mso-position-vertical-relative:paragraph;z-index:-982288"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0"/>
                      <w:szCs w:val="20"/>
                    </w:rPr>
                  </w:pPr>
                </w:p>
                <w:p>
                  <w:pPr>
                    <w:pStyle w:val="BodyText"/>
                    <w:spacing w:line="240" w:lineRule="auto"/>
                    <w:ind w:left="0" w:right="0"/>
                    <w:jc w:val="left"/>
                  </w:pPr>
                  <w:r>
                    <w:rPr>
                      <w:w w:val="101"/>
                    </w:rPr>
                    <w:t>。</w:t>
                  </w:r>
                  <w:r>
                    <w:rPr/>
                  </w:r>
                </w:p>
              </w:txbxContent>
            </v:textbox>
            <w10:wrap type="none"/>
          </v:shape>
        </w:pict>
      </w: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1"/>
        </w:rPr>
        <w:t> </w:t>
      </w:r>
      <w:r>
        <w:rPr/>
        <w:t>不适用</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3122"/>
        <w:gridCol w:w="710"/>
        <w:gridCol w:w="706"/>
        <w:gridCol w:w="1277"/>
        <w:gridCol w:w="1417"/>
        <w:gridCol w:w="994"/>
        <w:gridCol w:w="711"/>
        <w:gridCol w:w="634"/>
      </w:tblGrid>
      <w:tr>
        <w:trPr>
          <w:trHeight w:val="1028" w:hRule="exact"/>
        </w:trPr>
        <w:tc>
          <w:tcPr>
            <w:tcW w:w="3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773" w:right="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基本情况</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81" w:right="74"/>
              <w:jc w:val="both"/>
              <w:rPr>
                <w:rFonts w:ascii="宋体" w:hAnsi="宋体" w:cs="宋体" w:eastAsia="宋体" w:hint="default"/>
                <w:sz w:val="18"/>
                <w:szCs w:val="18"/>
              </w:rPr>
            </w:pPr>
            <w:r>
              <w:rPr>
                <w:rFonts w:ascii="宋体" w:hAnsi="宋体" w:cs="宋体" w:eastAsia="宋体" w:hint="default"/>
                <w:sz w:val="18"/>
                <w:szCs w:val="18"/>
              </w:rPr>
              <w:t>涉案金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额（万</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元）</w:t>
            </w:r>
          </w:p>
        </w:tc>
        <w:tc>
          <w:tcPr>
            <w:tcW w:w="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81" w:right="70"/>
              <w:jc w:val="both"/>
              <w:rPr>
                <w:rFonts w:ascii="宋体" w:hAnsi="宋体" w:cs="宋体" w:eastAsia="宋体" w:hint="default"/>
                <w:sz w:val="18"/>
                <w:szCs w:val="18"/>
              </w:rPr>
            </w:pPr>
            <w:r>
              <w:rPr>
                <w:rFonts w:ascii="宋体" w:hAnsi="宋体" w:cs="宋体" w:eastAsia="宋体" w:hint="default"/>
                <w:sz w:val="18"/>
                <w:szCs w:val="18"/>
              </w:rPr>
              <w:t>是否形</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成预计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负债</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33" w:right="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进展</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97" w:lineRule="auto"/>
              <w:ind w:left="254" w:right="95" w:hanging="149"/>
              <w:jc w:val="left"/>
              <w:rPr>
                <w:rFonts w:ascii="宋体" w:hAnsi="宋体" w:cs="宋体" w:eastAsia="宋体" w:hint="default"/>
                <w:sz w:val="18"/>
                <w:szCs w:val="18"/>
              </w:rPr>
            </w:pPr>
            <w:r>
              <w:rPr>
                <w:rFonts w:ascii="宋体" w:hAnsi="宋体" w:cs="宋体" w:eastAsia="宋体" w:hint="default"/>
                <w:spacing w:val="-2"/>
                <w:sz w:val="18"/>
                <w:szCs w:val="18"/>
              </w:rPr>
              <w:t>诉讼</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仲裁</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审理</w:t>
            </w:r>
            <w:r>
              <w:rPr>
                <w:rFonts w:ascii="宋体" w:hAnsi="宋体" w:cs="宋体" w:eastAsia="宋体" w:hint="default"/>
                <w:spacing w:val="-71"/>
                <w:sz w:val="18"/>
                <w:szCs w:val="18"/>
              </w:rPr>
              <w:t> </w:t>
            </w:r>
            <w:r>
              <w:rPr>
                <w:rFonts w:ascii="宋体" w:hAnsi="宋体" w:cs="宋体" w:eastAsia="宋体" w:hint="default"/>
                <w:sz w:val="18"/>
                <w:szCs w:val="18"/>
              </w:rPr>
              <w:t>结果及影响</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3"/>
              <w:ind w:left="43" w:right="36" w:hanging="2"/>
              <w:jc w:val="center"/>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1"/>
                <w:sz w:val="18"/>
                <w:szCs w:val="18"/>
              </w:rPr>
              <w:t> </w:t>
            </w:r>
            <w:r>
              <w:rPr>
                <w:rFonts w:ascii="宋体" w:hAnsi="宋体" w:cs="宋体" w:eastAsia="宋体" w:hint="default"/>
                <w:spacing w:val="-2"/>
                <w:sz w:val="18"/>
                <w:szCs w:val="18"/>
              </w:rPr>
              <w:t>判决执行情</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况</w:t>
            </w:r>
          </w:p>
        </w:tc>
        <w:tc>
          <w:tcPr>
            <w:tcW w:w="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4" w:lineRule="auto"/>
              <w:ind w:left="259" w:right="75" w:hanging="178"/>
              <w:jc w:val="left"/>
              <w:rPr>
                <w:rFonts w:ascii="宋体" w:hAnsi="宋体" w:cs="宋体" w:eastAsia="宋体" w:hint="default"/>
                <w:sz w:val="18"/>
                <w:szCs w:val="18"/>
              </w:rPr>
            </w:pPr>
            <w:r>
              <w:rPr>
                <w:rFonts w:ascii="宋体" w:hAnsi="宋体" w:cs="宋体" w:eastAsia="宋体" w:hint="default"/>
                <w:sz w:val="18"/>
                <w:szCs w:val="18"/>
              </w:rPr>
              <w:t>披露日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期</w:t>
            </w:r>
          </w:p>
        </w:tc>
        <w:tc>
          <w:tcPr>
            <w:tcW w:w="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4" w:lineRule="auto"/>
              <w:ind w:left="225" w:right="36" w:hanging="183"/>
              <w:jc w:val="left"/>
              <w:rPr>
                <w:rFonts w:ascii="宋体" w:hAnsi="宋体" w:cs="宋体" w:eastAsia="宋体" w:hint="default"/>
                <w:sz w:val="18"/>
                <w:szCs w:val="18"/>
              </w:rPr>
            </w:pPr>
            <w:r>
              <w:rPr>
                <w:rFonts w:ascii="宋体" w:hAnsi="宋体" w:cs="宋体" w:eastAsia="宋体" w:hint="default"/>
                <w:sz w:val="18"/>
                <w:szCs w:val="18"/>
              </w:rPr>
              <w:t>披露索</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引</w:t>
            </w:r>
          </w:p>
        </w:tc>
      </w:tr>
      <w:tr>
        <w:trPr>
          <w:trHeight w:val="2271" w:hRule="exact"/>
        </w:trPr>
        <w:tc>
          <w:tcPr>
            <w:tcW w:w="3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2" w:lineRule="auto"/>
              <w:ind w:left="24" w:right="-19"/>
              <w:jc w:val="both"/>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日，公司控股子公司北</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3"/>
                <w:sz w:val="18"/>
                <w:szCs w:val="18"/>
              </w:rPr>
              <w:t>信工与康联医药集团有限责任公司签署</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2"/>
                <w:w w:val="101"/>
                <w:sz w:val="18"/>
                <w:szCs w:val="18"/>
              </w:rPr>
              <w:t>了编号为</w:t>
            </w:r>
            <w:r>
              <w:rPr>
                <w:rFonts w:ascii="宋体" w:hAnsi="宋体" w:cs="宋体" w:eastAsia="宋体" w:hint="default"/>
                <w:spacing w:val="-42"/>
                <w:w w:val="101"/>
                <w:sz w:val="18"/>
                <w:szCs w:val="18"/>
              </w:rPr>
              <w:t> </w:t>
            </w:r>
            <w:r>
              <w:rPr>
                <w:rFonts w:ascii="Times New Roman" w:hAnsi="Times New Roman" w:cs="Times New Roman" w:eastAsia="Times New Roman" w:hint="default"/>
                <w:spacing w:val="-2"/>
                <w:w w:val="101"/>
                <w:sz w:val="18"/>
                <w:szCs w:val="18"/>
              </w:rPr>
              <w:t>A201310248</w:t>
            </w:r>
            <w:r>
              <w:rPr>
                <w:rFonts w:ascii="Times New Roman" w:hAnsi="Times New Roman" w:cs="Times New Roman" w:eastAsia="Times New Roman" w:hint="default"/>
                <w:spacing w:val="4"/>
                <w:w w:val="101"/>
                <w:sz w:val="18"/>
                <w:szCs w:val="18"/>
              </w:rPr>
              <w:t> </w:t>
            </w:r>
            <w:r>
              <w:rPr>
                <w:rFonts w:ascii="宋体" w:hAnsi="宋体" w:cs="宋体" w:eastAsia="宋体" w:hint="default"/>
                <w:spacing w:val="-14"/>
                <w:w w:val="101"/>
                <w:sz w:val="18"/>
                <w:szCs w:val="18"/>
              </w:rPr>
              <w:t>的《购销合同》，</w:t>
            </w:r>
            <w:r>
              <w:rPr>
                <w:rFonts w:ascii="宋体" w:hAnsi="宋体" w:cs="宋体" w:eastAsia="宋体" w:hint="default"/>
                <w:spacing w:val="-90"/>
                <w:w w:val="101"/>
                <w:sz w:val="18"/>
                <w:szCs w:val="18"/>
              </w:rPr>
              <w:t> </w:t>
            </w:r>
            <w:r>
              <w:rPr>
                <w:rFonts w:ascii="宋体" w:hAnsi="宋体" w:cs="宋体" w:eastAsia="宋体" w:hint="default"/>
                <w:spacing w:val="-90"/>
                <w:w w:val="101"/>
                <w:sz w:val="18"/>
                <w:szCs w:val="18"/>
              </w:rPr>
            </w:r>
            <w:r>
              <w:rPr>
                <w:rFonts w:ascii="宋体" w:hAnsi="宋体" w:cs="宋体" w:eastAsia="宋体" w:hint="default"/>
                <w:spacing w:val="-3"/>
                <w:sz w:val="18"/>
                <w:szCs w:val="18"/>
              </w:rPr>
              <w:t>因买卖合同纠纷，北信工作为原告，起</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诉康联医药集团有限责任公司，已经北</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京市西城区人民法院立案开庭审理。</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1,105.24</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p>
          <w:p>
            <w:pPr>
              <w:pStyle w:val="TableParagraph"/>
              <w:spacing w:line="240" w:lineRule="auto" w:before="58"/>
              <w:ind w:left="24" w:right="0"/>
              <w:jc w:val="both"/>
              <w:rPr>
                <w:rFonts w:ascii="宋体" w:hAnsi="宋体" w:cs="宋体" w:eastAsia="宋体" w:hint="default"/>
                <w:sz w:val="18"/>
                <w:szCs w:val="18"/>
              </w:rPr>
            </w:pPr>
            <w:r>
              <w:rPr>
                <w:rFonts w:ascii="宋体" w:hAnsi="宋体" w:cs="宋体" w:eastAsia="宋体" w:hint="default"/>
                <w:spacing w:val="-8"/>
                <w:sz w:val="18"/>
                <w:szCs w:val="18"/>
              </w:rPr>
              <w:t>日，北信工收到</w:t>
            </w:r>
          </w:p>
          <w:p>
            <w:pPr>
              <w:pStyle w:val="TableParagraph"/>
              <w:spacing w:line="319" w:lineRule="auto" w:before="76"/>
              <w:ind w:left="24" w:right="156"/>
              <w:jc w:val="both"/>
              <w:rPr>
                <w:rFonts w:ascii="宋体" w:hAnsi="宋体" w:cs="宋体" w:eastAsia="宋体" w:hint="default"/>
                <w:sz w:val="18"/>
                <w:szCs w:val="18"/>
              </w:rPr>
            </w:pPr>
            <w:r>
              <w:rPr>
                <w:rFonts w:ascii="宋体" w:hAnsi="宋体" w:cs="宋体" w:eastAsia="宋体" w:hint="default"/>
                <w:spacing w:val="-2"/>
                <w:sz w:val="18"/>
                <w:szCs w:val="18"/>
              </w:rPr>
              <w:t>《北京市西城</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区人民法院民</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事判决书</w:t>
            </w:r>
          </w:p>
          <w:p>
            <w:pPr>
              <w:pStyle w:val="TableParagraph"/>
              <w:spacing w:line="240" w:lineRule="auto" w:before="17"/>
              <w:ind w:left="24" w:right="0"/>
              <w:jc w:val="both"/>
              <w:rPr>
                <w:rFonts w:ascii="Times New Roman" w:hAnsi="Times New Roman" w:cs="Times New Roman" w:eastAsia="Times New Roman" w:hint="default"/>
                <w:sz w:val="18"/>
                <w:szCs w:val="18"/>
              </w:rPr>
            </w:pPr>
            <w:r>
              <w:rPr>
                <w:rFonts w:ascii="宋体" w:hAnsi="宋体" w:cs="宋体" w:eastAsia="宋体" w:hint="default"/>
                <w:w w:val="101"/>
                <w:sz w:val="18"/>
                <w:szCs w:val="18"/>
              </w:rPr>
              <w:t>（</w:t>
            </w:r>
            <w:r>
              <w:rPr>
                <w:rFonts w:ascii="Times New Roman" w:hAnsi="Times New Roman" w:cs="Times New Roman" w:eastAsia="Times New Roman" w:hint="default"/>
                <w:w w:val="101"/>
                <w:sz w:val="18"/>
                <w:szCs w:val="18"/>
              </w:rPr>
              <w:t>20</w:t>
            </w:r>
            <w:r>
              <w:rPr>
                <w:rFonts w:ascii="Times New Roman" w:hAnsi="Times New Roman" w:cs="Times New Roman" w:eastAsia="Times New Roman" w:hint="default"/>
                <w:spacing w:val="-5"/>
                <w:w w:val="101"/>
                <w:sz w:val="18"/>
                <w:szCs w:val="18"/>
              </w:rPr>
              <w:t>1</w:t>
            </w:r>
            <w:r>
              <w:rPr>
                <w:rFonts w:ascii="Times New Roman" w:hAnsi="Times New Roman" w:cs="Times New Roman" w:eastAsia="Times New Roman" w:hint="default"/>
                <w:spacing w:val="-1"/>
                <w:w w:val="101"/>
                <w:sz w:val="18"/>
                <w:szCs w:val="18"/>
              </w:rPr>
              <w:t>6</w:t>
            </w:r>
            <w:r>
              <w:rPr>
                <w:rFonts w:ascii="宋体" w:hAnsi="宋体" w:cs="宋体" w:eastAsia="宋体" w:hint="default"/>
                <w:spacing w:val="-87"/>
                <w:w w:val="101"/>
                <w:sz w:val="18"/>
                <w:szCs w:val="18"/>
              </w:rPr>
              <w:t>）</w:t>
            </w:r>
            <w:r>
              <w:rPr>
                <w:rFonts w:ascii="宋体" w:hAnsi="宋体" w:cs="宋体" w:eastAsia="宋体" w:hint="default"/>
                <w:w w:val="101"/>
                <w:sz w:val="18"/>
                <w:szCs w:val="18"/>
              </w:rPr>
              <w:t>京</w:t>
            </w:r>
            <w:r>
              <w:rPr>
                <w:rFonts w:ascii="宋体" w:hAnsi="宋体" w:cs="宋体" w:eastAsia="宋体" w:hint="default"/>
                <w:spacing w:val="-47"/>
                <w:sz w:val="18"/>
                <w:szCs w:val="18"/>
              </w:rPr>
              <w:t> </w:t>
            </w:r>
            <w:r>
              <w:rPr>
                <w:rFonts w:ascii="Times New Roman" w:hAnsi="Times New Roman" w:cs="Times New Roman" w:eastAsia="Times New Roman" w:hint="default"/>
                <w:w w:val="101"/>
                <w:sz w:val="18"/>
                <w:szCs w:val="18"/>
              </w:rPr>
              <w:t>0</w:t>
            </w:r>
            <w:r>
              <w:rPr>
                <w:rFonts w:ascii="Times New Roman" w:hAnsi="Times New Roman" w:cs="Times New Roman" w:eastAsia="Times New Roman" w:hint="default"/>
                <w:spacing w:val="-5"/>
                <w:w w:val="101"/>
                <w:sz w:val="18"/>
                <w:szCs w:val="18"/>
              </w:rPr>
              <w:t>1</w:t>
            </w:r>
            <w:r>
              <w:rPr>
                <w:rFonts w:ascii="Times New Roman" w:hAnsi="Times New Roman" w:cs="Times New Roman" w:eastAsia="Times New Roman" w:hint="default"/>
                <w:w w:val="101"/>
                <w:sz w:val="18"/>
                <w:szCs w:val="18"/>
              </w:rPr>
              <w:t>02</w:t>
            </w:r>
            <w:r>
              <w:rPr>
                <w:rFonts w:ascii="Times New Roman" w:hAnsi="Times New Roman" w:cs="Times New Roman" w:eastAsia="Times New Roman" w:hint="default"/>
                <w:sz w:val="18"/>
                <w:szCs w:val="18"/>
              </w:rPr>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民初</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18506</w:t>
            </w:r>
            <w:r>
              <w:rPr>
                <w:rFonts w:ascii="Times New Roman" w:hAnsi="Times New Roman" w:cs="Times New Roman" w:eastAsia="Times New Roman" w:hint="default"/>
                <w:spacing w:val="-16"/>
                <w:sz w:val="18"/>
                <w:szCs w:val="18"/>
              </w:rPr>
              <w:t> </w:t>
            </w:r>
            <w:r>
              <w:rPr>
                <w:rFonts w:ascii="宋体" w:hAnsi="宋体" w:cs="宋体" w:eastAsia="宋体" w:hint="default"/>
                <w:spacing w:val="-3"/>
                <w:sz w:val="18"/>
                <w:szCs w:val="18"/>
              </w:rPr>
              <w:t>号》</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2"/>
              <w:jc w:val="left"/>
              <w:rPr>
                <w:rFonts w:ascii="宋体" w:hAnsi="宋体" w:cs="宋体" w:eastAsia="宋体" w:hint="default"/>
                <w:sz w:val="18"/>
                <w:szCs w:val="18"/>
              </w:rPr>
            </w:pPr>
            <w:r>
              <w:rPr>
                <w:rFonts w:ascii="宋体" w:hAnsi="宋体" w:cs="宋体" w:eastAsia="宋体" w:hint="default"/>
                <w:spacing w:val="-3"/>
                <w:sz w:val="18"/>
                <w:szCs w:val="18"/>
              </w:rPr>
              <w:t>鉴于该案件尚未</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12"/>
                <w:w w:val="101"/>
                <w:sz w:val="18"/>
                <w:szCs w:val="18"/>
              </w:rPr>
              <w:t>履行完毕，尚无法</w:t>
            </w:r>
            <w:r>
              <w:rPr>
                <w:rFonts w:ascii="宋体" w:hAnsi="宋体" w:cs="宋体" w:eastAsia="宋体" w:hint="default"/>
                <w:spacing w:val="-88"/>
                <w:w w:val="101"/>
                <w:sz w:val="18"/>
                <w:szCs w:val="18"/>
              </w:rPr>
              <w:t> </w:t>
            </w:r>
            <w:r>
              <w:rPr>
                <w:rFonts w:ascii="宋体" w:hAnsi="宋体" w:cs="宋体" w:eastAsia="宋体" w:hint="default"/>
                <w:spacing w:val="-88"/>
                <w:w w:val="101"/>
                <w:sz w:val="18"/>
                <w:szCs w:val="18"/>
              </w:rPr>
            </w:r>
            <w:r>
              <w:rPr>
                <w:rFonts w:ascii="宋体" w:hAnsi="宋体" w:cs="宋体" w:eastAsia="宋体" w:hint="default"/>
                <w:spacing w:val="-3"/>
                <w:sz w:val="18"/>
                <w:szCs w:val="18"/>
              </w:rPr>
              <w:t>准确判断本次诉</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讼案件的进展情</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况对公司本期利</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润或期后利润的</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影响金额。</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3" w:right="55"/>
              <w:jc w:val="both"/>
              <w:rPr>
                <w:rFonts w:ascii="宋体" w:hAnsi="宋体" w:cs="宋体" w:eastAsia="宋体" w:hint="default"/>
                <w:sz w:val="18"/>
                <w:szCs w:val="18"/>
              </w:rPr>
            </w:pPr>
            <w:r>
              <w:rPr>
                <w:rFonts w:ascii="宋体" w:hAnsi="宋体" w:cs="宋体" w:eastAsia="宋体" w:hint="default"/>
                <w:spacing w:val="-2"/>
                <w:sz w:val="18"/>
                <w:szCs w:val="18"/>
              </w:rPr>
              <w:t>一审判决，</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该案正在强</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制执行程序</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中。</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05</w:t>
            </w:r>
          </w:p>
          <w:p>
            <w:pPr>
              <w:pStyle w:val="TableParagraph"/>
              <w:spacing w:line="300" w:lineRule="auto" w:before="63"/>
              <w:ind w:left="23" w:right="17"/>
              <w:jc w:val="left"/>
              <w:rPr>
                <w:rFonts w:ascii="宋体" w:hAnsi="宋体" w:cs="宋体" w:eastAsia="宋体" w:hint="default"/>
                <w:sz w:val="18"/>
                <w:szCs w:val="18"/>
              </w:rPr>
            </w:pPr>
            <w:r>
              <w:rPr>
                <w:rFonts w:ascii="宋体" w:hAnsi="宋体" w:cs="宋体" w:eastAsia="宋体" w:hint="default"/>
                <w:spacing w:val="-12"/>
                <w:sz w:val="18"/>
                <w:szCs w:val="18"/>
              </w:rPr>
              <w:t>日、</w:t>
            </w:r>
            <w:r>
              <w:rPr>
                <w:rFonts w:ascii="Times New Roman" w:hAnsi="Times New Roman" w:cs="Times New Roman" w:eastAsia="Times New Roman" w:hint="default"/>
                <w:spacing w:val="-12"/>
                <w:sz w:val="18"/>
                <w:szCs w:val="18"/>
              </w:rPr>
              <w:t>2017</w:t>
            </w:r>
            <w:r>
              <w:rPr>
                <w:rFonts w:ascii="Times New Roman" w:hAnsi="Times New Roman" w:cs="Times New Roman" w:eastAsia="Times New Roman" w:hint="default"/>
                <w:spacing w:val="-36"/>
                <w:sz w:val="18"/>
                <w:szCs w:val="18"/>
              </w:rPr>
              <w:t> </w:t>
            </w:r>
            <w:r>
              <w:rPr>
                <w:rFonts w:ascii="Times New Roman" w:hAnsi="Times New Roman" w:cs="Times New Roman" w:eastAsia="Times New Roman" w:hint="default"/>
                <w:spacing w:val="-36"/>
                <w:sz w:val="18"/>
                <w:szCs w:val="18"/>
              </w:rPr>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1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38" w:lineRule="auto"/>
              <w:ind w:left="24" w:right="3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讯网</w:t>
            </w:r>
            <w:r>
              <w:rPr>
                <w:rFonts w:ascii="宋体" w:hAnsi="宋体" w:cs="宋体" w:eastAsia="宋体" w:hint="default"/>
                <w:spacing w:val="-86"/>
                <w:sz w:val="18"/>
                <w:szCs w:val="18"/>
              </w:rPr>
              <w:t> </w:t>
            </w:r>
            <w:hyperlink r:id="rId13">
              <w:r>
                <w:rPr>
                  <w:rFonts w:ascii="Times New Roman" w:hAnsi="Times New Roman" w:cs="Times New Roman" w:eastAsia="Times New Roman" w:hint="default"/>
                  <w:sz w:val="18"/>
                  <w:szCs w:val="18"/>
                </w:rPr>
                <w:t>http://w</w:t>
              </w:r>
            </w:hyperlink>
          </w:p>
          <w:p>
            <w:pPr>
              <w:pStyle w:val="TableParagraph"/>
              <w:spacing w:line="362" w:lineRule="auto" w:before="23"/>
              <w:ind w:left="24" w:right="81"/>
              <w:jc w:val="left"/>
              <w:rPr>
                <w:rFonts w:ascii="Times New Roman" w:hAnsi="Times New Roman" w:cs="Times New Roman" w:eastAsia="Times New Roman" w:hint="default"/>
                <w:sz w:val="18"/>
                <w:szCs w:val="18"/>
              </w:rPr>
            </w:pPr>
            <w:r>
              <w:rPr>
                <w:rFonts w:ascii="Times New Roman"/>
                <w:spacing w:val="-3"/>
                <w:sz w:val="18"/>
              </w:rPr>
              <w:t>ww.cni</w:t>
            </w:r>
            <w:r>
              <w:rPr>
                <w:rFonts w:ascii="Times New Roman"/>
                <w:spacing w:val="-38"/>
                <w:sz w:val="18"/>
              </w:rPr>
              <w:t> </w:t>
            </w:r>
            <w:r>
              <w:rPr>
                <w:rFonts w:ascii="Times New Roman"/>
                <w:spacing w:val="-38"/>
                <w:sz w:val="18"/>
              </w:rPr>
            </w:r>
            <w:r>
              <w:rPr>
                <w:rFonts w:ascii="Times New Roman"/>
                <w:sz w:val="18"/>
              </w:rPr>
              <w:t>nfo.co</w:t>
            </w:r>
            <w:r>
              <w:rPr>
                <w:rFonts w:ascii="Times New Roman"/>
                <w:spacing w:val="-41"/>
                <w:sz w:val="18"/>
              </w:rPr>
              <w:t> </w:t>
            </w:r>
            <w:r>
              <w:rPr>
                <w:rFonts w:ascii="Times New Roman"/>
                <w:spacing w:val="-41"/>
                <w:sz w:val="18"/>
              </w:rPr>
            </w:r>
            <w:r>
              <w:rPr>
                <w:rFonts w:ascii="Times New Roman"/>
                <w:sz w:val="18"/>
              </w:rPr>
              <w:t>m.cn</w:t>
            </w:r>
          </w:p>
        </w:tc>
      </w:tr>
      <w:tr>
        <w:trPr>
          <w:trHeight w:val="4461" w:hRule="exact"/>
        </w:trPr>
        <w:tc>
          <w:tcPr>
            <w:tcW w:w="3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both"/>
              <w:rPr>
                <w:rFonts w:ascii="宋体" w:hAnsi="宋体" w:cs="宋体" w:eastAsia="宋体" w:hint="default"/>
                <w:sz w:val="18"/>
                <w:szCs w:val="18"/>
              </w:rPr>
            </w:pPr>
            <w:r>
              <w:rPr>
                <w:rFonts w:ascii="宋体" w:hAnsi="宋体" w:cs="宋体" w:eastAsia="宋体" w:hint="default"/>
                <w:w w:val="101"/>
                <w:sz w:val="18"/>
                <w:szCs w:val="18"/>
              </w:rPr>
              <w:t>公司</w:t>
            </w:r>
            <w:r>
              <w:rPr>
                <w:rFonts w:ascii="宋体" w:hAnsi="宋体" w:cs="宋体" w:eastAsia="宋体" w:hint="default"/>
                <w:spacing w:val="-47"/>
                <w:sz w:val="18"/>
                <w:szCs w:val="18"/>
              </w:rPr>
              <w:t> </w:t>
            </w:r>
            <w:r>
              <w:rPr>
                <w:rFonts w:ascii="Times New Roman" w:hAnsi="Times New Roman" w:cs="Times New Roman" w:eastAsia="Times New Roman" w:hint="default"/>
                <w:w w:val="101"/>
                <w:sz w:val="18"/>
                <w:szCs w:val="18"/>
              </w:rPr>
              <w:t>2003</w:t>
            </w:r>
            <w:r>
              <w:rPr>
                <w:rFonts w:ascii="Times New Roman" w:hAnsi="Times New Roman" w:cs="Times New Roman" w:eastAsia="Times New Roman" w:hint="default"/>
                <w:spacing w:val="-7"/>
                <w:sz w:val="18"/>
                <w:szCs w:val="18"/>
              </w:rPr>
              <w:t> </w:t>
            </w:r>
            <w:r>
              <w:rPr>
                <w:rFonts w:ascii="宋体" w:hAnsi="宋体" w:cs="宋体" w:eastAsia="宋体" w:hint="default"/>
                <w:w w:val="101"/>
                <w:sz w:val="18"/>
                <w:szCs w:val="18"/>
              </w:rPr>
              <w:t>年</w:t>
            </w:r>
            <w:r>
              <w:rPr>
                <w:rFonts w:ascii="宋体" w:hAnsi="宋体" w:cs="宋体" w:eastAsia="宋体" w:hint="default"/>
                <w:spacing w:val="-5"/>
                <w:w w:val="101"/>
                <w:sz w:val="18"/>
                <w:szCs w:val="18"/>
              </w:rPr>
              <w:t>参</w:t>
            </w:r>
            <w:r>
              <w:rPr>
                <w:rFonts w:ascii="宋体" w:hAnsi="宋体" w:cs="宋体" w:eastAsia="宋体" w:hint="default"/>
                <w:w w:val="101"/>
                <w:sz w:val="18"/>
                <w:szCs w:val="18"/>
              </w:rPr>
              <w:t>股</w:t>
            </w:r>
            <w:r>
              <w:rPr>
                <w:rFonts w:ascii="宋体" w:hAnsi="宋体" w:cs="宋体" w:eastAsia="宋体" w:hint="default"/>
                <w:spacing w:val="-5"/>
                <w:w w:val="101"/>
                <w:sz w:val="18"/>
                <w:szCs w:val="18"/>
              </w:rPr>
              <w:t>设</w:t>
            </w:r>
            <w:r>
              <w:rPr>
                <w:rFonts w:ascii="宋体" w:hAnsi="宋体" w:cs="宋体" w:eastAsia="宋体" w:hint="default"/>
                <w:w w:val="101"/>
                <w:sz w:val="18"/>
                <w:szCs w:val="18"/>
              </w:rPr>
              <w:t>立</w:t>
            </w:r>
            <w:r>
              <w:rPr>
                <w:rFonts w:ascii="宋体" w:hAnsi="宋体" w:cs="宋体" w:eastAsia="宋体" w:hint="default"/>
                <w:spacing w:val="-5"/>
                <w:w w:val="101"/>
                <w:sz w:val="18"/>
                <w:szCs w:val="18"/>
              </w:rPr>
              <w:t>了</w:t>
            </w:r>
            <w:r>
              <w:rPr>
                <w:rFonts w:ascii="宋体" w:hAnsi="宋体" w:cs="宋体" w:eastAsia="宋体" w:hint="default"/>
                <w:w w:val="101"/>
                <w:sz w:val="18"/>
                <w:szCs w:val="18"/>
              </w:rPr>
              <w:t>云</w:t>
            </w:r>
            <w:r>
              <w:rPr>
                <w:rFonts w:ascii="宋体" w:hAnsi="宋体" w:cs="宋体" w:eastAsia="宋体" w:hint="default"/>
                <w:spacing w:val="-5"/>
                <w:w w:val="101"/>
                <w:sz w:val="18"/>
                <w:szCs w:val="18"/>
              </w:rPr>
              <w:t>南</w:t>
            </w:r>
            <w:r>
              <w:rPr>
                <w:rFonts w:ascii="宋体" w:hAnsi="宋体" w:cs="宋体" w:eastAsia="宋体" w:hint="default"/>
                <w:w w:val="101"/>
                <w:sz w:val="18"/>
                <w:szCs w:val="18"/>
              </w:rPr>
              <w:t>佳</w:t>
            </w:r>
            <w:r>
              <w:rPr>
                <w:rFonts w:ascii="宋体" w:hAnsi="宋体" w:cs="宋体" w:eastAsia="宋体" w:hint="default"/>
                <w:spacing w:val="-5"/>
                <w:w w:val="101"/>
                <w:sz w:val="18"/>
                <w:szCs w:val="18"/>
              </w:rPr>
              <w:t>程</w:t>
            </w:r>
            <w:r>
              <w:rPr>
                <w:rFonts w:ascii="宋体" w:hAnsi="宋体" w:cs="宋体" w:eastAsia="宋体" w:hint="default"/>
                <w:spacing w:val="-87"/>
                <w:w w:val="101"/>
                <w:sz w:val="18"/>
                <w:szCs w:val="18"/>
              </w:rPr>
              <w:t>，</w:t>
            </w:r>
            <w:r>
              <w:rPr>
                <w:rFonts w:ascii="宋体" w:hAnsi="宋体" w:cs="宋体" w:eastAsia="宋体" w:hint="default"/>
                <w:spacing w:val="-5"/>
                <w:w w:val="101"/>
                <w:sz w:val="18"/>
                <w:szCs w:val="18"/>
              </w:rPr>
              <w:t>主</w:t>
            </w:r>
            <w:r>
              <w:rPr>
                <w:rFonts w:ascii="宋体" w:hAnsi="宋体" w:cs="宋体" w:eastAsia="宋体" w:hint="default"/>
                <w:w w:val="101"/>
                <w:sz w:val="18"/>
                <w:szCs w:val="18"/>
              </w:rPr>
              <w:t>营</w:t>
            </w:r>
            <w:r>
              <w:rPr>
                <w:rFonts w:ascii="宋体" w:hAnsi="宋体" w:cs="宋体" w:eastAsia="宋体" w:hint="default"/>
                <w:sz w:val="18"/>
                <w:szCs w:val="18"/>
              </w:rPr>
            </w:r>
          </w:p>
          <w:p>
            <w:pPr>
              <w:pStyle w:val="TableParagraph"/>
              <w:spacing w:line="314" w:lineRule="auto" w:before="58"/>
              <w:ind w:left="24" w:right="17"/>
              <w:jc w:val="both"/>
              <w:rPr>
                <w:rFonts w:ascii="宋体" w:hAnsi="宋体" w:cs="宋体" w:eastAsia="宋体" w:hint="default"/>
                <w:sz w:val="18"/>
                <w:szCs w:val="18"/>
              </w:rPr>
            </w:pPr>
            <w:r>
              <w:rPr>
                <w:rFonts w:ascii="宋体" w:hAnsi="宋体" w:cs="宋体" w:eastAsia="宋体" w:hint="default"/>
                <w:sz w:val="18"/>
                <w:szCs w:val="18"/>
              </w:rPr>
              <w:t>税控机，注册资本为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万元，公司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持有其</w:t>
            </w:r>
            <w:r>
              <w:rPr>
                <w:rFonts w:ascii="宋体" w:hAnsi="宋体" w:cs="宋体" w:eastAsia="宋体" w:hint="default"/>
                <w:spacing w:val="-10"/>
                <w:sz w:val="18"/>
                <w:szCs w:val="18"/>
              </w:rPr>
              <w:t> </w:t>
            </w:r>
            <w:r>
              <w:rPr>
                <w:rFonts w:ascii="Times New Roman" w:hAnsi="Times New Roman" w:cs="Times New Roman" w:eastAsia="Times New Roman" w:hint="default"/>
                <w:spacing w:val="-4"/>
                <w:sz w:val="18"/>
                <w:szCs w:val="18"/>
              </w:rPr>
              <w:t>20%</w:t>
            </w:r>
            <w:r>
              <w:rPr>
                <w:rFonts w:ascii="宋体" w:hAnsi="宋体" w:cs="宋体" w:eastAsia="宋体" w:hint="default"/>
                <w:spacing w:val="-4"/>
                <w:sz w:val="18"/>
                <w:szCs w:val="18"/>
              </w:rPr>
              <w:t>的股权。因营改增导致云南</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3"/>
                <w:sz w:val="18"/>
                <w:szCs w:val="18"/>
              </w:rPr>
              <w:t>佳程业务停滞，且与其大股东长沙高新</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开发区佳程科技有限公司对其是否持续</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经营，无法达成一致意见，为保护公司</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和股东利益，南天信息向昆明市中级人</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民法院起诉参股公司云南佳程，请求解</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散该公司。该案已由昆明市中级人民法</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院于</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日开庭审理，公司</w:t>
            </w:r>
          </w:p>
          <w:p>
            <w:pPr>
              <w:pStyle w:val="TableParagraph"/>
              <w:spacing w:line="309" w:lineRule="auto" w:before="1"/>
              <w:ind w:left="24" w:right="17"/>
              <w:jc w:val="both"/>
              <w:rPr>
                <w:rFonts w:ascii="Times New Roman" w:hAnsi="Times New Roman" w:cs="Times New Roman" w:eastAsia="Times New Roman" w:hint="default"/>
                <w:sz w:val="18"/>
                <w:szCs w:val="18"/>
              </w:rPr>
            </w:pPr>
            <w:r>
              <w:rPr>
                <w:rFonts w:ascii="宋体" w:hAnsi="宋体" w:cs="宋体" w:eastAsia="宋体" w:hint="default"/>
                <w:sz w:val="18"/>
                <w:szCs w:val="18"/>
              </w:rPr>
              <w:t>于</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2"/>
                <w:sz w:val="18"/>
                <w:szCs w:val="18"/>
              </w:rPr>
              <w:t> </w:t>
            </w:r>
            <w:r>
              <w:rPr>
                <w:rFonts w:ascii="宋体" w:hAnsi="宋体" w:cs="宋体" w:eastAsia="宋体" w:hint="default"/>
                <w:spacing w:val="-3"/>
                <w:sz w:val="18"/>
                <w:szCs w:val="18"/>
              </w:rPr>
              <w:t>日收到云南省昆明市</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
                <w:sz w:val="18"/>
                <w:szCs w:val="18"/>
              </w:rPr>
              <w:t>中级人民法院出具的《云南省昆明市中</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14"/>
                <w:w w:val="101"/>
                <w:sz w:val="18"/>
                <w:szCs w:val="18"/>
              </w:rPr>
              <w:t>级人民法院民事判决书》【（</w:t>
            </w:r>
            <w:r>
              <w:rPr>
                <w:rFonts w:ascii="Times New Roman" w:hAnsi="Times New Roman" w:cs="Times New Roman" w:eastAsia="Times New Roman" w:hint="default"/>
                <w:spacing w:val="-14"/>
                <w:w w:val="101"/>
                <w:sz w:val="18"/>
                <w:szCs w:val="18"/>
              </w:rPr>
              <w:t>2018</w:t>
            </w:r>
            <w:r>
              <w:rPr>
                <w:rFonts w:ascii="宋体" w:hAnsi="宋体" w:cs="宋体" w:eastAsia="宋体" w:hint="default"/>
                <w:spacing w:val="-14"/>
                <w:w w:val="101"/>
                <w:sz w:val="18"/>
                <w:szCs w:val="18"/>
              </w:rPr>
              <w:t>）云</w:t>
            </w:r>
            <w:r>
              <w:rPr>
                <w:rFonts w:ascii="宋体" w:hAnsi="宋体" w:cs="宋体" w:eastAsia="宋体" w:hint="default"/>
                <w:spacing w:val="-45"/>
                <w:w w:val="101"/>
                <w:sz w:val="18"/>
                <w:szCs w:val="18"/>
              </w:rPr>
              <w:t> </w:t>
            </w:r>
            <w:r>
              <w:rPr>
                <w:rFonts w:ascii="Times New Roman" w:hAnsi="Times New Roman" w:cs="Times New Roman" w:eastAsia="Times New Roman" w:hint="default"/>
                <w:w w:val="101"/>
                <w:sz w:val="18"/>
                <w:szCs w:val="18"/>
              </w:rPr>
              <w:t>01</w:t>
            </w:r>
            <w:r>
              <w:rPr>
                <w:rFonts w:ascii="Times New Roman" w:hAnsi="Times New Roman" w:cs="Times New Roman" w:eastAsia="Times New Roman" w:hint="default"/>
                <w:sz w:val="18"/>
                <w:szCs w:val="18"/>
              </w:rPr>
            </w:r>
          </w:p>
          <w:p>
            <w:pPr>
              <w:pStyle w:val="TableParagraph"/>
              <w:spacing w:line="240" w:lineRule="auto" w:before="5"/>
              <w:ind w:left="24" w:right="0"/>
              <w:jc w:val="both"/>
              <w:rPr>
                <w:rFonts w:ascii="宋体" w:hAnsi="宋体" w:cs="宋体" w:eastAsia="宋体" w:hint="default"/>
                <w:sz w:val="18"/>
                <w:szCs w:val="18"/>
              </w:rPr>
            </w:pPr>
            <w:r>
              <w:rPr>
                <w:rFonts w:ascii="宋体" w:hAnsi="宋体" w:cs="宋体" w:eastAsia="宋体" w:hint="default"/>
                <w:w w:val="101"/>
                <w:sz w:val="18"/>
                <w:szCs w:val="18"/>
              </w:rPr>
              <w:t>民初</w:t>
            </w:r>
            <w:r>
              <w:rPr>
                <w:rFonts w:ascii="宋体" w:hAnsi="宋体" w:cs="宋体" w:eastAsia="宋体" w:hint="default"/>
                <w:spacing w:val="-47"/>
                <w:sz w:val="18"/>
                <w:szCs w:val="18"/>
              </w:rPr>
              <w:t> </w:t>
            </w:r>
            <w:r>
              <w:rPr>
                <w:rFonts w:ascii="Times New Roman" w:hAnsi="Times New Roman" w:cs="Times New Roman" w:eastAsia="Times New Roman" w:hint="default"/>
                <w:w w:val="101"/>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pacing w:val="-5"/>
                <w:w w:val="101"/>
                <w:sz w:val="18"/>
                <w:szCs w:val="18"/>
              </w:rPr>
              <w:t>号</w:t>
            </w:r>
            <w:r>
              <w:rPr>
                <w:rFonts w:ascii="宋体" w:hAnsi="宋体" w:cs="宋体" w:eastAsia="宋体" w:hint="default"/>
                <w:spacing w:val="-92"/>
                <w:w w:val="101"/>
                <w:sz w:val="18"/>
                <w:szCs w:val="18"/>
              </w:rPr>
              <w:t>】</w:t>
            </w:r>
            <w:r>
              <w:rPr>
                <w:rFonts w:ascii="宋体" w:hAnsi="宋体" w:cs="宋体" w:eastAsia="宋体" w:hint="default"/>
                <w:w w:val="101"/>
                <w:sz w:val="18"/>
                <w:szCs w:val="18"/>
              </w:rPr>
              <w:t>。</w:t>
            </w:r>
            <w:r>
              <w:rPr>
                <w:rFonts w:ascii="宋体" w:hAnsi="宋体" w:cs="宋体" w:eastAsia="宋体" w:hint="default"/>
                <w:sz w:val="18"/>
                <w:szCs w:val="18"/>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24" w:right="65"/>
              <w:jc w:val="both"/>
              <w:rPr>
                <w:rFonts w:ascii="Times New Roman" w:hAnsi="Times New Roman" w:cs="Times New Roman" w:eastAsia="Times New Roman" w:hint="default"/>
                <w:sz w:val="18"/>
                <w:szCs w:val="18"/>
              </w:rPr>
            </w:pPr>
            <w:r>
              <w:rPr>
                <w:rFonts w:ascii="宋体" w:hAnsi="宋体" w:cs="宋体" w:eastAsia="宋体" w:hint="default"/>
                <w:sz w:val="18"/>
                <w:szCs w:val="18"/>
              </w:rPr>
              <w:t>已由昆明市中</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级人民法院于</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p>
          <w:p>
            <w:pPr>
              <w:pStyle w:val="TableParagraph"/>
              <w:spacing w:line="316" w:lineRule="auto"/>
              <w:ind w:left="24" w:right="17"/>
              <w:jc w:val="left"/>
              <w:rPr>
                <w:rFonts w:ascii="Times New Roman" w:hAnsi="Times New Roman" w:cs="Times New Roman" w:eastAsia="Times New Roman" w:hint="default"/>
                <w:sz w:val="18"/>
                <w:szCs w:val="18"/>
              </w:rPr>
            </w:pPr>
            <w:r>
              <w:rPr>
                <w:rFonts w:ascii="宋体" w:hAnsi="宋体" w:cs="宋体" w:eastAsia="宋体" w:hint="default"/>
                <w:spacing w:val="-8"/>
                <w:sz w:val="18"/>
                <w:szCs w:val="18"/>
              </w:rPr>
              <w:t>日开庭审理，公</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司于</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r>
          </w:p>
          <w:p>
            <w:pPr>
              <w:pStyle w:val="TableParagraph"/>
              <w:spacing w:line="312" w:lineRule="auto"/>
              <w:ind w:left="24" w:right="17"/>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日收到云</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南省昆明市中</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级人民法院出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8"/>
                <w:sz w:val="18"/>
                <w:szCs w:val="18"/>
              </w:rPr>
              <w:t>具的《云南省昆</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明市中级人民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法院民事判决</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6"/>
                <w:w w:val="101"/>
                <w:sz w:val="18"/>
                <w:szCs w:val="18"/>
              </w:rPr>
              <w:t>书》【（</w:t>
            </w:r>
            <w:r>
              <w:rPr>
                <w:rFonts w:ascii="Times New Roman" w:hAnsi="Times New Roman" w:cs="Times New Roman" w:eastAsia="Times New Roman" w:hint="default"/>
                <w:spacing w:val="-26"/>
                <w:w w:val="101"/>
                <w:sz w:val="18"/>
                <w:szCs w:val="18"/>
              </w:rPr>
              <w:t>2018</w:t>
            </w:r>
            <w:r>
              <w:rPr>
                <w:rFonts w:ascii="宋体" w:hAnsi="宋体" w:cs="宋体" w:eastAsia="宋体" w:hint="default"/>
                <w:spacing w:val="-26"/>
                <w:w w:val="101"/>
                <w:sz w:val="18"/>
                <w:szCs w:val="18"/>
              </w:rPr>
              <w:t>）云</w:t>
            </w:r>
            <w:r>
              <w:rPr>
                <w:rFonts w:ascii="宋体" w:hAnsi="宋体" w:cs="宋体" w:eastAsia="宋体" w:hint="default"/>
                <w:spacing w:val="-24"/>
                <w:w w:val="101"/>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民初</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号】</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316" w:lineRule="auto"/>
              <w:ind w:left="23" w:right="12"/>
              <w:jc w:val="left"/>
              <w:rPr>
                <w:rFonts w:ascii="宋体" w:hAnsi="宋体" w:cs="宋体" w:eastAsia="宋体" w:hint="default"/>
                <w:sz w:val="18"/>
                <w:szCs w:val="18"/>
              </w:rPr>
            </w:pPr>
            <w:r>
              <w:rPr>
                <w:rFonts w:ascii="宋体" w:hAnsi="宋体" w:cs="宋体" w:eastAsia="宋体" w:hint="default"/>
                <w:spacing w:val="-3"/>
                <w:sz w:val="18"/>
                <w:szCs w:val="18"/>
              </w:rPr>
              <w:t>本次诉讼判决为</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12"/>
                <w:w w:val="101"/>
                <w:sz w:val="18"/>
                <w:szCs w:val="18"/>
              </w:rPr>
              <w:t>一审判决，尚未生</w:t>
            </w:r>
            <w:r>
              <w:rPr>
                <w:rFonts w:ascii="宋体" w:hAnsi="宋体" w:cs="宋体" w:eastAsia="宋体" w:hint="default"/>
                <w:spacing w:val="-88"/>
                <w:w w:val="101"/>
                <w:sz w:val="18"/>
                <w:szCs w:val="18"/>
              </w:rPr>
              <w:t> </w:t>
            </w:r>
            <w:r>
              <w:rPr>
                <w:rFonts w:ascii="宋体" w:hAnsi="宋体" w:cs="宋体" w:eastAsia="宋体" w:hint="default"/>
                <w:spacing w:val="-88"/>
                <w:w w:val="101"/>
                <w:sz w:val="18"/>
                <w:szCs w:val="18"/>
              </w:rPr>
            </w:r>
            <w:r>
              <w:rPr>
                <w:rFonts w:ascii="宋体" w:hAnsi="宋体" w:cs="宋体" w:eastAsia="宋体" w:hint="default"/>
                <w:spacing w:val="-12"/>
                <w:w w:val="101"/>
                <w:sz w:val="18"/>
                <w:szCs w:val="18"/>
              </w:rPr>
              <w:t>效，目前对方当事</w:t>
            </w:r>
            <w:r>
              <w:rPr>
                <w:rFonts w:ascii="宋体" w:hAnsi="宋体" w:cs="宋体" w:eastAsia="宋体" w:hint="default"/>
                <w:spacing w:val="-88"/>
                <w:w w:val="101"/>
                <w:sz w:val="18"/>
                <w:szCs w:val="18"/>
              </w:rPr>
              <w:t> </w:t>
            </w:r>
            <w:r>
              <w:rPr>
                <w:rFonts w:ascii="宋体" w:hAnsi="宋体" w:cs="宋体" w:eastAsia="宋体" w:hint="default"/>
                <w:spacing w:val="-88"/>
                <w:w w:val="101"/>
                <w:sz w:val="18"/>
                <w:szCs w:val="18"/>
              </w:rPr>
            </w:r>
            <w:r>
              <w:rPr>
                <w:rFonts w:ascii="宋体" w:hAnsi="宋体" w:cs="宋体" w:eastAsia="宋体" w:hint="default"/>
                <w:spacing w:val="-3"/>
                <w:sz w:val="18"/>
                <w:szCs w:val="18"/>
              </w:rPr>
              <w:t>人是否会就本案</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提起上诉尚不确</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12"/>
                <w:w w:val="101"/>
                <w:sz w:val="18"/>
                <w:szCs w:val="18"/>
              </w:rPr>
              <w:t>定。鉴于上述诉讼</w:t>
            </w:r>
            <w:r>
              <w:rPr>
                <w:rFonts w:ascii="宋体" w:hAnsi="宋体" w:cs="宋体" w:eastAsia="宋体" w:hint="default"/>
                <w:spacing w:val="-88"/>
                <w:w w:val="101"/>
                <w:sz w:val="18"/>
                <w:szCs w:val="18"/>
              </w:rPr>
              <w:t> </w:t>
            </w:r>
            <w:r>
              <w:rPr>
                <w:rFonts w:ascii="宋体" w:hAnsi="宋体" w:cs="宋体" w:eastAsia="宋体" w:hint="default"/>
                <w:spacing w:val="-88"/>
                <w:w w:val="101"/>
                <w:sz w:val="18"/>
                <w:szCs w:val="18"/>
              </w:rPr>
            </w:r>
            <w:r>
              <w:rPr>
                <w:rFonts w:ascii="宋体" w:hAnsi="宋体" w:cs="宋体" w:eastAsia="宋体" w:hint="default"/>
                <w:spacing w:val="-12"/>
                <w:w w:val="101"/>
                <w:sz w:val="18"/>
                <w:szCs w:val="18"/>
              </w:rPr>
              <w:t>案件尚未执行，尚</w:t>
            </w:r>
            <w:r>
              <w:rPr>
                <w:rFonts w:ascii="宋体" w:hAnsi="宋体" w:cs="宋体" w:eastAsia="宋体" w:hint="default"/>
                <w:spacing w:val="-88"/>
                <w:w w:val="101"/>
                <w:sz w:val="18"/>
                <w:szCs w:val="18"/>
              </w:rPr>
              <w:t> </w:t>
            </w:r>
            <w:r>
              <w:rPr>
                <w:rFonts w:ascii="宋体" w:hAnsi="宋体" w:cs="宋体" w:eastAsia="宋体" w:hint="default"/>
                <w:spacing w:val="-88"/>
                <w:w w:val="101"/>
                <w:sz w:val="18"/>
                <w:szCs w:val="18"/>
              </w:rPr>
            </w:r>
            <w:r>
              <w:rPr>
                <w:rFonts w:ascii="宋体" w:hAnsi="宋体" w:cs="宋体" w:eastAsia="宋体" w:hint="default"/>
                <w:spacing w:val="-3"/>
                <w:sz w:val="18"/>
                <w:szCs w:val="18"/>
              </w:rPr>
              <w:t>无法准确判断本</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次诉讼案件的进</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展情况对公司的</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影响。</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2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公司于</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2019</w:t>
            </w:r>
          </w:p>
          <w:p>
            <w:pPr>
              <w:pStyle w:val="TableParagraph"/>
              <w:spacing w:line="314" w:lineRule="auto" w:before="58"/>
              <w:ind w:left="23" w:right="55"/>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42"/>
                <w:sz w:val="18"/>
                <w:szCs w:val="18"/>
              </w:rPr>
              <w:t> </w:t>
            </w:r>
            <w:r>
              <w:rPr>
                <w:rFonts w:ascii="宋体" w:hAnsi="宋体" w:cs="宋体" w:eastAsia="宋体" w:hint="default"/>
                <w:spacing w:val="-2"/>
                <w:sz w:val="18"/>
                <w:szCs w:val="18"/>
              </w:rPr>
              <w:t>日收到云南</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省昆明市中</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级人民法院</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出具的《云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南省昆明市</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中级人民法</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院民事判决</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1"/>
                <w:w w:val="101"/>
                <w:sz w:val="18"/>
                <w:szCs w:val="18"/>
              </w:rPr>
              <w:t>书》【（</w:t>
            </w:r>
            <w:r>
              <w:rPr>
                <w:rFonts w:ascii="Times New Roman" w:hAnsi="Times New Roman" w:cs="Times New Roman" w:eastAsia="Times New Roman" w:hint="default"/>
                <w:spacing w:val="-31"/>
                <w:w w:val="101"/>
                <w:sz w:val="18"/>
                <w:szCs w:val="18"/>
              </w:rPr>
              <w:t>2018</w:t>
            </w:r>
            <w:r>
              <w:rPr>
                <w:rFonts w:ascii="Times New Roman" w:hAnsi="Times New Roman" w:cs="Times New Roman" w:eastAsia="Times New Roman" w:hint="default"/>
                <w:spacing w:val="-44"/>
                <w:w w:val="101"/>
                <w:sz w:val="18"/>
                <w:szCs w:val="18"/>
              </w:rPr>
              <w:t> </w:t>
            </w:r>
            <w:r>
              <w:rPr>
                <w:rFonts w:ascii="Times New Roman" w:hAnsi="Times New Roman" w:cs="Times New Roman" w:eastAsia="Times New Roman" w:hint="default"/>
                <w:spacing w:val="-44"/>
                <w:w w:val="101"/>
                <w:sz w:val="18"/>
                <w:szCs w:val="18"/>
              </w:rPr>
            </w:r>
            <w:r>
              <w:rPr>
                <w:rFonts w:ascii="宋体" w:hAnsi="宋体" w:cs="宋体" w:eastAsia="宋体" w:hint="default"/>
                <w:sz w:val="18"/>
                <w:szCs w:val="18"/>
              </w:rPr>
              <w:t>云</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民初</w:t>
            </w:r>
          </w:p>
          <w:p>
            <w:pPr>
              <w:pStyle w:val="TableParagraph"/>
              <w:spacing w:line="240" w:lineRule="auto" w:before="1"/>
              <w:ind w:left="23" w:right="0"/>
              <w:jc w:val="both"/>
              <w:rPr>
                <w:rFonts w:ascii="宋体" w:hAnsi="宋体" w:cs="宋体" w:eastAsia="宋体" w:hint="default"/>
                <w:sz w:val="18"/>
                <w:szCs w:val="18"/>
              </w:rPr>
            </w:pPr>
            <w:r>
              <w:rPr>
                <w:rFonts w:ascii="Times New Roman" w:hAnsi="Times New Roman" w:cs="Times New Roman" w:eastAsia="Times New Roman" w:hint="default"/>
                <w:w w:val="101"/>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w w:val="101"/>
                <w:sz w:val="18"/>
                <w:szCs w:val="18"/>
              </w:rPr>
              <w:t>号</w:t>
            </w:r>
            <w:r>
              <w:rPr>
                <w:rFonts w:ascii="宋体" w:hAnsi="宋体" w:cs="宋体" w:eastAsia="宋体" w:hint="default"/>
                <w:spacing w:val="-92"/>
                <w:w w:val="101"/>
                <w:sz w:val="18"/>
                <w:szCs w:val="18"/>
              </w:rPr>
              <w:t>】</w:t>
            </w:r>
            <w:r>
              <w:rPr>
                <w:rFonts w:ascii="宋体" w:hAnsi="宋体" w:cs="宋体" w:eastAsia="宋体" w:hint="default"/>
                <w:w w:val="101"/>
                <w:sz w:val="18"/>
                <w:szCs w:val="18"/>
              </w:rPr>
              <w:t>。</w:t>
            </w:r>
            <w:r>
              <w:rPr>
                <w:rFonts w:ascii="宋体" w:hAnsi="宋体" w:cs="宋体" w:eastAsia="宋体" w:hint="default"/>
                <w:sz w:val="18"/>
                <w:szCs w:val="18"/>
              </w:rPr>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13</w:t>
            </w:r>
          </w:p>
          <w:p>
            <w:pPr>
              <w:pStyle w:val="TableParagraph"/>
              <w:spacing w:line="300" w:lineRule="auto" w:before="63"/>
              <w:ind w:left="23" w:right="17"/>
              <w:jc w:val="left"/>
              <w:rPr>
                <w:rFonts w:ascii="宋体" w:hAnsi="宋体" w:cs="宋体" w:eastAsia="宋体" w:hint="default"/>
                <w:sz w:val="18"/>
                <w:szCs w:val="18"/>
              </w:rPr>
            </w:pPr>
            <w:r>
              <w:rPr>
                <w:rFonts w:ascii="宋体" w:hAnsi="宋体" w:cs="宋体" w:eastAsia="宋体" w:hint="default"/>
                <w:spacing w:val="-12"/>
                <w:sz w:val="18"/>
                <w:szCs w:val="18"/>
              </w:rPr>
              <w:t>日、</w:t>
            </w:r>
            <w:r>
              <w:rPr>
                <w:rFonts w:ascii="Times New Roman" w:hAnsi="Times New Roman" w:cs="Times New Roman" w:eastAsia="Times New Roman" w:hint="default"/>
                <w:spacing w:val="-12"/>
                <w:sz w:val="18"/>
                <w:szCs w:val="18"/>
              </w:rPr>
              <w:t>2019</w:t>
            </w:r>
            <w:r>
              <w:rPr>
                <w:rFonts w:ascii="Times New Roman" w:hAnsi="Times New Roman" w:cs="Times New Roman" w:eastAsia="Times New Roman" w:hint="default"/>
                <w:spacing w:val="-36"/>
                <w:sz w:val="18"/>
                <w:szCs w:val="18"/>
              </w:rPr>
              <w:t> </w:t>
            </w:r>
            <w:r>
              <w:rPr>
                <w:rFonts w:ascii="Times New Roman" w:hAnsi="Times New Roman" w:cs="Times New Roman" w:eastAsia="Times New Roman" w:hint="default"/>
                <w:spacing w:val="-36"/>
                <w:sz w:val="18"/>
                <w:szCs w:val="18"/>
              </w:rPr>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1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36" w:lineRule="auto" w:before="129"/>
              <w:ind w:left="24" w:right="3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讯网</w:t>
            </w:r>
            <w:r>
              <w:rPr>
                <w:rFonts w:ascii="宋体" w:hAnsi="宋体" w:cs="宋体" w:eastAsia="宋体" w:hint="default"/>
                <w:spacing w:val="-86"/>
                <w:sz w:val="18"/>
                <w:szCs w:val="18"/>
              </w:rPr>
              <w:t> </w:t>
            </w:r>
            <w:hyperlink r:id="rId13">
              <w:r>
                <w:rPr>
                  <w:rFonts w:ascii="Times New Roman" w:hAnsi="Times New Roman" w:cs="Times New Roman" w:eastAsia="Times New Roman" w:hint="default"/>
                  <w:sz w:val="18"/>
                  <w:szCs w:val="18"/>
                </w:rPr>
                <w:t>http://w</w:t>
              </w:r>
            </w:hyperlink>
          </w:p>
          <w:p>
            <w:pPr>
              <w:pStyle w:val="TableParagraph"/>
              <w:spacing w:line="362" w:lineRule="auto" w:before="26"/>
              <w:ind w:left="24" w:right="81"/>
              <w:jc w:val="left"/>
              <w:rPr>
                <w:rFonts w:ascii="Times New Roman" w:hAnsi="Times New Roman" w:cs="Times New Roman" w:eastAsia="Times New Roman" w:hint="default"/>
                <w:sz w:val="18"/>
                <w:szCs w:val="18"/>
              </w:rPr>
            </w:pPr>
            <w:r>
              <w:rPr>
                <w:rFonts w:ascii="Times New Roman"/>
                <w:spacing w:val="-3"/>
                <w:sz w:val="18"/>
              </w:rPr>
              <w:t>ww.cni</w:t>
            </w:r>
            <w:r>
              <w:rPr>
                <w:rFonts w:ascii="Times New Roman"/>
                <w:spacing w:val="-38"/>
                <w:sz w:val="18"/>
              </w:rPr>
              <w:t> </w:t>
            </w:r>
            <w:r>
              <w:rPr>
                <w:rFonts w:ascii="Times New Roman"/>
                <w:spacing w:val="-38"/>
                <w:sz w:val="18"/>
              </w:rPr>
            </w:r>
            <w:r>
              <w:rPr>
                <w:rFonts w:ascii="Times New Roman"/>
                <w:sz w:val="18"/>
              </w:rPr>
              <w:t>nfo.co</w:t>
            </w:r>
            <w:r>
              <w:rPr>
                <w:rFonts w:ascii="Times New Roman"/>
                <w:spacing w:val="-41"/>
                <w:sz w:val="18"/>
              </w:rPr>
              <w:t> </w:t>
            </w:r>
            <w:r>
              <w:rPr>
                <w:rFonts w:ascii="Times New Roman"/>
                <w:spacing w:val="-41"/>
                <w:sz w:val="18"/>
              </w:rPr>
            </w:r>
            <w:r>
              <w:rPr>
                <w:rFonts w:ascii="Times New Roman"/>
                <w:sz w:val="18"/>
              </w:rPr>
              <w:t>m.cn</w:t>
            </w:r>
          </w:p>
        </w:tc>
      </w:tr>
    </w:tbl>
    <w:p>
      <w:pPr>
        <w:spacing w:line="240" w:lineRule="auto" w:before="1"/>
        <w:rPr>
          <w:rFonts w:ascii="宋体" w:hAnsi="宋体" w:cs="宋体" w:eastAsia="宋体" w:hint="default"/>
          <w:sz w:val="18"/>
          <w:szCs w:val="18"/>
        </w:rPr>
      </w:pPr>
    </w:p>
    <w:p>
      <w:pPr>
        <w:pStyle w:val="Heading2"/>
        <w:spacing w:line="240" w:lineRule="auto" w:before="26"/>
        <w:ind w:right="855"/>
        <w:jc w:val="left"/>
        <w:rPr>
          <w:b w:val="0"/>
          <w:bCs w:val="0"/>
        </w:rPr>
      </w:pPr>
      <w:r>
        <w:rPr/>
        <w:pict>
          <v:shape style="position:absolute;margin-left:341.422882pt;margin-top:-234.594376pt;width:76.6pt;height:222.35pt;mso-position-horizontal-relative:page;mso-position-vertical-relative:paragraph;z-index:-982264"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3"/>
                      <w:szCs w:val="13"/>
                    </w:rPr>
                  </w:pPr>
                </w:p>
                <w:p>
                  <w:pPr>
                    <w:pStyle w:val="BodyText"/>
                    <w:spacing w:line="240" w:lineRule="auto"/>
                    <w:ind w:left="0" w:right="0"/>
                    <w:jc w:val="left"/>
                  </w:pPr>
                  <w:r>
                    <w:rPr>
                      <w:w w:val="101"/>
                    </w:rPr>
                    <w:t>。</w:t>
                  </w:r>
                  <w:r>
                    <w:rPr/>
                  </w:r>
                </w:p>
              </w:txbxContent>
            </v:textbox>
            <w10:wrap type="none"/>
          </v:shape>
        </w:pict>
      </w:r>
      <w:r>
        <w:rPr/>
        <w:pict>
          <v:shape style="position:absolute;margin-left:462.190002pt;margin-top:-234.594376pt;width:41.1pt;height:222.35pt;mso-position-horizontal-relative:page;mso-position-vertical-relative:paragraph;z-index:-982240"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6"/>
                      <w:szCs w:val="26"/>
                    </w:rPr>
                  </w:pPr>
                </w:p>
                <w:p>
                  <w:pPr>
                    <w:pStyle w:val="BodyText"/>
                    <w:spacing w:line="240" w:lineRule="auto"/>
                    <w:ind w:left="0" w:right="0"/>
                    <w:jc w:val="left"/>
                  </w:pPr>
                  <w:r>
                    <w:rPr>
                      <w:w w:val="101"/>
                    </w:rPr>
                    <w:t>）</w:t>
                  </w:r>
                  <w:r>
                    <w:rPr/>
                  </w:r>
                </w:p>
              </w:txbxContent>
            </v:textbox>
            <w10:wrap type="none"/>
          </v:shape>
        </w:pict>
      </w:r>
      <w:r>
        <w:rPr/>
        <w:pict>
          <v:group style="position:absolute;margin-left:347.660004pt;margin-top:-348.37439pt;width:70.350pt;height:336.1pt;mso-position-horizontal-relative:page;mso-position-vertical-relative:paragraph;z-index:-982216" coordorigin="6953,-6967" coordsize="1407,6722">
            <v:group style="position:absolute;left:6953;top:-6967;width:1407;height:2262" coordorigin="6953,-6967" coordsize="1407,2262">
              <v:shape style="position:absolute;left:6953;top:-6967;width:1407;height:2262" coordorigin="6953,-6967" coordsize="1407,2262" path="m6953,-4706l8360,-4706,8360,-6967,6953,-6967,6953,-4706xe" filled="true" fillcolor="#ffffff" stroked="false">
                <v:path arrowok="t"/>
                <v:fill type="solid"/>
              </v:shape>
            </v:group>
            <v:group style="position:absolute;left:6977;top:-6967;width:1364;height:351" coordorigin="6977,-6967" coordsize="1364,351">
              <v:shape style="position:absolute;left:6977;top:-6967;width:1364;height:351" coordorigin="6977,-6967" coordsize="1364,351" path="m6977,-6617l8341,-6617,8341,-6967,6977,-6967,6977,-6617xe" filled="true" fillcolor="#ffffff" stroked="false">
                <v:path arrowok="t"/>
                <v:fill type="solid"/>
              </v:shape>
            </v:group>
            <v:group style="position:absolute;left:6977;top:-6617;width:1364;height:312" coordorigin="6977,-6617" coordsize="1364,312">
              <v:shape style="position:absolute;left:6977;top:-6617;width:1364;height:312" coordorigin="6977,-6617" coordsize="1364,312" path="m6977,-6305l8341,-6305,8341,-6617,6977,-6617,6977,-6305xe" filled="true" fillcolor="#ffffff" stroked="false">
                <v:path arrowok="t"/>
                <v:fill type="solid"/>
              </v:shape>
            </v:group>
            <v:group style="position:absolute;left:6977;top:-6305;width:1364;height:312" coordorigin="6977,-6305" coordsize="1364,312">
              <v:shape style="position:absolute;left:6977;top:-6305;width:1364;height:312" coordorigin="6977,-6305" coordsize="1364,312" path="m6977,-5993l8341,-5993,8341,-6305,6977,-6305,6977,-5993xe" filled="true" fillcolor="#ffffff" stroked="false">
                <v:path arrowok="t"/>
                <v:fill type="solid"/>
              </v:shape>
            </v:group>
            <v:group style="position:absolute;left:6977;top:-5993;width:1364;height:313" coordorigin="6977,-5993" coordsize="1364,313">
              <v:shape style="position:absolute;left:6977;top:-5993;width:1364;height:313" coordorigin="6977,-5993" coordsize="1364,313" path="m6977,-5681l8341,-5681,8341,-5993,6977,-5993,6977,-5681xe" filled="true" fillcolor="#ffffff" stroked="false">
                <v:path arrowok="t"/>
                <v:fill type="solid"/>
              </v:shape>
            </v:group>
            <v:group style="position:absolute;left:6977;top:-5681;width:1364;height:312" coordorigin="6977,-5681" coordsize="1364,312">
              <v:shape style="position:absolute;left:6977;top:-5681;width:1364;height:312" coordorigin="6977,-5681" coordsize="1364,312" path="m6977,-5369l8341,-5369,8341,-5681,6977,-5681,6977,-5369xe" filled="true" fillcolor="#ffffff" stroked="false">
                <v:path arrowok="t"/>
                <v:fill type="solid"/>
              </v:shape>
            </v:group>
            <v:group style="position:absolute;left:6977;top:-5369;width:1364;height:312" coordorigin="6977,-5369" coordsize="1364,312">
              <v:shape style="position:absolute;left:6977;top:-5369;width:1364;height:312" coordorigin="6977,-5369" coordsize="1364,312" path="m6977,-5057l8341,-5057,8341,-5369,6977,-5369,6977,-5057xe" filled="true" fillcolor="#ffffff" stroked="false">
                <v:path arrowok="t"/>
                <v:fill type="solid"/>
              </v:shape>
            </v:group>
            <v:group style="position:absolute;left:6977;top:-5057;width:1364;height:351" coordorigin="6977,-5057" coordsize="1364,351">
              <v:shape style="position:absolute;left:6977;top:-5057;width:1364;height:351" coordorigin="6977,-5057" coordsize="1364,351" path="m6977,-4706l8341,-4706,8341,-5057,6977,-5057,6977,-4706xe" filled="true" fillcolor="#ffffff" stroked="false">
                <v:path arrowok="t"/>
                <v:fill type="solid"/>
              </v:shape>
            </v:group>
            <v:group style="position:absolute;left:6953;top:-4692;width:1407;height:4447" coordorigin="6953,-4692" coordsize="1407,4447">
              <v:shape style="position:absolute;left:6953;top:-4692;width:1407;height:4447" coordorigin="6953,-4692" coordsize="1407,4447" path="m6953,-246l8360,-246,8360,-4692,6953,-4692,6953,-246xe" filled="true" fillcolor="#ffffff" stroked="false">
                <v:path arrowok="t"/>
                <v:fill type="solid"/>
              </v:shape>
            </v:group>
            <v:group style="position:absolute;left:6977;top:-4226;width:1364;height:351" coordorigin="6977,-4226" coordsize="1364,351">
              <v:shape style="position:absolute;left:6977;top:-4226;width:1364;height:351" coordorigin="6977,-4226" coordsize="1364,351" path="m6977,-3875l8341,-3875,8341,-4226,6977,-4226,6977,-3875xe" filled="true" fillcolor="#ffffff" stroked="false">
                <v:path arrowok="t"/>
                <v:fill type="solid"/>
              </v:shape>
            </v:group>
            <v:group style="position:absolute;left:6977;top:-3875;width:1364;height:312" coordorigin="6977,-3875" coordsize="1364,312">
              <v:shape style="position:absolute;left:6977;top:-3875;width:1364;height:312" coordorigin="6977,-3875" coordsize="1364,312" path="m6977,-3563l8341,-3563,8341,-3875,6977,-3875,6977,-3563xe" filled="true" fillcolor="#ffffff" stroked="false">
                <v:path arrowok="t"/>
                <v:fill type="solid"/>
              </v:shape>
            </v:group>
            <v:group style="position:absolute;left:6977;top:-3563;width:1364;height:312" coordorigin="6977,-3563" coordsize="1364,312">
              <v:shape style="position:absolute;left:6977;top:-3563;width:1364;height:312" coordorigin="6977,-3563" coordsize="1364,312" path="m6977,-3251l8341,-3251,8341,-3563,6977,-3563,6977,-3251xe" filled="true" fillcolor="#ffffff" stroked="false">
                <v:path arrowok="t"/>
                <v:fill type="solid"/>
              </v:shape>
            </v:group>
            <v:group style="position:absolute;left:6977;top:-3251;width:1364;height:312" coordorigin="6977,-3251" coordsize="1364,312">
              <v:shape style="position:absolute;left:6977;top:-3251;width:1364;height:312" coordorigin="6977,-3251" coordsize="1364,312" path="m6977,-2939l8341,-2939,8341,-3251,6977,-3251,6977,-2939xe" filled="true" fillcolor="#ffffff" stroked="false">
                <v:path arrowok="t"/>
                <v:fill type="solid"/>
              </v:shape>
            </v:group>
            <v:group style="position:absolute;left:6977;top:-2939;width:1364;height:312" coordorigin="6977,-2939" coordsize="1364,312">
              <v:shape style="position:absolute;left:6977;top:-2939;width:1364;height:312" coordorigin="6977,-2939" coordsize="1364,312" path="m6977,-2627l8341,-2627,8341,-2939,6977,-2939,6977,-2627xe" filled="true" fillcolor="#ffffff" stroked="false">
                <v:path arrowok="t"/>
                <v:fill type="solid"/>
              </v:shape>
            </v:group>
            <v:group style="position:absolute;left:6977;top:-2627;width:1364;height:313" coordorigin="6977,-2627" coordsize="1364,313">
              <v:shape style="position:absolute;left:6977;top:-2627;width:1364;height:313" coordorigin="6977,-2627" coordsize="1364,313" path="m6977,-2315l8341,-2315,8341,-2627,6977,-2627,6977,-2315xe" filled="true" fillcolor="#ffffff" stroked="false">
                <v:path arrowok="t"/>
                <v:fill type="solid"/>
              </v:shape>
            </v:group>
            <v:group style="position:absolute;left:6977;top:-2315;width:1364;height:312" coordorigin="6977,-2315" coordsize="1364,312">
              <v:shape style="position:absolute;left:6977;top:-2315;width:1364;height:312" coordorigin="6977,-2315" coordsize="1364,312" path="m6977,-2003l8341,-2003,8341,-2315,6977,-2315,6977,-2003xe" filled="true" fillcolor="#ffffff" stroked="false">
                <v:path arrowok="t"/>
                <v:fill type="solid"/>
              </v:shape>
            </v:group>
            <v:group style="position:absolute;left:6977;top:-2003;width:1364;height:312" coordorigin="6977,-2003" coordsize="1364,312">
              <v:shape style="position:absolute;left:6977;top:-2003;width:1364;height:312" coordorigin="6977,-2003" coordsize="1364,312" path="m6977,-1691l8341,-1691,8341,-2003,6977,-2003,6977,-1691xe" filled="true" fillcolor="#ffffff" stroked="false">
                <v:path arrowok="t"/>
                <v:fill type="solid"/>
              </v:shape>
            </v:group>
            <v:group style="position:absolute;left:6977;top:-1691;width:1364;height:312" coordorigin="6977,-1691" coordsize="1364,312">
              <v:shape style="position:absolute;left:6977;top:-1691;width:1364;height:312" coordorigin="6977,-1691" coordsize="1364,312" path="m6977,-1379l8341,-1379,8341,-1691,6977,-1691,6977,-1379xe" filled="true" fillcolor="#ffffff" stroked="false">
                <v:path arrowok="t"/>
                <v:fill type="solid"/>
              </v:shape>
            </v:group>
            <v:group style="position:absolute;left:6977;top:-1379;width:1364;height:312" coordorigin="6977,-1379" coordsize="1364,312">
              <v:shape style="position:absolute;left:6977;top:-1379;width:1364;height:312" coordorigin="6977,-1379" coordsize="1364,312" path="m6977,-1067l8341,-1067,8341,-1379,6977,-1379,6977,-1067xe" filled="true" fillcolor="#ffffff" stroked="false">
                <v:path arrowok="t"/>
                <v:fill type="solid"/>
              </v:shape>
            </v:group>
            <v:group style="position:absolute;left:6977;top:-1067;width:1364;height:356" coordorigin="6977,-1067" coordsize="1364,356">
              <v:shape style="position:absolute;left:6977;top:-1067;width:1364;height:356" coordorigin="6977,-1067" coordsize="1364,356" path="m6977,-711l8341,-711,8341,-1067,6977,-1067,6977,-711xe" filled="true" fillcolor="#ffffff" stroked="false">
                <v:path arrowok="t"/>
                <v:fill type="solid"/>
              </v:shape>
            </v:group>
            <w10:wrap type="none"/>
          </v:group>
        </w:pict>
      </w:r>
      <w:r>
        <w:rPr/>
        <w:pict>
          <v:group style="position:absolute;margin-left:468.190002pt;margin-top:-234.594376pt;width:35.1pt;height:222.35pt;mso-position-horizontal-relative:page;mso-position-vertical-relative:paragraph;z-index:-982192" coordorigin="9364,-4692" coordsize="702,4447">
            <v:group style="position:absolute;left:9364;top:-4692;width:702;height:4447" coordorigin="9364,-4692" coordsize="702,4447">
              <v:shape style="position:absolute;left:9364;top:-4692;width:702;height:4447" coordorigin="9364,-4692" coordsize="702,4447" path="m9364,-246l10065,-246,10065,-4692,9364,-4692,9364,-246xe" filled="true" fillcolor="#ffffff" stroked="false">
                <v:path arrowok="t"/>
                <v:fill type="solid"/>
              </v:shape>
            </v:group>
            <v:group style="position:absolute;left:9388;top:-3290;width:654;height:351" coordorigin="9388,-3290" coordsize="654,351">
              <v:shape style="position:absolute;left:9388;top:-3290;width:654;height:351" coordorigin="9388,-3290" coordsize="654,351" path="m9388,-2939l10041,-2939,10041,-3290,9388,-3290,9388,-2939xe" filled="true" fillcolor="#ffffff" stroked="false">
                <v:path arrowok="t"/>
                <v:fill type="solid"/>
              </v:shape>
            </v:group>
            <v:group style="position:absolute;left:9388;top:-2939;width:654;height:312" coordorigin="9388,-2939" coordsize="654,312">
              <v:shape style="position:absolute;left:9388;top:-2939;width:654;height:312" coordorigin="9388,-2939" coordsize="654,312" path="m9388,-2627l10041,-2627,10041,-2939,9388,-2939,9388,-2627xe" filled="true" fillcolor="#ffffff" stroked="false">
                <v:path arrowok="t"/>
                <v:fill type="solid"/>
              </v:shape>
            </v:group>
            <v:group style="position:absolute;left:9388;top:-2627;width:654;height:313" coordorigin="9388,-2627" coordsize="654,313">
              <v:shape style="position:absolute;left:9388;top:-2627;width:654;height:313" coordorigin="9388,-2627" coordsize="654,313" path="m9388,-2315l10041,-2315,10041,-2627,9388,-2627,9388,-2315xe" filled="true" fillcolor="#ffffff" stroked="false">
                <v:path arrowok="t"/>
                <v:fill type="solid"/>
              </v:shape>
            </v:group>
            <v:group style="position:absolute;left:9388;top:-2315;width:654;height:312" coordorigin="9388,-2315" coordsize="654,312">
              <v:shape style="position:absolute;left:9388;top:-2315;width:654;height:312" coordorigin="9388,-2315" coordsize="654,312" path="m9388,-2003l10041,-2003,10041,-2315,9388,-2315,9388,-2003xe" filled="true" fillcolor="#ffffff" stroked="false">
                <v:path arrowok="t"/>
                <v:fill type="solid"/>
              </v:shape>
            </v:group>
            <v:group style="position:absolute;left:9388;top:-2003;width:654;height:356" coordorigin="9388,-2003" coordsize="654,356">
              <v:shape style="position:absolute;left:9388;top:-2003;width:654;height:356" coordorigin="9388,-2003" coordsize="654,356" path="m9388,-1648l10041,-1648,10041,-2003,9388,-2003,9388,-1648xe" filled="true" fillcolor="#ffffff" stroked="false">
                <v:path arrowok="t"/>
                <v:fill type="solid"/>
              </v:shape>
            </v:group>
            <w10:wrap type="none"/>
          </v:group>
        </w:pict>
      </w:r>
      <w:r>
        <w:rPr/>
        <w:t>十三、处罚及整改情况</w:t>
      </w:r>
      <w:r>
        <w:rPr>
          <w:b w:val="0"/>
          <w:bCs w:val="0"/>
        </w:rPr>
      </w:r>
    </w:p>
    <w:p>
      <w:pPr>
        <w:spacing w:line="240" w:lineRule="auto" w:before="12"/>
        <w:rPr>
          <w:rFonts w:ascii="宋体" w:hAnsi="宋体" w:cs="宋体" w:eastAsia="宋体" w:hint="default"/>
          <w:b/>
          <w:bCs/>
          <w:sz w:val="26"/>
          <w:szCs w:val="26"/>
        </w:rPr>
      </w:pPr>
    </w:p>
    <w:p>
      <w:pPr>
        <w:pStyle w:val="BodyText"/>
        <w:spacing w:line="338" w:lineRule="auto"/>
        <w:ind w:right="7349"/>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公司报告期不存在处罚及整改情况。</w:t>
      </w:r>
    </w:p>
    <w:p>
      <w:pPr>
        <w:spacing w:after="0" w:line="338" w:lineRule="auto"/>
        <w:jc w:val="left"/>
        <w:sectPr>
          <w:pgSz w:w="11910" w:h="16840"/>
          <w:pgMar w:header="746" w:footer="974" w:top="1060" w:bottom="1160" w:left="980" w:right="0"/>
        </w:sectPr>
      </w:pPr>
    </w:p>
    <w:p>
      <w:pPr>
        <w:spacing w:line="240" w:lineRule="auto" w:before="10"/>
        <w:rPr>
          <w:rFonts w:ascii="宋体" w:hAnsi="宋体" w:cs="宋体" w:eastAsia="宋体" w:hint="default"/>
          <w:sz w:val="23"/>
          <w:szCs w:val="23"/>
        </w:rPr>
      </w:pPr>
    </w:p>
    <w:p>
      <w:pPr>
        <w:pStyle w:val="Heading2"/>
        <w:spacing w:line="240" w:lineRule="auto" w:before="26"/>
        <w:ind w:right="855"/>
        <w:jc w:val="left"/>
        <w:rPr>
          <w:b w:val="0"/>
          <w:bCs w:val="0"/>
        </w:rPr>
      </w:pPr>
      <w:r>
        <w:rPr/>
        <w:t>十四、公司及其控股股东、实际控制人的诚信状况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855"/>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1"/>
        <w:rPr>
          <w:rFonts w:ascii="宋体" w:hAnsi="宋体" w:cs="宋体" w:eastAsia="宋体" w:hint="default"/>
          <w:sz w:val="24"/>
          <w:szCs w:val="24"/>
        </w:rPr>
      </w:pPr>
    </w:p>
    <w:p>
      <w:pPr>
        <w:pStyle w:val="Heading2"/>
        <w:spacing w:line="240" w:lineRule="auto"/>
        <w:ind w:right="855"/>
        <w:jc w:val="left"/>
        <w:rPr>
          <w:b w:val="0"/>
          <w:bCs w:val="0"/>
        </w:rPr>
      </w:pPr>
      <w:r>
        <w:rPr/>
        <w:t>十五、公司股权激励计划、员工持股计划或其他员工激励措施的实施情况</w:t>
      </w:r>
      <w:r>
        <w:rPr>
          <w:b w:val="0"/>
          <w:bCs w:val="0"/>
        </w:rPr>
      </w:r>
    </w:p>
    <w:p>
      <w:pPr>
        <w:spacing w:line="240" w:lineRule="auto" w:before="6"/>
        <w:rPr>
          <w:rFonts w:ascii="宋体" w:hAnsi="宋体" w:cs="宋体" w:eastAsia="宋体" w:hint="default"/>
          <w:b/>
          <w:bCs/>
          <w:sz w:val="26"/>
          <w:szCs w:val="26"/>
        </w:rPr>
      </w:pPr>
    </w:p>
    <w:p>
      <w:pPr>
        <w:pStyle w:val="BodyText"/>
        <w:spacing w:line="338" w:lineRule="auto"/>
        <w:ind w:left="513" w:right="855" w:hanging="360"/>
        <w:jc w:val="left"/>
        <w:rPr>
          <w:rFonts w:ascii="Times New Roman" w:hAnsi="Times New Roman" w:cs="Times New Roman" w:eastAsia="Times New Roman" w:hint="default"/>
        </w:rPr>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9"/>
        </w:rPr>
        <w:t> </w:t>
      </w:r>
      <w:r>
        <w:rPr>
          <w:spacing w:val="-79"/>
        </w:rPr>
      </w:r>
      <w:r>
        <w:rPr>
          <w:spacing w:val="-3"/>
        </w:rPr>
        <w:t>为建立和完善公司与员工的利益共享机制，进一步增强员工的凝聚力和公司发展的活力，结合公司的实际情况，</w:t>
      </w:r>
      <w:r>
        <w:rPr>
          <w:rFonts w:ascii="Times New Roman" w:hAnsi="Times New Roman" w:cs="Times New Roman" w:eastAsia="Times New Roman" w:hint="default"/>
          <w:spacing w:val="-3"/>
        </w:rPr>
        <w:t>2018</w:t>
      </w:r>
    </w:p>
    <w:p>
      <w:pPr>
        <w:pStyle w:val="BodyText"/>
        <w:spacing w:line="217" w:lineRule="exact"/>
        <w:ind w:right="855"/>
        <w:jc w:val="left"/>
      </w:pPr>
      <w:r>
        <w:rPr>
          <w:spacing w:val="-3"/>
        </w:rPr>
        <w:t>年上半年度，公司实施了第一期员工持股计划。</w:t>
      </w:r>
    </w:p>
    <w:p>
      <w:pPr>
        <w:pStyle w:val="BodyText"/>
        <w:spacing w:line="307" w:lineRule="auto" w:before="76"/>
        <w:ind w:right="1122" w:firstLine="360"/>
        <w:jc w:val="both"/>
      </w:pP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1</w:t>
      </w:r>
      <w:r>
        <w:rPr>
          <w:spacing w:val="-4"/>
        </w:rPr>
        <w:t>月</w:t>
      </w:r>
      <w:r>
        <w:rPr>
          <w:rFonts w:ascii="Times New Roman" w:hAnsi="Times New Roman" w:cs="Times New Roman" w:eastAsia="Times New Roman" w:hint="default"/>
          <w:spacing w:val="-4"/>
        </w:rPr>
        <w:t>3</w:t>
      </w:r>
      <w:r>
        <w:rPr>
          <w:spacing w:val="-4"/>
        </w:rPr>
        <w:t>日，公司发布提示性公告开始筹划员工持股计划；</w:t>
      </w: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2</w:t>
      </w:r>
      <w:r>
        <w:rPr>
          <w:spacing w:val="-4"/>
        </w:rPr>
        <w:t>月</w:t>
      </w:r>
      <w:r>
        <w:rPr>
          <w:rFonts w:ascii="Times New Roman" w:hAnsi="Times New Roman" w:cs="Times New Roman" w:eastAsia="Times New Roman" w:hint="default"/>
          <w:spacing w:val="-4"/>
        </w:rPr>
        <w:t>6</w:t>
      </w:r>
      <w:r>
        <w:rPr>
          <w:spacing w:val="-4"/>
        </w:rPr>
        <w:t>日，公司第七届董事会第八次会议通过了员工</w:t>
      </w:r>
      <w:r>
        <w:rPr>
          <w:w w:val="101"/>
        </w:rPr>
        <w:t> </w:t>
      </w:r>
      <w:r>
        <w:rPr>
          <w:spacing w:val="-3"/>
        </w:rPr>
        <w:t>持股计划草案；</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2</w:t>
      </w:r>
      <w:r>
        <w:rPr>
          <w:spacing w:val="-3"/>
        </w:rPr>
        <w:t>月</w:t>
      </w:r>
      <w:r>
        <w:rPr>
          <w:rFonts w:ascii="Times New Roman" w:hAnsi="Times New Roman" w:cs="Times New Roman" w:eastAsia="Times New Roman" w:hint="default"/>
          <w:spacing w:val="-3"/>
        </w:rPr>
        <w:t>23</w:t>
      </w:r>
      <w:r>
        <w:rPr>
          <w:spacing w:val="-3"/>
        </w:rPr>
        <w:t>日，公司</w:t>
      </w:r>
      <w:r>
        <w:rPr>
          <w:rFonts w:ascii="Times New Roman" w:hAnsi="Times New Roman" w:cs="Times New Roman" w:eastAsia="Times New Roman" w:hint="default"/>
          <w:spacing w:val="-3"/>
        </w:rPr>
        <w:t>2018</w:t>
      </w:r>
      <w:r>
        <w:rPr>
          <w:spacing w:val="-3"/>
        </w:rPr>
        <w:t>年度第一次临时股东大会批准了公司员工持股计划。本次员工持股计划的股票来 </w:t>
      </w:r>
      <w:r>
        <w:rPr>
          <w:spacing w:val="-4"/>
        </w:rPr>
        <w:t>源为通过二级市场购买，资金来源为公司员工的合法薪酬和通过法律、行政法规允许的其他方式取得的自筹资金，公司对员</w:t>
      </w:r>
      <w:r>
        <w:rPr>
          <w:spacing w:val="44"/>
        </w:rPr>
        <w:t> </w:t>
      </w:r>
      <w:r>
        <w:rPr>
          <w:spacing w:val="44"/>
        </w:rPr>
      </w:r>
      <w:r>
        <w:rPr>
          <w:spacing w:val="-3"/>
        </w:rPr>
        <w:t>工不提供任何财务资助，实施本次员工持股计划不会导致公司的股本及财务状况的变化。</w:t>
      </w:r>
    </w:p>
    <w:p>
      <w:pPr>
        <w:pStyle w:val="BodyText"/>
        <w:spacing w:line="300" w:lineRule="auto" w:before="26"/>
        <w:ind w:right="1123" w:firstLine="360"/>
        <w:jc w:val="both"/>
      </w:pPr>
      <w:r>
        <w:rPr>
          <w:spacing w:val="-3"/>
        </w:rPr>
        <w:t>公司第一期员工持股计划筹集资金总额为人民币</w:t>
      </w:r>
      <w:r>
        <w:rPr>
          <w:rFonts w:ascii="Times New Roman" w:hAnsi="Times New Roman" w:cs="Times New Roman" w:eastAsia="Times New Roman" w:hint="default"/>
          <w:spacing w:val="-3"/>
        </w:rPr>
        <w:t>7,106</w:t>
      </w:r>
      <w:r>
        <w:rPr>
          <w:spacing w:val="-3"/>
        </w:rPr>
        <w:t>万元，截止</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5</w:t>
      </w:r>
      <w:r>
        <w:rPr>
          <w:spacing w:val="-3"/>
        </w:rPr>
        <w:t>月</w:t>
      </w:r>
      <w:r>
        <w:rPr>
          <w:rFonts w:ascii="Times New Roman" w:hAnsi="Times New Roman" w:cs="Times New Roman" w:eastAsia="Times New Roman" w:hint="default"/>
          <w:spacing w:val="-3"/>
        </w:rPr>
        <w:t>31</w:t>
      </w:r>
      <w:r>
        <w:rPr>
          <w:spacing w:val="-3"/>
        </w:rPr>
        <w:t>日，公司第一期员工持股计划（南天信息</w:t>
      </w:r>
      <w:r>
        <w:rPr>
          <w:w w:val="101"/>
        </w:rPr>
        <w:t> </w:t>
      </w:r>
      <w:r>
        <w:rPr>
          <w:rFonts w:ascii="Times New Roman" w:hAnsi="Times New Roman" w:cs="Times New Roman" w:eastAsia="Times New Roman" w:hint="default"/>
          <w:spacing w:val="-3"/>
        </w:rPr>
        <w:t>1</w:t>
      </w:r>
      <w:r>
        <w:rPr>
          <w:spacing w:val="-3"/>
        </w:rPr>
        <w:t>号定向资产管理计划）通过二级市场竞价交易方式购买公司股票共计</w:t>
      </w:r>
      <w:r>
        <w:rPr>
          <w:rFonts w:ascii="Times New Roman" w:hAnsi="Times New Roman" w:cs="Times New Roman" w:eastAsia="Times New Roman" w:hint="default"/>
          <w:spacing w:val="-3"/>
        </w:rPr>
        <w:t>6,340,780</w:t>
      </w:r>
      <w:r>
        <w:rPr>
          <w:spacing w:val="-3"/>
        </w:rPr>
        <w:t>股，交易均价为</w:t>
      </w:r>
      <w:r>
        <w:rPr>
          <w:rFonts w:ascii="Times New Roman" w:hAnsi="Times New Roman" w:cs="Times New Roman" w:eastAsia="Times New Roman" w:hint="default"/>
          <w:spacing w:val="-3"/>
        </w:rPr>
        <w:t>11.207</w:t>
      </w:r>
      <w:r>
        <w:rPr>
          <w:spacing w:val="-3"/>
        </w:rPr>
        <w:t>元</w:t>
      </w:r>
      <w:r>
        <w:rPr>
          <w:rFonts w:ascii="Times New Roman" w:hAnsi="Times New Roman" w:cs="Times New Roman" w:eastAsia="Times New Roman" w:hint="default"/>
          <w:spacing w:val="-3"/>
        </w:rPr>
        <w:t>/</w:t>
      </w:r>
      <w:r>
        <w:rPr>
          <w:spacing w:val="-3"/>
        </w:rPr>
        <w:t>股，成交金额合计</w:t>
      </w:r>
      <w:r>
        <w:rPr>
          <w:spacing w:val="9"/>
        </w:rPr>
        <w:t> </w:t>
      </w:r>
      <w:r>
        <w:rPr>
          <w:spacing w:val="9"/>
        </w:rPr>
      </w:r>
      <w:r>
        <w:rPr>
          <w:spacing w:val="-4"/>
        </w:rPr>
        <w:t>为</w:t>
      </w:r>
      <w:r>
        <w:rPr>
          <w:rFonts w:ascii="Times New Roman" w:hAnsi="Times New Roman" w:cs="Times New Roman" w:eastAsia="Times New Roman" w:hint="default"/>
          <w:spacing w:val="-4"/>
        </w:rPr>
        <w:t>7,106</w:t>
      </w:r>
      <w:r>
        <w:rPr>
          <w:spacing w:val="-4"/>
        </w:rPr>
        <w:t>万元，买入股票数量占公司总股本的</w:t>
      </w:r>
      <w:r>
        <w:rPr>
          <w:rFonts w:ascii="Times New Roman" w:hAnsi="Times New Roman" w:cs="Times New Roman" w:eastAsia="Times New Roman" w:hint="default"/>
          <w:spacing w:val="-4"/>
        </w:rPr>
        <w:t>2.57%</w:t>
      </w:r>
      <w:r>
        <w:rPr>
          <w:spacing w:val="-4"/>
        </w:rPr>
        <w:t>。公司第一期员工持股计划已完成股票购买，本次员工持股计划购买的股</w:t>
      </w:r>
      <w:r>
        <w:rPr>
          <w:spacing w:val="4"/>
        </w:rPr>
        <w:t> </w:t>
      </w:r>
      <w:r>
        <w:rPr>
          <w:spacing w:val="4"/>
        </w:rPr>
      </w:r>
      <w:r>
        <w:rPr>
          <w:spacing w:val="-3"/>
        </w:rPr>
        <w:t>票已按相关规定予以锁定，锁定期为</w:t>
      </w:r>
      <w:r>
        <w:rPr>
          <w:rFonts w:ascii="Times New Roman" w:hAnsi="Times New Roman" w:cs="Times New Roman" w:eastAsia="Times New Roman" w:hint="default"/>
          <w:spacing w:val="-3"/>
        </w:rPr>
        <w:t>36</w:t>
      </w:r>
      <w:r>
        <w:rPr>
          <w:spacing w:val="-3"/>
        </w:rPr>
        <w:t>个月。</w:t>
      </w:r>
    </w:p>
    <w:p>
      <w:pPr>
        <w:pStyle w:val="BodyText"/>
        <w:spacing w:line="300" w:lineRule="auto" w:before="13"/>
        <w:ind w:right="1128" w:firstLine="360"/>
        <w:jc w:val="both"/>
      </w:pPr>
      <w:r>
        <w:rPr>
          <w:spacing w:val="-8"/>
          <w:w w:val="101"/>
        </w:rPr>
        <w:t>具体内容详见公司刊登在《证券时报》《中国证券报》《上海证券报》《证券日报》和巨潮资讯网</w:t>
      </w:r>
      <w:hyperlink r:id="rId9">
        <w:r>
          <w:rPr>
            <w:rFonts w:ascii="Times New Roman" w:hAnsi="Times New Roman" w:cs="Times New Roman" w:eastAsia="Times New Roman" w:hint="default"/>
            <w:spacing w:val="-8"/>
            <w:w w:val="101"/>
          </w:rPr>
          <w:t>http://www.cninfo.com.cn</w:t>
        </w:r>
      </w:hyperlink>
      <w:r>
        <w:rPr>
          <w:rFonts w:ascii="Times New Roman" w:hAnsi="Times New Roman" w:cs="Times New Roman" w:eastAsia="Times New Roman" w:hint="default"/>
          <w:w w:val="101"/>
        </w:rPr>
        <w:t> </w:t>
      </w:r>
      <w:r>
        <w:rPr>
          <w:spacing w:val="-3"/>
        </w:rPr>
        <w:t>上的关于员工持股计划的相关公告。</w:t>
      </w:r>
    </w:p>
    <w:p>
      <w:pPr>
        <w:pStyle w:val="BodyText"/>
        <w:spacing w:line="240" w:lineRule="auto" w:before="75"/>
        <w:ind w:right="855"/>
        <w:jc w:val="left"/>
      </w:pPr>
      <w:r>
        <w:rPr>
          <w:spacing w:val="-3"/>
        </w:rPr>
        <w:t>公司需遵守《深圳证券交易所行业信息披露指引第 </w:t>
      </w:r>
      <w:r>
        <w:rPr>
          <w:rFonts w:ascii="Times New Roman" w:hAnsi="Times New Roman" w:cs="Times New Roman" w:eastAsia="Times New Roman" w:hint="default"/>
        </w:rPr>
        <w:t>12  </w:t>
      </w:r>
      <w:r>
        <w:rPr>
          <w:rFonts w:ascii="Times New Roman" w:hAnsi="Times New Roman" w:cs="Times New Roman" w:eastAsia="Times New Roman" w:hint="default"/>
          <w:spacing w:val="11"/>
        </w:rPr>
        <w:t> </w:t>
      </w:r>
      <w:r>
        <w:rPr>
          <w:spacing w:val="-3"/>
        </w:rPr>
        <w:t>号</w:t>
      </w:r>
      <w:r>
        <w:rPr>
          <w:rFonts w:ascii="Times New Roman" w:hAnsi="Times New Roman" w:cs="Times New Roman" w:eastAsia="Times New Roman" w:hint="default"/>
          <w:spacing w:val="-3"/>
        </w:rPr>
        <w:t>——</w:t>
      </w:r>
      <w:r>
        <w:rPr>
          <w:spacing w:val="-3"/>
        </w:rPr>
        <w:t>上市公司从事软件与信息技术服务业务》的披露要求</w:t>
      </w:r>
    </w:p>
    <w:p>
      <w:pPr>
        <w:spacing w:line="240" w:lineRule="auto" w:before="0"/>
        <w:rPr>
          <w:rFonts w:ascii="宋体" w:hAnsi="宋体" w:cs="宋体" w:eastAsia="宋体" w:hint="default"/>
          <w:sz w:val="24"/>
          <w:szCs w:val="24"/>
        </w:rPr>
      </w:pPr>
    </w:p>
    <w:p>
      <w:pPr>
        <w:pStyle w:val="Heading2"/>
        <w:spacing w:line="240" w:lineRule="auto"/>
        <w:ind w:right="855"/>
        <w:jc w:val="left"/>
        <w:rPr>
          <w:b w:val="0"/>
          <w:bCs w:val="0"/>
        </w:rPr>
      </w:pPr>
      <w:r>
        <w:rPr/>
        <w:t>十六、重大关联交易</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855"/>
        <w:jc w:val="left"/>
        <w:rPr>
          <w:b w:val="0"/>
          <w:bCs w:val="0"/>
        </w:rPr>
      </w:pPr>
      <w:r>
        <w:rPr>
          <w:rFonts w:ascii="Times New Roman" w:hAnsi="Times New Roman" w:cs="Times New Roman" w:eastAsia="Times New Roman" w:hint="default"/>
        </w:rPr>
        <w:t>1</w:t>
      </w:r>
      <w:r>
        <w:rPr/>
        <w:t>、与日常经营相关的关联交易</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611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公司报告期未发生与日常经营相关的关联交易。</w:t>
      </w:r>
    </w:p>
    <w:p>
      <w:pPr>
        <w:spacing w:line="240" w:lineRule="auto" w:before="0"/>
        <w:rPr>
          <w:rFonts w:ascii="宋体" w:hAnsi="宋体" w:cs="宋体" w:eastAsia="宋体" w:hint="default"/>
          <w:sz w:val="21"/>
          <w:szCs w:val="21"/>
        </w:rPr>
      </w:pPr>
    </w:p>
    <w:p>
      <w:pPr>
        <w:pStyle w:val="Heading4"/>
        <w:spacing w:line="240" w:lineRule="auto"/>
        <w:ind w:right="855"/>
        <w:jc w:val="left"/>
        <w:rPr>
          <w:b w:val="0"/>
          <w:bCs w:val="0"/>
        </w:rPr>
      </w:pP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10"/>
        <w:rPr>
          <w:rFonts w:ascii="宋体" w:hAnsi="宋体" w:cs="宋体" w:eastAsia="宋体" w:hint="default"/>
          <w:b/>
          <w:bCs/>
          <w:sz w:val="26"/>
          <w:szCs w:val="26"/>
        </w:rPr>
      </w:pPr>
    </w:p>
    <w:p>
      <w:pPr>
        <w:pStyle w:val="BodyText"/>
        <w:spacing w:line="343" w:lineRule="auto"/>
        <w:ind w:right="611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公司报告期未发生资产或股权收购、出售的关联交易。</w:t>
      </w:r>
    </w:p>
    <w:p>
      <w:pPr>
        <w:spacing w:line="240" w:lineRule="auto" w:before="9"/>
        <w:rPr>
          <w:rFonts w:ascii="宋体" w:hAnsi="宋体" w:cs="宋体" w:eastAsia="宋体" w:hint="default"/>
          <w:sz w:val="20"/>
          <w:szCs w:val="20"/>
        </w:rPr>
      </w:pPr>
    </w:p>
    <w:p>
      <w:pPr>
        <w:pStyle w:val="Heading4"/>
        <w:spacing w:line="240" w:lineRule="auto"/>
        <w:ind w:right="855"/>
        <w:jc w:val="left"/>
        <w:rPr>
          <w:b w:val="0"/>
          <w:bCs w:val="0"/>
        </w:rPr>
      </w:pPr>
      <w:r>
        <w:rPr>
          <w:rFonts w:ascii="Times New Roman" w:hAnsi="Times New Roman" w:cs="Times New Roman" w:eastAsia="Times New Roman" w:hint="default"/>
        </w:rPr>
        <w:t>3</w:t>
      </w:r>
      <w:r>
        <w:rPr/>
        <w:t>、共同对外投资的关联交易</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611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公司报告期未发生共同对外投资的关联交易。</w:t>
      </w:r>
    </w:p>
    <w:p>
      <w:pPr>
        <w:spacing w:line="240" w:lineRule="auto" w:before="5"/>
        <w:rPr>
          <w:rFonts w:ascii="宋体" w:hAnsi="宋体" w:cs="宋体" w:eastAsia="宋体" w:hint="default"/>
          <w:sz w:val="21"/>
          <w:szCs w:val="21"/>
        </w:rPr>
      </w:pPr>
    </w:p>
    <w:p>
      <w:pPr>
        <w:pStyle w:val="Heading4"/>
        <w:spacing w:line="240" w:lineRule="auto"/>
        <w:ind w:right="855"/>
        <w:jc w:val="left"/>
        <w:rPr>
          <w:b w:val="0"/>
          <w:bCs w:val="0"/>
        </w:rPr>
      </w:pPr>
      <w:r>
        <w:rPr>
          <w:rFonts w:ascii="Times New Roman" w:hAnsi="Times New Roman" w:cs="Times New Roman" w:eastAsia="Times New Roman" w:hint="default"/>
        </w:rPr>
        <w:t>4</w:t>
      </w:r>
      <w:r>
        <w:rPr/>
        <w:t>、关联债权债务往来</w:t>
      </w:r>
      <w:r>
        <w:rPr>
          <w:b w:val="0"/>
          <w:bCs w:val="0"/>
        </w:rPr>
      </w:r>
    </w:p>
    <w:p>
      <w:pPr>
        <w:spacing w:line="240" w:lineRule="auto" w:before="10"/>
        <w:rPr>
          <w:rFonts w:ascii="宋体" w:hAnsi="宋体" w:cs="宋体" w:eastAsia="宋体" w:hint="default"/>
          <w:b/>
          <w:bCs/>
          <w:sz w:val="26"/>
          <w:szCs w:val="26"/>
        </w:rPr>
      </w:pPr>
    </w:p>
    <w:p>
      <w:pPr>
        <w:pStyle w:val="BodyText"/>
        <w:spacing w:line="338" w:lineRule="auto"/>
        <w:ind w:right="7349"/>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公司报告期不存在关联债权债务往来。</w:t>
      </w:r>
    </w:p>
    <w:p>
      <w:pPr>
        <w:spacing w:after="0" w:line="338" w:lineRule="auto"/>
        <w:jc w:val="left"/>
        <w:sectPr>
          <w:pgSz w:w="11910" w:h="16840"/>
          <w:pgMar w:header="746" w:footer="974" w:top="1060" w:bottom="1160" w:left="980" w:right="0"/>
        </w:sectPr>
      </w:pPr>
    </w:p>
    <w:p>
      <w:pPr>
        <w:spacing w:line="240" w:lineRule="auto" w:before="7"/>
        <w:rPr>
          <w:rFonts w:ascii="宋体" w:hAnsi="宋体" w:cs="宋体" w:eastAsia="宋体" w:hint="default"/>
          <w:sz w:val="24"/>
          <w:szCs w:val="24"/>
        </w:rPr>
      </w:pPr>
    </w:p>
    <w:p>
      <w:pPr>
        <w:pStyle w:val="Heading4"/>
        <w:spacing w:line="240" w:lineRule="auto" w:before="36"/>
        <w:ind w:right="855"/>
        <w:jc w:val="left"/>
        <w:rPr>
          <w:b w:val="0"/>
          <w:bCs w:val="0"/>
        </w:rPr>
      </w:pPr>
      <w:r>
        <w:rPr>
          <w:rFonts w:ascii="Times New Roman" w:hAnsi="Times New Roman" w:cs="Times New Roman" w:eastAsia="Times New Roman" w:hint="default"/>
        </w:rPr>
        <w:t>5</w:t>
      </w:r>
      <w:r>
        <w:rPr/>
        <w:t>、其他重大关联交易</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left="513" w:right="855" w:hanging="36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9"/>
        </w:rPr>
        <w:t> </w:t>
      </w:r>
      <w:r>
        <w:rPr>
          <w:spacing w:val="-79"/>
        </w:rPr>
      </w:r>
      <w:r>
        <w:rPr>
          <w:spacing w:val="-3"/>
        </w:rPr>
        <w:t>公司实施</w:t>
      </w:r>
      <w:r>
        <w:rPr>
          <w:rFonts w:ascii="Times New Roman" w:hAnsi="Times New Roman" w:cs="Times New Roman" w:eastAsia="Times New Roman" w:hint="default"/>
          <w:spacing w:val="-3"/>
        </w:rPr>
        <w:t>2019</w:t>
      </w:r>
      <w:r>
        <w:rPr>
          <w:spacing w:val="-3"/>
        </w:rPr>
        <w:t>年度非公开发行股票，募集资金不超过人民币</w:t>
      </w:r>
      <w:r>
        <w:rPr>
          <w:rFonts w:ascii="Times New Roman" w:hAnsi="Times New Roman" w:cs="Times New Roman" w:eastAsia="Times New Roman" w:hint="default"/>
          <w:spacing w:val="-3"/>
        </w:rPr>
        <w:t>65,000.00</w:t>
      </w:r>
      <w:r>
        <w:rPr>
          <w:spacing w:val="-3"/>
        </w:rPr>
        <w:t>万元，发行数量不超过公司本次发行前总股本的</w:t>
      </w:r>
    </w:p>
    <w:p>
      <w:pPr>
        <w:pStyle w:val="BodyText"/>
        <w:spacing w:line="230" w:lineRule="exact"/>
        <w:ind w:right="855"/>
        <w:jc w:val="left"/>
      </w:pPr>
      <w:r>
        <w:rPr>
          <w:rFonts w:ascii="Times New Roman" w:hAnsi="Times New Roman" w:cs="Times New Roman" w:eastAsia="Times New Roman" w:hint="default"/>
          <w:spacing w:val="-3"/>
        </w:rPr>
        <w:t>20%</w:t>
      </w:r>
      <w:r>
        <w:rPr>
          <w:spacing w:val="-3"/>
        </w:rPr>
        <w:t>，即不超过</w:t>
      </w:r>
      <w:r>
        <w:rPr>
          <w:rFonts w:ascii="Times New Roman" w:hAnsi="Times New Roman" w:cs="Times New Roman" w:eastAsia="Times New Roman" w:hint="default"/>
          <w:spacing w:val="-3"/>
        </w:rPr>
        <w:t>64,117,571</w:t>
      </w:r>
      <w:r>
        <w:rPr>
          <w:spacing w:val="-3"/>
        </w:rPr>
        <w:t>股。发行对象为包括工投集团在内的不超过</w:t>
      </w:r>
      <w:r>
        <w:rPr>
          <w:rFonts w:ascii="Times New Roman" w:hAnsi="Times New Roman" w:cs="Times New Roman" w:eastAsia="Times New Roman" w:hint="default"/>
          <w:spacing w:val="-3"/>
        </w:rPr>
        <w:t>10</w:t>
      </w:r>
      <w:r>
        <w:rPr>
          <w:spacing w:val="-3"/>
        </w:rPr>
        <w:t>名特定对象。工投集团拟认购本次非公开发行的股</w:t>
      </w:r>
    </w:p>
    <w:p>
      <w:pPr>
        <w:pStyle w:val="BodyText"/>
        <w:spacing w:line="300" w:lineRule="auto" w:before="63"/>
        <w:ind w:right="855"/>
        <w:jc w:val="left"/>
      </w:pPr>
      <w:r>
        <w:rPr>
          <w:spacing w:val="-4"/>
        </w:rPr>
        <w:t>票，并于</w:t>
      </w: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4</w:t>
      </w:r>
      <w:r>
        <w:rPr>
          <w:spacing w:val="-4"/>
        </w:rPr>
        <w:t>月</w:t>
      </w:r>
      <w:r>
        <w:rPr>
          <w:rFonts w:ascii="Times New Roman" w:hAnsi="Times New Roman" w:cs="Times New Roman" w:eastAsia="Times New Roman" w:hint="default"/>
          <w:spacing w:val="-4"/>
        </w:rPr>
        <w:t>28</w:t>
      </w:r>
      <w:r>
        <w:rPr>
          <w:spacing w:val="-4"/>
        </w:rPr>
        <w:t>日与公司签署了《附条件生效的股份认购协议》。工投集团为南天信息控股股东，持有公司</w:t>
      </w:r>
      <w:r>
        <w:rPr>
          <w:rFonts w:ascii="Times New Roman" w:hAnsi="Times New Roman" w:cs="Times New Roman" w:eastAsia="Times New Roman" w:hint="default"/>
          <w:spacing w:val="-4"/>
        </w:rPr>
        <w:t>5%</w:t>
      </w:r>
      <w:r>
        <w:rPr>
          <w:spacing w:val="-4"/>
        </w:rPr>
        <w:t>以上的</w:t>
      </w:r>
      <w:r>
        <w:rPr>
          <w:spacing w:val="-3"/>
        </w:rPr>
        <w:t> </w:t>
      </w:r>
      <w:r>
        <w:rPr>
          <w:spacing w:val="-3"/>
        </w:rPr>
        <w:t>股份，与南天信息构成关联关系。工投集团认购公司本次非公开发行的股票构成关联交易。</w:t>
      </w:r>
    </w:p>
    <w:p>
      <w:pPr>
        <w:pStyle w:val="BodyText"/>
        <w:spacing w:line="300" w:lineRule="auto" w:before="31"/>
        <w:ind w:right="1121" w:firstLine="360"/>
        <w:jc w:val="both"/>
      </w:pPr>
      <w:r>
        <w:rPr>
          <w:rFonts w:ascii="Times New Roman" w:hAnsi="Times New Roman" w:cs="Times New Roman" w:eastAsia="Times New Roman" w:hint="default"/>
          <w:spacing w:val="-7"/>
          <w:w w:val="101"/>
        </w:rPr>
        <w:t>2019</w:t>
      </w:r>
      <w:r>
        <w:rPr>
          <w:spacing w:val="-7"/>
          <w:w w:val="101"/>
        </w:rPr>
        <w:t>年</w:t>
      </w:r>
      <w:r>
        <w:rPr>
          <w:rFonts w:ascii="Times New Roman" w:hAnsi="Times New Roman" w:cs="Times New Roman" w:eastAsia="Times New Roman" w:hint="default"/>
          <w:spacing w:val="-7"/>
          <w:w w:val="101"/>
        </w:rPr>
        <w:t>3</w:t>
      </w:r>
      <w:r>
        <w:rPr>
          <w:spacing w:val="-7"/>
          <w:w w:val="101"/>
        </w:rPr>
        <w:t>月</w:t>
      </w:r>
      <w:r>
        <w:rPr>
          <w:rFonts w:ascii="Times New Roman" w:hAnsi="Times New Roman" w:cs="Times New Roman" w:eastAsia="Times New Roman" w:hint="default"/>
          <w:spacing w:val="-7"/>
          <w:w w:val="101"/>
        </w:rPr>
        <w:t>4</w:t>
      </w:r>
      <w:r>
        <w:rPr>
          <w:spacing w:val="-7"/>
          <w:w w:val="101"/>
        </w:rPr>
        <w:t>日，公司第七届董事会第十九次会议审议通过了《关于</w:t>
      </w:r>
      <w:r>
        <w:rPr>
          <w:rFonts w:ascii="Times New Roman" w:hAnsi="Times New Roman" w:cs="Times New Roman" w:eastAsia="Times New Roman" w:hint="default"/>
          <w:spacing w:val="-7"/>
          <w:w w:val="101"/>
        </w:rPr>
        <w:t>2019</w:t>
      </w:r>
      <w:r>
        <w:rPr>
          <w:spacing w:val="-7"/>
          <w:w w:val="101"/>
        </w:rPr>
        <w:t>年度预计日常关联交易的议案》，公司预计了</w:t>
      </w:r>
      <w:r>
        <w:rPr>
          <w:rFonts w:ascii="Times New Roman" w:hAnsi="Times New Roman" w:cs="Times New Roman" w:eastAsia="Times New Roman" w:hint="default"/>
          <w:spacing w:val="-7"/>
          <w:w w:val="101"/>
        </w:rPr>
        <w:t>2019</w:t>
      </w:r>
      <w:r>
        <w:rPr>
          <w:rFonts w:ascii="Times New Roman" w:hAnsi="Times New Roman" w:cs="Times New Roman" w:eastAsia="Times New Roman" w:hint="default"/>
          <w:w w:val="101"/>
        </w:rPr>
        <w:t> </w:t>
      </w:r>
      <w:r>
        <w:rPr>
          <w:spacing w:val="-4"/>
        </w:rPr>
        <w:t>年度关联交易，具体详见公司于</w:t>
      </w: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03</w:t>
      </w:r>
      <w:r>
        <w:rPr>
          <w:spacing w:val="-4"/>
        </w:rPr>
        <w:t>月</w:t>
      </w:r>
      <w:r>
        <w:rPr>
          <w:rFonts w:ascii="Times New Roman" w:hAnsi="Times New Roman" w:cs="Times New Roman" w:eastAsia="Times New Roman" w:hint="default"/>
          <w:spacing w:val="-4"/>
        </w:rPr>
        <w:t>6</w:t>
      </w:r>
      <w:r>
        <w:rPr>
          <w:spacing w:val="-4"/>
        </w:rPr>
        <w:t>日在巨潮资讯网上</w:t>
      </w:r>
      <w:hyperlink r:id="rId17">
        <w:r>
          <w:rPr>
            <w:rFonts w:ascii="Times New Roman" w:hAnsi="Times New Roman" w:cs="Times New Roman" w:eastAsia="Times New Roman" w:hint="default"/>
            <w:spacing w:val="-4"/>
          </w:rPr>
          <w:t>http://www.cninfo.com.cn</w:t>
        </w:r>
        <w:r>
          <w:rPr>
            <w:spacing w:val="-4"/>
          </w:rPr>
          <w:t>披露的</w:t>
        </w:r>
      </w:hyperlink>
      <w:r>
        <w:rPr>
          <w:spacing w:val="-4"/>
        </w:rPr>
        <w:t>《关于</w:t>
      </w:r>
      <w:r>
        <w:rPr>
          <w:rFonts w:ascii="Times New Roman" w:hAnsi="Times New Roman" w:cs="Times New Roman" w:eastAsia="Times New Roman" w:hint="default"/>
          <w:spacing w:val="-4"/>
        </w:rPr>
        <w:t>2019</w:t>
      </w:r>
      <w:r>
        <w:rPr>
          <w:spacing w:val="-4"/>
        </w:rPr>
        <w:t>年度预计日常关联</w:t>
      </w:r>
      <w:r>
        <w:rPr>
          <w:spacing w:val="21"/>
        </w:rPr>
        <w:t> </w:t>
      </w:r>
      <w:r>
        <w:rPr>
          <w:spacing w:val="21"/>
        </w:rPr>
      </w:r>
      <w:r>
        <w:rPr>
          <w:spacing w:val="-3"/>
        </w:rPr>
        <w:t>交易的公告》。</w:t>
      </w:r>
    </w:p>
    <w:p>
      <w:pPr>
        <w:pStyle w:val="BodyText"/>
        <w:spacing w:line="300" w:lineRule="auto" w:before="31"/>
        <w:ind w:right="855" w:firstLine="360"/>
        <w:jc w:val="left"/>
      </w:pPr>
      <w:r>
        <w:rPr>
          <w:rFonts w:ascii="Times New Roman" w:hAnsi="Times New Roman" w:cs="Times New Roman" w:eastAsia="Times New Roman" w:hint="default"/>
          <w:spacing w:val="-3"/>
        </w:rPr>
        <w:t>2020</w:t>
      </w:r>
      <w:r>
        <w:rPr>
          <w:spacing w:val="-3"/>
        </w:rPr>
        <w:t>年</w:t>
      </w:r>
      <w:r>
        <w:rPr>
          <w:rFonts w:ascii="Times New Roman" w:hAnsi="Times New Roman" w:cs="Times New Roman" w:eastAsia="Times New Roman" w:hint="default"/>
          <w:spacing w:val="-3"/>
        </w:rPr>
        <w:t>4</w:t>
      </w:r>
      <w:r>
        <w:rPr>
          <w:spacing w:val="-3"/>
        </w:rPr>
        <w:t>月</w:t>
      </w:r>
      <w:r>
        <w:rPr>
          <w:rFonts w:ascii="Times New Roman" w:hAnsi="Times New Roman" w:cs="Times New Roman" w:eastAsia="Times New Roman" w:hint="default"/>
          <w:spacing w:val="-3"/>
        </w:rPr>
        <w:t>23</w:t>
      </w:r>
      <w:r>
        <w:rPr>
          <w:spacing w:val="-3"/>
        </w:rPr>
        <w:t>日，公司第七届董事会第二十九次会议审议通过了《关于</w:t>
      </w:r>
      <w:r>
        <w:rPr>
          <w:rFonts w:ascii="Times New Roman" w:hAnsi="Times New Roman" w:cs="Times New Roman" w:eastAsia="Times New Roman" w:hint="default"/>
          <w:spacing w:val="-3"/>
        </w:rPr>
        <w:t>2020</w:t>
      </w:r>
      <w:r>
        <w:rPr>
          <w:spacing w:val="-3"/>
        </w:rPr>
        <w:t>年度预计日常关联交易的议案》，公司预计</w:t>
      </w:r>
      <w:r>
        <w:rPr>
          <w:w w:val="101"/>
        </w:rPr>
        <w:t> </w:t>
      </w:r>
      <w:r>
        <w:rPr>
          <w:spacing w:val="-3"/>
        </w:rPr>
        <w:t>了</w:t>
      </w:r>
      <w:r>
        <w:rPr>
          <w:rFonts w:ascii="Times New Roman" w:hAnsi="Times New Roman" w:cs="Times New Roman" w:eastAsia="Times New Roman" w:hint="default"/>
          <w:spacing w:val="-3"/>
        </w:rPr>
        <w:t>2020</w:t>
      </w:r>
      <w:r>
        <w:rPr>
          <w:spacing w:val="-3"/>
        </w:rPr>
        <w:t>年度关联交易，同时披露了</w:t>
      </w:r>
      <w:r>
        <w:rPr>
          <w:rFonts w:ascii="Times New Roman" w:hAnsi="Times New Roman" w:cs="Times New Roman" w:eastAsia="Times New Roman" w:hint="default"/>
          <w:spacing w:val="-3"/>
        </w:rPr>
        <w:t>2019</w:t>
      </w:r>
      <w:r>
        <w:rPr>
          <w:spacing w:val="-3"/>
        </w:rPr>
        <w:t>年度日常关联交易的发生情况，具体详见公司于</w:t>
      </w:r>
      <w:r>
        <w:rPr>
          <w:rFonts w:ascii="Times New Roman" w:hAnsi="Times New Roman" w:cs="Times New Roman" w:eastAsia="Times New Roman" w:hint="default"/>
          <w:spacing w:val="-3"/>
        </w:rPr>
        <w:t>2020</w:t>
      </w:r>
      <w:r>
        <w:rPr>
          <w:spacing w:val="-3"/>
        </w:rPr>
        <w:t>年</w:t>
      </w:r>
      <w:r>
        <w:rPr>
          <w:rFonts w:ascii="Times New Roman" w:hAnsi="Times New Roman" w:cs="Times New Roman" w:eastAsia="Times New Roman" w:hint="default"/>
          <w:spacing w:val="-3"/>
        </w:rPr>
        <w:t>04</w:t>
      </w:r>
      <w:r>
        <w:rPr>
          <w:spacing w:val="-3"/>
        </w:rPr>
        <w:t>月</w:t>
      </w:r>
      <w:r>
        <w:rPr>
          <w:rFonts w:ascii="Times New Roman" w:hAnsi="Times New Roman" w:cs="Times New Roman" w:eastAsia="Times New Roman" w:hint="default"/>
          <w:spacing w:val="-3"/>
        </w:rPr>
        <w:t>25</w:t>
      </w:r>
      <w:r>
        <w:rPr>
          <w:spacing w:val="-3"/>
        </w:rPr>
        <w:t>日在巨潮资讯网上</w:t>
      </w:r>
      <w:r>
        <w:rPr>
          <w:spacing w:val="82"/>
        </w:rPr>
        <w:t> </w:t>
      </w:r>
      <w:r>
        <w:rPr>
          <w:spacing w:val="82"/>
        </w:rPr>
      </w:r>
      <w:hyperlink r:id="rId17">
        <w:r>
          <w:rPr>
            <w:rFonts w:ascii="Times New Roman" w:hAnsi="Times New Roman" w:cs="Times New Roman" w:eastAsia="Times New Roman" w:hint="default"/>
          </w:rPr>
          <w:t>http://www.cninfo.com.cn</w:t>
        </w:r>
        <w:r>
          <w:rPr/>
          <w:t>披露的《</w:t>
        </w:r>
      </w:hyperlink>
      <w:r>
        <w:rPr/>
        <w:t>关于</w:t>
      </w:r>
      <w:r>
        <w:rPr>
          <w:rFonts w:ascii="Times New Roman" w:hAnsi="Times New Roman" w:cs="Times New Roman" w:eastAsia="Times New Roman" w:hint="default"/>
        </w:rPr>
        <w:t>2020</w:t>
      </w:r>
      <w:r>
        <w:rPr/>
        <w:t>年度预计日常关联交易的公告》。</w:t>
      </w:r>
    </w:p>
    <w:p>
      <w:pPr>
        <w:pStyle w:val="BodyText"/>
        <w:spacing w:line="240" w:lineRule="auto" w:before="56"/>
        <w:ind w:right="855"/>
        <w:jc w:val="left"/>
      </w:pPr>
      <w:r>
        <w:rPr>
          <w:spacing w:val="-3"/>
        </w:rPr>
        <w:t>重大关联交易临时报告披露网站相关查询</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399"/>
        <w:gridCol w:w="2127"/>
        <w:gridCol w:w="3044"/>
      </w:tblGrid>
      <w:tr>
        <w:trPr>
          <w:trHeight w:val="403" w:hRule="exact"/>
        </w:trPr>
        <w:tc>
          <w:tcPr>
            <w:tcW w:w="43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临时公告名称</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36" w:right="0"/>
              <w:jc w:val="left"/>
              <w:rPr>
                <w:rFonts w:ascii="宋体" w:hAnsi="宋体" w:cs="宋体" w:eastAsia="宋体" w:hint="default"/>
                <w:sz w:val="18"/>
                <w:szCs w:val="18"/>
              </w:rPr>
            </w:pPr>
            <w:r>
              <w:rPr>
                <w:rFonts w:ascii="宋体" w:hAnsi="宋体" w:cs="宋体" w:eastAsia="宋体" w:hint="default"/>
                <w:sz w:val="18"/>
                <w:szCs w:val="18"/>
              </w:rPr>
              <w:t>临时公告披露日期</w:t>
            </w:r>
          </w:p>
        </w:tc>
        <w:tc>
          <w:tcPr>
            <w:tcW w:w="3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19" w:right="0"/>
              <w:jc w:val="left"/>
              <w:rPr>
                <w:rFonts w:ascii="宋体" w:hAnsi="宋体" w:cs="宋体" w:eastAsia="宋体" w:hint="default"/>
                <w:sz w:val="18"/>
                <w:szCs w:val="18"/>
              </w:rPr>
            </w:pPr>
            <w:r>
              <w:rPr>
                <w:rFonts w:ascii="宋体" w:hAnsi="宋体" w:cs="宋体" w:eastAsia="宋体" w:hint="default"/>
                <w:sz w:val="18"/>
                <w:szCs w:val="18"/>
              </w:rPr>
              <w:t>临时公告披露网站名称</w:t>
            </w:r>
          </w:p>
        </w:tc>
      </w:tr>
      <w:tr>
        <w:trPr>
          <w:trHeight w:val="398" w:hRule="exact"/>
        </w:trPr>
        <w:tc>
          <w:tcPr>
            <w:tcW w:w="4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关于控股股东认购非公开发行股票涉及关联交易的公告</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8"/>
                <w:sz w:val="18"/>
                <w:szCs w:val="18"/>
              </w:rPr>
              <w:t> </w:t>
            </w:r>
            <w:hyperlink r:id="rId9">
              <w:r>
                <w:rPr>
                  <w:rFonts w:ascii="Times New Roman" w:hAnsi="Times New Roman" w:cs="Times New Roman" w:eastAsia="Times New Roman" w:hint="default"/>
                  <w:spacing w:val="-3"/>
                  <w:sz w:val="18"/>
                  <w:szCs w:val="18"/>
                </w:rPr>
                <w:t>http://www.cninfo.com.cn</w:t>
              </w:r>
            </w:hyperlink>
          </w:p>
        </w:tc>
      </w:tr>
      <w:tr>
        <w:trPr>
          <w:trHeight w:val="403" w:hRule="exact"/>
        </w:trPr>
        <w:tc>
          <w:tcPr>
            <w:tcW w:w="4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关于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年度预计日常关联交易的公告</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8"/>
                <w:sz w:val="18"/>
                <w:szCs w:val="18"/>
              </w:rPr>
              <w:t> </w:t>
            </w:r>
            <w:hyperlink r:id="rId9">
              <w:r>
                <w:rPr>
                  <w:rFonts w:ascii="Times New Roman" w:hAnsi="Times New Roman" w:cs="Times New Roman" w:eastAsia="Times New Roman" w:hint="default"/>
                  <w:spacing w:val="-3"/>
                  <w:sz w:val="18"/>
                  <w:szCs w:val="18"/>
                </w:rPr>
                <w:t>http://www.cninfo.com.cn</w:t>
              </w:r>
            </w:hyperlink>
          </w:p>
        </w:tc>
      </w:tr>
      <w:tr>
        <w:trPr>
          <w:trHeight w:val="404" w:hRule="exact"/>
        </w:trPr>
        <w:tc>
          <w:tcPr>
            <w:tcW w:w="4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关于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年度预计日常关联交易的公告</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8"/>
                <w:sz w:val="18"/>
                <w:szCs w:val="18"/>
              </w:rPr>
              <w:t> </w:t>
            </w:r>
            <w:hyperlink r:id="rId9">
              <w:r>
                <w:rPr>
                  <w:rFonts w:ascii="Times New Roman" w:hAnsi="Times New Roman" w:cs="Times New Roman" w:eastAsia="Times New Roman" w:hint="default"/>
                  <w:spacing w:val="-3"/>
                  <w:sz w:val="18"/>
                  <w:szCs w:val="18"/>
                </w:rPr>
                <w:t>http://www.cninfo.com.cn</w:t>
              </w:r>
            </w:hyperlink>
          </w:p>
        </w:tc>
      </w:tr>
    </w:tbl>
    <w:p>
      <w:pPr>
        <w:spacing w:line="240" w:lineRule="auto" w:before="1"/>
        <w:rPr>
          <w:rFonts w:ascii="宋体" w:hAnsi="宋体" w:cs="宋体" w:eastAsia="宋体" w:hint="default"/>
          <w:sz w:val="18"/>
          <w:szCs w:val="18"/>
        </w:rPr>
      </w:pPr>
    </w:p>
    <w:p>
      <w:pPr>
        <w:pStyle w:val="Heading2"/>
        <w:spacing w:line="240" w:lineRule="auto" w:before="26"/>
        <w:ind w:right="855"/>
        <w:jc w:val="left"/>
        <w:rPr>
          <w:b w:val="0"/>
          <w:bCs w:val="0"/>
        </w:rPr>
      </w:pPr>
      <w:r>
        <w:rPr/>
        <w:t>十七、重大合同及其履行情况</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855"/>
        <w:jc w:val="left"/>
        <w:rPr>
          <w:b w:val="0"/>
          <w:bCs w:val="0"/>
        </w:rPr>
      </w:pPr>
      <w:r>
        <w:rPr>
          <w:rFonts w:ascii="Times New Roman" w:hAnsi="Times New Roman" w:cs="Times New Roman" w:eastAsia="Times New Roman" w:hint="default"/>
        </w:rPr>
        <w:t>1</w:t>
      </w:r>
      <w:r>
        <w:rPr/>
        <w:t>、托管、承包、租赁事项情况</w:t>
      </w:r>
      <w:r>
        <w:rPr>
          <w:b w:val="0"/>
          <w:bCs w:val="0"/>
        </w:rPr>
      </w:r>
    </w:p>
    <w:p>
      <w:pPr>
        <w:spacing w:line="240" w:lineRule="auto" w:before="10"/>
        <w:rPr>
          <w:rFonts w:ascii="宋体" w:hAnsi="宋体" w:cs="宋体" w:eastAsia="宋体" w:hint="default"/>
          <w:b/>
          <w:bCs/>
          <w:sz w:val="24"/>
          <w:szCs w:val="24"/>
        </w:rPr>
      </w:pPr>
    </w:p>
    <w:p>
      <w:pPr>
        <w:spacing w:before="0"/>
        <w:ind w:left="153" w:right="85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）托管情况</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pStyle w:val="BodyText"/>
        <w:spacing w:line="338" w:lineRule="auto"/>
        <w:ind w:right="7349"/>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公司报告期不存在托管情况。</w:t>
      </w:r>
    </w:p>
    <w:p>
      <w:pPr>
        <w:spacing w:line="240" w:lineRule="auto" w:before="1"/>
        <w:rPr>
          <w:rFonts w:ascii="宋体" w:hAnsi="宋体" w:cs="宋体" w:eastAsia="宋体" w:hint="default"/>
          <w:sz w:val="21"/>
          <w:szCs w:val="21"/>
        </w:rPr>
      </w:pPr>
    </w:p>
    <w:p>
      <w:pPr>
        <w:pStyle w:val="Heading4"/>
        <w:spacing w:line="240" w:lineRule="auto"/>
        <w:ind w:right="855"/>
        <w:jc w:val="left"/>
        <w:rPr>
          <w:b w:val="0"/>
          <w:bCs w:val="0"/>
        </w:rPr>
      </w:pPr>
      <w:r>
        <w:rPr/>
        <w:t>（</w:t>
      </w:r>
      <w:r>
        <w:rPr>
          <w:rFonts w:ascii="Times New Roman" w:hAnsi="Times New Roman" w:cs="Times New Roman" w:eastAsia="Times New Roman" w:hint="default"/>
        </w:rPr>
        <w:t>2</w:t>
      </w:r>
      <w:r>
        <w:rPr/>
        <w:t>）承包情况</w:t>
      </w:r>
      <w:r>
        <w:rPr>
          <w:b w:val="0"/>
          <w:bCs w:val="0"/>
        </w:rPr>
      </w:r>
    </w:p>
    <w:p>
      <w:pPr>
        <w:spacing w:line="240" w:lineRule="auto" w:before="9"/>
        <w:rPr>
          <w:rFonts w:ascii="宋体" w:hAnsi="宋体" w:cs="宋体" w:eastAsia="宋体" w:hint="default"/>
          <w:b/>
          <w:bCs/>
          <w:sz w:val="26"/>
          <w:szCs w:val="26"/>
        </w:rPr>
      </w:pPr>
    </w:p>
    <w:p>
      <w:pPr>
        <w:pStyle w:val="BodyText"/>
        <w:spacing w:line="343" w:lineRule="auto"/>
        <w:ind w:right="7349"/>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公司报告期不存在承包情况。</w:t>
      </w:r>
    </w:p>
    <w:p>
      <w:pPr>
        <w:spacing w:line="240" w:lineRule="auto" w:before="10"/>
        <w:rPr>
          <w:rFonts w:ascii="宋体" w:hAnsi="宋体" w:cs="宋体" w:eastAsia="宋体" w:hint="default"/>
          <w:sz w:val="20"/>
          <w:szCs w:val="20"/>
        </w:rPr>
      </w:pPr>
    </w:p>
    <w:p>
      <w:pPr>
        <w:pStyle w:val="Heading4"/>
        <w:spacing w:line="240" w:lineRule="auto"/>
        <w:ind w:right="855"/>
        <w:jc w:val="left"/>
        <w:rPr>
          <w:b w:val="0"/>
          <w:bCs w:val="0"/>
        </w:rPr>
      </w:pPr>
      <w:r>
        <w:rPr/>
        <w:t>（</w:t>
      </w:r>
      <w:r>
        <w:rPr>
          <w:rFonts w:ascii="Times New Roman" w:hAnsi="Times New Roman" w:cs="Times New Roman" w:eastAsia="Times New Roman" w:hint="default"/>
        </w:rPr>
        <w:t>3</w:t>
      </w:r>
      <w:r>
        <w:rPr/>
        <w:t>）租赁情况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349"/>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公司报告期不存在租赁情况。</w:t>
      </w:r>
    </w:p>
    <w:p>
      <w:pPr>
        <w:spacing w:line="240" w:lineRule="auto" w:before="5"/>
        <w:rPr>
          <w:rFonts w:ascii="宋体" w:hAnsi="宋体" w:cs="宋体" w:eastAsia="宋体" w:hint="default"/>
          <w:sz w:val="21"/>
          <w:szCs w:val="21"/>
        </w:rPr>
      </w:pPr>
    </w:p>
    <w:p>
      <w:pPr>
        <w:pStyle w:val="Heading4"/>
        <w:spacing w:line="240" w:lineRule="auto"/>
        <w:ind w:right="855"/>
        <w:jc w:val="left"/>
        <w:rPr>
          <w:b w:val="0"/>
          <w:bCs w:val="0"/>
        </w:rPr>
      </w:pPr>
      <w:r>
        <w:rPr>
          <w:rFonts w:ascii="Times New Roman" w:hAnsi="Times New Roman" w:cs="Times New Roman" w:eastAsia="Times New Roman" w:hint="default"/>
        </w:rPr>
        <w:t>2</w:t>
      </w:r>
      <w:r>
        <w:rPr/>
        <w:t>、重大担保</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855"/>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1"/>
        </w:rPr>
        <w:t> </w:t>
      </w:r>
      <w:r>
        <w:rPr/>
        <w:t>不适用</w:t>
      </w:r>
    </w:p>
    <w:p>
      <w:pPr>
        <w:spacing w:after="0" w:line="240" w:lineRule="auto"/>
        <w:jc w:val="left"/>
        <w:sectPr>
          <w:pgSz w:w="11910" w:h="16840"/>
          <w:pgMar w:header="746" w:footer="974" w:top="1060" w:bottom="1160" w:left="980" w:right="0"/>
        </w:sectPr>
      </w:pPr>
    </w:p>
    <w:p>
      <w:pPr>
        <w:spacing w:line="240" w:lineRule="auto" w:before="7"/>
        <w:rPr>
          <w:rFonts w:ascii="宋体" w:hAnsi="宋体" w:cs="宋体" w:eastAsia="宋体" w:hint="default"/>
          <w:sz w:val="24"/>
          <w:szCs w:val="24"/>
        </w:rPr>
      </w:pPr>
    </w:p>
    <w:p>
      <w:pPr>
        <w:pStyle w:val="Heading4"/>
        <w:spacing w:line="240" w:lineRule="auto" w:before="36"/>
        <w:ind w:right="855"/>
        <w:jc w:val="left"/>
        <w:rPr>
          <w:b w:val="0"/>
          <w:bCs w:val="0"/>
        </w:rPr>
      </w:pPr>
      <w:r>
        <w:rPr/>
        <w:t>（</w:t>
      </w:r>
      <w:r>
        <w:rPr>
          <w:rFonts w:ascii="Times New Roman" w:hAnsi="Times New Roman" w:cs="Times New Roman" w:eastAsia="Times New Roman" w:hint="default"/>
        </w:rPr>
        <w:t>1</w:t>
      </w:r>
      <w:r>
        <w:rPr/>
        <w:t>）担保情况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1"/>
        <w:jc w:val="right"/>
      </w:pPr>
      <w:r>
        <w:rPr>
          <w:spacing w:val="-2"/>
        </w:rPr>
        <w:t>单位：万元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710"/>
        <w:gridCol w:w="921"/>
        <w:gridCol w:w="923"/>
        <w:gridCol w:w="1301"/>
        <w:gridCol w:w="1060"/>
        <w:gridCol w:w="1044"/>
        <w:gridCol w:w="1046"/>
        <w:gridCol w:w="790"/>
        <w:gridCol w:w="781"/>
      </w:tblGrid>
      <w:tr>
        <w:trPr>
          <w:trHeight w:val="404"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535" w:right="0"/>
              <w:jc w:val="left"/>
              <w:rPr>
                <w:rFonts w:ascii="宋体" w:hAnsi="宋体" w:cs="宋体" w:eastAsia="宋体" w:hint="default"/>
                <w:sz w:val="18"/>
                <w:szCs w:val="18"/>
              </w:rPr>
            </w:pPr>
            <w:r>
              <w:rPr>
                <w:rFonts w:ascii="宋体" w:hAnsi="宋体" w:cs="宋体" w:eastAsia="宋体" w:hint="default"/>
                <w:spacing w:val="-3"/>
                <w:sz w:val="18"/>
                <w:szCs w:val="18"/>
              </w:rPr>
              <w:t>公司及其子公司对外担保情况（不包括对子公司的担保）</w:t>
            </w:r>
          </w:p>
        </w:tc>
      </w:tr>
      <w:tr>
        <w:trPr>
          <w:trHeight w:val="1027" w:hRule="exact"/>
        </w:trPr>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100" w:right="83"/>
              <w:jc w:val="both"/>
              <w:rPr>
                <w:rFonts w:ascii="宋体" w:hAnsi="宋体" w:cs="宋体" w:eastAsia="宋体" w:hint="default"/>
                <w:sz w:val="18"/>
                <w:szCs w:val="18"/>
              </w:rPr>
            </w:pPr>
            <w:r>
              <w:rPr>
                <w:rFonts w:ascii="宋体" w:hAnsi="宋体" w:cs="宋体" w:eastAsia="宋体" w:hint="default"/>
                <w:sz w:val="18"/>
                <w:szCs w:val="18"/>
              </w:rPr>
              <w:t>担保额度</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相关公告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披露日期</w:t>
            </w:r>
          </w:p>
        </w:tc>
        <w:tc>
          <w:tcPr>
            <w:tcW w:w="9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06"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10"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1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41" w:right="63" w:hanging="361"/>
              <w:jc w:val="left"/>
              <w:rPr>
                <w:rFonts w:ascii="宋体" w:hAnsi="宋体" w:cs="宋体" w:eastAsia="宋体" w:hint="default"/>
                <w:sz w:val="18"/>
                <w:szCs w:val="18"/>
              </w:rPr>
            </w:pPr>
            <w:r>
              <w:rPr>
                <w:rFonts w:ascii="宋体" w:hAnsi="宋体" w:cs="宋体" w:eastAsia="宋体" w:hint="default"/>
                <w:spacing w:val="-2"/>
                <w:sz w:val="18"/>
                <w:szCs w:val="18"/>
              </w:rPr>
              <w:t>实际担保金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额</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147"/>
              <w:jc w:val="right"/>
              <w:rPr>
                <w:rFonts w:ascii="宋体" w:hAnsi="宋体" w:cs="宋体" w:eastAsia="宋体" w:hint="default"/>
                <w:sz w:val="18"/>
                <w:szCs w:val="18"/>
              </w:rPr>
            </w:pPr>
            <w:r>
              <w:rPr>
                <w:rFonts w:ascii="宋体" w:hAnsi="宋体" w:cs="宋体" w:eastAsia="宋体" w:hint="default"/>
                <w:spacing w:val="-2"/>
                <w:sz w:val="18"/>
                <w:szCs w:val="18"/>
              </w:rPr>
              <w:t>担保类型</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237"/>
              <w:jc w:val="right"/>
              <w:rPr>
                <w:rFonts w:ascii="宋体" w:hAnsi="宋体" w:cs="宋体" w:eastAsia="宋体" w:hint="default"/>
                <w:sz w:val="18"/>
                <w:szCs w:val="18"/>
              </w:rPr>
            </w:pPr>
            <w:r>
              <w:rPr>
                <w:rFonts w:ascii="宋体" w:hAnsi="宋体" w:cs="宋体" w:eastAsia="宋体" w:hint="default"/>
                <w:spacing w:val="-2"/>
                <w:sz w:val="18"/>
                <w:szCs w:val="18"/>
              </w:rPr>
              <w:t>担保期</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6" w:right="19" w:hanging="183"/>
              <w:jc w:val="left"/>
              <w:rPr>
                <w:rFonts w:ascii="宋体" w:hAnsi="宋体" w:cs="宋体" w:eastAsia="宋体" w:hint="default"/>
                <w:sz w:val="18"/>
                <w:szCs w:val="18"/>
              </w:rPr>
            </w:pPr>
            <w:r>
              <w:rPr>
                <w:rFonts w:ascii="宋体" w:hAnsi="宋体" w:cs="宋体" w:eastAsia="宋体" w:hint="default"/>
                <w:sz w:val="18"/>
                <w:szCs w:val="18"/>
              </w:rPr>
              <w:t>是否履行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完毕</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7" w:right="17"/>
              <w:jc w:val="left"/>
              <w:rPr>
                <w:rFonts w:ascii="宋体" w:hAnsi="宋体" w:cs="宋体" w:eastAsia="宋体" w:hint="default"/>
                <w:sz w:val="18"/>
                <w:szCs w:val="18"/>
              </w:rPr>
            </w:pPr>
            <w:r>
              <w:rPr>
                <w:rFonts w:ascii="宋体" w:hAnsi="宋体" w:cs="宋体" w:eastAsia="宋体" w:hint="default"/>
                <w:sz w:val="18"/>
                <w:szCs w:val="18"/>
              </w:rPr>
              <w:t>是否为关</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联方担保</w:t>
            </w:r>
          </w:p>
        </w:tc>
      </w:tr>
      <w:tr>
        <w:trPr>
          <w:trHeight w:val="399"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pacing w:val="-3"/>
                <w:sz w:val="18"/>
                <w:szCs w:val="18"/>
              </w:rPr>
              <w:t>公司对子公司的担保情况</w:t>
            </w:r>
          </w:p>
        </w:tc>
      </w:tr>
      <w:tr>
        <w:trPr>
          <w:trHeight w:val="1027" w:hRule="exact"/>
        </w:trPr>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95" w:right="87"/>
              <w:jc w:val="both"/>
              <w:rPr>
                <w:rFonts w:ascii="宋体" w:hAnsi="宋体" w:cs="宋体" w:eastAsia="宋体" w:hint="default"/>
                <w:sz w:val="18"/>
                <w:szCs w:val="18"/>
              </w:rPr>
            </w:pPr>
            <w:r>
              <w:rPr>
                <w:rFonts w:ascii="宋体" w:hAnsi="宋体" w:cs="宋体" w:eastAsia="宋体" w:hint="default"/>
                <w:sz w:val="18"/>
                <w:szCs w:val="18"/>
              </w:rPr>
              <w:t>担保额度</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相关公告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披露日期</w:t>
            </w:r>
          </w:p>
        </w:tc>
        <w:tc>
          <w:tcPr>
            <w:tcW w:w="9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97"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10"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1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2" w:lineRule="auto"/>
              <w:ind w:left="441" w:right="63" w:hanging="361"/>
              <w:jc w:val="left"/>
              <w:rPr>
                <w:rFonts w:ascii="宋体" w:hAnsi="宋体" w:cs="宋体" w:eastAsia="宋体" w:hint="default"/>
                <w:sz w:val="18"/>
                <w:szCs w:val="18"/>
              </w:rPr>
            </w:pPr>
            <w:r>
              <w:rPr>
                <w:rFonts w:ascii="宋体" w:hAnsi="宋体" w:cs="宋体" w:eastAsia="宋体" w:hint="default"/>
                <w:spacing w:val="-2"/>
                <w:sz w:val="18"/>
                <w:szCs w:val="18"/>
              </w:rPr>
              <w:t>实际担保金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额</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147"/>
              <w:jc w:val="right"/>
              <w:rPr>
                <w:rFonts w:ascii="宋体" w:hAnsi="宋体" w:cs="宋体" w:eastAsia="宋体" w:hint="default"/>
                <w:sz w:val="18"/>
                <w:szCs w:val="18"/>
              </w:rPr>
            </w:pPr>
            <w:r>
              <w:rPr>
                <w:rFonts w:ascii="宋体" w:hAnsi="宋体" w:cs="宋体" w:eastAsia="宋体" w:hint="default"/>
                <w:spacing w:val="-2"/>
                <w:sz w:val="18"/>
                <w:szCs w:val="18"/>
              </w:rPr>
              <w:t>担保类型</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242"/>
              <w:jc w:val="right"/>
              <w:rPr>
                <w:rFonts w:ascii="宋体" w:hAnsi="宋体" w:cs="宋体" w:eastAsia="宋体" w:hint="default"/>
                <w:sz w:val="18"/>
                <w:szCs w:val="18"/>
              </w:rPr>
            </w:pPr>
            <w:r>
              <w:rPr>
                <w:rFonts w:ascii="宋体" w:hAnsi="宋体" w:cs="宋体" w:eastAsia="宋体" w:hint="default"/>
                <w:spacing w:val="-2"/>
                <w:sz w:val="18"/>
                <w:szCs w:val="18"/>
              </w:rPr>
              <w:t>担保期</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2" w:lineRule="auto"/>
              <w:ind w:left="207" w:right="24" w:hanging="178"/>
              <w:jc w:val="left"/>
              <w:rPr>
                <w:rFonts w:ascii="宋体" w:hAnsi="宋体" w:cs="宋体" w:eastAsia="宋体" w:hint="default"/>
                <w:sz w:val="18"/>
                <w:szCs w:val="18"/>
              </w:rPr>
            </w:pPr>
            <w:r>
              <w:rPr>
                <w:rFonts w:ascii="宋体" w:hAnsi="宋体" w:cs="宋体" w:eastAsia="宋体" w:hint="default"/>
                <w:sz w:val="18"/>
                <w:szCs w:val="18"/>
              </w:rPr>
              <w:t>是否履行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完毕</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2" w:lineRule="auto"/>
              <w:ind w:left="27" w:right="17"/>
              <w:jc w:val="left"/>
              <w:rPr>
                <w:rFonts w:ascii="宋体" w:hAnsi="宋体" w:cs="宋体" w:eastAsia="宋体" w:hint="default"/>
                <w:sz w:val="18"/>
                <w:szCs w:val="18"/>
              </w:rPr>
            </w:pPr>
            <w:r>
              <w:rPr>
                <w:rFonts w:ascii="宋体" w:hAnsi="宋体" w:cs="宋体" w:eastAsia="宋体" w:hint="default"/>
                <w:sz w:val="18"/>
                <w:szCs w:val="18"/>
              </w:rPr>
              <w:t>是否为关</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联方担保</w:t>
            </w:r>
          </w:p>
        </w:tc>
      </w:tr>
      <w:tr>
        <w:trPr>
          <w:trHeight w:val="716" w:hRule="exact"/>
        </w:trPr>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51"/>
              <w:jc w:val="left"/>
              <w:rPr>
                <w:rFonts w:ascii="宋体" w:hAnsi="宋体" w:cs="宋体" w:eastAsia="宋体" w:hint="default"/>
                <w:sz w:val="18"/>
                <w:szCs w:val="18"/>
              </w:rPr>
            </w:pPr>
            <w:r>
              <w:rPr>
                <w:rFonts w:ascii="宋体" w:hAnsi="宋体" w:cs="宋体" w:eastAsia="宋体" w:hint="default"/>
                <w:spacing w:val="-3"/>
                <w:sz w:val="18"/>
                <w:szCs w:val="18"/>
              </w:rPr>
              <w:t>北京南天软件有限公</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司</w:t>
            </w:r>
          </w:p>
        </w:tc>
        <w:tc>
          <w:tcPr>
            <w:tcW w:w="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91" w:right="0"/>
              <w:jc w:val="left"/>
              <w:rPr>
                <w:rFonts w:ascii="Times New Roman" w:hAnsi="Times New Roman" w:cs="Times New Roman" w:eastAsia="Times New Roman" w:hint="default"/>
                <w:sz w:val="18"/>
                <w:szCs w:val="18"/>
              </w:rPr>
            </w:pPr>
            <w:r>
              <w:rPr>
                <w:rFonts w:ascii="Times New Roman"/>
                <w:sz w:val="18"/>
              </w:rPr>
              <w:t>2,000</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3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5"/>
                <w:sz w:val="18"/>
                <w:szCs w:val="18"/>
              </w:rPr>
              <w:t>17</w:t>
            </w:r>
            <w:r>
              <w:rPr>
                <w:rFonts w:ascii="Times New Roman" w:hAnsi="Times New Roman" w:cs="Times New Roman" w:eastAsia="Times New Roman" w:hint="default"/>
                <w:sz w:val="18"/>
                <w:szCs w:val="18"/>
              </w:rPr>
            </w:r>
          </w:p>
          <w:p>
            <w:pPr>
              <w:pStyle w:val="TableParagraph"/>
              <w:spacing w:line="240" w:lineRule="auto" w:before="63"/>
              <w:ind w:left="3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542" w:right="0"/>
              <w:jc w:val="left"/>
              <w:rPr>
                <w:rFonts w:ascii="Times New Roman" w:hAnsi="Times New Roman" w:cs="Times New Roman" w:eastAsia="Times New Roman" w:hint="default"/>
                <w:sz w:val="18"/>
                <w:szCs w:val="18"/>
              </w:rPr>
            </w:pPr>
            <w:r>
              <w:rPr>
                <w:rFonts w:ascii="Times New Roman"/>
                <w:sz w:val="18"/>
              </w:rPr>
              <w:t>970.15</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一年</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5" w:hRule="exact"/>
        </w:trPr>
        <w:tc>
          <w:tcPr>
            <w:tcW w:w="26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24" w:right="69"/>
              <w:jc w:val="left"/>
              <w:rPr>
                <w:rFonts w:ascii="宋体" w:hAnsi="宋体" w:cs="宋体" w:eastAsia="宋体" w:hint="default"/>
                <w:sz w:val="18"/>
                <w:szCs w:val="18"/>
              </w:rPr>
            </w:pPr>
            <w:r>
              <w:rPr>
                <w:rFonts w:ascii="宋体" w:hAnsi="宋体" w:cs="宋体" w:eastAsia="宋体" w:hint="default"/>
                <w:spacing w:val="-3"/>
                <w:sz w:val="18"/>
                <w:szCs w:val="18"/>
              </w:rPr>
              <w:t>报告期内审批对子公司担保额度</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225"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2,000</w:t>
            </w:r>
          </w:p>
        </w:tc>
        <w:tc>
          <w:tcPr>
            <w:tcW w:w="210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28" w:right="80"/>
              <w:jc w:val="left"/>
              <w:rPr>
                <w:rFonts w:ascii="宋体" w:hAnsi="宋体" w:cs="宋体" w:eastAsia="宋体" w:hint="default"/>
                <w:sz w:val="18"/>
                <w:szCs w:val="18"/>
              </w:rPr>
            </w:pPr>
            <w:r>
              <w:rPr>
                <w:rFonts w:ascii="宋体" w:hAnsi="宋体" w:cs="宋体" w:eastAsia="宋体" w:hint="default"/>
                <w:spacing w:val="-3"/>
                <w:sz w:val="18"/>
                <w:szCs w:val="18"/>
              </w:rPr>
              <w:t>报告期内对子公司担保实</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际发生额合计（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61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970.15</w:t>
            </w:r>
          </w:p>
        </w:tc>
      </w:tr>
      <w:tr>
        <w:trPr>
          <w:trHeight w:val="715" w:hRule="exact"/>
        </w:trPr>
        <w:tc>
          <w:tcPr>
            <w:tcW w:w="26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24" w:right="69"/>
              <w:jc w:val="left"/>
              <w:rPr>
                <w:rFonts w:ascii="宋体" w:hAnsi="宋体" w:cs="宋体" w:eastAsia="宋体" w:hint="default"/>
                <w:sz w:val="18"/>
                <w:szCs w:val="18"/>
              </w:rPr>
            </w:pPr>
            <w:r>
              <w:rPr>
                <w:rFonts w:ascii="宋体" w:hAnsi="宋体" w:cs="宋体" w:eastAsia="宋体" w:hint="default"/>
                <w:spacing w:val="-3"/>
                <w:sz w:val="18"/>
                <w:szCs w:val="18"/>
              </w:rPr>
              <w:t>报告期末已审批的对子公司担保</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225"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2,000</w:t>
            </w:r>
          </w:p>
        </w:tc>
        <w:tc>
          <w:tcPr>
            <w:tcW w:w="210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28" w:right="80"/>
              <w:jc w:val="left"/>
              <w:rPr>
                <w:rFonts w:ascii="宋体" w:hAnsi="宋体" w:cs="宋体" w:eastAsia="宋体" w:hint="default"/>
                <w:sz w:val="18"/>
                <w:szCs w:val="18"/>
              </w:rPr>
            </w:pPr>
            <w:r>
              <w:rPr>
                <w:rFonts w:ascii="宋体" w:hAnsi="宋体" w:cs="宋体" w:eastAsia="宋体" w:hint="default"/>
                <w:spacing w:val="-3"/>
                <w:sz w:val="18"/>
                <w:szCs w:val="18"/>
              </w:rPr>
              <w:t>报告期末对子公司实际担</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保余额合计（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61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970.15</w:t>
            </w:r>
          </w:p>
        </w:tc>
      </w:tr>
      <w:tr>
        <w:trPr>
          <w:trHeight w:val="399"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pacing w:val="-3"/>
                <w:sz w:val="18"/>
                <w:szCs w:val="18"/>
              </w:rPr>
              <w:t>子公司对子公司的担保情况</w:t>
            </w:r>
          </w:p>
        </w:tc>
      </w:tr>
      <w:tr>
        <w:trPr>
          <w:trHeight w:val="1027" w:hRule="exact"/>
        </w:trPr>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91" w:right="92"/>
              <w:jc w:val="both"/>
              <w:rPr>
                <w:rFonts w:ascii="宋体" w:hAnsi="宋体" w:cs="宋体" w:eastAsia="宋体" w:hint="default"/>
                <w:sz w:val="18"/>
                <w:szCs w:val="18"/>
              </w:rPr>
            </w:pPr>
            <w:r>
              <w:rPr>
                <w:rFonts w:ascii="宋体" w:hAnsi="宋体" w:cs="宋体" w:eastAsia="宋体" w:hint="default"/>
                <w:sz w:val="18"/>
                <w:szCs w:val="18"/>
              </w:rPr>
              <w:t>担保额度</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相关公告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披露日期</w:t>
            </w:r>
          </w:p>
        </w:tc>
        <w:tc>
          <w:tcPr>
            <w:tcW w:w="9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87"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00"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1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2" w:lineRule="auto"/>
              <w:ind w:left="432" w:right="73" w:hanging="361"/>
              <w:jc w:val="left"/>
              <w:rPr>
                <w:rFonts w:ascii="宋体" w:hAnsi="宋体" w:cs="宋体" w:eastAsia="宋体" w:hint="default"/>
                <w:sz w:val="18"/>
                <w:szCs w:val="18"/>
              </w:rPr>
            </w:pPr>
            <w:r>
              <w:rPr>
                <w:rFonts w:ascii="宋体" w:hAnsi="宋体" w:cs="宋体" w:eastAsia="宋体" w:hint="default"/>
                <w:spacing w:val="-2"/>
                <w:sz w:val="18"/>
                <w:szCs w:val="18"/>
              </w:rPr>
              <w:t>实际担保金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额</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156"/>
              <w:jc w:val="right"/>
              <w:rPr>
                <w:rFonts w:ascii="宋体" w:hAnsi="宋体" w:cs="宋体" w:eastAsia="宋体" w:hint="default"/>
                <w:sz w:val="18"/>
                <w:szCs w:val="18"/>
              </w:rPr>
            </w:pPr>
            <w:r>
              <w:rPr>
                <w:rFonts w:ascii="宋体" w:hAnsi="宋体" w:cs="宋体" w:eastAsia="宋体" w:hint="default"/>
                <w:spacing w:val="-2"/>
                <w:sz w:val="18"/>
                <w:szCs w:val="18"/>
              </w:rPr>
              <w:t>担保类型</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242"/>
              <w:jc w:val="right"/>
              <w:rPr>
                <w:rFonts w:ascii="宋体" w:hAnsi="宋体" w:cs="宋体" w:eastAsia="宋体" w:hint="default"/>
                <w:sz w:val="18"/>
                <w:szCs w:val="18"/>
              </w:rPr>
            </w:pPr>
            <w:r>
              <w:rPr>
                <w:rFonts w:ascii="宋体" w:hAnsi="宋体" w:cs="宋体" w:eastAsia="宋体" w:hint="default"/>
                <w:spacing w:val="-2"/>
                <w:sz w:val="18"/>
                <w:szCs w:val="18"/>
              </w:rPr>
              <w:t>担保期</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2" w:lineRule="auto"/>
              <w:ind w:left="202" w:right="28" w:hanging="178"/>
              <w:jc w:val="left"/>
              <w:rPr>
                <w:rFonts w:ascii="宋体" w:hAnsi="宋体" w:cs="宋体" w:eastAsia="宋体" w:hint="default"/>
                <w:sz w:val="18"/>
                <w:szCs w:val="18"/>
              </w:rPr>
            </w:pPr>
            <w:r>
              <w:rPr>
                <w:rFonts w:ascii="宋体" w:hAnsi="宋体" w:cs="宋体" w:eastAsia="宋体" w:hint="default"/>
                <w:sz w:val="18"/>
                <w:szCs w:val="18"/>
              </w:rPr>
              <w:t>是否履行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完毕</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2" w:lineRule="auto"/>
              <w:ind w:left="22" w:right="21"/>
              <w:jc w:val="left"/>
              <w:rPr>
                <w:rFonts w:ascii="宋体" w:hAnsi="宋体" w:cs="宋体" w:eastAsia="宋体" w:hint="default"/>
                <w:sz w:val="18"/>
                <w:szCs w:val="18"/>
              </w:rPr>
            </w:pPr>
            <w:r>
              <w:rPr>
                <w:rFonts w:ascii="宋体" w:hAnsi="宋体" w:cs="宋体" w:eastAsia="宋体" w:hint="default"/>
                <w:sz w:val="18"/>
                <w:szCs w:val="18"/>
              </w:rPr>
              <w:t>是否为关</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联方担保</w:t>
            </w:r>
          </w:p>
        </w:tc>
      </w:tr>
      <w:tr>
        <w:trPr>
          <w:trHeight w:val="399"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pacing w:val="-3"/>
                <w:sz w:val="18"/>
                <w:szCs w:val="18"/>
              </w:rPr>
              <w:t>公司担保总额（即前三大项的合计）</w:t>
            </w:r>
          </w:p>
        </w:tc>
      </w:tr>
      <w:tr>
        <w:trPr>
          <w:trHeight w:val="715" w:hRule="exact"/>
        </w:trPr>
        <w:tc>
          <w:tcPr>
            <w:tcW w:w="26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报告期内审批担保额度合计</w:t>
            </w:r>
          </w:p>
          <w:p>
            <w:pPr>
              <w:pStyle w:val="TableParagraph"/>
              <w:spacing w:line="240" w:lineRule="auto" w:before="71"/>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A1+B1+C1</w:t>
            </w:r>
            <w:r>
              <w:rPr>
                <w:rFonts w:ascii="宋体" w:hAnsi="宋体" w:cs="宋体" w:eastAsia="宋体" w:hint="default"/>
                <w:sz w:val="18"/>
                <w:szCs w:val="18"/>
              </w:rPr>
              <w:t>）</w:t>
            </w:r>
          </w:p>
        </w:tc>
        <w:tc>
          <w:tcPr>
            <w:tcW w:w="2225"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2,000</w:t>
            </w:r>
          </w:p>
        </w:tc>
        <w:tc>
          <w:tcPr>
            <w:tcW w:w="210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8"/>
              <w:ind w:left="28" w:right="80"/>
              <w:jc w:val="left"/>
              <w:rPr>
                <w:rFonts w:ascii="宋体" w:hAnsi="宋体" w:cs="宋体" w:eastAsia="宋体" w:hint="default"/>
                <w:sz w:val="18"/>
                <w:szCs w:val="18"/>
              </w:rPr>
            </w:pPr>
            <w:r>
              <w:rPr>
                <w:rFonts w:ascii="宋体" w:hAnsi="宋体" w:cs="宋体" w:eastAsia="宋体" w:hint="default"/>
                <w:spacing w:val="-3"/>
                <w:sz w:val="18"/>
                <w:szCs w:val="18"/>
              </w:rPr>
              <w:t>报告期内担保实际发生额</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合计（</w:t>
            </w:r>
            <w:r>
              <w:rPr>
                <w:rFonts w:ascii="Times New Roman" w:hAnsi="Times New Roman" w:cs="Times New Roman" w:eastAsia="Times New Roman" w:hint="default"/>
                <w:sz w:val="18"/>
                <w:szCs w:val="18"/>
              </w:rPr>
              <w:t>A2+B2+C2</w:t>
            </w:r>
            <w:r>
              <w:rPr>
                <w:rFonts w:ascii="宋体" w:hAnsi="宋体" w:cs="宋体" w:eastAsia="宋体" w:hint="default"/>
                <w:sz w:val="18"/>
                <w:szCs w:val="18"/>
              </w:rPr>
              <w:t>）</w:t>
            </w:r>
          </w:p>
        </w:tc>
        <w:tc>
          <w:tcPr>
            <w:tcW w:w="261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970.15</w:t>
            </w:r>
          </w:p>
        </w:tc>
      </w:tr>
      <w:tr>
        <w:trPr>
          <w:trHeight w:val="715" w:hRule="exact"/>
        </w:trPr>
        <w:tc>
          <w:tcPr>
            <w:tcW w:w="26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报告期末已审批的担保额度合计</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A3+B3+C3</w:t>
            </w:r>
            <w:r>
              <w:rPr>
                <w:rFonts w:ascii="宋体" w:hAnsi="宋体" w:cs="宋体" w:eastAsia="宋体" w:hint="default"/>
                <w:sz w:val="18"/>
                <w:szCs w:val="18"/>
              </w:rPr>
              <w:t>）</w:t>
            </w:r>
          </w:p>
        </w:tc>
        <w:tc>
          <w:tcPr>
            <w:tcW w:w="2225"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2,000</w:t>
            </w:r>
          </w:p>
        </w:tc>
        <w:tc>
          <w:tcPr>
            <w:tcW w:w="210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8" w:right="80"/>
              <w:jc w:val="left"/>
              <w:rPr>
                <w:rFonts w:ascii="宋体" w:hAnsi="宋体" w:cs="宋体" w:eastAsia="宋体" w:hint="default"/>
                <w:sz w:val="18"/>
                <w:szCs w:val="18"/>
              </w:rPr>
            </w:pPr>
            <w:r>
              <w:rPr>
                <w:rFonts w:ascii="宋体" w:hAnsi="宋体" w:cs="宋体" w:eastAsia="宋体" w:hint="default"/>
                <w:spacing w:val="-3"/>
                <w:sz w:val="18"/>
                <w:szCs w:val="18"/>
              </w:rPr>
              <w:t>报告期末实际担保余额合</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计（</w:t>
            </w:r>
            <w:r>
              <w:rPr>
                <w:rFonts w:ascii="Times New Roman" w:hAnsi="Times New Roman" w:cs="Times New Roman" w:eastAsia="Times New Roman" w:hint="default"/>
                <w:sz w:val="18"/>
                <w:szCs w:val="18"/>
              </w:rPr>
              <w:t>A4+B4+C4</w:t>
            </w:r>
            <w:r>
              <w:rPr>
                <w:rFonts w:ascii="宋体" w:hAnsi="宋体" w:cs="宋体" w:eastAsia="宋体" w:hint="default"/>
                <w:sz w:val="18"/>
                <w:szCs w:val="18"/>
              </w:rPr>
              <w:t>）</w:t>
            </w:r>
          </w:p>
        </w:tc>
        <w:tc>
          <w:tcPr>
            <w:tcW w:w="261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970.15</w:t>
            </w:r>
          </w:p>
        </w:tc>
      </w:tr>
      <w:tr>
        <w:trPr>
          <w:trHeight w:val="409" w:hRule="exact"/>
        </w:trPr>
        <w:tc>
          <w:tcPr>
            <w:tcW w:w="485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2"/>
                <w:sz w:val="18"/>
                <w:szCs w:val="18"/>
              </w:rPr>
              <w:t>实际担保总额（即</w:t>
            </w:r>
            <w:r>
              <w:rPr>
                <w:rFonts w:ascii="宋体" w:hAnsi="宋体" w:cs="宋体" w:eastAsia="宋体" w:hint="default"/>
                <w:spacing w:val="9"/>
                <w:sz w:val="18"/>
                <w:szCs w:val="18"/>
              </w:rPr>
              <w:t> </w:t>
            </w:r>
            <w:r>
              <w:rPr>
                <w:rFonts w:ascii="Times New Roman" w:hAnsi="Times New Roman" w:cs="Times New Roman" w:eastAsia="Times New Roman" w:hint="default"/>
                <w:spacing w:val="-2"/>
                <w:sz w:val="18"/>
                <w:szCs w:val="18"/>
              </w:rPr>
              <w:t>A4+B4+C4</w:t>
            </w:r>
            <w:r>
              <w:rPr>
                <w:rFonts w:ascii="宋体" w:hAnsi="宋体" w:cs="宋体" w:eastAsia="宋体" w:hint="default"/>
                <w:spacing w:val="-2"/>
                <w:sz w:val="18"/>
                <w:szCs w:val="18"/>
              </w:rPr>
              <w:t>）占公司净资产的比例</w:t>
            </w:r>
          </w:p>
        </w:tc>
        <w:tc>
          <w:tcPr>
            <w:tcW w:w="472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0.62%</w:t>
            </w:r>
          </w:p>
        </w:tc>
      </w:tr>
      <w:tr>
        <w:trPr>
          <w:trHeight w:val="398"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r>
    </w:tbl>
    <w:p>
      <w:pPr>
        <w:pStyle w:val="BodyText"/>
        <w:spacing w:line="240" w:lineRule="auto" w:before="53"/>
        <w:ind w:right="855"/>
        <w:jc w:val="left"/>
      </w:pPr>
      <w:r>
        <w:rPr>
          <w:spacing w:val="-3"/>
        </w:rPr>
        <w:t>采用复合方式担保的具体情况说明</w:t>
      </w:r>
    </w:p>
    <w:p>
      <w:pPr>
        <w:spacing w:line="240" w:lineRule="auto" w:before="4"/>
        <w:rPr>
          <w:rFonts w:ascii="宋体" w:hAnsi="宋体" w:cs="宋体" w:eastAsia="宋体" w:hint="default"/>
          <w:sz w:val="26"/>
          <w:szCs w:val="26"/>
        </w:rPr>
      </w:pPr>
    </w:p>
    <w:p>
      <w:pPr>
        <w:pStyle w:val="Heading4"/>
        <w:spacing w:line="240" w:lineRule="auto"/>
        <w:ind w:right="855"/>
        <w:jc w:val="left"/>
        <w:rPr>
          <w:b w:val="0"/>
          <w:bCs w:val="0"/>
        </w:rPr>
      </w:pPr>
      <w:r>
        <w:rPr/>
        <w:t>（</w:t>
      </w:r>
      <w:r>
        <w:rPr>
          <w:rFonts w:ascii="Times New Roman" w:hAnsi="Times New Roman" w:cs="Times New Roman" w:eastAsia="Times New Roman" w:hint="default"/>
        </w:rPr>
        <w:t>2</w:t>
      </w:r>
      <w:r>
        <w:rPr/>
        <w:t>）违规对外担保情况</w:t>
      </w:r>
      <w:r>
        <w:rPr>
          <w:b w:val="0"/>
          <w:bCs w:val="0"/>
        </w:rPr>
      </w:r>
    </w:p>
    <w:p>
      <w:pPr>
        <w:spacing w:line="240" w:lineRule="auto" w:before="9"/>
        <w:rPr>
          <w:rFonts w:ascii="宋体" w:hAnsi="宋体" w:cs="宋体" w:eastAsia="宋体" w:hint="default"/>
          <w:b/>
          <w:bCs/>
          <w:sz w:val="26"/>
          <w:szCs w:val="26"/>
        </w:rPr>
      </w:pPr>
    </w:p>
    <w:p>
      <w:pPr>
        <w:pStyle w:val="BodyText"/>
        <w:spacing w:line="343" w:lineRule="auto"/>
        <w:ind w:right="7349"/>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公司报告期无违规对外担保情况。</w:t>
      </w:r>
    </w:p>
    <w:p>
      <w:pPr>
        <w:spacing w:line="240" w:lineRule="auto" w:before="9"/>
        <w:rPr>
          <w:rFonts w:ascii="宋体" w:hAnsi="宋体" w:cs="宋体" w:eastAsia="宋体" w:hint="default"/>
          <w:sz w:val="20"/>
          <w:szCs w:val="20"/>
        </w:rPr>
      </w:pPr>
    </w:p>
    <w:p>
      <w:pPr>
        <w:pStyle w:val="Heading4"/>
        <w:spacing w:line="240" w:lineRule="auto"/>
        <w:ind w:right="855"/>
        <w:jc w:val="left"/>
        <w:rPr>
          <w:b w:val="0"/>
          <w:bCs w:val="0"/>
        </w:rPr>
      </w:pPr>
      <w:r>
        <w:rPr>
          <w:rFonts w:ascii="Times New Roman" w:hAnsi="Times New Roman" w:cs="Times New Roman" w:eastAsia="Times New Roman" w:hint="default"/>
        </w:rPr>
        <w:t>3</w:t>
      </w:r>
      <w:r>
        <w:rPr/>
        <w:t>、委托他人进行现金资产管理情况</w:t>
      </w:r>
      <w:r>
        <w:rPr>
          <w:b w:val="0"/>
          <w:bCs w:val="0"/>
        </w:rPr>
      </w:r>
    </w:p>
    <w:p>
      <w:pPr>
        <w:spacing w:line="240" w:lineRule="auto" w:before="10"/>
        <w:rPr>
          <w:rFonts w:ascii="宋体" w:hAnsi="宋体" w:cs="宋体" w:eastAsia="宋体" w:hint="default"/>
          <w:b/>
          <w:bCs/>
          <w:sz w:val="24"/>
          <w:szCs w:val="24"/>
        </w:rPr>
      </w:pPr>
    </w:p>
    <w:p>
      <w:pPr>
        <w:spacing w:before="0"/>
        <w:ind w:left="153" w:right="85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）委托理财情况</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pStyle w:val="BodyText"/>
        <w:spacing w:line="240" w:lineRule="auto"/>
        <w:ind w:right="855"/>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after="0" w:line="240" w:lineRule="auto"/>
        <w:jc w:val="left"/>
        <w:sectPr>
          <w:pgSz w:w="11910" w:h="16840"/>
          <w:pgMar w:header="746" w:footer="974"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6"/>
        <w:ind w:right="855"/>
        <w:jc w:val="left"/>
      </w:pPr>
      <w:r>
        <w:rPr>
          <w:spacing w:val="-3"/>
        </w:rPr>
        <w:t>公司报告期不存在委托理财。</w:t>
      </w:r>
    </w:p>
    <w:p>
      <w:pPr>
        <w:spacing w:line="240" w:lineRule="auto" w:before="8"/>
        <w:rPr>
          <w:rFonts w:ascii="宋体" w:hAnsi="宋体" w:cs="宋体" w:eastAsia="宋体" w:hint="default"/>
          <w:sz w:val="26"/>
          <w:szCs w:val="26"/>
        </w:rPr>
      </w:pPr>
    </w:p>
    <w:p>
      <w:pPr>
        <w:pStyle w:val="Heading4"/>
        <w:spacing w:line="240" w:lineRule="auto"/>
        <w:ind w:right="855"/>
        <w:jc w:val="left"/>
        <w:rPr>
          <w:b w:val="0"/>
          <w:bCs w:val="0"/>
        </w:rPr>
      </w:pPr>
      <w:r>
        <w:rPr/>
        <w:t>（</w:t>
      </w:r>
      <w:r>
        <w:rPr>
          <w:rFonts w:ascii="Times New Roman" w:hAnsi="Times New Roman" w:cs="Times New Roman" w:eastAsia="Times New Roman" w:hint="default"/>
        </w:rPr>
        <w:t>2</w:t>
      </w:r>
      <w:r>
        <w:rPr/>
        <w:t>）委托贷款情况</w:t>
      </w:r>
      <w:r>
        <w:rPr>
          <w:b w:val="0"/>
          <w:bCs w:val="0"/>
        </w:rPr>
      </w:r>
    </w:p>
    <w:p>
      <w:pPr>
        <w:spacing w:line="240" w:lineRule="auto" w:before="10"/>
        <w:rPr>
          <w:rFonts w:ascii="宋体" w:hAnsi="宋体" w:cs="宋体" w:eastAsia="宋体" w:hint="default"/>
          <w:b/>
          <w:bCs/>
          <w:sz w:val="26"/>
          <w:szCs w:val="26"/>
        </w:rPr>
      </w:pPr>
    </w:p>
    <w:p>
      <w:pPr>
        <w:pStyle w:val="BodyText"/>
        <w:spacing w:line="343" w:lineRule="auto"/>
        <w:ind w:right="7349"/>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公司报告期不存在委托贷款。</w:t>
      </w:r>
    </w:p>
    <w:p>
      <w:pPr>
        <w:spacing w:line="240" w:lineRule="auto" w:before="9"/>
        <w:rPr>
          <w:rFonts w:ascii="宋体" w:hAnsi="宋体" w:cs="宋体" w:eastAsia="宋体" w:hint="default"/>
          <w:sz w:val="20"/>
          <w:szCs w:val="20"/>
        </w:rPr>
      </w:pPr>
    </w:p>
    <w:p>
      <w:pPr>
        <w:pStyle w:val="Heading4"/>
        <w:spacing w:line="240" w:lineRule="auto"/>
        <w:ind w:right="855"/>
        <w:jc w:val="left"/>
        <w:rPr>
          <w:b w:val="0"/>
          <w:bCs w:val="0"/>
        </w:rPr>
      </w:pPr>
      <w:r>
        <w:rPr>
          <w:rFonts w:ascii="Times New Roman" w:hAnsi="Times New Roman" w:cs="Times New Roman" w:eastAsia="Times New Roman" w:hint="default"/>
        </w:rPr>
        <w:t>4</w:t>
      </w:r>
      <w:r>
        <w:rPr/>
        <w:t>、其他重大合同</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349"/>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公司报告期不存在其他重大合同。</w:t>
      </w:r>
    </w:p>
    <w:p>
      <w:pPr>
        <w:spacing w:line="240" w:lineRule="auto" w:before="10"/>
        <w:rPr>
          <w:rFonts w:ascii="宋体" w:hAnsi="宋体" w:cs="宋体" w:eastAsia="宋体" w:hint="default"/>
          <w:sz w:val="19"/>
          <w:szCs w:val="19"/>
        </w:rPr>
      </w:pPr>
    </w:p>
    <w:p>
      <w:pPr>
        <w:pStyle w:val="Heading2"/>
        <w:spacing w:line="240" w:lineRule="auto"/>
        <w:ind w:right="855"/>
        <w:jc w:val="left"/>
        <w:rPr>
          <w:b w:val="0"/>
          <w:bCs w:val="0"/>
        </w:rPr>
      </w:pPr>
      <w:r>
        <w:rPr/>
        <w:t>十八、社会责任情况</w:t>
      </w:r>
      <w:r>
        <w:rPr>
          <w:b w:val="0"/>
          <w:bCs w:val="0"/>
        </w:rPr>
      </w:r>
    </w:p>
    <w:p>
      <w:pPr>
        <w:spacing w:line="240" w:lineRule="auto" w:before="3"/>
        <w:rPr>
          <w:rFonts w:ascii="宋体" w:hAnsi="宋体" w:cs="宋体" w:eastAsia="宋体" w:hint="default"/>
          <w:b/>
          <w:bCs/>
          <w:sz w:val="24"/>
          <w:szCs w:val="24"/>
        </w:rPr>
      </w:pPr>
    </w:p>
    <w:p>
      <w:pPr>
        <w:pStyle w:val="Heading4"/>
        <w:spacing w:line="240" w:lineRule="auto"/>
        <w:ind w:right="855"/>
        <w:jc w:val="left"/>
        <w:rPr>
          <w:b w:val="0"/>
          <w:bCs w:val="0"/>
        </w:rPr>
      </w:pPr>
      <w:r>
        <w:rPr>
          <w:rFonts w:ascii="Times New Roman" w:hAnsi="Times New Roman" w:cs="Times New Roman" w:eastAsia="Times New Roman" w:hint="default"/>
        </w:rPr>
        <w:t>1</w:t>
      </w:r>
      <w:r>
        <w:rPr/>
        <w:t>、履行社会责任情况</w:t>
      </w:r>
      <w:r>
        <w:rPr>
          <w:b w:val="0"/>
          <w:bCs w:val="0"/>
        </w:rPr>
      </w:r>
    </w:p>
    <w:p>
      <w:pPr>
        <w:spacing w:line="240" w:lineRule="auto" w:before="9"/>
        <w:rPr>
          <w:rFonts w:ascii="宋体" w:hAnsi="宋体" w:cs="宋体" w:eastAsia="宋体" w:hint="default"/>
          <w:b/>
          <w:bCs/>
          <w:sz w:val="26"/>
          <w:szCs w:val="26"/>
        </w:rPr>
      </w:pPr>
    </w:p>
    <w:p>
      <w:pPr>
        <w:pStyle w:val="BodyText"/>
        <w:spacing w:line="312" w:lineRule="auto"/>
        <w:ind w:right="855" w:firstLine="360"/>
        <w:jc w:val="left"/>
      </w:pPr>
      <w:r>
        <w:rPr>
          <w:spacing w:val="-4"/>
        </w:rPr>
        <w:t>报告期内，公司高度重视企业社会责任工作，作为数字化服务的提供商，继续以</w:t>
      </w:r>
      <w:r>
        <w:rPr>
          <w:rFonts w:ascii="Times New Roman" w:hAnsi="Times New Roman" w:cs="Times New Roman" w:eastAsia="Times New Roman" w:hint="default"/>
          <w:spacing w:val="-4"/>
        </w:rPr>
        <w:t>“</w:t>
      </w:r>
      <w:r>
        <w:rPr>
          <w:spacing w:val="-4"/>
        </w:rPr>
        <w:t>产品服务化、服务产品化</w:t>
      </w:r>
      <w:r>
        <w:rPr>
          <w:rFonts w:ascii="Times New Roman" w:hAnsi="Times New Roman" w:cs="Times New Roman" w:eastAsia="Times New Roman" w:hint="default"/>
          <w:spacing w:val="-4"/>
        </w:rPr>
        <w:t>”</w:t>
      </w:r>
      <w:r>
        <w:rPr>
          <w:spacing w:val="-4"/>
        </w:rPr>
        <w:t>为理念，以</w:t>
      </w:r>
      <w:r>
        <w:rPr>
          <w:w w:val="101"/>
        </w:rPr>
        <w:t> </w:t>
      </w:r>
      <w:r>
        <w:rPr>
          <w:rFonts w:ascii="Times New Roman" w:hAnsi="Times New Roman" w:cs="Times New Roman" w:eastAsia="Times New Roman" w:hint="default"/>
          <w:spacing w:val="-4"/>
        </w:rPr>
        <w:t>“</w:t>
      </w:r>
      <w:r>
        <w:rPr>
          <w:spacing w:val="-4"/>
        </w:rPr>
        <w:t>数字化推动中国进步</w:t>
      </w:r>
      <w:r>
        <w:rPr>
          <w:rFonts w:ascii="Times New Roman" w:hAnsi="Times New Roman" w:cs="Times New Roman" w:eastAsia="Times New Roman" w:hint="default"/>
          <w:spacing w:val="-4"/>
        </w:rPr>
        <w:t>”</w:t>
      </w:r>
      <w:r>
        <w:rPr>
          <w:spacing w:val="-4"/>
        </w:rPr>
        <w:t>为企业使命，遵守法律法规、社会公德、商业道德，在坚持诚信经营、规范运作，保证企业持续发展</w:t>
      </w:r>
      <w:r>
        <w:rPr>
          <w:spacing w:val="65"/>
        </w:rPr>
        <w:t> </w:t>
      </w:r>
      <w:r>
        <w:rPr>
          <w:spacing w:val="65"/>
        </w:rPr>
      </w:r>
      <w:r>
        <w:rPr>
          <w:spacing w:val="-6"/>
        </w:rPr>
        <w:t>的同时，积极履行社会责任，努力实现企业与社会、环境、股东、职工、客户、供应商等利益相关者的全面协调可持续发展，</w:t>
      </w:r>
      <w:r>
        <w:rPr>
          <w:spacing w:val="67"/>
        </w:rPr>
        <w:t> </w:t>
      </w:r>
      <w:r>
        <w:rPr>
          <w:spacing w:val="67"/>
        </w:rPr>
      </w:r>
      <w:r>
        <w:rPr>
          <w:spacing w:val="-5"/>
        </w:rPr>
        <w:t>维护投资者特别是中小投资者的合法权益。公司严格按照《公司法》《证券法》《深圳证券交易所股票上市规则》等法律法</w:t>
      </w:r>
      <w:r>
        <w:rPr>
          <w:spacing w:val="4"/>
        </w:rPr>
        <w:t> </w:t>
      </w:r>
      <w:r>
        <w:rPr>
          <w:spacing w:val="4"/>
        </w:rPr>
      </w:r>
      <w:r>
        <w:rPr>
          <w:spacing w:val="-5"/>
        </w:rPr>
        <w:t>规、部门规章、规范性文件和《公司章程》的规定，不断健全、完善公司法人治理结构和内部控制体系，不断强化社会责任</w:t>
      </w:r>
      <w:r>
        <w:rPr>
          <w:spacing w:val="4"/>
        </w:rPr>
        <w:t> </w:t>
      </w:r>
      <w:r>
        <w:rPr>
          <w:spacing w:val="4"/>
        </w:rPr>
      </w:r>
      <w:r>
        <w:rPr>
          <w:spacing w:val="-3"/>
        </w:rPr>
        <w:t>意识，积极承担社会责任，切实保护广大投资者的合法权益。</w:t>
      </w:r>
      <w:r>
        <w:rPr>
          <w:rFonts w:ascii="Times New Roman" w:hAnsi="Times New Roman" w:cs="Times New Roman" w:eastAsia="Times New Roman" w:hint="default"/>
          <w:spacing w:val="-3"/>
        </w:rPr>
        <w:t>2019</w:t>
      </w:r>
      <w:r>
        <w:rPr>
          <w:spacing w:val="-3"/>
        </w:rPr>
        <w:t>年公司社会责任履行如下：</w:t>
      </w:r>
    </w:p>
    <w:p>
      <w:pPr>
        <w:pStyle w:val="BodyText"/>
        <w:spacing w:line="300" w:lineRule="auto" w:before="3"/>
        <w:ind w:left="513" w:right="855"/>
        <w:jc w:val="left"/>
      </w:pPr>
      <w:r>
        <w:rPr/>
        <w:t>（</w:t>
      </w:r>
      <w:r>
        <w:rPr>
          <w:rFonts w:ascii="Times New Roman" w:hAnsi="Times New Roman" w:cs="Times New Roman" w:eastAsia="Times New Roman" w:hint="default"/>
        </w:rPr>
        <w:t>1</w:t>
      </w:r>
      <w:r>
        <w:rPr/>
        <w:t>）股东和债权人权益保护</w:t>
      </w:r>
      <w:r>
        <w:rPr>
          <w:spacing w:val="-85"/>
        </w:rPr>
        <w:t> </w:t>
      </w:r>
      <w:r>
        <w:rPr>
          <w:spacing w:val="-85"/>
        </w:rPr>
      </w:r>
      <w:r>
        <w:rPr>
          <w:spacing w:val="-8"/>
        </w:rPr>
        <w:t>公司自上市以来，高度重视投资者关系管理，报告期内，公司严格按照《公司法》《证券法》《上市公司治理准则》《上</w:t>
      </w:r>
    </w:p>
    <w:p>
      <w:pPr>
        <w:pStyle w:val="BodyText"/>
        <w:spacing w:line="319" w:lineRule="auto" w:before="32"/>
        <w:ind w:right="855"/>
        <w:jc w:val="left"/>
      </w:pPr>
      <w:r>
        <w:rPr>
          <w:spacing w:val="-5"/>
        </w:rPr>
        <w:t>市公司规范运作指引》《股票上市规则》和《公司章程》等法律法规、规范性文件及公司内部制度的有关规定和要求，规范</w:t>
      </w:r>
      <w:r>
        <w:rPr>
          <w:spacing w:val="5"/>
        </w:rPr>
        <w:t> </w:t>
      </w:r>
      <w:r>
        <w:rPr>
          <w:spacing w:val="5"/>
        </w:rPr>
      </w:r>
      <w:r>
        <w:rPr>
          <w:spacing w:val="-4"/>
        </w:rPr>
        <w:t>运作，进一步完善公司法人治理结构，不断健全内部控制建设体系，持续提高公司经营管理水平和风险防范能力，促进公司</w:t>
      </w:r>
      <w:r>
        <w:rPr>
          <w:spacing w:val="40"/>
        </w:rPr>
        <w:t> </w:t>
      </w:r>
      <w:r>
        <w:rPr>
          <w:spacing w:val="40"/>
        </w:rPr>
      </w:r>
      <w:r>
        <w:rPr>
          <w:spacing w:val="-4"/>
        </w:rPr>
        <w:t>可持续发展；公司不断加强信息披露工作，切实履行信息披露义务，确保信息披露真实、准确、完整、及时、公平，真实详</w:t>
      </w:r>
      <w:r>
        <w:rPr>
          <w:spacing w:val="40"/>
        </w:rPr>
        <w:t> </w:t>
      </w:r>
      <w:r>
        <w:rPr>
          <w:spacing w:val="40"/>
        </w:rPr>
      </w:r>
      <w:r>
        <w:rPr>
          <w:spacing w:val="-4"/>
        </w:rPr>
        <w:t>尽地披露公司经营动态、财务状况及重大事项的进展情况，促进投资者对公司的了解和认同；公司实行连续、稳定的利润分</w:t>
      </w:r>
      <w:r>
        <w:rPr>
          <w:spacing w:val="40"/>
        </w:rPr>
        <w:t> </w:t>
      </w:r>
      <w:r>
        <w:rPr>
          <w:spacing w:val="40"/>
        </w:rPr>
      </w:r>
      <w:r>
        <w:rPr>
          <w:spacing w:val="-4"/>
        </w:rPr>
        <w:t>配政策，重视对投资者的合理投资回报，并兼顾公司的可持续发展；公司通过网站、电话咨询、投资者互动平台、接待投资</w:t>
      </w:r>
      <w:r>
        <w:rPr>
          <w:spacing w:val="40"/>
        </w:rPr>
        <w:t> </w:t>
      </w:r>
      <w:r>
        <w:rPr>
          <w:spacing w:val="40"/>
        </w:rPr>
      </w:r>
      <w:r>
        <w:rPr>
          <w:spacing w:val="-3"/>
        </w:rPr>
        <w:t>者来访等方式，强化与投资者的沟通交流，增进投资者及时、充分地了解公司的运营情况，维护和优化投资者的良好关系；</w:t>
      </w:r>
      <w:r>
        <w:rPr>
          <w:spacing w:val="66"/>
        </w:rPr>
        <w:t> </w:t>
      </w:r>
      <w:r>
        <w:rPr>
          <w:spacing w:val="66"/>
        </w:rPr>
      </w:r>
      <w:r>
        <w:rPr>
          <w:spacing w:val="-3"/>
        </w:rPr>
        <w:t>公司采取现场与网络投票相结合的方式召开股东大会，为广大中小投资者参与和表决提供便利。</w:t>
      </w:r>
    </w:p>
    <w:p>
      <w:pPr>
        <w:pStyle w:val="BodyText"/>
        <w:spacing w:line="316" w:lineRule="auto" w:before="17"/>
        <w:ind w:right="1037" w:firstLine="360"/>
        <w:jc w:val="both"/>
      </w:pPr>
      <w:r>
        <w:rPr>
          <w:spacing w:val="-5"/>
        </w:rPr>
        <w:t>在经营活动中，公司一直秉承稳健、诚信经营的原则，重合同守信用，严格执行国家相关的法律法规，建立健全资产管</w:t>
      </w:r>
      <w:r>
        <w:rPr>
          <w:w w:val="101"/>
        </w:rPr>
        <w:t> </w:t>
      </w:r>
      <w:r>
        <w:rPr>
          <w:spacing w:val="-4"/>
        </w:rPr>
        <w:t>理和资金使用制度，确保公司资金、资产安全，最大限度地降低公司经营风险和财务风险；公司严格按照与债权人签订的合</w:t>
      </w:r>
      <w:r>
        <w:rPr>
          <w:spacing w:val="40"/>
        </w:rPr>
        <w:t> </w:t>
      </w:r>
      <w:r>
        <w:rPr>
          <w:spacing w:val="40"/>
        </w:rPr>
      </w:r>
      <w:r>
        <w:rPr>
          <w:spacing w:val="-6"/>
        </w:rPr>
        <w:t>同履行债务，及时通报与其相关的重大信息，在追求股东利益最大化的同时兼顾债权人的利益，切实保障债权人的合法权益。</w:t>
      </w:r>
    </w:p>
    <w:p>
      <w:pPr>
        <w:pStyle w:val="BodyText"/>
        <w:spacing w:line="300" w:lineRule="auto" w:before="19"/>
        <w:ind w:left="513" w:right="855"/>
        <w:jc w:val="left"/>
      </w:pPr>
      <w:r>
        <w:rPr/>
        <w:t>（</w:t>
      </w:r>
      <w:r>
        <w:rPr>
          <w:rFonts w:ascii="Times New Roman" w:hAnsi="Times New Roman" w:cs="Times New Roman" w:eastAsia="Times New Roman" w:hint="default"/>
        </w:rPr>
        <w:t>2</w:t>
      </w:r>
      <w:r>
        <w:rPr/>
        <w:t>）员工权益保护</w:t>
      </w:r>
      <w:r>
        <w:rPr>
          <w:spacing w:val="-85"/>
        </w:rPr>
        <w:t> </w:t>
      </w:r>
      <w:r>
        <w:rPr>
          <w:spacing w:val="-85"/>
        </w:rPr>
      </w:r>
      <w:r>
        <w:rPr>
          <w:spacing w:val="-4"/>
        </w:rPr>
        <w:t>报告期内，公司坚持</w:t>
      </w:r>
      <w:r>
        <w:rPr>
          <w:rFonts w:ascii="Times New Roman" w:hAnsi="Times New Roman" w:cs="Times New Roman" w:eastAsia="Times New Roman" w:hint="default"/>
          <w:spacing w:val="-4"/>
        </w:rPr>
        <w:t>“</w:t>
      </w:r>
      <w:r>
        <w:rPr>
          <w:spacing w:val="-4"/>
        </w:rPr>
        <w:t>以人为本</w:t>
      </w:r>
      <w:r>
        <w:rPr>
          <w:rFonts w:ascii="Times New Roman" w:hAnsi="Times New Roman" w:cs="Times New Roman" w:eastAsia="Times New Roman" w:hint="default"/>
          <w:spacing w:val="-4"/>
        </w:rPr>
        <w:t>”</w:t>
      </w:r>
      <w:r>
        <w:rPr>
          <w:spacing w:val="-4"/>
        </w:rPr>
        <w:t>的理念，严格遵照国家相关法律法规和规章制度的要求，依法与员工签订劳动合同，按</w:t>
      </w:r>
    </w:p>
    <w:p>
      <w:pPr>
        <w:pStyle w:val="BodyText"/>
        <w:spacing w:line="316" w:lineRule="auto" w:before="13"/>
        <w:ind w:right="855"/>
        <w:jc w:val="left"/>
      </w:pPr>
      <w:r>
        <w:rPr>
          <w:spacing w:val="-4"/>
        </w:rPr>
        <w:t>时足额缴纳医疗、养老、失业、工伤、生育等社会保险和住房公积金；公司建立并不断完善包括薪酬体系、激励机制等在内</w:t>
      </w:r>
      <w:r>
        <w:rPr>
          <w:spacing w:val="40"/>
        </w:rPr>
        <w:t> </w:t>
      </w:r>
      <w:r>
        <w:rPr>
          <w:spacing w:val="40"/>
        </w:rPr>
      </w:r>
      <w:r>
        <w:rPr>
          <w:spacing w:val="-6"/>
        </w:rPr>
        <w:t>的用人制度，在聘用、报酬、培训、晋升、离职或退休等方面公平对待全体员工，认真执行员工法定假期、带薪年假、病假、</w:t>
      </w:r>
      <w:r>
        <w:rPr>
          <w:spacing w:val="61"/>
        </w:rPr>
        <w:t> </w:t>
      </w:r>
      <w:r>
        <w:rPr>
          <w:spacing w:val="61"/>
        </w:rPr>
      </w:r>
      <w:r>
        <w:rPr>
          <w:spacing w:val="-4"/>
        </w:rPr>
        <w:t>婚假、产假、工伤假等制度；公司建立和完善劳动者与所有者的利益共享机制，调动员工积极性；不断强化员工岗位责任意</w:t>
      </w:r>
      <w:r>
        <w:rPr>
          <w:spacing w:val="40"/>
        </w:rPr>
        <w:t> </w:t>
      </w:r>
      <w:r>
        <w:rPr>
          <w:spacing w:val="40"/>
        </w:rPr>
      </w:r>
      <w:r>
        <w:rPr>
          <w:spacing w:val="-4"/>
        </w:rPr>
        <w:t>识，提升员工综合素质，积极开展各类培训活动，有效组织阿米巴培训、员工职业生涯管理培训、销售管理、新员工入职培</w:t>
      </w:r>
      <w:r>
        <w:rPr>
          <w:spacing w:val="42"/>
        </w:rPr>
        <w:t> </w:t>
      </w:r>
      <w:r>
        <w:rPr>
          <w:spacing w:val="42"/>
        </w:rPr>
      </w:r>
      <w:r>
        <w:rPr>
          <w:spacing w:val="-4"/>
        </w:rPr>
        <w:t>训等，同时启动关键人才培养计划，为持续健康发展储备后续力量；建立、健全了劳动安全卫生制度，对员工进行劳动安全</w:t>
      </w:r>
      <w:r>
        <w:rPr>
          <w:spacing w:val="40"/>
        </w:rPr>
        <w:t> </w:t>
      </w:r>
      <w:r>
        <w:rPr>
          <w:spacing w:val="40"/>
        </w:rPr>
      </w:r>
      <w:r>
        <w:rPr>
          <w:spacing w:val="-4"/>
        </w:rPr>
        <w:t>卫生教育、职业防护和健康体检，为员工提供健康、安全的工作环境和生活环境，最大限度地防止劳动过程中的事故，减少</w:t>
      </w:r>
      <w:r>
        <w:rPr>
          <w:spacing w:val="40"/>
        </w:rPr>
        <w:t> </w:t>
      </w:r>
      <w:r>
        <w:rPr>
          <w:spacing w:val="40"/>
        </w:rPr>
      </w:r>
      <w:r>
        <w:rPr>
          <w:spacing w:val="-4"/>
        </w:rPr>
        <w:t>职业病危害；公司重视企业文化建设，定期开展各项文体娱乐活动，增进员工间的感情与公司团队的凝聚力，丰富员工的业</w:t>
      </w:r>
      <w:r>
        <w:rPr>
          <w:spacing w:val="40"/>
        </w:rPr>
        <w:t> </w:t>
      </w:r>
      <w:r>
        <w:rPr>
          <w:spacing w:val="40"/>
        </w:rPr>
      </w:r>
      <w:r>
        <w:rPr>
          <w:spacing w:val="-4"/>
        </w:rPr>
        <w:t>余生活，使员工在工作中张弛有度、放松精神、强健体魄；公司依据《公司法》和《公司章程》的规定，建立了职工监事的</w:t>
      </w:r>
    </w:p>
    <w:p>
      <w:pPr>
        <w:spacing w:after="0" w:line="316" w:lineRule="auto"/>
        <w:jc w:val="left"/>
        <w:sectPr>
          <w:pgSz w:w="11910" w:h="16840"/>
          <w:pgMar w:header="746" w:footer="974" w:top="1060" w:bottom="1160" w:left="980" w:right="0"/>
        </w:sectPr>
      </w:pPr>
    </w:p>
    <w:p>
      <w:pPr>
        <w:spacing w:line="240" w:lineRule="auto" w:before="9"/>
        <w:rPr>
          <w:rFonts w:ascii="宋体" w:hAnsi="宋体" w:cs="宋体" w:eastAsia="宋体" w:hint="default"/>
          <w:sz w:val="25"/>
          <w:szCs w:val="25"/>
        </w:rPr>
      </w:pPr>
    </w:p>
    <w:p>
      <w:pPr>
        <w:pStyle w:val="BodyText"/>
        <w:spacing w:line="300" w:lineRule="auto" w:before="46"/>
        <w:ind w:right="855"/>
        <w:jc w:val="left"/>
      </w:pPr>
      <w:r>
        <w:rPr>
          <w:spacing w:val="-3"/>
        </w:rPr>
        <w:t>选任制度，公司监事会设</w:t>
      </w:r>
      <w:r>
        <w:rPr>
          <w:rFonts w:ascii="Times New Roman" w:hAnsi="Times New Roman" w:cs="Times New Roman" w:eastAsia="Times New Roman" w:hint="default"/>
          <w:spacing w:val="-3"/>
        </w:rPr>
        <w:t>5</w:t>
      </w:r>
      <w:r>
        <w:rPr>
          <w:spacing w:val="-3"/>
        </w:rPr>
        <w:t>名监事，其中</w:t>
      </w:r>
      <w:r>
        <w:rPr>
          <w:rFonts w:ascii="Times New Roman" w:hAnsi="Times New Roman" w:cs="Times New Roman" w:eastAsia="Times New Roman" w:hint="default"/>
          <w:spacing w:val="-3"/>
        </w:rPr>
        <w:t>2</w:t>
      </w:r>
      <w:r>
        <w:rPr>
          <w:spacing w:val="-3"/>
        </w:rPr>
        <w:t>名为职工代表监事，由公司职工代表大会民主选举产生</w:t>
      </w:r>
      <w:r>
        <w:rPr>
          <w:rFonts w:ascii="Times New Roman" w:hAnsi="Times New Roman" w:cs="Times New Roman" w:eastAsia="Times New Roman" w:hint="default"/>
          <w:spacing w:val="-3"/>
        </w:rPr>
        <w:t>,</w:t>
      </w:r>
      <w:r>
        <w:rPr>
          <w:spacing w:val="-3"/>
        </w:rPr>
        <w:t>确保职工在公司治理中享</w:t>
      </w:r>
      <w:r>
        <w:rPr>
          <w:spacing w:val="69"/>
        </w:rPr>
        <w:t> </w:t>
      </w:r>
      <w:r>
        <w:rPr>
          <w:spacing w:val="69"/>
        </w:rPr>
      </w:r>
      <w:r>
        <w:rPr>
          <w:spacing w:val="-3"/>
        </w:rPr>
        <w:t>有充分的权利。</w:t>
      </w:r>
    </w:p>
    <w:p>
      <w:pPr>
        <w:pStyle w:val="BodyText"/>
        <w:spacing w:line="300" w:lineRule="auto" w:before="31"/>
        <w:ind w:left="513" w:right="855"/>
        <w:jc w:val="left"/>
      </w:pPr>
      <w:r>
        <w:rPr>
          <w:spacing w:val="-3"/>
        </w:rPr>
        <w:t>（</w:t>
      </w:r>
      <w:r>
        <w:rPr>
          <w:rFonts w:ascii="Times New Roman" w:hAnsi="Times New Roman" w:cs="Times New Roman" w:eastAsia="Times New Roman" w:hint="default"/>
          <w:spacing w:val="-3"/>
        </w:rPr>
        <w:t>3</w:t>
      </w:r>
      <w:r>
        <w:rPr>
          <w:spacing w:val="-3"/>
        </w:rPr>
        <w:t>）供应商、客户和消费者权益保护</w:t>
      </w:r>
      <w:r>
        <w:rPr>
          <w:spacing w:val="-35"/>
        </w:rPr>
        <w:t> </w:t>
      </w:r>
      <w:r>
        <w:rPr>
          <w:spacing w:val="-35"/>
        </w:rPr>
      </w:r>
      <w:r>
        <w:rPr>
          <w:spacing w:val="-5"/>
        </w:rPr>
        <w:t>公司始终坚持以客户需求为中心，以顾客满意为基本原则，依法经营、诚实守信，不断提升管理和服务水平，积极保护</w:t>
      </w:r>
    </w:p>
    <w:p>
      <w:pPr>
        <w:pStyle w:val="BodyText"/>
        <w:spacing w:line="316" w:lineRule="auto" w:before="31"/>
        <w:ind w:left="513" w:right="855" w:hanging="360"/>
        <w:jc w:val="left"/>
      </w:pPr>
      <w:r>
        <w:rPr>
          <w:spacing w:val="-3"/>
        </w:rPr>
        <w:t>供应商、客户和消费者的合法权益，致力为客户提供更为优质的产品和服务，营造诚信、和谐、公平的合作氛围。</w:t>
      </w:r>
      <w:r>
        <w:rPr>
          <w:spacing w:val="54"/>
        </w:rPr>
        <w:t> </w:t>
      </w:r>
      <w:r>
        <w:rPr>
          <w:spacing w:val="54"/>
        </w:rPr>
      </w:r>
      <w:r>
        <w:rPr>
          <w:spacing w:val="-3"/>
        </w:rPr>
        <w:t>公司秉承诚信经营理念，对供应商、客户和消费者诚实守信。公司严格按照国家法律规定，严格监控和防范商业贿赂，</w:t>
      </w:r>
    </w:p>
    <w:p>
      <w:pPr>
        <w:pStyle w:val="BodyText"/>
        <w:spacing w:line="316" w:lineRule="auto" w:before="19"/>
        <w:ind w:right="855"/>
        <w:jc w:val="left"/>
      </w:pPr>
      <w:r>
        <w:rPr>
          <w:spacing w:val="-4"/>
        </w:rPr>
        <w:t>各项商业活动完全遵循公开、公平、公正、有偿、自愿的商业原则。公司为客户提供良好的售后服务，及时处理供应商、客</w:t>
      </w:r>
      <w:r>
        <w:rPr>
          <w:spacing w:val="42"/>
        </w:rPr>
        <w:t> </w:t>
      </w:r>
      <w:r>
        <w:rPr>
          <w:spacing w:val="42"/>
        </w:rPr>
      </w:r>
      <w:r>
        <w:rPr>
          <w:spacing w:val="-3"/>
        </w:rPr>
        <w:t>户和消费者的投诉和建议。</w:t>
      </w:r>
    </w:p>
    <w:p>
      <w:pPr>
        <w:pStyle w:val="BodyText"/>
        <w:spacing w:line="300" w:lineRule="auto" w:before="19"/>
        <w:ind w:left="513" w:right="855"/>
        <w:jc w:val="left"/>
      </w:pPr>
      <w:r>
        <w:rPr/>
        <w:t>（</w:t>
      </w:r>
      <w:r>
        <w:rPr>
          <w:rFonts w:ascii="Times New Roman" w:hAnsi="Times New Roman" w:cs="Times New Roman" w:eastAsia="Times New Roman" w:hint="default"/>
        </w:rPr>
        <w:t>4</w:t>
      </w:r>
      <w:r>
        <w:rPr/>
        <w:t>）党务工作的开展</w:t>
      </w:r>
      <w:r>
        <w:rPr>
          <w:spacing w:val="-88"/>
        </w:rPr>
        <w:t> </w:t>
      </w:r>
      <w:r>
        <w:rPr>
          <w:spacing w:val="-88"/>
        </w:rPr>
      </w:r>
      <w:r>
        <w:rPr>
          <w:spacing w:val="-3"/>
        </w:rPr>
        <w:t>报告期内，公司牢牢把握新时期企业党建新要求，坚持以党的十八届六中全会和十九大精神为指导，深入开展</w:t>
      </w:r>
      <w:r>
        <w:rPr>
          <w:rFonts w:ascii="Times New Roman" w:hAnsi="Times New Roman" w:cs="Times New Roman" w:eastAsia="Times New Roman" w:hint="default"/>
          <w:spacing w:val="-3"/>
        </w:rPr>
        <w:t>“</w:t>
      </w:r>
      <w:r>
        <w:rPr>
          <w:spacing w:val="-3"/>
        </w:rPr>
        <w:t>两学一</w:t>
      </w:r>
    </w:p>
    <w:p>
      <w:pPr>
        <w:pStyle w:val="BodyText"/>
        <w:spacing w:line="309" w:lineRule="auto" w:before="13"/>
        <w:ind w:right="855"/>
        <w:jc w:val="left"/>
      </w:pPr>
      <w:r>
        <w:rPr>
          <w:spacing w:val="-3"/>
        </w:rPr>
        <w:t>做</w:t>
      </w:r>
      <w:r>
        <w:rPr>
          <w:rFonts w:ascii="Times New Roman" w:hAnsi="Times New Roman" w:cs="Times New Roman" w:eastAsia="Times New Roman" w:hint="default"/>
          <w:spacing w:val="-3"/>
        </w:rPr>
        <w:t>”</w:t>
      </w:r>
      <w:r>
        <w:rPr>
          <w:spacing w:val="-3"/>
        </w:rPr>
        <w:t>常态化学习教育、服务型、创新型党组织建设等工作，坚持和完善</w:t>
      </w:r>
      <w:r>
        <w:rPr>
          <w:rFonts w:ascii="Times New Roman" w:hAnsi="Times New Roman" w:cs="Times New Roman" w:eastAsia="Times New Roman" w:hint="default"/>
          <w:spacing w:val="-3"/>
        </w:rPr>
        <w:t>“</w:t>
      </w:r>
      <w:r>
        <w:rPr>
          <w:spacing w:val="-3"/>
        </w:rPr>
        <w:t>双向进入、交叉任职</w:t>
      </w:r>
      <w:r>
        <w:rPr>
          <w:rFonts w:ascii="Times New Roman" w:hAnsi="Times New Roman" w:cs="Times New Roman" w:eastAsia="Times New Roman" w:hint="default"/>
          <w:spacing w:val="-3"/>
        </w:rPr>
        <w:t>”</w:t>
      </w:r>
      <w:r>
        <w:rPr>
          <w:spacing w:val="-3"/>
        </w:rPr>
        <w:t>的领导体制，落实</w:t>
      </w:r>
      <w:r>
        <w:rPr>
          <w:rFonts w:ascii="Times New Roman" w:hAnsi="Times New Roman" w:cs="Times New Roman" w:eastAsia="Times New Roman" w:hint="default"/>
          <w:spacing w:val="-3"/>
        </w:rPr>
        <w:t>“</w:t>
      </w:r>
      <w:r>
        <w:rPr>
          <w:spacing w:val="-3"/>
        </w:rPr>
        <w:t>一岗双责</w:t>
      </w:r>
      <w:r>
        <w:rPr>
          <w:rFonts w:ascii="Times New Roman" w:hAnsi="Times New Roman" w:cs="Times New Roman" w:eastAsia="Times New Roman" w:hint="default"/>
          <w:spacing w:val="-3"/>
        </w:rPr>
        <w:t>”</w:t>
      </w:r>
      <w:r>
        <w:rPr>
          <w:rFonts w:ascii="Times New Roman" w:hAnsi="Times New Roman" w:cs="Times New Roman" w:eastAsia="Times New Roman" w:hint="default"/>
          <w:spacing w:val="32"/>
        </w:rPr>
        <w:t> </w:t>
      </w:r>
      <w:r>
        <w:rPr>
          <w:spacing w:val="-4"/>
        </w:rPr>
        <w:t>责任，保证党委参与企业重大问题决策；党员干部</w:t>
      </w:r>
      <w:r>
        <w:rPr>
          <w:rFonts w:ascii="Times New Roman" w:hAnsi="Times New Roman" w:cs="Times New Roman" w:eastAsia="Times New Roman" w:hint="default"/>
          <w:spacing w:val="-4"/>
        </w:rPr>
        <w:t>“</w:t>
      </w:r>
      <w:r>
        <w:rPr>
          <w:spacing w:val="-4"/>
        </w:rPr>
        <w:t>四个意识</w:t>
      </w:r>
      <w:r>
        <w:rPr>
          <w:rFonts w:ascii="Times New Roman" w:hAnsi="Times New Roman" w:cs="Times New Roman" w:eastAsia="Times New Roman" w:hint="default"/>
          <w:spacing w:val="-4"/>
        </w:rPr>
        <w:t>”</w:t>
      </w:r>
      <w:r>
        <w:rPr>
          <w:spacing w:val="-4"/>
        </w:rPr>
        <w:t>、</w:t>
      </w:r>
      <w:r>
        <w:rPr>
          <w:rFonts w:ascii="Times New Roman" w:hAnsi="Times New Roman" w:cs="Times New Roman" w:eastAsia="Times New Roman" w:hint="default"/>
          <w:spacing w:val="-4"/>
        </w:rPr>
        <w:t>“</w:t>
      </w:r>
      <w:r>
        <w:rPr>
          <w:spacing w:val="-4"/>
        </w:rPr>
        <w:t>四个自信</w:t>
      </w:r>
      <w:r>
        <w:rPr>
          <w:rFonts w:ascii="Times New Roman" w:hAnsi="Times New Roman" w:cs="Times New Roman" w:eastAsia="Times New Roman" w:hint="default"/>
          <w:spacing w:val="-4"/>
        </w:rPr>
        <w:t>”</w:t>
      </w:r>
      <w:r>
        <w:rPr>
          <w:spacing w:val="-4"/>
        </w:rPr>
        <w:t>不断增强；坚持不懈抓好作风建设，通过切实履</w:t>
      </w:r>
      <w:r>
        <w:rPr>
          <w:spacing w:val="3"/>
        </w:rPr>
        <w:t> </w:t>
      </w:r>
      <w:r>
        <w:rPr>
          <w:spacing w:val="3"/>
        </w:rPr>
      </w:r>
      <w:r>
        <w:rPr>
          <w:spacing w:val="-4"/>
        </w:rPr>
        <w:t>行党风廉政建设主体责任和纪委监督责任，落实党风廉政建设暨领导人员廉洁从业责任制，切实加强企业党风廉政建设；重</w:t>
      </w:r>
      <w:r>
        <w:rPr>
          <w:spacing w:val="43"/>
        </w:rPr>
        <w:t> </w:t>
      </w:r>
      <w:r>
        <w:rPr>
          <w:spacing w:val="43"/>
        </w:rPr>
      </w:r>
      <w:r>
        <w:rPr>
          <w:spacing w:val="-3"/>
        </w:rPr>
        <w:t>视发挥工会、团委等群团组织联系群众和维护员工合法权益的职能作用，组织动员广大员工积极支持和参与各项改革工作，</w:t>
      </w:r>
      <w:r>
        <w:rPr>
          <w:spacing w:val="65"/>
        </w:rPr>
        <w:t> </w:t>
      </w:r>
      <w:r>
        <w:rPr>
          <w:spacing w:val="65"/>
        </w:rPr>
      </w:r>
      <w:r>
        <w:rPr>
          <w:spacing w:val="-3"/>
        </w:rPr>
        <w:t>激发员工创业创新的动力。</w:t>
      </w:r>
    </w:p>
    <w:p>
      <w:pPr>
        <w:pStyle w:val="BodyText"/>
        <w:spacing w:line="300" w:lineRule="auto" w:before="24"/>
        <w:ind w:left="513" w:right="855"/>
        <w:jc w:val="left"/>
      </w:pPr>
      <w:r>
        <w:rPr/>
        <w:t>（</w:t>
      </w:r>
      <w:r>
        <w:rPr>
          <w:rFonts w:ascii="Times New Roman" w:hAnsi="Times New Roman" w:cs="Times New Roman" w:eastAsia="Times New Roman" w:hint="default"/>
        </w:rPr>
        <w:t>5</w:t>
      </w:r>
      <w:r>
        <w:rPr/>
        <w:t>）社会贡献</w:t>
      </w:r>
      <w:r>
        <w:rPr>
          <w:spacing w:val="-85"/>
        </w:rPr>
        <w:t> </w:t>
      </w:r>
      <w:r>
        <w:rPr>
          <w:spacing w:val="-85"/>
        </w:rPr>
      </w:r>
      <w:r>
        <w:rPr>
          <w:spacing w:val="-5"/>
        </w:rPr>
        <w:t>自公司成立以来，坚持做到规范运作、诚信经营，依法按时缴纳税款、积极履行扣缴义务、代收税款的法定义务，连续</w:t>
      </w:r>
    </w:p>
    <w:p>
      <w:pPr>
        <w:pStyle w:val="BodyText"/>
        <w:spacing w:line="240" w:lineRule="auto" w:before="31"/>
        <w:ind w:right="855"/>
        <w:jc w:val="left"/>
      </w:pPr>
      <w:r>
        <w:rPr>
          <w:spacing w:val="-3"/>
        </w:rPr>
        <w:t>多年为当地的纳税大户之一，有力地支持了国家和地方财政，促进和带动了自身及地方经济的发展。</w:t>
      </w:r>
    </w:p>
    <w:p>
      <w:pPr>
        <w:pStyle w:val="BodyText"/>
        <w:spacing w:line="312" w:lineRule="auto" w:before="76"/>
        <w:ind w:right="1122" w:firstLine="360"/>
        <w:jc w:val="both"/>
      </w:pPr>
      <w:r>
        <w:rPr>
          <w:rFonts w:ascii="Times New Roman" w:hAnsi="Times New Roman" w:cs="Times New Roman" w:eastAsia="Times New Roman" w:hint="default"/>
          <w:spacing w:val="-4"/>
        </w:rPr>
        <w:t>2020</w:t>
      </w:r>
      <w:r>
        <w:rPr>
          <w:spacing w:val="-4"/>
        </w:rPr>
        <w:t>年，公司将坚持</w:t>
      </w:r>
      <w:r>
        <w:rPr>
          <w:rFonts w:ascii="Times New Roman" w:hAnsi="Times New Roman" w:cs="Times New Roman" w:eastAsia="Times New Roman" w:hint="default"/>
          <w:spacing w:val="-4"/>
        </w:rPr>
        <w:t>“</w:t>
      </w:r>
      <w:r>
        <w:rPr>
          <w:spacing w:val="-4"/>
        </w:rPr>
        <w:t>服务客户，成就员工，回报社会</w:t>
      </w:r>
      <w:r>
        <w:rPr>
          <w:rFonts w:ascii="Times New Roman" w:hAnsi="Times New Roman" w:cs="Times New Roman" w:eastAsia="Times New Roman" w:hint="default"/>
          <w:spacing w:val="-4"/>
        </w:rPr>
        <w:t>”</w:t>
      </w:r>
      <w:r>
        <w:rPr>
          <w:spacing w:val="-4"/>
        </w:rPr>
        <w:t>的企业理念，不忘初心，砥砺前行，继续把企业社会责任融入公</w:t>
      </w:r>
      <w:r>
        <w:rPr>
          <w:w w:val="101"/>
        </w:rPr>
        <w:t> </w:t>
      </w:r>
      <w:r>
        <w:rPr>
          <w:spacing w:val="-4"/>
        </w:rPr>
        <w:t>司战略和生产经营活动中，在持续推动公司持续、健康、稳定发展的同时，赋能客户数字化变革，注重维护股东权益，全面</w:t>
      </w:r>
      <w:r>
        <w:rPr>
          <w:spacing w:val="41"/>
        </w:rPr>
        <w:t> </w:t>
      </w:r>
      <w:r>
        <w:rPr>
          <w:spacing w:val="41"/>
        </w:rPr>
      </w:r>
      <w:r>
        <w:rPr>
          <w:spacing w:val="-4"/>
        </w:rPr>
        <w:t>保证员工的合法权益，切实保障股东、债权人、职工、客户、消费者、供应商、社区等相关各方的利益，实现社会价值，为</w:t>
      </w:r>
      <w:r>
        <w:rPr>
          <w:spacing w:val="40"/>
        </w:rPr>
        <w:t> </w:t>
      </w:r>
      <w:r>
        <w:rPr>
          <w:spacing w:val="40"/>
        </w:rPr>
      </w:r>
      <w:r>
        <w:rPr>
          <w:spacing w:val="-3"/>
        </w:rPr>
        <w:t>促进公司与社会的和谐、可持续发展做出积极贡献。</w:t>
      </w:r>
    </w:p>
    <w:p>
      <w:pPr>
        <w:spacing w:line="240" w:lineRule="auto" w:before="12"/>
        <w:rPr>
          <w:rFonts w:ascii="宋体" w:hAnsi="宋体" w:cs="宋体" w:eastAsia="宋体" w:hint="default"/>
          <w:sz w:val="22"/>
          <w:szCs w:val="22"/>
        </w:rPr>
      </w:pPr>
    </w:p>
    <w:p>
      <w:pPr>
        <w:pStyle w:val="Heading4"/>
        <w:spacing w:line="240" w:lineRule="auto"/>
        <w:ind w:right="855"/>
        <w:jc w:val="left"/>
        <w:rPr>
          <w:b w:val="0"/>
          <w:bCs w:val="0"/>
        </w:rPr>
      </w:pPr>
      <w:r>
        <w:rPr>
          <w:rFonts w:ascii="Times New Roman" w:hAnsi="Times New Roman" w:cs="Times New Roman" w:eastAsia="Times New Roman" w:hint="default"/>
        </w:rPr>
        <w:t>2</w:t>
      </w:r>
      <w:r>
        <w:rPr/>
        <w:t>、履行精准扶贫社会责任情况</w:t>
      </w:r>
      <w:r>
        <w:rPr>
          <w:b w:val="0"/>
          <w:bCs w:val="0"/>
        </w:rPr>
      </w:r>
    </w:p>
    <w:p>
      <w:pPr>
        <w:spacing w:line="240" w:lineRule="auto" w:before="5"/>
        <w:rPr>
          <w:rFonts w:ascii="宋体" w:hAnsi="宋体" w:cs="宋体" w:eastAsia="宋体" w:hint="default"/>
          <w:b/>
          <w:bCs/>
          <w:sz w:val="24"/>
          <w:szCs w:val="24"/>
        </w:rPr>
      </w:pPr>
    </w:p>
    <w:p>
      <w:pPr>
        <w:spacing w:before="0"/>
        <w:ind w:left="153" w:right="85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）精准扶贫规划</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3" w:right="85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）年度精准扶贫概要</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pStyle w:val="BodyText"/>
        <w:spacing w:line="300" w:lineRule="auto"/>
        <w:ind w:right="855" w:firstLine="220"/>
        <w:jc w:val="left"/>
      </w:pPr>
      <w:r>
        <w:rPr>
          <w:spacing w:val="-3"/>
        </w:rPr>
        <w:t>从</w:t>
      </w:r>
      <w:r>
        <w:rPr>
          <w:rFonts w:ascii="Times New Roman" w:hAnsi="Times New Roman" w:cs="Times New Roman" w:eastAsia="Times New Roman" w:hint="default"/>
          <w:spacing w:val="-3"/>
        </w:rPr>
        <w:t>2016</w:t>
      </w:r>
      <w:r>
        <w:rPr>
          <w:spacing w:val="-3"/>
        </w:rPr>
        <w:t>年</w:t>
      </w:r>
      <w:r>
        <w:rPr>
          <w:rFonts w:ascii="Times New Roman" w:hAnsi="Times New Roman" w:cs="Times New Roman" w:eastAsia="Times New Roman" w:hint="default"/>
          <w:spacing w:val="-3"/>
        </w:rPr>
        <w:t>3</w:t>
      </w:r>
      <w:r>
        <w:rPr>
          <w:spacing w:val="-3"/>
        </w:rPr>
        <w:t>月份开始，南天信息先后派出两名驻村队员到永德县崇岗乡龙竹棚村开展驻村扶贫工作，目前队员陈磊依然坚</w:t>
      </w:r>
      <w:r>
        <w:rPr>
          <w:w w:val="101"/>
        </w:rPr>
        <w:t> </w:t>
      </w:r>
      <w:r>
        <w:rPr>
          <w:spacing w:val="-3"/>
        </w:rPr>
        <w:t>持在当地参加驻村扶贫工作。</w:t>
      </w:r>
    </w:p>
    <w:p>
      <w:pPr>
        <w:spacing w:line="240" w:lineRule="auto" w:before="7"/>
        <w:rPr>
          <w:rFonts w:ascii="宋体" w:hAnsi="宋体" w:cs="宋体" w:eastAsia="宋体" w:hint="default"/>
          <w:sz w:val="23"/>
          <w:szCs w:val="23"/>
        </w:rPr>
      </w:pPr>
    </w:p>
    <w:p>
      <w:pPr>
        <w:pStyle w:val="Heading4"/>
        <w:spacing w:line="240" w:lineRule="auto"/>
        <w:ind w:right="855"/>
        <w:jc w:val="left"/>
        <w:rPr>
          <w:b w:val="0"/>
          <w:bCs w:val="0"/>
        </w:rPr>
      </w:pPr>
      <w:r>
        <w:rPr/>
        <w:t>（</w:t>
      </w:r>
      <w:r>
        <w:rPr>
          <w:rFonts w:ascii="Times New Roman" w:hAnsi="Times New Roman" w:cs="Times New Roman" w:eastAsia="Times New Roman" w:hint="default"/>
        </w:rPr>
        <w:t>3</w:t>
      </w:r>
      <w:r>
        <w:rPr/>
        <w:t>）精准扶贫成效</w:t>
      </w:r>
      <w:r>
        <w:rPr>
          <w:b w:val="0"/>
          <w:bCs w:val="0"/>
        </w:rPr>
      </w:r>
    </w:p>
    <w:p>
      <w:pPr>
        <w:spacing w:line="240" w:lineRule="auto" w:before="5"/>
        <w:rPr>
          <w:rFonts w:ascii="宋体" w:hAnsi="宋体" w:cs="宋体" w:eastAsia="宋体" w:hint="default"/>
          <w:b/>
          <w:bCs/>
          <w:sz w:val="24"/>
          <w:szCs w:val="24"/>
        </w:rPr>
      </w:pPr>
    </w:p>
    <w:p>
      <w:pPr>
        <w:spacing w:before="0"/>
        <w:ind w:left="153" w:right="85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）后续精准扶贫计划</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3" w:right="85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、环境保护相关的情况</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pStyle w:val="BodyText"/>
        <w:spacing w:line="357" w:lineRule="auto"/>
        <w:ind w:right="5295"/>
        <w:jc w:val="left"/>
      </w:pPr>
      <w:r>
        <w:rPr>
          <w:spacing w:val="-3"/>
        </w:rPr>
        <w:t>上市公司及其子公司是否属于环境保护部门公布的重点排污单位</w:t>
      </w:r>
      <w:r>
        <w:rPr>
          <w:spacing w:val="-9"/>
        </w:rPr>
        <w:t> </w:t>
      </w:r>
      <w:r>
        <w:rPr>
          <w:spacing w:val="-9"/>
        </w:rPr>
      </w:r>
      <w:r>
        <w:rPr/>
        <w:t>不适用</w:t>
      </w:r>
      <w:r>
        <w:rPr>
          <w:spacing w:val="-88"/>
        </w:rPr>
        <w:t> </w:t>
      </w:r>
      <w:r>
        <w:rPr>
          <w:spacing w:val="-88"/>
        </w:rPr>
      </w:r>
      <w:r>
        <w:rPr>
          <w:spacing w:val="-3"/>
        </w:rPr>
        <w:t>上市公司及其子公司不属于环境保护部门公布的重点排污单位。</w:t>
      </w:r>
    </w:p>
    <w:p>
      <w:pPr>
        <w:spacing w:after="0" w:line="357" w:lineRule="auto"/>
        <w:jc w:val="left"/>
        <w:sectPr>
          <w:pgSz w:w="11910" w:h="16840"/>
          <w:pgMar w:header="746" w:footer="974" w:top="1060" w:bottom="1160" w:left="980" w:right="0"/>
        </w:sectPr>
      </w:pPr>
    </w:p>
    <w:p>
      <w:pPr>
        <w:spacing w:line="240" w:lineRule="auto" w:before="10"/>
        <w:rPr>
          <w:rFonts w:ascii="宋体" w:hAnsi="宋体" w:cs="宋体" w:eastAsia="宋体" w:hint="default"/>
          <w:sz w:val="23"/>
          <w:szCs w:val="23"/>
        </w:rPr>
      </w:pPr>
    </w:p>
    <w:p>
      <w:pPr>
        <w:pStyle w:val="Heading2"/>
        <w:spacing w:line="240" w:lineRule="auto" w:before="26"/>
        <w:ind w:right="0"/>
        <w:jc w:val="both"/>
        <w:rPr>
          <w:b w:val="0"/>
          <w:bCs w:val="0"/>
        </w:rPr>
      </w:pPr>
      <w:r>
        <w:rPr/>
        <w:t>十九、其他重大事项的说明</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1"/>
        </w:rPr>
        <w:t> </w:t>
      </w:r>
      <w:r>
        <w:rPr/>
        <w:t>不适用</w:t>
      </w:r>
    </w:p>
    <w:p>
      <w:pPr>
        <w:pStyle w:val="BodyText"/>
        <w:spacing w:line="343" w:lineRule="auto" w:before="102"/>
        <w:ind w:left="513" w:right="855"/>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2019</w:t>
      </w:r>
      <w:r>
        <w:rPr/>
        <w:t>年度非公开发行股票事宜</w:t>
      </w:r>
      <w:r>
        <w:rPr>
          <w:spacing w:val="-86"/>
        </w:rPr>
        <w:t> </w:t>
      </w:r>
      <w:r>
        <w:rPr>
          <w:spacing w:val="-86"/>
        </w:rPr>
      </w:r>
      <w:r>
        <w:rPr>
          <w:spacing w:val="-4"/>
        </w:rPr>
        <w:t>为全面实施公司发展战略，增强公司的核心竞争力和可持续发展能力，公司拟实施</w:t>
      </w:r>
      <w:r>
        <w:rPr>
          <w:rFonts w:ascii="Times New Roman" w:hAnsi="Times New Roman" w:cs="Times New Roman" w:eastAsia="Times New Roman" w:hint="default"/>
          <w:spacing w:val="-4"/>
        </w:rPr>
        <w:t>2019</w:t>
      </w:r>
      <w:r>
        <w:rPr>
          <w:spacing w:val="-4"/>
        </w:rPr>
        <w:t>年非公开发行股票事宜，本次非</w:t>
      </w:r>
    </w:p>
    <w:p>
      <w:pPr>
        <w:pStyle w:val="BodyText"/>
        <w:spacing w:line="221" w:lineRule="exact"/>
        <w:ind w:right="0"/>
        <w:jc w:val="both"/>
      </w:pPr>
      <w:r>
        <w:rPr>
          <w:spacing w:val="-3"/>
        </w:rPr>
        <w:t>公开发行股票的数量不超过</w:t>
      </w:r>
      <w:r>
        <w:rPr>
          <w:rFonts w:ascii="Times New Roman" w:hAnsi="Times New Roman" w:cs="Times New Roman" w:eastAsia="Times New Roman" w:hint="default"/>
          <w:spacing w:val="-3"/>
        </w:rPr>
        <w:t>6,411.7571</w:t>
      </w:r>
      <w:r>
        <w:rPr>
          <w:spacing w:val="-3"/>
        </w:rPr>
        <w:t>万股，募集资金不超过</w:t>
      </w:r>
      <w:r>
        <w:rPr>
          <w:rFonts w:ascii="Times New Roman" w:hAnsi="Times New Roman" w:cs="Times New Roman" w:eastAsia="Times New Roman" w:hint="default"/>
          <w:spacing w:val="-3"/>
        </w:rPr>
        <w:t>6.5</w:t>
      </w:r>
      <w:r>
        <w:rPr>
          <w:spacing w:val="-3"/>
        </w:rPr>
        <w:t>亿元，用于</w:t>
      </w:r>
      <w:r>
        <w:rPr>
          <w:rFonts w:ascii="Times New Roman" w:hAnsi="Times New Roman" w:cs="Times New Roman" w:eastAsia="Times New Roman" w:hint="default"/>
          <w:spacing w:val="-3"/>
        </w:rPr>
        <w:t>“</w:t>
      </w:r>
      <w:r>
        <w:rPr>
          <w:spacing w:val="-3"/>
        </w:rPr>
        <w:t>金融行业智能化云平台项目</w:t>
      </w:r>
      <w:r>
        <w:rPr>
          <w:rFonts w:ascii="Times New Roman" w:hAnsi="Times New Roman" w:cs="Times New Roman" w:eastAsia="Times New Roman" w:hint="default"/>
          <w:spacing w:val="-3"/>
        </w:rPr>
        <w:t>”</w:t>
      </w:r>
      <w:r>
        <w:rPr>
          <w:spacing w:val="-3"/>
        </w:rPr>
        <w:t>和补充流动资金。</w:t>
      </w:r>
    </w:p>
    <w:p>
      <w:pPr>
        <w:pStyle w:val="BodyText"/>
        <w:spacing w:line="300" w:lineRule="auto" w:before="63"/>
        <w:ind w:right="1030"/>
        <w:jc w:val="both"/>
      </w:pPr>
      <w:r>
        <w:rPr>
          <w:spacing w:val="-4"/>
        </w:rPr>
        <w:t>工投集团参与认购公司本次非公开发行股票，南天信息和工投集团于</w:t>
      </w: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4</w:t>
      </w:r>
      <w:r>
        <w:rPr>
          <w:spacing w:val="-4"/>
        </w:rPr>
        <w:t>月</w:t>
      </w:r>
      <w:r>
        <w:rPr>
          <w:rFonts w:ascii="Times New Roman" w:hAnsi="Times New Roman" w:cs="Times New Roman" w:eastAsia="Times New Roman" w:hint="default"/>
          <w:spacing w:val="-4"/>
        </w:rPr>
        <w:t>28</w:t>
      </w:r>
      <w:r>
        <w:rPr>
          <w:spacing w:val="-4"/>
        </w:rPr>
        <w:t>日签署了《附条件生效的股份认购协议》，</w:t>
      </w:r>
      <w:r>
        <w:rPr>
          <w:spacing w:val="60"/>
        </w:rPr>
        <w:t> </w:t>
      </w:r>
      <w:r>
        <w:rPr>
          <w:spacing w:val="60"/>
        </w:rPr>
      </w:r>
      <w:r>
        <w:rPr/>
        <w:t>认购资金不超过</w:t>
      </w:r>
      <w:r>
        <w:rPr>
          <w:rFonts w:ascii="Times New Roman" w:hAnsi="Times New Roman" w:cs="Times New Roman" w:eastAsia="Times New Roman" w:hint="default"/>
        </w:rPr>
        <w:t>5</w:t>
      </w:r>
      <w:r>
        <w:rPr/>
        <w:t>亿元；</w:t>
      </w:r>
    </w:p>
    <w:p>
      <w:pPr>
        <w:pStyle w:val="BodyText"/>
        <w:spacing w:line="300" w:lineRule="auto" w:before="56"/>
        <w:ind w:right="1131" w:firstLine="360"/>
        <w:jc w:val="both"/>
      </w:pPr>
      <w:r>
        <w:rPr>
          <w:spacing w:val="-3"/>
        </w:rPr>
        <w:t>本次非公开发行股票已经公司于</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4</w:t>
      </w:r>
      <w:r>
        <w:rPr>
          <w:spacing w:val="-3"/>
        </w:rPr>
        <w:t>月</w:t>
      </w:r>
      <w:r>
        <w:rPr>
          <w:rFonts w:ascii="Times New Roman" w:hAnsi="Times New Roman" w:cs="Times New Roman" w:eastAsia="Times New Roman" w:hint="default"/>
          <w:spacing w:val="-3"/>
        </w:rPr>
        <w:t>29</w:t>
      </w:r>
      <w:r>
        <w:rPr>
          <w:spacing w:val="-3"/>
        </w:rPr>
        <w:t>日召开第七届董事会第二十一次会议审议通过；经云南省人民政府国有资</w:t>
      </w:r>
      <w:r>
        <w:rPr>
          <w:w w:val="101"/>
        </w:rPr>
        <w:t> </w:t>
      </w:r>
      <w:r>
        <w:rPr>
          <w:spacing w:val="-3"/>
        </w:rPr>
        <w:t>产监督管理委员会关于工投集团持有南天信息合理持股比例备案同意后，公司于</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7</w:t>
      </w:r>
      <w:r>
        <w:rPr>
          <w:spacing w:val="-3"/>
        </w:rPr>
        <w:t>月</w:t>
      </w:r>
      <w:r>
        <w:rPr>
          <w:rFonts w:ascii="Times New Roman" w:hAnsi="Times New Roman" w:cs="Times New Roman" w:eastAsia="Times New Roman" w:hint="default"/>
          <w:spacing w:val="-3"/>
        </w:rPr>
        <w:t>24</w:t>
      </w:r>
      <w:r>
        <w:rPr>
          <w:spacing w:val="-3"/>
        </w:rPr>
        <w:t>日收到工投集团出具的《云南</w:t>
      </w:r>
      <w:r>
        <w:rPr>
          <w:spacing w:val="80"/>
        </w:rPr>
        <w:t> </w:t>
      </w:r>
      <w:r>
        <w:rPr>
          <w:spacing w:val="80"/>
        </w:rPr>
      </w:r>
      <w:r>
        <w:rPr>
          <w:spacing w:val="-3"/>
        </w:rPr>
        <w:t>省工业投资控股集团有限责任公司关于云南南天电子信息产业股份有限公司实施非公开发行股票事宜的批复》（云工投发</w:t>
      </w:r>
    </w:p>
    <w:p>
      <w:pPr>
        <w:pStyle w:val="BodyText"/>
        <w:spacing w:line="300" w:lineRule="auto" w:before="31"/>
        <w:ind w:right="855"/>
        <w:jc w:val="left"/>
      </w:pPr>
      <w:r>
        <w:rPr>
          <w:spacing w:val="-3"/>
        </w:rPr>
        <w:t>〔</w:t>
      </w:r>
      <w:r>
        <w:rPr>
          <w:rFonts w:ascii="Times New Roman" w:hAnsi="Times New Roman" w:cs="Times New Roman" w:eastAsia="Times New Roman" w:hint="default"/>
          <w:spacing w:val="-3"/>
        </w:rPr>
        <w:t>2019</w:t>
      </w:r>
      <w:r>
        <w:rPr>
          <w:spacing w:val="-3"/>
        </w:rPr>
        <w:t>〕</w:t>
      </w:r>
      <w:r>
        <w:rPr>
          <w:rFonts w:ascii="Times New Roman" w:hAnsi="Times New Roman" w:cs="Times New Roman" w:eastAsia="Times New Roman" w:hint="default"/>
          <w:spacing w:val="-3"/>
        </w:rPr>
        <w:t>172</w:t>
      </w:r>
      <w:r>
        <w:rPr>
          <w:spacing w:val="-3"/>
        </w:rPr>
        <w:t>号），工投集团同意公司本次非公开事宜；</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8</w:t>
      </w:r>
      <w:r>
        <w:rPr>
          <w:spacing w:val="-3"/>
        </w:rPr>
        <w:t>月</w:t>
      </w:r>
      <w:r>
        <w:rPr>
          <w:rFonts w:ascii="Times New Roman" w:hAnsi="Times New Roman" w:cs="Times New Roman" w:eastAsia="Times New Roman" w:hint="default"/>
          <w:spacing w:val="-3"/>
        </w:rPr>
        <w:t>9</w:t>
      </w:r>
      <w:r>
        <w:rPr>
          <w:spacing w:val="-3"/>
        </w:rPr>
        <w:t>日，公司召开</w:t>
      </w:r>
      <w:r>
        <w:rPr>
          <w:rFonts w:ascii="Times New Roman" w:hAnsi="Times New Roman" w:cs="Times New Roman" w:eastAsia="Times New Roman" w:hint="default"/>
          <w:spacing w:val="-3"/>
        </w:rPr>
        <w:t>2019</w:t>
      </w:r>
      <w:r>
        <w:rPr>
          <w:spacing w:val="-3"/>
        </w:rPr>
        <w:t>年第一次临时股东大会审议通过了本</w:t>
      </w:r>
      <w:r>
        <w:rPr>
          <w:spacing w:val="6"/>
        </w:rPr>
        <w:t> </w:t>
      </w:r>
      <w:r>
        <w:rPr>
          <w:spacing w:val="6"/>
        </w:rPr>
      </w:r>
      <w:r>
        <w:rPr>
          <w:spacing w:val="-3"/>
        </w:rPr>
        <w:t>次非公开发行股份相关事宜；</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8</w:t>
      </w:r>
      <w:r>
        <w:rPr>
          <w:spacing w:val="-3"/>
        </w:rPr>
        <w:t>月</w:t>
      </w:r>
      <w:r>
        <w:rPr>
          <w:rFonts w:ascii="Times New Roman" w:hAnsi="Times New Roman" w:cs="Times New Roman" w:eastAsia="Times New Roman" w:hint="default"/>
          <w:spacing w:val="-3"/>
        </w:rPr>
        <w:t>20</w:t>
      </w:r>
      <w:r>
        <w:rPr>
          <w:spacing w:val="-3"/>
        </w:rPr>
        <w:t>日，公司非公开申请获得中国证监会受理；公司于</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25</w:t>
      </w:r>
      <w:r>
        <w:rPr>
          <w:spacing w:val="-3"/>
        </w:rPr>
        <w:t>日召开第七届董</w:t>
      </w:r>
      <w:r>
        <w:rPr>
          <w:spacing w:val="3"/>
        </w:rPr>
        <w:t> </w:t>
      </w:r>
      <w:r>
        <w:rPr>
          <w:spacing w:val="3"/>
        </w:rPr>
      </w:r>
      <w:r>
        <w:rPr>
          <w:spacing w:val="-3"/>
        </w:rPr>
        <w:t>事会第二十七次会议审议通过《关于调整</w:t>
      </w:r>
      <w:r>
        <w:rPr>
          <w:rFonts w:ascii="Times New Roman" w:hAnsi="Times New Roman" w:cs="Times New Roman" w:eastAsia="Times New Roman" w:hint="default"/>
          <w:spacing w:val="-3"/>
        </w:rPr>
        <w:t>&lt;</w:t>
      </w:r>
      <w:r>
        <w:rPr>
          <w:spacing w:val="-3"/>
        </w:rPr>
        <w:t>南天信息</w:t>
      </w:r>
      <w:r>
        <w:rPr>
          <w:rFonts w:ascii="Times New Roman" w:hAnsi="Times New Roman" w:cs="Times New Roman" w:eastAsia="Times New Roman" w:hint="default"/>
          <w:spacing w:val="-3"/>
        </w:rPr>
        <w:t>2019</w:t>
      </w:r>
      <w:r>
        <w:rPr>
          <w:spacing w:val="-3"/>
        </w:rPr>
        <w:t>年度非公开发行股票方案</w:t>
      </w:r>
      <w:r>
        <w:rPr>
          <w:rFonts w:ascii="Times New Roman" w:hAnsi="Times New Roman" w:cs="Times New Roman" w:eastAsia="Times New Roman" w:hint="default"/>
          <w:spacing w:val="-3"/>
        </w:rPr>
        <w:t>&gt;</w:t>
      </w:r>
      <w:r>
        <w:rPr>
          <w:spacing w:val="-3"/>
        </w:rPr>
        <w:t>的议案》，明确本次非公开发行股票数</w:t>
      </w:r>
      <w:r>
        <w:rPr>
          <w:spacing w:val="75"/>
        </w:rPr>
        <w:t> </w:t>
      </w:r>
      <w:r>
        <w:rPr>
          <w:spacing w:val="75"/>
        </w:rPr>
      </w:r>
      <w:r>
        <w:rPr>
          <w:spacing w:val="-4"/>
        </w:rPr>
        <w:t>量不超过</w:t>
      </w:r>
      <w:r>
        <w:rPr>
          <w:rFonts w:ascii="Times New Roman" w:hAnsi="Times New Roman" w:cs="Times New Roman" w:eastAsia="Times New Roman" w:hint="default"/>
          <w:spacing w:val="-4"/>
        </w:rPr>
        <w:t>64,117,571</w:t>
      </w:r>
      <w:r>
        <w:rPr>
          <w:spacing w:val="-4"/>
        </w:rPr>
        <w:t>股；并于</w:t>
      </w: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27</w:t>
      </w:r>
      <w:r>
        <w:rPr>
          <w:spacing w:val="-4"/>
        </w:rPr>
        <w:t>日获得中国证监会发行审核委员会审核通过；</w:t>
      </w:r>
      <w:r>
        <w:rPr>
          <w:rFonts w:ascii="Times New Roman" w:hAnsi="Times New Roman" w:cs="Times New Roman" w:eastAsia="Times New Roman" w:hint="default"/>
          <w:spacing w:val="-4"/>
        </w:rPr>
        <w:t>2020</w:t>
      </w:r>
      <w:r>
        <w:rPr>
          <w:spacing w:val="-4"/>
        </w:rPr>
        <w:t>年</w:t>
      </w:r>
      <w:r>
        <w:rPr>
          <w:rFonts w:ascii="Times New Roman" w:hAnsi="Times New Roman" w:cs="Times New Roman" w:eastAsia="Times New Roman" w:hint="default"/>
          <w:spacing w:val="-4"/>
        </w:rPr>
        <w:t>2</w:t>
      </w:r>
      <w:r>
        <w:rPr>
          <w:spacing w:val="-4"/>
        </w:rPr>
        <w:t>月</w:t>
      </w:r>
      <w:r>
        <w:rPr>
          <w:rFonts w:ascii="Times New Roman" w:hAnsi="Times New Roman" w:cs="Times New Roman" w:eastAsia="Times New Roman" w:hint="default"/>
          <w:spacing w:val="-4"/>
        </w:rPr>
        <w:t>19</w:t>
      </w:r>
      <w:r>
        <w:rPr>
          <w:spacing w:val="-4"/>
        </w:rPr>
        <w:t>日，公司收到证监会书</w:t>
      </w:r>
      <w:r>
        <w:rPr>
          <w:spacing w:val="8"/>
        </w:rPr>
        <w:t> </w:t>
      </w:r>
      <w:r>
        <w:rPr>
          <w:spacing w:val="8"/>
        </w:rPr>
      </w:r>
      <w:r>
        <w:rPr>
          <w:spacing w:val="-4"/>
        </w:rPr>
        <w:t>面核准的正式文件，核准公司非公开发行不超过</w:t>
      </w:r>
      <w:r>
        <w:rPr>
          <w:rFonts w:ascii="Times New Roman" w:hAnsi="Times New Roman" w:cs="Times New Roman" w:eastAsia="Times New Roman" w:hint="default"/>
          <w:spacing w:val="-4"/>
        </w:rPr>
        <w:t>64,117,571</w:t>
      </w:r>
      <w:r>
        <w:rPr>
          <w:spacing w:val="-4"/>
        </w:rPr>
        <w:t>股新股；</w:t>
      </w:r>
      <w:r>
        <w:rPr>
          <w:rFonts w:ascii="Times New Roman" w:hAnsi="Times New Roman" w:cs="Times New Roman" w:eastAsia="Times New Roman" w:hint="default"/>
          <w:spacing w:val="-4"/>
        </w:rPr>
        <w:t>2020</w:t>
      </w:r>
      <w:r>
        <w:rPr>
          <w:spacing w:val="-4"/>
        </w:rPr>
        <w:t>年</w:t>
      </w:r>
      <w:r>
        <w:rPr>
          <w:rFonts w:ascii="Times New Roman" w:hAnsi="Times New Roman" w:cs="Times New Roman" w:eastAsia="Times New Roman" w:hint="default"/>
          <w:spacing w:val="-4"/>
        </w:rPr>
        <w:t>3</w:t>
      </w:r>
      <w:r>
        <w:rPr>
          <w:spacing w:val="-4"/>
        </w:rPr>
        <w:t>月</w:t>
      </w:r>
      <w:r>
        <w:rPr>
          <w:rFonts w:ascii="Times New Roman" w:hAnsi="Times New Roman" w:cs="Times New Roman" w:eastAsia="Times New Roman" w:hint="default"/>
          <w:spacing w:val="-4"/>
        </w:rPr>
        <w:t>13</w:t>
      </w:r>
      <w:r>
        <w:rPr>
          <w:spacing w:val="-4"/>
        </w:rPr>
        <w:t>日，公司与本次非公开发行股票除工投集团</w:t>
      </w:r>
      <w:r>
        <w:rPr>
          <w:spacing w:val="79"/>
        </w:rPr>
        <w:t> </w:t>
      </w:r>
      <w:r>
        <w:rPr>
          <w:spacing w:val="79"/>
        </w:rPr>
      </w:r>
      <w:r>
        <w:rPr>
          <w:spacing w:val="-4"/>
        </w:rPr>
        <w:t>外的认购对象签订认购协议；</w:t>
      </w:r>
      <w:r>
        <w:rPr>
          <w:rFonts w:ascii="Times New Roman" w:hAnsi="Times New Roman" w:cs="Times New Roman" w:eastAsia="Times New Roman" w:hint="default"/>
          <w:spacing w:val="-4"/>
        </w:rPr>
        <w:t>2020</w:t>
      </w:r>
      <w:r>
        <w:rPr>
          <w:spacing w:val="-4"/>
        </w:rPr>
        <w:t>年</w:t>
      </w:r>
      <w:r>
        <w:rPr>
          <w:rFonts w:ascii="Times New Roman" w:hAnsi="Times New Roman" w:cs="Times New Roman" w:eastAsia="Times New Roman" w:hint="default"/>
          <w:spacing w:val="-4"/>
        </w:rPr>
        <w:t>3</w:t>
      </w:r>
      <w:r>
        <w:rPr>
          <w:spacing w:val="-4"/>
        </w:rPr>
        <w:t>月</w:t>
      </w:r>
      <w:r>
        <w:rPr>
          <w:rFonts w:ascii="Times New Roman" w:hAnsi="Times New Roman" w:cs="Times New Roman" w:eastAsia="Times New Roman" w:hint="default"/>
          <w:spacing w:val="-4"/>
        </w:rPr>
        <w:t>24</w:t>
      </w:r>
      <w:r>
        <w:rPr>
          <w:spacing w:val="-4"/>
        </w:rPr>
        <w:t>日，公司就本次增发</w:t>
      </w:r>
      <w:r>
        <w:rPr>
          <w:rFonts w:ascii="Times New Roman" w:hAnsi="Times New Roman" w:cs="Times New Roman" w:eastAsia="Times New Roman" w:hint="default"/>
          <w:spacing w:val="-4"/>
        </w:rPr>
        <w:t>60,577,818</w:t>
      </w:r>
      <w:r>
        <w:rPr>
          <w:spacing w:val="-4"/>
        </w:rPr>
        <w:t>股股份向中国证券登记结算有限责任公司深圳分公</w:t>
      </w:r>
      <w:r>
        <w:rPr>
          <w:spacing w:val="79"/>
        </w:rPr>
        <w:t> </w:t>
      </w:r>
      <w:r>
        <w:rPr>
          <w:spacing w:val="79"/>
        </w:rPr>
      </w:r>
      <w:r>
        <w:rPr/>
        <w:t>司提交相关登记材料；</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9</w:t>
      </w:r>
      <w:r>
        <w:rPr/>
        <w:t>日，公司本次非公开发行</w:t>
      </w:r>
      <w:r>
        <w:rPr>
          <w:rFonts w:ascii="Times New Roman" w:hAnsi="Times New Roman" w:cs="Times New Roman" w:eastAsia="Times New Roman" w:hint="default"/>
        </w:rPr>
        <w:t>60,577,818</w:t>
      </w:r>
      <w:r>
        <w:rPr/>
        <w:t>股新股在深圳证券交易所上市。</w:t>
      </w:r>
    </w:p>
    <w:p>
      <w:pPr>
        <w:pStyle w:val="BodyText"/>
        <w:spacing w:line="300" w:lineRule="auto" w:before="56"/>
        <w:ind w:right="1078" w:firstLine="360"/>
        <w:jc w:val="both"/>
      </w:pPr>
      <w:r>
        <w:rPr>
          <w:spacing w:val="-2"/>
        </w:rPr>
        <w:t>具体内容详见公司分别于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30</w:t>
      </w:r>
      <w:r>
        <w:rPr>
          <w:spacing w:val="-2"/>
        </w:rPr>
        <w:t>日、</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25</w:t>
      </w:r>
      <w:r>
        <w:rPr>
          <w:spacing w:val="-2"/>
        </w:rPr>
        <w:t>日、</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10</w:t>
      </w:r>
      <w:r>
        <w:rPr>
          <w:spacing w:val="-2"/>
        </w:rPr>
        <w:t>日、</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23</w:t>
      </w:r>
      <w:r>
        <w:rPr>
          <w:spacing w:val="-2"/>
        </w:rPr>
        <w:t>日、</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28</w:t>
      </w:r>
      <w:r>
        <w:rPr>
          <w:spacing w:val="-2"/>
        </w:rPr>
        <w:t>日、</w:t>
      </w:r>
      <w:r>
        <w:rPr>
          <w:rFonts w:ascii="Times New Roman" w:hAnsi="Times New Roman" w:cs="Times New Roman" w:eastAsia="Times New Roman" w:hint="default"/>
          <w:spacing w:val="-2"/>
        </w:rPr>
        <w:t>2019</w:t>
      </w:r>
      <w:r>
        <w:rPr>
          <w:spacing w:val="-2"/>
        </w:rPr>
        <w:t>年</w:t>
      </w:r>
      <w:r>
        <w:rPr>
          <w:w w:val="101"/>
        </w:rPr>
        <w:t> </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21</w:t>
      </w:r>
      <w:r>
        <w:rPr/>
        <w:t>日、</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6</w:t>
      </w:r>
      <w:r>
        <w:rPr/>
        <w:t>日、</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7</w:t>
      </w:r>
      <w:r>
        <w:rPr/>
        <w:t>日、</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26</w:t>
      </w:r>
      <w:r>
        <w:rPr/>
        <w:t>日、</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28</w:t>
      </w:r>
      <w:r>
        <w:rPr/>
        <w:t>日、</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20</w:t>
      </w:r>
      <w:r>
        <w:rPr/>
        <w:t>日、</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17</w:t>
      </w:r>
      <w:r>
        <w:rPr/>
        <w:t>日、</w:t>
      </w:r>
      <w:r>
        <w:rPr>
          <w:rFonts w:ascii="Times New Roman" w:hAnsi="Times New Roman" w:cs="Times New Roman" w:eastAsia="Times New Roman" w:hint="default"/>
        </w:rPr>
        <w:t>2020</w:t>
      </w:r>
      <w:r>
        <w:rPr>
          <w:rFonts w:ascii="Times New Roman" w:hAnsi="Times New Roman" w:cs="Times New Roman" w:eastAsia="Times New Roman" w:hint="default"/>
          <w:spacing w:val="4"/>
        </w:rPr>
        <w:t> </w:t>
      </w:r>
      <w:r>
        <w:rPr>
          <w:rFonts w:ascii="Times New Roman" w:hAnsi="Times New Roman" w:cs="Times New Roman" w:eastAsia="Times New Roman" w:hint="default"/>
          <w:spacing w:val="4"/>
        </w:rPr>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8</w:t>
      </w:r>
      <w:r>
        <w:rPr>
          <w:spacing w:val="-2"/>
        </w:rPr>
        <w:t>日刊登在巨潮资讯网</w:t>
      </w:r>
      <w:hyperlink r:id="rId15">
        <w:r>
          <w:rPr>
            <w:rFonts w:ascii="Times New Roman" w:hAnsi="Times New Roman" w:cs="Times New Roman" w:eastAsia="Times New Roman" w:hint="default"/>
            <w:spacing w:val="-2"/>
          </w:rPr>
          <w:t>http://www.cninfo.com.cn</w:t>
        </w:r>
        <w:r>
          <w:rPr>
            <w:spacing w:val="-2"/>
          </w:rPr>
          <w:t>上的</w:t>
        </w:r>
      </w:hyperlink>
      <w:r>
        <w:rPr>
          <w:spacing w:val="-2"/>
        </w:rPr>
        <w:t>《关于</w:t>
      </w:r>
      <w:r>
        <w:rPr>
          <w:rFonts w:ascii="Times New Roman" w:hAnsi="Times New Roman" w:cs="Times New Roman" w:eastAsia="Times New Roman" w:hint="default"/>
          <w:spacing w:val="-2"/>
        </w:rPr>
        <w:t>2019</w:t>
      </w:r>
      <w:r>
        <w:rPr>
          <w:spacing w:val="-2"/>
        </w:rPr>
        <w:t>年度非公开发行股票预案披露的提示性公告》（公告编</w:t>
      </w:r>
      <w:r>
        <w:rPr>
          <w:spacing w:val="46"/>
        </w:rPr>
        <w:t> </w:t>
      </w:r>
      <w:r>
        <w:rPr>
          <w:spacing w:val="46"/>
        </w:rPr>
      </w:r>
      <w:r>
        <w:rPr>
          <w:spacing w:val="-4"/>
        </w:rPr>
        <w:t>号：</w:t>
      </w:r>
      <w:r>
        <w:rPr>
          <w:rFonts w:ascii="Times New Roman" w:hAnsi="Times New Roman" w:cs="Times New Roman" w:eastAsia="Times New Roman" w:hint="default"/>
          <w:spacing w:val="-4"/>
        </w:rPr>
        <w:t>2019-033</w:t>
      </w:r>
      <w:r>
        <w:rPr>
          <w:spacing w:val="-4"/>
        </w:rPr>
        <w:t>）、《</w:t>
      </w:r>
      <w:r>
        <w:rPr>
          <w:rFonts w:ascii="Times New Roman" w:hAnsi="Times New Roman" w:cs="Times New Roman" w:eastAsia="Times New Roman" w:hint="default"/>
          <w:spacing w:val="-4"/>
        </w:rPr>
        <w:t>2019</w:t>
      </w:r>
      <w:r>
        <w:rPr>
          <w:spacing w:val="-4"/>
        </w:rPr>
        <w:t>年度非公开发行股票预案》、《关于非公开发行股票事项获得云南省工业投资控股集团有限责任公</w:t>
      </w:r>
      <w:r>
        <w:rPr>
          <w:spacing w:val="4"/>
        </w:rPr>
        <w:t> </w:t>
      </w:r>
      <w:r>
        <w:rPr>
          <w:spacing w:val="4"/>
        </w:rPr>
      </w:r>
      <w:r>
        <w:rPr>
          <w:spacing w:val="-3"/>
        </w:rPr>
        <w:t>司批复的公告》（公告编号：</w:t>
      </w:r>
      <w:r>
        <w:rPr>
          <w:rFonts w:ascii="Times New Roman" w:hAnsi="Times New Roman" w:cs="Times New Roman" w:eastAsia="Times New Roman" w:hint="default"/>
          <w:spacing w:val="-3"/>
        </w:rPr>
        <w:t>2019-044</w:t>
      </w:r>
      <w:r>
        <w:rPr>
          <w:spacing w:val="-3"/>
        </w:rPr>
        <w:t>）、《</w:t>
      </w:r>
      <w:r>
        <w:rPr>
          <w:rFonts w:ascii="Times New Roman" w:hAnsi="Times New Roman" w:cs="Times New Roman" w:eastAsia="Times New Roman" w:hint="default"/>
          <w:spacing w:val="-3"/>
        </w:rPr>
        <w:t>2019</w:t>
      </w:r>
      <w:r>
        <w:rPr>
          <w:spacing w:val="-3"/>
        </w:rPr>
        <w:t>年第一次临时股东大会决议公告》（公告编号：</w:t>
      </w:r>
      <w:r>
        <w:rPr>
          <w:rFonts w:ascii="Times New Roman" w:hAnsi="Times New Roman" w:cs="Times New Roman" w:eastAsia="Times New Roman" w:hint="default"/>
          <w:spacing w:val="-3"/>
        </w:rPr>
        <w:t>2019-047</w:t>
      </w:r>
      <w:r>
        <w:rPr>
          <w:spacing w:val="-3"/>
        </w:rPr>
        <w:t>）、《关于非公</w:t>
      </w:r>
      <w:r>
        <w:rPr>
          <w:spacing w:val="75"/>
        </w:rPr>
        <w:t> </w:t>
      </w:r>
      <w:r>
        <w:rPr>
          <w:spacing w:val="75"/>
        </w:rPr>
      </w:r>
      <w:r>
        <w:rPr>
          <w:spacing w:val="-2"/>
        </w:rPr>
        <w:t>开发行股票申请获得中国证监会受理的公告》（公告编号：</w:t>
      </w:r>
      <w:r>
        <w:rPr>
          <w:rFonts w:ascii="Times New Roman" w:hAnsi="Times New Roman" w:cs="Times New Roman" w:eastAsia="Times New Roman" w:hint="default"/>
          <w:spacing w:val="-2"/>
        </w:rPr>
        <w:t>2019-048</w:t>
      </w:r>
      <w:r>
        <w:rPr>
          <w:spacing w:val="-2"/>
        </w:rPr>
        <w:t>）、《关于收到</w:t>
      </w:r>
      <w:r>
        <w:rPr>
          <w:rFonts w:ascii="Times New Roman" w:hAnsi="Times New Roman" w:cs="Times New Roman" w:eastAsia="Times New Roman" w:hint="default"/>
          <w:spacing w:val="-2"/>
        </w:rPr>
        <w:t>&lt;</w:t>
      </w:r>
      <w:r>
        <w:rPr>
          <w:spacing w:val="-2"/>
        </w:rPr>
        <w:t>中国证监会行政许可项目审查一次反</w:t>
      </w:r>
      <w:r>
        <w:rPr>
          <w:spacing w:val="48"/>
        </w:rPr>
        <w:t> </w:t>
      </w:r>
      <w:r>
        <w:rPr>
          <w:spacing w:val="48"/>
        </w:rPr>
      </w:r>
      <w:r>
        <w:rPr>
          <w:spacing w:val="-3"/>
        </w:rPr>
        <w:t>馈意见通知书</w:t>
      </w:r>
      <w:r>
        <w:rPr>
          <w:rFonts w:ascii="Times New Roman" w:hAnsi="Times New Roman" w:cs="Times New Roman" w:eastAsia="Times New Roman" w:hint="default"/>
          <w:spacing w:val="-3"/>
        </w:rPr>
        <w:t>&gt;</w:t>
      </w:r>
      <w:r>
        <w:rPr>
          <w:spacing w:val="-3"/>
        </w:rPr>
        <w:t>的公告》（公告编号：</w:t>
      </w:r>
      <w:r>
        <w:rPr>
          <w:rFonts w:ascii="Times New Roman" w:hAnsi="Times New Roman" w:cs="Times New Roman" w:eastAsia="Times New Roman" w:hint="default"/>
          <w:spacing w:val="-3"/>
        </w:rPr>
        <w:t>2019-056</w:t>
      </w:r>
      <w:r>
        <w:rPr>
          <w:spacing w:val="-3"/>
        </w:rPr>
        <w:t>）、《关于</w:t>
      </w:r>
      <w:r>
        <w:rPr>
          <w:rFonts w:ascii="Times New Roman" w:hAnsi="Times New Roman" w:cs="Times New Roman" w:eastAsia="Times New Roman" w:hint="default"/>
          <w:spacing w:val="-3"/>
        </w:rPr>
        <w:t>&lt;</w:t>
      </w:r>
      <w:r>
        <w:rPr>
          <w:spacing w:val="-3"/>
        </w:rPr>
        <w:t>中国证监会行政许可项目审查一次反馈意见通知书</w:t>
      </w:r>
      <w:r>
        <w:rPr>
          <w:rFonts w:ascii="Times New Roman" w:hAnsi="Times New Roman" w:cs="Times New Roman" w:eastAsia="Times New Roman" w:hint="default"/>
          <w:spacing w:val="-3"/>
        </w:rPr>
        <w:t>&gt;</w:t>
      </w:r>
      <w:r>
        <w:rPr>
          <w:spacing w:val="-3"/>
        </w:rPr>
        <w:t>之反馈意见</w:t>
      </w:r>
      <w:r>
        <w:rPr>
          <w:spacing w:val="83"/>
        </w:rPr>
        <w:t> </w:t>
      </w:r>
      <w:r>
        <w:rPr>
          <w:spacing w:val="83"/>
        </w:rPr>
      </w:r>
      <w:r>
        <w:rPr>
          <w:spacing w:val="-4"/>
        </w:rPr>
        <w:t>回复的公告》（公告编号：</w:t>
      </w:r>
      <w:r>
        <w:rPr>
          <w:rFonts w:ascii="Times New Roman" w:hAnsi="Times New Roman" w:cs="Times New Roman" w:eastAsia="Times New Roman" w:hint="default"/>
          <w:spacing w:val="-4"/>
        </w:rPr>
        <w:t>2019-059</w:t>
      </w:r>
      <w:r>
        <w:rPr>
          <w:spacing w:val="-4"/>
        </w:rPr>
        <w:t>）、《关于</w:t>
      </w:r>
      <w:r>
        <w:rPr>
          <w:rFonts w:ascii="Times New Roman" w:hAnsi="Times New Roman" w:cs="Times New Roman" w:eastAsia="Times New Roman" w:hint="default"/>
          <w:spacing w:val="-4"/>
        </w:rPr>
        <w:t>&lt;</w:t>
      </w:r>
      <w:r>
        <w:rPr>
          <w:spacing w:val="-4"/>
        </w:rPr>
        <w:t>中国证监会行政许可项目审查一次反馈意见通知书</w:t>
      </w:r>
      <w:r>
        <w:rPr>
          <w:rFonts w:ascii="Times New Roman" w:hAnsi="Times New Roman" w:cs="Times New Roman" w:eastAsia="Times New Roman" w:hint="default"/>
          <w:spacing w:val="-4"/>
        </w:rPr>
        <w:t>&gt;</w:t>
      </w:r>
      <w:r>
        <w:rPr>
          <w:spacing w:val="-4"/>
        </w:rPr>
        <w:t>之反馈意见回复修订的</w:t>
      </w:r>
      <w:r>
        <w:rPr>
          <w:spacing w:val="68"/>
        </w:rPr>
        <w:t> </w:t>
      </w:r>
      <w:r>
        <w:rPr>
          <w:spacing w:val="68"/>
        </w:rPr>
      </w:r>
      <w:r>
        <w:rPr>
          <w:spacing w:val="-10"/>
          <w:w w:val="101"/>
        </w:rPr>
        <w:t>公告》（公告编号：</w:t>
      </w:r>
      <w:r>
        <w:rPr>
          <w:rFonts w:ascii="Times New Roman" w:hAnsi="Times New Roman" w:cs="Times New Roman" w:eastAsia="Times New Roman" w:hint="default"/>
          <w:spacing w:val="-10"/>
          <w:w w:val="101"/>
        </w:rPr>
        <w:t>2019-064</w:t>
      </w:r>
      <w:r>
        <w:rPr>
          <w:spacing w:val="-10"/>
          <w:w w:val="101"/>
        </w:rPr>
        <w:t>）、《关于公司非公开发行股票发审委会议准备工作告知函回复的公告》（公告编号：</w:t>
      </w:r>
      <w:r>
        <w:rPr>
          <w:rFonts w:ascii="Times New Roman" w:hAnsi="Times New Roman" w:cs="Times New Roman" w:eastAsia="Times New Roman" w:hint="default"/>
          <w:spacing w:val="-10"/>
          <w:w w:val="101"/>
        </w:rPr>
        <w:t>2019-069</w:t>
      </w:r>
      <w:r>
        <w:rPr>
          <w:spacing w:val="-10"/>
          <w:w w:val="101"/>
        </w:rPr>
        <w:t>）、</w:t>
      </w:r>
      <w:r>
        <w:rPr/>
      </w:r>
    </w:p>
    <w:p>
      <w:pPr>
        <w:pStyle w:val="BodyText"/>
        <w:spacing w:line="300" w:lineRule="auto" w:before="13"/>
        <w:ind w:right="1122"/>
        <w:jc w:val="both"/>
      </w:pPr>
      <w:r>
        <w:rPr>
          <w:spacing w:val="-4"/>
        </w:rPr>
        <w:t>《关于非公开发行股票预案修订情况说明的公告》（公告编号：</w:t>
      </w:r>
      <w:r>
        <w:rPr>
          <w:rFonts w:ascii="Times New Roman" w:hAnsi="Times New Roman" w:cs="Times New Roman" w:eastAsia="Times New Roman" w:hint="default"/>
          <w:spacing w:val="-4"/>
        </w:rPr>
        <w:t>2019-077</w:t>
      </w:r>
      <w:r>
        <w:rPr>
          <w:spacing w:val="-4"/>
        </w:rPr>
        <w:t>）、《关于非公开发行股票申请获得中国证监会发</w:t>
      </w:r>
      <w:r>
        <w:rPr>
          <w:spacing w:val="1"/>
        </w:rPr>
        <w:t> </w:t>
      </w:r>
      <w:r>
        <w:rPr>
          <w:spacing w:val="1"/>
        </w:rPr>
      </w:r>
      <w:r>
        <w:rPr>
          <w:spacing w:val="-7"/>
        </w:rPr>
        <w:t>行审核委员会审核通过的公告》（公告编号：</w:t>
      </w:r>
      <w:r>
        <w:rPr>
          <w:rFonts w:ascii="Times New Roman" w:hAnsi="Times New Roman" w:cs="Times New Roman" w:eastAsia="Times New Roman" w:hint="default"/>
          <w:spacing w:val="-7"/>
        </w:rPr>
        <w:t>2019-079</w:t>
      </w:r>
      <w:r>
        <w:rPr>
          <w:spacing w:val="-7"/>
        </w:rPr>
        <w:t>）、《关于非公开发行股票申请获得中国证监会核准批复的公告》（公</w:t>
      </w:r>
      <w:r>
        <w:rPr/>
        <w:t> </w:t>
      </w:r>
      <w:r>
        <w:rPr/>
      </w:r>
      <w:r>
        <w:rPr>
          <w:spacing w:val="-3"/>
        </w:rPr>
        <w:t>告编号：</w:t>
      </w:r>
      <w:r>
        <w:rPr>
          <w:rFonts w:ascii="Times New Roman" w:hAnsi="Times New Roman" w:cs="Times New Roman" w:eastAsia="Times New Roman" w:hint="default"/>
          <w:spacing w:val="-3"/>
        </w:rPr>
        <w:t>2020-003</w:t>
      </w:r>
      <w:r>
        <w:rPr>
          <w:spacing w:val="-3"/>
        </w:rPr>
        <w:t>）、《关于确定非公开发行股票发行价格及签订认购协议的提示性公告》（公告编号：</w:t>
      </w:r>
      <w:r>
        <w:rPr>
          <w:rFonts w:ascii="Times New Roman" w:hAnsi="Times New Roman" w:cs="Times New Roman" w:eastAsia="Times New Roman" w:hint="default"/>
          <w:spacing w:val="-3"/>
        </w:rPr>
        <w:t>2020-007</w:t>
      </w:r>
      <w:r>
        <w:rPr>
          <w:spacing w:val="-3"/>
        </w:rPr>
        <w:t>）、《非</w:t>
      </w:r>
      <w:r>
        <w:rPr>
          <w:spacing w:val="62"/>
        </w:rPr>
        <w:t> </w:t>
      </w:r>
      <w:r>
        <w:rPr>
          <w:spacing w:val="-3"/>
        </w:rPr>
        <w:t>公开发行</w:t>
      </w:r>
      <w:r>
        <w:rPr>
          <w:rFonts w:ascii="Times New Roman" w:hAnsi="Times New Roman" w:cs="Times New Roman" w:eastAsia="Times New Roman" w:hint="default"/>
          <w:spacing w:val="-3"/>
        </w:rPr>
        <w:t>A</w:t>
      </w:r>
      <w:r>
        <w:rPr>
          <w:spacing w:val="-3"/>
        </w:rPr>
        <w:t>股股票新增股份变动报告及上市公告书》等相关公告。</w:t>
      </w:r>
    </w:p>
    <w:p>
      <w:pPr>
        <w:pStyle w:val="BodyText"/>
        <w:spacing w:line="343" w:lineRule="auto" w:before="51"/>
        <w:ind w:left="513" w:right="855"/>
        <w:jc w:val="left"/>
      </w:pPr>
      <w:r>
        <w:rPr>
          <w:rFonts w:ascii="Times New Roman" w:hAnsi="Times New Roman" w:cs="Times New Roman" w:eastAsia="Times New Roman" w:hint="default"/>
          <w:spacing w:val="-3"/>
        </w:rPr>
        <w:t>2</w:t>
      </w:r>
      <w:r>
        <w:rPr>
          <w:spacing w:val="-3"/>
        </w:rPr>
        <w:t>、国有股权无偿划转事宜</w:t>
      </w:r>
      <w:r>
        <w:rPr>
          <w:spacing w:val="-52"/>
        </w:rPr>
        <w:t> </w:t>
      </w:r>
      <w:r>
        <w:rPr>
          <w:spacing w:val="-52"/>
        </w:rPr>
      </w:r>
      <w:r>
        <w:rPr>
          <w:spacing w:val="-5"/>
          <w:w w:val="101"/>
        </w:rPr>
        <w:t>南天信息因原控股股东南天集团所持公司股权无偿划转至公司原第二大股东工投集团，将导致工投集团直接持有南天信</w:t>
      </w:r>
      <w:r>
        <w:rPr>
          <w:spacing w:val="-5"/>
        </w:rPr>
      </w:r>
    </w:p>
    <w:p>
      <w:pPr>
        <w:pStyle w:val="BodyText"/>
        <w:spacing w:line="309" w:lineRule="auto"/>
        <w:ind w:right="1123"/>
        <w:jc w:val="both"/>
      </w:pPr>
      <w:r>
        <w:rPr>
          <w:spacing w:val="-4"/>
        </w:rPr>
        <w:t>息的股权超过</w:t>
      </w:r>
      <w:r>
        <w:rPr>
          <w:rFonts w:ascii="Times New Roman" w:hAnsi="Times New Roman" w:cs="Times New Roman" w:eastAsia="Times New Roman" w:hint="default"/>
          <w:spacing w:val="-4"/>
        </w:rPr>
        <w:t>30%</w:t>
      </w:r>
      <w:r>
        <w:rPr>
          <w:spacing w:val="-4"/>
        </w:rPr>
        <w:t>，而触发要约收购。工投集团根据《上市公司收购管理办法》等法律法规的相关规定，向中国证监会上报</w:t>
      </w:r>
      <w:r>
        <w:rPr>
          <w:spacing w:val="75"/>
        </w:rPr>
        <w:t> </w:t>
      </w:r>
      <w:r>
        <w:rPr>
          <w:spacing w:val="75"/>
        </w:rPr>
      </w:r>
      <w:r>
        <w:rPr>
          <w:spacing w:val="-4"/>
        </w:rPr>
        <w:t>了《要约收购义务豁免核准》申请文件。报告期内，工投集团申请豁免要约收购义务获得中国证监会核准，并办理完成股份</w:t>
      </w:r>
      <w:r>
        <w:rPr>
          <w:spacing w:val="40"/>
        </w:rPr>
        <w:t> </w:t>
      </w:r>
      <w:r>
        <w:rPr>
          <w:spacing w:val="40"/>
        </w:rPr>
      </w:r>
      <w:r>
        <w:rPr>
          <w:spacing w:val="-3"/>
        </w:rPr>
        <w:t>过户登记手续。</w:t>
      </w:r>
    </w:p>
    <w:p>
      <w:pPr>
        <w:pStyle w:val="BodyText"/>
        <w:spacing w:line="300" w:lineRule="auto" w:before="24"/>
        <w:ind w:right="855" w:firstLine="360"/>
        <w:jc w:val="left"/>
      </w:pPr>
      <w:r>
        <w:rPr>
          <w:spacing w:val="-3"/>
        </w:rPr>
        <w:t>南天集团持有南天信息</w:t>
      </w:r>
      <w:r>
        <w:rPr>
          <w:rFonts w:ascii="Times New Roman" w:hAnsi="Times New Roman" w:cs="Times New Roman" w:eastAsia="Times New Roman" w:hint="default"/>
          <w:spacing w:val="-3"/>
        </w:rPr>
        <w:t>64,367,006</w:t>
      </w:r>
      <w:r>
        <w:rPr>
          <w:spacing w:val="-3"/>
        </w:rPr>
        <w:t>股股份已于</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2</w:t>
      </w:r>
      <w:r>
        <w:rPr>
          <w:spacing w:val="-3"/>
        </w:rPr>
        <w:t>月</w:t>
      </w:r>
      <w:r>
        <w:rPr>
          <w:rFonts w:ascii="Times New Roman" w:hAnsi="Times New Roman" w:cs="Times New Roman" w:eastAsia="Times New Roman" w:hint="default"/>
          <w:spacing w:val="-3"/>
        </w:rPr>
        <w:t>1</w:t>
      </w:r>
      <w:r>
        <w:rPr>
          <w:spacing w:val="-3"/>
        </w:rPr>
        <w:t>日过户至工投集团。本次过户完成后，工投集团直接持有南天</w:t>
      </w:r>
      <w:r>
        <w:rPr>
          <w:w w:val="101"/>
        </w:rPr>
        <w:t> </w:t>
      </w:r>
      <w:r>
        <w:rPr>
          <w:spacing w:val="-3"/>
        </w:rPr>
        <w:t>信息</w:t>
      </w:r>
      <w:r>
        <w:rPr>
          <w:rFonts w:ascii="Times New Roman" w:hAnsi="Times New Roman" w:cs="Times New Roman" w:eastAsia="Times New Roman" w:hint="default"/>
          <w:spacing w:val="-3"/>
        </w:rPr>
        <w:t>87,237,219</w:t>
      </w:r>
      <w:r>
        <w:rPr>
          <w:spacing w:val="-3"/>
        </w:rPr>
        <w:t>股股份（全部为无限售流通股），占南天信息总股本的</w:t>
      </w:r>
      <w:r>
        <w:rPr>
          <w:rFonts w:ascii="Times New Roman" w:hAnsi="Times New Roman" w:cs="Times New Roman" w:eastAsia="Times New Roman" w:hint="default"/>
          <w:spacing w:val="-3"/>
        </w:rPr>
        <w:t>35.38%</w:t>
      </w:r>
      <w:r>
        <w:rPr>
          <w:spacing w:val="-3"/>
        </w:rPr>
        <w:t>，成为南天信息的控股股东；南天集团持有南</w:t>
      </w:r>
      <w:r>
        <w:rPr/>
        <w:t> </w:t>
      </w:r>
      <w:r>
        <w:rPr/>
      </w:r>
      <w:r>
        <w:rPr>
          <w:spacing w:val="-3"/>
        </w:rPr>
        <w:t>天信息</w:t>
      </w:r>
      <w:r>
        <w:rPr>
          <w:rFonts w:ascii="Times New Roman" w:hAnsi="Times New Roman" w:cs="Times New Roman" w:eastAsia="Times New Roman" w:hint="default"/>
          <w:spacing w:val="-3"/>
        </w:rPr>
        <w:t>1,914,025</w:t>
      </w:r>
      <w:r>
        <w:rPr>
          <w:spacing w:val="-3"/>
        </w:rPr>
        <w:t>股股份（全部为无限售流通股，含南天信息管理层委托南天集团通过其资产管理计划增持的股份</w:t>
      </w:r>
      <w:r>
        <w:rPr>
          <w:rFonts w:ascii="Times New Roman" w:hAnsi="Times New Roman" w:cs="Times New Roman" w:eastAsia="Times New Roman" w:hint="default"/>
          <w:spacing w:val="-3"/>
        </w:rPr>
        <w:t>9,047</w:t>
      </w:r>
      <w:r>
        <w:rPr>
          <w:spacing w:val="-3"/>
        </w:rPr>
        <w:t>股），</w:t>
      </w:r>
      <w:r>
        <w:rPr>
          <w:spacing w:val="53"/>
        </w:rPr>
        <w:t> </w:t>
      </w:r>
      <w:r>
        <w:rPr>
          <w:spacing w:val="53"/>
        </w:rPr>
      </w:r>
      <w:r>
        <w:rPr>
          <w:spacing w:val="-3"/>
        </w:rPr>
        <w:t>占南天信息总股本的</w:t>
      </w:r>
      <w:r>
        <w:rPr>
          <w:rFonts w:ascii="Times New Roman" w:hAnsi="Times New Roman" w:cs="Times New Roman" w:eastAsia="Times New Roman" w:hint="default"/>
          <w:spacing w:val="-3"/>
        </w:rPr>
        <w:t>0.78%</w:t>
      </w:r>
      <w:r>
        <w:rPr>
          <w:spacing w:val="-3"/>
        </w:rPr>
        <w:t>。至此，公司本次控股股东国有股权无偿划转事项已全部完成。公司控股股东由南天集团变为工</w:t>
      </w:r>
      <w:r>
        <w:rPr>
          <w:spacing w:val="70"/>
        </w:rPr>
        <w:t> </w:t>
      </w:r>
      <w:r>
        <w:rPr>
          <w:spacing w:val="70"/>
        </w:rPr>
      </w:r>
      <w:r>
        <w:rPr>
          <w:spacing w:val="-3"/>
        </w:rPr>
        <w:t>投集团，公司实际控制人无变化，仍为省国资委。</w:t>
      </w:r>
    </w:p>
    <w:p>
      <w:pPr>
        <w:pStyle w:val="BodyText"/>
        <w:spacing w:line="300" w:lineRule="auto" w:before="31"/>
        <w:ind w:right="1121" w:firstLine="360"/>
        <w:jc w:val="both"/>
      </w:pPr>
      <w:r>
        <w:rPr>
          <w:spacing w:val="-3"/>
        </w:rPr>
        <w:t>具体内容详见公司分别于</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11</w:t>
      </w:r>
      <w:r>
        <w:rPr>
          <w:spacing w:val="-3"/>
        </w:rPr>
        <w:t>月</w:t>
      </w:r>
      <w:r>
        <w:rPr>
          <w:rFonts w:ascii="Times New Roman" w:hAnsi="Times New Roman" w:cs="Times New Roman" w:eastAsia="Times New Roman" w:hint="default"/>
          <w:spacing w:val="-3"/>
        </w:rPr>
        <w:t>9</w:t>
      </w:r>
      <w:r>
        <w:rPr>
          <w:spacing w:val="-3"/>
        </w:rPr>
        <w:t>日、</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11</w:t>
      </w:r>
      <w:r>
        <w:rPr>
          <w:spacing w:val="-3"/>
        </w:rPr>
        <w:t>月</w:t>
      </w:r>
      <w:r>
        <w:rPr>
          <w:rFonts w:ascii="Times New Roman" w:hAnsi="Times New Roman" w:cs="Times New Roman" w:eastAsia="Times New Roman" w:hint="default"/>
          <w:spacing w:val="-3"/>
        </w:rPr>
        <w:t>23</w:t>
      </w:r>
      <w:r>
        <w:rPr>
          <w:spacing w:val="-3"/>
        </w:rPr>
        <w:t>日、</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11</w:t>
      </w:r>
      <w:r>
        <w:rPr>
          <w:spacing w:val="-3"/>
        </w:rPr>
        <w:t>月</w:t>
      </w:r>
      <w:r>
        <w:rPr>
          <w:rFonts w:ascii="Times New Roman" w:hAnsi="Times New Roman" w:cs="Times New Roman" w:eastAsia="Times New Roman" w:hint="default"/>
          <w:spacing w:val="-3"/>
        </w:rPr>
        <w:t>24</w:t>
      </w:r>
      <w:r>
        <w:rPr>
          <w:spacing w:val="-3"/>
        </w:rPr>
        <w:t>日、</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25</w:t>
      </w:r>
      <w:r>
        <w:rPr>
          <w:spacing w:val="-3"/>
        </w:rPr>
        <w:t>日、</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1</w:t>
      </w:r>
      <w:r>
        <w:rPr>
          <w:spacing w:val="-3"/>
        </w:rPr>
        <w:t>月</w:t>
      </w:r>
      <w:r>
        <w:rPr>
          <w:rFonts w:ascii="Times New Roman" w:hAnsi="Times New Roman" w:cs="Times New Roman" w:eastAsia="Times New Roman" w:hint="default"/>
          <w:spacing w:val="-3"/>
        </w:rPr>
        <w:t>11</w:t>
      </w:r>
      <w:r>
        <w:rPr>
          <w:spacing w:val="-3"/>
        </w:rPr>
        <w:t>日、</w:t>
      </w:r>
      <w:r>
        <w:rPr>
          <w:rFonts w:ascii="Times New Roman" w:hAnsi="Times New Roman" w:cs="Times New Roman" w:eastAsia="Times New Roman" w:hint="default"/>
          <w:spacing w:val="-3"/>
        </w:rPr>
        <w:t>2019</w:t>
      </w:r>
      <w:r>
        <w:rPr>
          <w:rFonts w:ascii="Times New Roman" w:hAnsi="Times New Roman" w:cs="Times New Roman" w:eastAsia="Times New Roman" w:hint="default"/>
          <w:w w:val="101"/>
        </w:rPr>
        <w:t> </w:t>
      </w:r>
      <w:r>
        <w:rPr>
          <w:spacing w:val="-4"/>
        </w:rPr>
        <w:t>年</w:t>
      </w:r>
      <w:r>
        <w:rPr>
          <w:rFonts w:ascii="Times New Roman" w:hAnsi="Times New Roman" w:cs="Times New Roman" w:eastAsia="Times New Roman" w:hint="default"/>
          <w:spacing w:val="-4"/>
        </w:rPr>
        <w:t>2</w:t>
      </w:r>
      <w:r>
        <w:rPr>
          <w:spacing w:val="-4"/>
        </w:rPr>
        <w:t>月</w:t>
      </w:r>
      <w:r>
        <w:rPr>
          <w:rFonts w:ascii="Times New Roman" w:hAnsi="Times New Roman" w:cs="Times New Roman" w:eastAsia="Times New Roman" w:hint="default"/>
          <w:spacing w:val="-4"/>
        </w:rPr>
        <w:t>12</w:t>
      </w:r>
      <w:r>
        <w:rPr>
          <w:spacing w:val="-4"/>
        </w:rPr>
        <w:t>日刊登在《证券时报》《中国证券报》《上海证券报》《证券日报》和巨潮资讯网</w:t>
      </w:r>
      <w:hyperlink r:id="rId15">
        <w:r>
          <w:rPr>
            <w:rFonts w:ascii="Times New Roman" w:hAnsi="Times New Roman" w:cs="Times New Roman" w:eastAsia="Times New Roman" w:hint="default"/>
            <w:spacing w:val="-4"/>
          </w:rPr>
          <w:t>http://www.cninfo.com.cn</w:t>
        </w:r>
        <w:r>
          <w:rPr>
            <w:spacing w:val="-4"/>
          </w:rPr>
          <w:t>上的</w:t>
        </w:r>
      </w:hyperlink>
      <w:r>
        <w:rPr>
          <w:spacing w:val="-4"/>
        </w:rPr>
        <w:t>《关</w:t>
      </w:r>
      <w:r>
        <w:rPr>
          <w:spacing w:val="4"/>
        </w:rPr>
        <w:t> </w:t>
      </w:r>
      <w:r>
        <w:rPr>
          <w:spacing w:val="4"/>
        </w:rPr>
      </w:r>
      <w:r>
        <w:rPr>
          <w:spacing w:val="-4"/>
        </w:rPr>
        <w:t>于控股股东国有股权无偿划转的提示性公告》（公告编号：</w:t>
      </w:r>
      <w:r>
        <w:rPr>
          <w:rFonts w:ascii="Times New Roman" w:hAnsi="Times New Roman" w:cs="Times New Roman" w:eastAsia="Times New Roman" w:hint="default"/>
          <w:spacing w:val="-4"/>
        </w:rPr>
        <w:t>2018-068</w:t>
      </w:r>
      <w:r>
        <w:rPr>
          <w:spacing w:val="-4"/>
        </w:rPr>
        <w:t>）、《关于云南省工业投资控股集团有限责任公司要约</w:t>
      </w:r>
    </w:p>
    <w:p>
      <w:pPr>
        <w:spacing w:after="0" w:line="300" w:lineRule="auto"/>
        <w:jc w:val="both"/>
        <w:sectPr>
          <w:pgSz w:w="11910" w:h="16840"/>
          <w:pgMar w:header="746" w:footer="974" w:top="1060" w:bottom="1160" w:left="980" w:right="0"/>
        </w:sectPr>
      </w:pPr>
    </w:p>
    <w:p>
      <w:pPr>
        <w:spacing w:line="240" w:lineRule="auto" w:before="9"/>
        <w:rPr>
          <w:rFonts w:ascii="宋体" w:hAnsi="宋体" w:cs="宋体" w:eastAsia="宋体" w:hint="default"/>
          <w:sz w:val="25"/>
          <w:szCs w:val="25"/>
        </w:rPr>
      </w:pPr>
    </w:p>
    <w:p>
      <w:pPr>
        <w:pStyle w:val="BodyText"/>
        <w:spacing w:line="300" w:lineRule="auto" w:before="46"/>
        <w:ind w:right="1031"/>
        <w:jc w:val="left"/>
      </w:pPr>
      <w:r>
        <w:rPr>
          <w:spacing w:val="-4"/>
        </w:rPr>
        <w:t>收购义务豁免申请获得中国证监会受理的公告》（公告编号：</w:t>
      </w:r>
      <w:r>
        <w:rPr>
          <w:rFonts w:ascii="Times New Roman" w:hAnsi="Times New Roman" w:cs="Times New Roman" w:eastAsia="Times New Roman" w:hint="default"/>
          <w:spacing w:val="-4"/>
        </w:rPr>
        <w:t>2018-071</w:t>
      </w:r>
      <w:r>
        <w:rPr>
          <w:spacing w:val="-4"/>
        </w:rPr>
        <w:t>）、《关于工投集团申请豁免要约收购义务获得中国</w:t>
      </w:r>
      <w:r>
        <w:rPr>
          <w:spacing w:val="2"/>
        </w:rPr>
        <w:t> </w:t>
      </w:r>
      <w:r>
        <w:rPr>
          <w:spacing w:val="2"/>
        </w:rPr>
      </w:r>
      <w:r>
        <w:rPr>
          <w:spacing w:val="-5"/>
        </w:rPr>
        <w:t>证监会核准的公告》（公告编号：</w:t>
      </w:r>
      <w:r>
        <w:rPr>
          <w:rFonts w:ascii="Times New Roman" w:hAnsi="Times New Roman" w:cs="Times New Roman" w:eastAsia="Times New Roman" w:hint="default"/>
          <w:spacing w:val="-5"/>
        </w:rPr>
        <w:t>2019-003</w:t>
      </w:r>
      <w:r>
        <w:rPr>
          <w:spacing w:val="-5"/>
        </w:rPr>
        <w:t>）、《关于控股股东国有股权无偿划转完成过户登记暨控股股东发生变更的公告》</w:t>
      </w:r>
    </w:p>
    <w:p>
      <w:pPr>
        <w:pStyle w:val="BodyText"/>
        <w:spacing w:line="240" w:lineRule="auto" w:before="13"/>
        <w:ind w:right="0"/>
        <w:jc w:val="both"/>
      </w:pPr>
      <w:r>
        <w:rPr/>
        <w:t>（公告编号：</w:t>
      </w:r>
      <w:r>
        <w:rPr>
          <w:rFonts w:ascii="Times New Roman" w:hAnsi="Times New Roman" w:cs="Times New Roman" w:eastAsia="Times New Roman" w:hint="default"/>
        </w:rPr>
        <w:t>2019-009</w:t>
      </w:r>
      <w:r>
        <w:rPr/>
        <w:t>）等相关公告。</w:t>
      </w:r>
    </w:p>
    <w:p>
      <w:pPr>
        <w:pStyle w:val="BodyText"/>
        <w:spacing w:line="300" w:lineRule="auto" w:before="63"/>
        <w:ind w:left="513" w:right="855"/>
        <w:jc w:val="left"/>
      </w:pPr>
      <w:r>
        <w:rPr>
          <w:rFonts w:ascii="Times New Roman" w:hAnsi="Times New Roman" w:cs="Times New Roman" w:eastAsia="Times New Roman" w:hint="default"/>
        </w:rPr>
        <w:t>3</w:t>
      </w:r>
      <w:r>
        <w:rPr/>
        <w:t>、工投集团混合所有制改革事宜</w:t>
      </w:r>
      <w:r>
        <w:rPr>
          <w:spacing w:val="-86"/>
        </w:rPr>
        <w:t> </w:t>
      </w:r>
      <w:r>
        <w:rPr>
          <w:spacing w:val="-86"/>
        </w:rPr>
      </w:r>
      <w:r>
        <w:rPr>
          <w:spacing w:val="-4"/>
        </w:rPr>
        <w:t>省国资委拟在公司控股股东工投集团层面引入战略投资者，开展工投集团混合所有制改革相关工作，南天信息可能因工</w:t>
      </w:r>
    </w:p>
    <w:p>
      <w:pPr>
        <w:pStyle w:val="BodyText"/>
        <w:spacing w:line="300" w:lineRule="auto" w:before="31"/>
        <w:ind w:right="1124"/>
        <w:jc w:val="both"/>
      </w:pPr>
      <w:r>
        <w:rPr>
          <w:spacing w:val="-3"/>
        </w:rPr>
        <w:t>投集团混合所有制改革引入战略投资者而导致实际控制人发生变化。公司于</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9</w:t>
      </w:r>
      <w:r>
        <w:rPr>
          <w:spacing w:val="-3"/>
        </w:rPr>
        <w:t>月</w:t>
      </w:r>
      <w:r>
        <w:rPr>
          <w:rFonts w:ascii="Times New Roman" w:hAnsi="Times New Roman" w:cs="Times New Roman" w:eastAsia="Times New Roman" w:hint="default"/>
          <w:spacing w:val="-3"/>
        </w:rPr>
        <w:t>17</w:t>
      </w:r>
      <w:r>
        <w:rPr>
          <w:spacing w:val="-3"/>
        </w:rPr>
        <w:t>日披露了《关于大股东混合所有制</w:t>
      </w:r>
      <w:r>
        <w:rPr>
          <w:spacing w:val="80"/>
        </w:rPr>
        <w:t> </w:t>
      </w:r>
      <w:r>
        <w:rPr>
          <w:spacing w:val="80"/>
        </w:rPr>
      </w:r>
      <w:r>
        <w:rPr>
          <w:spacing w:val="-4"/>
        </w:rPr>
        <w:t>改革进展情况暨风险提示公告》（公告编号：</w:t>
      </w:r>
      <w:r>
        <w:rPr>
          <w:rFonts w:ascii="Times New Roman" w:hAnsi="Times New Roman" w:cs="Times New Roman" w:eastAsia="Times New Roman" w:hint="default"/>
          <w:spacing w:val="-4"/>
        </w:rPr>
        <w:t>2019-053</w:t>
      </w:r>
      <w:r>
        <w:rPr>
          <w:spacing w:val="-4"/>
        </w:rPr>
        <w:t>），由于客观环境发生了较大变化，云南省工业投资控股集团有限责</w:t>
      </w:r>
      <w:r>
        <w:rPr>
          <w:spacing w:val="1"/>
        </w:rPr>
        <w:t> </w:t>
      </w:r>
      <w:r>
        <w:rPr>
          <w:spacing w:val="1"/>
        </w:rPr>
      </w:r>
      <w:r>
        <w:rPr>
          <w:spacing w:val="-3"/>
        </w:rPr>
        <w:t>任公司本次混合所有制改革工作已阶段性终止。</w:t>
      </w:r>
    </w:p>
    <w:p>
      <w:pPr>
        <w:pStyle w:val="BodyText"/>
        <w:spacing w:line="300" w:lineRule="auto" w:before="75"/>
        <w:ind w:right="1030" w:firstLine="360"/>
        <w:jc w:val="left"/>
      </w:pPr>
      <w:r>
        <w:rPr>
          <w:spacing w:val="-2"/>
        </w:rPr>
        <w:t>具体内容详见公司分别于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9</w:t>
      </w:r>
      <w:r>
        <w:rPr>
          <w:spacing w:val="-2"/>
        </w:rPr>
        <w:t>日、</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10</w:t>
      </w:r>
      <w:r>
        <w:rPr>
          <w:spacing w:val="-2"/>
        </w:rPr>
        <w:t>日、</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10</w:t>
      </w:r>
      <w:r>
        <w:rPr>
          <w:spacing w:val="-2"/>
        </w:rPr>
        <w:t>日、</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12</w:t>
      </w:r>
      <w:r>
        <w:rPr>
          <w:spacing w:val="-2"/>
        </w:rPr>
        <w:t>日、</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10</w:t>
      </w:r>
      <w:r>
        <w:rPr>
          <w:spacing w:val="-2"/>
        </w:rPr>
        <w:t>日、</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8</w:t>
      </w:r>
      <w:r>
        <w:rPr>
          <w:rFonts w:ascii="Times New Roman" w:hAnsi="Times New Roman" w:cs="Times New Roman" w:eastAsia="Times New Roman" w:hint="default"/>
          <w:w w:val="101"/>
        </w:rPr>
        <w:t> </w:t>
      </w:r>
      <w:r>
        <w:rPr>
          <w:spacing w:val="-3"/>
        </w:rPr>
        <w:t>月</w:t>
      </w:r>
      <w:r>
        <w:rPr>
          <w:rFonts w:ascii="Times New Roman" w:hAnsi="Times New Roman" w:cs="Times New Roman" w:eastAsia="Times New Roman" w:hint="default"/>
          <w:spacing w:val="-3"/>
        </w:rPr>
        <w:t>10</w:t>
      </w:r>
      <w:r>
        <w:rPr>
          <w:spacing w:val="-3"/>
        </w:rPr>
        <w:t>日、</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9</w:t>
      </w:r>
      <w:r>
        <w:rPr>
          <w:spacing w:val="-3"/>
        </w:rPr>
        <w:t>月</w:t>
      </w:r>
      <w:r>
        <w:rPr>
          <w:rFonts w:ascii="Times New Roman" w:hAnsi="Times New Roman" w:cs="Times New Roman" w:eastAsia="Times New Roman" w:hint="default"/>
          <w:spacing w:val="-3"/>
        </w:rPr>
        <w:t>11</w:t>
      </w:r>
      <w:r>
        <w:rPr>
          <w:spacing w:val="-3"/>
        </w:rPr>
        <w:t>日、</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10</w:t>
      </w:r>
      <w:r>
        <w:rPr>
          <w:spacing w:val="-3"/>
        </w:rPr>
        <w:t>月</w:t>
      </w:r>
      <w:r>
        <w:rPr>
          <w:rFonts w:ascii="Times New Roman" w:hAnsi="Times New Roman" w:cs="Times New Roman" w:eastAsia="Times New Roman" w:hint="default"/>
          <w:spacing w:val="-3"/>
        </w:rPr>
        <w:t>10</w:t>
      </w:r>
      <w:r>
        <w:rPr>
          <w:spacing w:val="-3"/>
        </w:rPr>
        <w:t>日、</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11</w:t>
      </w:r>
      <w:r>
        <w:rPr>
          <w:spacing w:val="-3"/>
        </w:rPr>
        <w:t>月</w:t>
      </w:r>
      <w:r>
        <w:rPr>
          <w:rFonts w:ascii="Times New Roman" w:hAnsi="Times New Roman" w:cs="Times New Roman" w:eastAsia="Times New Roman" w:hint="default"/>
          <w:spacing w:val="-3"/>
        </w:rPr>
        <w:t>10</w:t>
      </w:r>
      <w:r>
        <w:rPr>
          <w:spacing w:val="-3"/>
        </w:rPr>
        <w:t>日、</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11</w:t>
      </w:r>
      <w:r>
        <w:rPr>
          <w:spacing w:val="-3"/>
        </w:rPr>
        <w:t>日、</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1</w:t>
      </w:r>
      <w:r>
        <w:rPr>
          <w:spacing w:val="-3"/>
        </w:rPr>
        <w:t>月</w:t>
      </w:r>
      <w:r>
        <w:rPr>
          <w:rFonts w:ascii="Times New Roman" w:hAnsi="Times New Roman" w:cs="Times New Roman" w:eastAsia="Times New Roman" w:hint="default"/>
          <w:spacing w:val="-3"/>
        </w:rPr>
        <w:t>10</w:t>
      </w:r>
      <w:r>
        <w:rPr>
          <w:spacing w:val="-3"/>
        </w:rPr>
        <w:t>日、</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2</w:t>
      </w:r>
      <w:r>
        <w:rPr>
          <w:spacing w:val="-3"/>
        </w:rPr>
        <w:t>月</w:t>
      </w:r>
      <w:r>
        <w:rPr>
          <w:rFonts w:ascii="Times New Roman" w:hAnsi="Times New Roman" w:cs="Times New Roman" w:eastAsia="Times New Roman" w:hint="default"/>
          <w:spacing w:val="-3"/>
        </w:rPr>
        <w:t>12</w:t>
      </w:r>
      <w:r>
        <w:rPr>
          <w:spacing w:val="-3"/>
        </w:rPr>
        <w:t>日、</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9</w:t>
      </w:r>
      <w:r>
        <w:rPr>
          <w:rFonts w:ascii="Times New Roman" w:hAnsi="Times New Roman" w:cs="Times New Roman" w:eastAsia="Times New Roman" w:hint="default"/>
          <w:spacing w:val="19"/>
        </w:rPr>
        <w:t> </w:t>
      </w:r>
      <w:r>
        <w:rPr>
          <w:spacing w:val="-2"/>
        </w:rPr>
        <w:t>月</w:t>
      </w:r>
      <w:r>
        <w:rPr>
          <w:rFonts w:ascii="Times New Roman" w:hAnsi="Times New Roman" w:cs="Times New Roman" w:eastAsia="Times New Roman" w:hint="default"/>
          <w:spacing w:val="-2"/>
        </w:rPr>
        <w:t>17</w:t>
      </w:r>
      <w:r>
        <w:rPr>
          <w:spacing w:val="-2"/>
        </w:rPr>
        <w:t>日刊登在《证券时报》《中国证券报》《上海证券报》《证券日报》和巨潮资讯网</w:t>
      </w:r>
      <w:hyperlink r:id="rId15">
        <w:r>
          <w:rPr>
            <w:rFonts w:ascii="Times New Roman" w:hAnsi="Times New Roman" w:cs="Times New Roman" w:eastAsia="Times New Roman" w:hint="default"/>
            <w:spacing w:val="-2"/>
          </w:rPr>
          <w:t>http://www.cninfo.com.cn</w:t>
        </w:r>
        <w:r>
          <w:rPr>
            <w:spacing w:val="-2"/>
          </w:rPr>
          <w:t>上的《</w:t>
        </w:r>
      </w:hyperlink>
      <w:r>
        <w:rPr>
          <w:spacing w:val="-2"/>
        </w:rPr>
        <w:t>关于</w:t>
      </w:r>
      <w:r>
        <w:rPr>
          <w:spacing w:val="45"/>
        </w:rPr>
        <w:t> </w:t>
      </w:r>
      <w:r>
        <w:rPr>
          <w:spacing w:val="45"/>
        </w:rPr>
      </w:r>
      <w:r>
        <w:rPr>
          <w:spacing w:val="-4"/>
        </w:rPr>
        <w:t>重大事项进展暨股票复牌公告》（公告编号：</w:t>
      </w:r>
      <w:r>
        <w:rPr>
          <w:rFonts w:ascii="Times New Roman" w:hAnsi="Times New Roman" w:cs="Times New Roman" w:eastAsia="Times New Roman" w:hint="default"/>
          <w:spacing w:val="-4"/>
        </w:rPr>
        <w:t>2018-012</w:t>
      </w:r>
      <w:r>
        <w:rPr>
          <w:spacing w:val="-4"/>
        </w:rPr>
        <w:t>）、《关于大股东混合所有制改革进展情况暨风险提示公告》（公告</w:t>
      </w:r>
      <w:r>
        <w:rPr>
          <w:spacing w:val="3"/>
        </w:rPr>
        <w:t> </w:t>
      </w:r>
      <w:r>
        <w:rPr>
          <w:spacing w:val="3"/>
        </w:rPr>
      </w:r>
      <w:r>
        <w:rPr>
          <w:spacing w:val="-6"/>
        </w:rPr>
        <w:t>编号：</w:t>
      </w:r>
      <w:r>
        <w:rPr>
          <w:rFonts w:ascii="Times New Roman" w:hAnsi="Times New Roman" w:cs="Times New Roman" w:eastAsia="Times New Roman" w:hint="default"/>
          <w:spacing w:val="-6"/>
        </w:rPr>
        <w:t>2018-023</w:t>
      </w:r>
      <w:r>
        <w:rPr>
          <w:spacing w:val="-6"/>
        </w:rPr>
        <w:t>、</w:t>
      </w:r>
      <w:r>
        <w:rPr>
          <w:rFonts w:ascii="Times New Roman" w:hAnsi="Times New Roman" w:cs="Times New Roman" w:eastAsia="Times New Roman" w:hint="default"/>
          <w:spacing w:val="-6"/>
        </w:rPr>
        <w:t>2018-028</w:t>
      </w:r>
      <w:r>
        <w:rPr>
          <w:spacing w:val="-6"/>
        </w:rPr>
        <w:t>、</w:t>
      </w:r>
      <w:r>
        <w:rPr>
          <w:rFonts w:ascii="Times New Roman" w:hAnsi="Times New Roman" w:cs="Times New Roman" w:eastAsia="Times New Roman" w:hint="default"/>
          <w:spacing w:val="-6"/>
        </w:rPr>
        <w:t>2018-038</w:t>
      </w:r>
      <w:r>
        <w:rPr>
          <w:spacing w:val="-6"/>
        </w:rPr>
        <w:t>、</w:t>
      </w:r>
      <w:r>
        <w:rPr>
          <w:rFonts w:ascii="Times New Roman" w:hAnsi="Times New Roman" w:cs="Times New Roman" w:eastAsia="Times New Roman" w:hint="default"/>
          <w:spacing w:val="-6"/>
        </w:rPr>
        <w:t>2018-043</w:t>
      </w:r>
      <w:r>
        <w:rPr>
          <w:spacing w:val="-6"/>
        </w:rPr>
        <w:t>、</w:t>
      </w:r>
      <w:r>
        <w:rPr>
          <w:rFonts w:ascii="Times New Roman" w:hAnsi="Times New Roman" w:cs="Times New Roman" w:eastAsia="Times New Roman" w:hint="default"/>
          <w:spacing w:val="-6"/>
        </w:rPr>
        <w:t>2018-050</w:t>
      </w:r>
      <w:r>
        <w:rPr>
          <w:spacing w:val="-6"/>
        </w:rPr>
        <w:t>、</w:t>
      </w:r>
      <w:r>
        <w:rPr>
          <w:rFonts w:ascii="Times New Roman" w:hAnsi="Times New Roman" w:cs="Times New Roman" w:eastAsia="Times New Roman" w:hint="default"/>
          <w:spacing w:val="-6"/>
        </w:rPr>
        <w:t>2018-057</w:t>
      </w:r>
      <w:r>
        <w:rPr>
          <w:spacing w:val="-6"/>
        </w:rPr>
        <w:t>、</w:t>
      </w:r>
      <w:r>
        <w:rPr>
          <w:rFonts w:ascii="Times New Roman" w:hAnsi="Times New Roman" w:cs="Times New Roman" w:eastAsia="Times New Roman" w:hint="default"/>
          <w:spacing w:val="-6"/>
        </w:rPr>
        <w:t>2018-058</w:t>
      </w:r>
      <w:r>
        <w:rPr>
          <w:spacing w:val="-6"/>
        </w:rPr>
        <w:t>、</w:t>
      </w:r>
      <w:r>
        <w:rPr>
          <w:rFonts w:ascii="Times New Roman" w:hAnsi="Times New Roman" w:cs="Times New Roman" w:eastAsia="Times New Roman" w:hint="default"/>
          <w:spacing w:val="-6"/>
        </w:rPr>
        <w:t>2018-069</w:t>
      </w:r>
      <w:r>
        <w:rPr>
          <w:spacing w:val="-6"/>
        </w:rPr>
        <w:t>、</w:t>
      </w:r>
      <w:r>
        <w:rPr>
          <w:rFonts w:ascii="Times New Roman" w:hAnsi="Times New Roman" w:cs="Times New Roman" w:eastAsia="Times New Roman" w:hint="default"/>
          <w:spacing w:val="-6"/>
        </w:rPr>
        <w:t>2018-078</w:t>
      </w:r>
      <w:r>
        <w:rPr>
          <w:spacing w:val="-6"/>
        </w:rPr>
        <w:t>、</w:t>
      </w:r>
      <w:r>
        <w:rPr>
          <w:rFonts w:ascii="Times New Roman" w:hAnsi="Times New Roman" w:cs="Times New Roman" w:eastAsia="Times New Roman" w:hint="default"/>
          <w:spacing w:val="-6"/>
        </w:rPr>
        <w:t>2019-002</w:t>
      </w:r>
      <w:r>
        <w:rPr>
          <w:spacing w:val="-6"/>
        </w:rPr>
        <w:t>、</w:t>
      </w:r>
      <w:r>
        <w:rPr>
          <w:rFonts w:ascii="Times New Roman" w:hAnsi="Times New Roman" w:cs="Times New Roman" w:eastAsia="Times New Roman" w:hint="default"/>
          <w:spacing w:val="-6"/>
        </w:rPr>
        <w:t>2019-011</w:t>
      </w:r>
      <w:r>
        <w:rPr>
          <w:spacing w:val="-6"/>
        </w:rPr>
        <w:t>、</w:t>
      </w:r>
      <w:r>
        <w:rPr>
          <w:spacing w:val="38"/>
        </w:rPr>
        <w:t> </w:t>
      </w:r>
      <w:r>
        <w:rPr>
          <w:rFonts w:ascii="Times New Roman" w:hAnsi="Times New Roman" w:cs="Times New Roman" w:eastAsia="Times New Roman" w:hint="default"/>
        </w:rPr>
        <w:t>2019-053</w:t>
      </w:r>
      <w:r>
        <w:rPr/>
        <w:t>）。</w:t>
      </w:r>
    </w:p>
    <w:p>
      <w:pPr>
        <w:spacing w:line="240" w:lineRule="auto" w:before="8"/>
        <w:rPr>
          <w:rFonts w:ascii="宋体" w:hAnsi="宋体" w:cs="宋体" w:eastAsia="宋体" w:hint="default"/>
          <w:sz w:val="20"/>
          <w:szCs w:val="20"/>
        </w:rPr>
      </w:pPr>
    </w:p>
    <w:p>
      <w:pPr>
        <w:pStyle w:val="Heading2"/>
        <w:spacing w:line="240" w:lineRule="auto"/>
        <w:ind w:right="0"/>
        <w:jc w:val="both"/>
        <w:rPr>
          <w:b w:val="0"/>
          <w:bCs w:val="0"/>
        </w:rPr>
      </w:pPr>
      <w:r>
        <w:rPr/>
        <w:t>二十、公司子公司重大事项</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1"/>
        </w:rPr>
        <w:t> </w:t>
      </w:r>
      <w:r>
        <w:rPr/>
        <w:t>不适用</w:t>
      </w:r>
    </w:p>
    <w:p>
      <w:pPr>
        <w:pStyle w:val="BodyText"/>
        <w:spacing w:line="300" w:lineRule="auto" w:before="101"/>
        <w:ind w:left="513" w:right="855"/>
        <w:jc w:val="left"/>
      </w:pPr>
      <w:r>
        <w:rPr>
          <w:rFonts w:ascii="Times New Roman" w:hAnsi="Times New Roman" w:cs="Times New Roman" w:eastAsia="Times New Roman" w:hint="default"/>
        </w:rPr>
        <w:t>1</w:t>
      </w:r>
      <w:r>
        <w:rPr/>
        <w:t>、清算全资子公司重庆南天事宜</w:t>
      </w:r>
      <w:r>
        <w:rPr>
          <w:spacing w:val="-86"/>
        </w:rPr>
        <w:t> </w:t>
      </w:r>
      <w:r>
        <w:rPr>
          <w:spacing w:val="-86"/>
        </w:rPr>
      </w:r>
      <w:r>
        <w:rPr>
          <w:spacing w:val="-6"/>
        </w:rPr>
        <w:t>经公司第七届董事会第十六次会议审议同意，为优化公司资产结构，整合公司资源，提高公司管理效率及整体经营效益，</w:t>
      </w:r>
    </w:p>
    <w:p>
      <w:pPr>
        <w:pStyle w:val="BodyText"/>
        <w:spacing w:line="316" w:lineRule="auto" w:before="31"/>
        <w:ind w:right="855"/>
        <w:jc w:val="left"/>
      </w:pPr>
      <w:r>
        <w:rPr>
          <w:spacing w:val="-4"/>
        </w:rPr>
        <w:t>降低运营成本，实现公司健康可持续发展，公司董事会同意清算全资子公司重庆南天，并授权公司管理层办理清算注销的相</w:t>
      </w:r>
      <w:r>
        <w:rPr>
          <w:spacing w:val="43"/>
        </w:rPr>
        <w:t> </w:t>
      </w:r>
      <w:r>
        <w:rPr>
          <w:spacing w:val="43"/>
        </w:rPr>
      </w:r>
      <w:r>
        <w:rPr>
          <w:spacing w:val="-5"/>
        </w:rPr>
        <w:t>关事宜。重庆南天已经完成工商注销登记手续。具体内容详见公司分别于</w:t>
      </w:r>
      <w:r>
        <w:rPr>
          <w:rFonts w:ascii="Times New Roman" w:hAnsi="Times New Roman" w:cs="Times New Roman" w:eastAsia="Times New Roman" w:hint="default"/>
          <w:spacing w:val="-5"/>
        </w:rPr>
        <w:t>2018</w:t>
      </w:r>
      <w:r>
        <w:rPr>
          <w:spacing w:val="-5"/>
        </w:rPr>
        <w:t>年</w:t>
      </w:r>
      <w:r>
        <w:rPr>
          <w:rFonts w:ascii="Times New Roman" w:hAnsi="Times New Roman" w:cs="Times New Roman" w:eastAsia="Times New Roman" w:hint="default"/>
          <w:spacing w:val="-5"/>
        </w:rPr>
        <w:t>10</w:t>
      </w:r>
      <w:r>
        <w:rPr>
          <w:spacing w:val="-5"/>
        </w:rPr>
        <w:t>月</w:t>
      </w:r>
      <w:r>
        <w:rPr>
          <w:rFonts w:ascii="Times New Roman" w:hAnsi="Times New Roman" w:cs="Times New Roman" w:eastAsia="Times New Roman" w:hint="default"/>
          <w:spacing w:val="-5"/>
        </w:rPr>
        <w:t>23</w:t>
      </w:r>
      <w:r>
        <w:rPr>
          <w:spacing w:val="-5"/>
        </w:rPr>
        <w:t>日、</w:t>
      </w:r>
      <w:r>
        <w:rPr>
          <w:rFonts w:ascii="Times New Roman" w:hAnsi="Times New Roman" w:cs="Times New Roman" w:eastAsia="Times New Roman" w:hint="default"/>
          <w:spacing w:val="-5"/>
        </w:rPr>
        <w:t>2019</w:t>
      </w:r>
      <w:r>
        <w:rPr>
          <w:spacing w:val="-5"/>
        </w:rPr>
        <w:t>年</w:t>
      </w:r>
      <w:r>
        <w:rPr>
          <w:rFonts w:ascii="Times New Roman" w:hAnsi="Times New Roman" w:cs="Times New Roman" w:eastAsia="Times New Roman" w:hint="default"/>
          <w:spacing w:val="-5"/>
        </w:rPr>
        <w:t>1</w:t>
      </w:r>
      <w:r>
        <w:rPr>
          <w:spacing w:val="-5"/>
        </w:rPr>
        <w:t>月</w:t>
      </w:r>
      <w:r>
        <w:rPr>
          <w:rFonts w:ascii="Times New Roman" w:hAnsi="Times New Roman" w:cs="Times New Roman" w:eastAsia="Times New Roman" w:hint="default"/>
          <w:spacing w:val="-5"/>
        </w:rPr>
        <w:t>4</w:t>
      </w:r>
      <w:r>
        <w:rPr>
          <w:spacing w:val="-5"/>
        </w:rPr>
        <w:t>日刊登在《证券时报》</w:t>
      </w:r>
    </w:p>
    <w:p>
      <w:pPr>
        <w:pStyle w:val="BodyText"/>
        <w:spacing w:line="300" w:lineRule="auto"/>
        <w:ind w:right="1078"/>
        <w:jc w:val="left"/>
      </w:pPr>
      <w:r>
        <w:rPr>
          <w:spacing w:val="-3"/>
        </w:rPr>
        <w:t>《中国证券报》《上海证券报》《证券日报》和巨潮资讯网</w:t>
      </w:r>
      <w:hyperlink r:id="rId15">
        <w:r>
          <w:rPr>
            <w:rFonts w:ascii="Times New Roman" w:hAnsi="Times New Roman" w:cs="Times New Roman" w:eastAsia="Times New Roman" w:hint="default"/>
            <w:spacing w:val="-3"/>
          </w:rPr>
          <w:t>http://www.cninfo.com.cn</w:t>
        </w:r>
        <w:r>
          <w:rPr>
            <w:spacing w:val="-3"/>
          </w:rPr>
          <w:t>上的《</w:t>
        </w:r>
      </w:hyperlink>
      <w:r>
        <w:rPr>
          <w:spacing w:val="-3"/>
        </w:rPr>
        <w:t>关于清算全资子公司重庆南天数</w:t>
      </w:r>
      <w:r>
        <w:rPr>
          <w:spacing w:val="11"/>
        </w:rPr>
        <w:t> </w:t>
      </w:r>
      <w:r>
        <w:rPr>
          <w:spacing w:val="11"/>
        </w:rPr>
      </w:r>
      <w:r>
        <w:rPr>
          <w:spacing w:val="-10"/>
          <w:w w:val="101"/>
        </w:rPr>
        <w:t>据资讯服务有限公司的公告》（公告编号：</w:t>
      </w:r>
      <w:r>
        <w:rPr>
          <w:rFonts w:ascii="Times New Roman" w:hAnsi="Times New Roman" w:cs="Times New Roman" w:eastAsia="Times New Roman" w:hint="default"/>
          <w:spacing w:val="-10"/>
          <w:w w:val="101"/>
        </w:rPr>
        <w:t>2018-063</w:t>
      </w:r>
      <w:r>
        <w:rPr>
          <w:spacing w:val="-10"/>
          <w:w w:val="101"/>
        </w:rPr>
        <w:t>）、《关于完成全资子公司工商注销登记的公告》（公告编号：</w:t>
      </w:r>
      <w:r>
        <w:rPr>
          <w:rFonts w:ascii="Times New Roman" w:hAnsi="Times New Roman" w:cs="Times New Roman" w:eastAsia="Times New Roman" w:hint="default"/>
          <w:spacing w:val="-10"/>
          <w:w w:val="101"/>
        </w:rPr>
        <w:t>2019-001</w:t>
      </w:r>
      <w:r>
        <w:rPr>
          <w:spacing w:val="-10"/>
          <w:w w:val="101"/>
        </w:rPr>
        <w:t>）。</w:t>
      </w:r>
      <w:r>
        <w:rPr/>
      </w:r>
    </w:p>
    <w:p>
      <w:pPr>
        <w:pStyle w:val="BodyText"/>
        <w:spacing w:line="300" w:lineRule="auto" w:before="13"/>
        <w:ind w:left="513" w:right="855"/>
        <w:jc w:val="left"/>
      </w:pPr>
      <w:r>
        <w:rPr>
          <w:rFonts w:ascii="Times New Roman" w:hAnsi="Times New Roman" w:cs="Times New Roman" w:eastAsia="Times New Roman" w:hint="default"/>
          <w:spacing w:val="-3"/>
        </w:rPr>
        <w:t>2</w:t>
      </w:r>
      <w:r>
        <w:rPr>
          <w:spacing w:val="-3"/>
        </w:rPr>
        <w:t>、全资子公司广州南天吸收合并其全资子公司事宜</w:t>
      </w:r>
      <w:r>
        <w:rPr>
          <w:spacing w:val="-17"/>
        </w:rPr>
        <w:t> </w:t>
      </w:r>
      <w:r>
        <w:rPr>
          <w:spacing w:val="-17"/>
        </w:rPr>
      </w:r>
      <w:r>
        <w:rPr>
          <w:spacing w:val="-5"/>
        </w:rPr>
        <w:t>经公司第七届董事会第十六次会议审议同意，公司为整合并优化现有资源配置，提高公司管理效率，降低管理成本，公</w:t>
      </w:r>
    </w:p>
    <w:p>
      <w:pPr>
        <w:pStyle w:val="BodyText"/>
        <w:spacing w:line="307" w:lineRule="auto" w:before="31"/>
        <w:ind w:right="1123"/>
        <w:jc w:val="both"/>
      </w:pPr>
      <w:r>
        <w:rPr>
          <w:spacing w:val="-4"/>
        </w:rPr>
        <w:t>司董事会同意下属全资子公司广州南天吸收合并其全资子公司天鸿志，并授权公司管理层办理吸收合并的相关事宜。报告期</w:t>
      </w:r>
      <w:r>
        <w:rPr>
          <w:spacing w:val="38"/>
        </w:rPr>
        <w:t> </w:t>
      </w:r>
      <w:r>
        <w:rPr>
          <w:spacing w:val="38"/>
        </w:rPr>
      </w:r>
      <w:r>
        <w:rPr>
          <w:spacing w:val="-4"/>
        </w:rPr>
        <w:t>内，天鸿志已经完成工商注销登记手续，本次吸收合并事项已完成。天鸿志的独立法人资格被注销，其全部资产、债权、债</w:t>
      </w:r>
      <w:r>
        <w:rPr>
          <w:spacing w:val="41"/>
        </w:rPr>
        <w:t> </w:t>
      </w:r>
      <w:r>
        <w:rPr>
          <w:spacing w:val="41"/>
        </w:rPr>
      </w:r>
      <w:r>
        <w:rPr>
          <w:spacing w:val="-3"/>
        </w:rPr>
        <w:t>务和业务等由广州南天依法继承。具体内容详见公司分别于</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10</w:t>
      </w:r>
      <w:r>
        <w:rPr>
          <w:spacing w:val="-3"/>
        </w:rPr>
        <w:t>月</w:t>
      </w:r>
      <w:r>
        <w:rPr>
          <w:rFonts w:ascii="Times New Roman" w:hAnsi="Times New Roman" w:cs="Times New Roman" w:eastAsia="Times New Roman" w:hint="default"/>
          <w:spacing w:val="-3"/>
        </w:rPr>
        <w:t>23</w:t>
      </w:r>
      <w:r>
        <w:rPr>
          <w:spacing w:val="-3"/>
        </w:rPr>
        <w:t>日、</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2</w:t>
      </w:r>
      <w:r>
        <w:rPr>
          <w:spacing w:val="-3"/>
        </w:rPr>
        <w:t>月</w:t>
      </w:r>
      <w:r>
        <w:rPr>
          <w:rFonts w:ascii="Times New Roman" w:hAnsi="Times New Roman" w:cs="Times New Roman" w:eastAsia="Times New Roman" w:hint="default"/>
          <w:spacing w:val="-3"/>
        </w:rPr>
        <w:t>12</w:t>
      </w:r>
      <w:r>
        <w:rPr>
          <w:spacing w:val="-3"/>
        </w:rPr>
        <w:t>日刊登在《证券时报》《中国证</w:t>
      </w:r>
      <w:r>
        <w:rPr>
          <w:spacing w:val="4"/>
        </w:rPr>
        <w:t> </w:t>
      </w:r>
      <w:r>
        <w:rPr>
          <w:spacing w:val="4"/>
        </w:rPr>
      </w:r>
      <w:r>
        <w:rPr>
          <w:spacing w:val="-3"/>
        </w:rPr>
        <w:t>券报》《上海证券报》《证券日报》和巨潮资讯网</w:t>
      </w:r>
      <w:hyperlink r:id="rId15">
        <w:r>
          <w:rPr>
            <w:rFonts w:ascii="Times New Roman" w:hAnsi="Times New Roman" w:cs="Times New Roman" w:eastAsia="Times New Roman" w:hint="default"/>
            <w:spacing w:val="-3"/>
          </w:rPr>
          <w:t>http://www.cninfo.com.cn</w:t>
        </w:r>
        <w:r>
          <w:rPr>
            <w:spacing w:val="-3"/>
          </w:rPr>
          <w:t>上的</w:t>
        </w:r>
      </w:hyperlink>
      <w:r>
        <w:rPr>
          <w:spacing w:val="-3"/>
        </w:rPr>
        <w:t>《关于全资子公司广州南天电脑系统有限公</w:t>
      </w:r>
      <w:r>
        <w:rPr>
          <w:spacing w:val="16"/>
        </w:rPr>
        <w:t> </w:t>
      </w:r>
      <w:r>
        <w:rPr>
          <w:spacing w:val="16"/>
        </w:rPr>
      </w:r>
      <w:r>
        <w:rPr>
          <w:spacing w:val="-4"/>
        </w:rPr>
        <w:t>司吸收合并其全资子公司的公告》（公告编号：</w:t>
      </w:r>
      <w:r>
        <w:rPr>
          <w:rFonts w:ascii="Times New Roman" w:hAnsi="Times New Roman" w:cs="Times New Roman" w:eastAsia="Times New Roman" w:hint="default"/>
          <w:spacing w:val="-4"/>
        </w:rPr>
        <w:t>2018-064</w:t>
      </w:r>
      <w:r>
        <w:rPr>
          <w:spacing w:val="-4"/>
        </w:rPr>
        <w:t>）、《关于全资子公司吸收合并其全资子公司完成工商注销登记的</w:t>
      </w:r>
      <w:r>
        <w:rPr>
          <w:spacing w:val="2"/>
        </w:rPr>
        <w:t> </w:t>
      </w:r>
      <w:r>
        <w:rPr>
          <w:spacing w:val="2"/>
        </w:rPr>
      </w:r>
      <w:r>
        <w:rPr>
          <w:spacing w:val="-3"/>
        </w:rPr>
        <w:t>公告》（公告编号：</w:t>
      </w:r>
      <w:r>
        <w:rPr>
          <w:rFonts w:ascii="Times New Roman" w:hAnsi="Times New Roman" w:cs="Times New Roman" w:eastAsia="Times New Roman" w:hint="default"/>
          <w:spacing w:val="-3"/>
        </w:rPr>
        <w:t>2019-010</w:t>
      </w:r>
      <w:r>
        <w:rPr>
          <w:spacing w:val="-3"/>
        </w:rPr>
        <w:t>）。</w:t>
      </w:r>
      <w:r>
        <w:rPr/>
      </w:r>
    </w:p>
    <w:p>
      <w:pPr>
        <w:pStyle w:val="BodyText"/>
        <w:spacing w:line="300" w:lineRule="auto" w:before="7"/>
        <w:ind w:left="513" w:right="855"/>
        <w:jc w:val="left"/>
      </w:pPr>
      <w:r>
        <w:rPr>
          <w:rFonts w:ascii="Times New Roman" w:hAnsi="Times New Roman" w:cs="Times New Roman" w:eastAsia="Times New Roman" w:hint="default"/>
        </w:rPr>
        <w:t>3</w:t>
      </w:r>
      <w:r>
        <w:rPr/>
        <w:t>、参股公司曲靖珠江源清算注销事宜</w:t>
      </w:r>
      <w:r>
        <w:rPr>
          <w:spacing w:val="-85"/>
        </w:rPr>
        <w:t> </w:t>
      </w:r>
      <w:r>
        <w:rPr>
          <w:spacing w:val="-85"/>
        </w:rPr>
      </w:r>
      <w:r>
        <w:rPr>
          <w:spacing w:val="-4"/>
        </w:rPr>
        <w:t>经公司第七届董事会第二十次会议审议同意，为降低投资项目未达预期的风险，维护股东利益，公司董事会同意下属参</w:t>
      </w:r>
    </w:p>
    <w:p>
      <w:pPr>
        <w:pStyle w:val="BodyText"/>
        <w:spacing w:line="309" w:lineRule="auto" w:before="31"/>
        <w:ind w:right="1049"/>
        <w:jc w:val="left"/>
      </w:pPr>
      <w:r>
        <w:rPr>
          <w:spacing w:val="-4"/>
        </w:rPr>
        <w:t>股子公司曲靖珠江源清算注销事宜，并授权公司管理层办理相关事宜。曲靖珠江源已经完成工商注销手续。具体内容详见公</w:t>
      </w:r>
      <w:r>
        <w:rPr>
          <w:spacing w:val="43"/>
        </w:rPr>
        <w:t> </w:t>
      </w:r>
      <w:r>
        <w:rPr>
          <w:spacing w:val="43"/>
        </w:rPr>
      </w:r>
      <w:r>
        <w:rPr>
          <w:spacing w:val="-3"/>
        </w:rPr>
        <w:t>司于</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4</w:t>
      </w:r>
      <w:r>
        <w:rPr>
          <w:spacing w:val="-3"/>
        </w:rPr>
        <w:t>月</w:t>
      </w:r>
      <w:r>
        <w:rPr>
          <w:rFonts w:ascii="Times New Roman" w:hAnsi="Times New Roman" w:cs="Times New Roman" w:eastAsia="Times New Roman" w:hint="default"/>
          <w:spacing w:val="-3"/>
        </w:rPr>
        <w:t>20</w:t>
      </w:r>
      <w:r>
        <w:rPr>
          <w:spacing w:val="-3"/>
        </w:rPr>
        <w:t>日、</w:t>
      </w:r>
      <w:r>
        <w:rPr>
          <w:rFonts w:ascii="Times New Roman" w:hAnsi="Times New Roman" w:cs="Times New Roman" w:eastAsia="Times New Roman" w:hint="default"/>
          <w:spacing w:val="-3"/>
        </w:rPr>
        <w:t>2020</w:t>
      </w:r>
      <w:r>
        <w:rPr>
          <w:spacing w:val="-3"/>
        </w:rPr>
        <w:t>年</w:t>
      </w:r>
      <w:r>
        <w:rPr>
          <w:rFonts w:ascii="Times New Roman" w:hAnsi="Times New Roman" w:cs="Times New Roman" w:eastAsia="Times New Roman" w:hint="default"/>
          <w:spacing w:val="-3"/>
        </w:rPr>
        <w:t>3</w:t>
      </w:r>
      <w:r>
        <w:rPr>
          <w:spacing w:val="-3"/>
        </w:rPr>
        <w:t>月</w:t>
      </w:r>
      <w:r>
        <w:rPr>
          <w:rFonts w:ascii="Times New Roman" w:hAnsi="Times New Roman" w:cs="Times New Roman" w:eastAsia="Times New Roman" w:hint="default"/>
          <w:spacing w:val="-3"/>
        </w:rPr>
        <w:t>25</w:t>
      </w:r>
      <w:r>
        <w:rPr>
          <w:spacing w:val="-3"/>
        </w:rPr>
        <w:t>日刊登在《证券时报》《中国证券报》《上海证券报》《证券日报》和巨潮资讯网</w:t>
      </w:r>
      <w:r>
        <w:rPr>
          <w:spacing w:val="80"/>
        </w:rPr>
        <w:t> </w:t>
      </w:r>
      <w:r>
        <w:rPr>
          <w:spacing w:val="80"/>
        </w:rPr>
      </w:r>
      <w:hyperlink r:id="rId15">
        <w:r>
          <w:rPr>
            <w:rFonts w:ascii="Times New Roman" w:hAnsi="Times New Roman" w:cs="Times New Roman" w:eastAsia="Times New Roman" w:hint="default"/>
            <w:spacing w:val="-3"/>
          </w:rPr>
          <w:t>http://www.cninfo.com.cn</w:t>
        </w:r>
        <w:r>
          <w:rPr>
            <w:spacing w:val="-3"/>
          </w:rPr>
          <w:t>上的</w:t>
        </w:r>
      </w:hyperlink>
      <w:r>
        <w:rPr>
          <w:spacing w:val="-3"/>
        </w:rPr>
        <w:t>《关于参股公司云南曲靖珠江源科技股份有限公司清算注销的公告》（公告编号：</w:t>
      </w:r>
      <w:r>
        <w:rPr>
          <w:rFonts w:ascii="Times New Roman" w:hAnsi="Times New Roman" w:cs="Times New Roman" w:eastAsia="Times New Roman" w:hint="default"/>
          <w:spacing w:val="-3"/>
        </w:rPr>
        <w:t>2019-029</w:t>
      </w:r>
      <w:r>
        <w:rPr>
          <w:spacing w:val="-3"/>
        </w:rPr>
        <w:t>）、</w:t>
      </w:r>
      <w:r>
        <w:rPr/>
      </w:r>
    </w:p>
    <w:p>
      <w:pPr>
        <w:pStyle w:val="BodyText"/>
        <w:spacing w:line="240" w:lineRule="auto" w:before="5"/>
        <w:ind w:right="0"/>
        <w:jc w:val="both"/>
      </w:pPr>
      <w:r>
        <w:rPr>
          <w:spacing w:val="-3"/>
        </w:rPr>
        <w:t>《关于参股公司完成工商注销登记的公告》（公告编号：</w:t>
      </w:r>
      <w:r>
        <w:rPr>
          <w:rFonts w:ascii="Times New Roman" w:hAnsi="Times New Roman" w:cs="Times New Roman" w:eastAsia="Times New Roman" w:hint="default"/>
          <w:spacing w:val="-3"/>
        </w:rPr>
        <w:t>2020-008</w:t>
      </w:r>
      <w:r>
        <w:rPr>
          <w:spacing w:val="-3"/>
        </w:rPr>
        <w:t>）。</w:t>
      </w:r>
    </w:p>
    <w:p>
      <w:pPr>
        <w:spacing w:after="0" w:line="240" w:lineRule="auto"/>
        <w:jc w:val="both"/>
        <w:sectPr>
          <w:pgSz w:w="11910" w:h="16840"/>
          <w:pgMar w:header="746" w:footer="974"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pStyle w:val="Heading1"/>
        <w:spacing w:line="240" w:lineRule="auto"/>
        <w:ind w:left="2967" w:right="855"/>
        <w:jc w:val="left"/>
        <w:rPr>
          <w:b w:val="0"/>
          <w:bCs w:val="0"/>
        </w:rPr>
      </w:pPr>
      <w:bookmarkStart w:name="_bookmark5" w:id="6"/>
      <w:bookmarkEnd w:id="6"/>
      <w:r>
        <w:rPr>
          <w:b w:val="0"/>
          <w:bCs w:val="0"/>
        </w:rPr>
      </w:r>
      <w:r>
        <w:rPr/>
        <w:t>第六节</w:t>
      </w:r>
      <w:r>
        <w:rPr>
          <w:spacing w:val="1"/>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7"/>
          <w:szCs w:val="17"/>
        </w:rPr>
      </w:pPr>
    </w:p>
    <w:p>
      <w:pPr>
        <w:pStyle w:val="Heading2"/>
        <w:spacing w:line="240" w:lineRule="auto" w:before="26"/>
        <w:ind w:right="855"/>
        <w:jc w:val="left"/>
        <w:rPr>
          <w:b w:val="0"/>
          <w:bCs w:val="0"/>
        </w:rPr>
      </w:pPr>
      <w:r>
        <w:rPr/>
        <w:t>一、股份变动情况</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855"/>
        <w:jc w:val="left"/>
        <w:rPr>
          <w:b w:val="0"/>
          <w:bCs w:val="0"/>
        </w:rPr>
      </w:pPr>
      <w:r>
        <w:rPr>
          <w:rFonts w:ascii="Times New Roman" w:hAnsi="Times New Roman" w:cs="Times New Roman" w:eastAsia="Times New Roman" w:hint="default"/>
        </w:rPr>
        <w:t>1</w:t>
      </w:r>
      <w:r>
        <w:rPr/>
        <w:t>、股份变动情况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1"/>
        <w:jc w:val="right"/>
      </w:pPr>
      <w:r>
        <w:rPr>
          <w:spacing w:val="-2"/>
        </w:rPr>
        <w:t>单位：股</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88"/>
        <w:gridCol w:w="1061"/>
        <w:gridCol w:w="826"/>
        <w:gridCol w:w="807"/>
        <w:gridCol w:w="422"/>
        <w:gridCol w:w="994"/>
        <w:gridCol w:w="711"/>
        <w:gridCol w:w="989"/>
        <w:gridCol w:w="985"/>
        <w:gridCol w:w="792"/>
      </w:tblGrid>
      <w:tr>
        <w:trPr>
          <w:trHeight w:val="403" w:hRule="exact"/>
        </w:trPr>
        <w:tc>
          <w:tcPr>
            <w:tcW w:w="1988" w:type="dxa"/>
            <w:vMerge w:val="restart"/>
            <w:tcBorders>
              <w:top w:val="single" w:sz="4" w:space="0" w:color="000000"/>
              <w:left w:val="single" w:sz="4" w:space="0" w:color="000000"/>
              <w:right w:val="single" w:sz="4" w:space="0" w:color="000000"/>
            </w:tcBorders>
            <w:shd w:val="clear" w:color="auto" w:fill="D2D2D2"/>
          </w:tcPr>
          <w:p>
            <w:pPr/>
          </w:p>
        </w:tc>
        <w:tc>
          <w:tcPr>
            <w:tcW w:w="188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89"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392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69" w:right="0"/>
              <w:jc w:val="left"/>
              <w:rPr>
                <w:rFonts w:ascii="宋体" w:hAnsi="宋体" w:cs="宋体" w:eastAsia="宋体" w:hint="default"/>
                <w:sz w:val="18"/>
                <w:szCs w:val="18"/>
              </w:rPr>
            </w:pPr>
            <w:r>
              <w:rPr>
                <w:rFonts w:ascii="宋体" w:hAnsi="宋体" w:cs="宋体" w:eastAsia="宋体" w:hint="default"/>
                <w:spacing w:val="-3"/>
                <w:sz w:val="18"/>
                <w:szCs w:val="18"/>
              </w:rPr>
              <w:t>本次变动增减（＋，－）</w:t>
            </w:r>
          </w:p>
        </w:tc>
        <w:tc>
          <w:tcPr>
            <w:tcW w:w="177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1"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398" w:hRule="exact"/>
        </w:trPr>
        <w:tc>
          <w:tcPr>
            <w:tcW w:w="1988"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4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6"/>
              <w:jc w:val="right"/>
              <w:rPr>
                <w:rFonts w:ascii="宋体" w:hAnsi="宋体" w:cs="宋体" w:eastAsia="宋体" w:hint="default"/>
                <w:sz w:val="18"/>
                <w:szCs w:val="18"/>
              </w:rPr>
            </w:pPr>
            <w:r>
              <w:rPr>
                <w:rFonts w:ascii="宋体" w:hAnsi="宋体" w:cs="宋体" w:eastAsia="宋体" w:hint="default"/>
                <w:spacing w:val="-2"/>
                <w:sz w:val="18"/>
                <w:szCs w:val="18"/>
              </w:rPr>
              <w:t>公积金转股</w:t>
            </w:r>
          </w:p>
        </w:tc>
        <w:tc>
          <w:tcPr>
            <w:tcW w:w="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1"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0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403"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一、有限售条件股份</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103,598</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0.04%</w:t>
            </w:r>
          </w:p>
        </w:tc>
        <w:tc>
          <w:tcPr>
            <w:tcW w:w="807"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30,979</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2,059</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33,038</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136,636</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1"/>
                <w:sz w:val="18"/>
              </w:rPr>
              <w:t>0.04%</w:t>
            </w:r>
          </w:p>
        </w:tc>
      </w:tr>
      <w:tr>
        <w:trPr>
          <w:trHeight w:val="404"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103,598</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0.04%</w:t>
            </w:r>
          </w:p>
        </w:tc>
        <w:tc>
          <w:tcPr>
            <w:tcW w:w="807"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30,979</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2,059</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33,038</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136,636</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0.04%</w:t>
            </w:r>
          </w:p>
        </w:tc>
      </w:tr>
      <w:tr>
        <w:trPr>
          <w:trHeight w:val="403"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spacing w:val="-3"/>
                <w:sz w:val="18"/>
                <w:szCs w:val="18"/>
              </w:rPr>
              <w:t>境内自然人持股</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103,598</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0.04%</w:t>
            </w:r>
          </w:p>
        </w:tc>
        <w:tc>
          <w:tcPr>
            <w:tcW w:w="807"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30,979</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2,059</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33,038</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136,636</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0.04%</w:t>
            </w:r>
          </w:p>
        </w:tc>
      </w:tr>
      <w:tr>
        <w:trPr>
          <w:trHeight w:val="398"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二、无限售条件股份</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246,502,448</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99.96%</w:t>
            </w:r>
          </w:p>
        </w:tc>
        <w:tc>
          <w:tcPr>
            <w:tcW w:w="807"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73,950,834</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-2,059</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73,948,775</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320,451,223</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99.96%</w:t>
            </w:r>
          </w:p>
        </w:tc>
      </w:tr>
      <w:tr>
        <w:trPr>
          <w:trHeight w:val="403"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246,502,448</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99.96%</w:t>
            </w:r>
          </w:p>
        </w:tc>
        <w:tc>
          <w:tcPr>
            <w:tcW w:w="807"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73,950,834</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-2,059</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73,948,775</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320,451,223</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1"/>
                <w:sz w:val="18"/>
              </w:rPr>
              <w:t>99.96%</w:t>
            </w:r>
          </w:p>
        </w:tc>
      </w:tr>
      <w:tr>
        <w:trPr>
          <w:trHeight w:val="404"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246,606,046</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100.00%</w:t>
            </w:r>
          </w:p>
        </w:tc>
        <w:tc>
          <w:tcPr>
            <w:tcW w:w="807"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73,981,813</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73,981,813</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320,587,859</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100.00%</w:t>
            </w:r>
          </w:p>
        </w:tc>
      </w:tr>
    </w:tbl>
    <w:p>
      <w:pPr>
        <w:pStyle w:val="BodyText"/>
        <w:spacing w:line="240" w:lineRule="auto" w:before="53"/>
        <w:ind w:right="855"/>
        <w:jc w:val="left"/>
      </w:pPr>
      <w:r>
        <w:rPr>
          <w:spacing w:val="-3"/>
        </w:rPr>
        <w:t>股份变动的原因</w:t>
      </w:r>
    </w:p>
    <w:p>
      <w:pPr>
        <w:pStyle w:val="BodyText"/>
        <w:spacing w:line="338" w:lineRule="auto" w:before="115"/>
        <w:ind w:left="513" w:right="855" w:hanging="360"/>
        <w:jc w:val="left"/>
        <w:rPr>
          <w:rFonts w:ascii="Times New Roman" w:hAnsi="Times New Roman" w:cs="Times New Roman" w:eastAsia="Times New Roman" w:hint="default"/>
        </w:rPr>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9"/>
        </w:rPr>
        <w:t> </w:t>
      </w:r>
      <w:r>
        <w:rPr>
          <w:spacing w:val="-79"/>
        </w:rPr>
      </w:r>
      <w:r>
        <w:rPr>
          <w:spacing w:val="-5"/>
          <w:w w:val="101"/>
        </w:rPr>
        <w:t>公司于</w:t>
      </w:r>
      <w:r>
        <w:rPr>
          <w:rFonts w:ascii="Times New Roman" w:hAnsi="Times New Roman" w:cs="Times New Roman" w:eastAsia="Times New Roman" w:hint="default"/>
          <w:spacing w:val="-5"/>
          <w:w w:val="101"/>
        </w:rPr>
        <w:t>2019</w:t>
      </w:r>
      <w:r>
        <w:rPr>
          <w:spacing w:val="-5"/>
          <w:w w:val="101"/>
        </w:rPr>
        <w:t>年</w:t>
      </w:r>
      <w:r>
        <w:rPr>
          <w:rFonts w:ascii="Times New Roman" w:hAnsi="Times New Roman" w:cs="Times New Roman" w:eastAsia="Times New Roman" w:hint="default"/>
          <w:spacing w:val="-5"/>
          <w:w w:val="101"/>
        </w:rPr>
        <w:t>3</w:t>
      </w:r>
      <w:r>
        <w:rPr>
          <w:spacing w:val="-5"/>
          <w:w w:val="101"/>
        </w:rPr>
        <w:t>月</w:t>
      </w:r>
      <w:r>
        <w:rPr>
          <w:rFonts w:ascii="Times New Roman" w:hAnsi="Times New Roman" w:cs="Times New Roman" w:eastAsia="Times New Roman" w:hint="default"/>
          <w:spacing w:val="-5"/>
          <w:w w:val="101"/>
        </w:rPr>
        <w:t>4</w:t>
      </w:r>
      <w:r>
        <w:rPr>
          <w:spacing w:val="-5"/>
          <w:w w:val="101"/>
        </w:rPr>
        <w:t>日召开第七届董事会第十九次会议、</w:t>
      </w:r>
      <w:r>
        <w:rPr>
          <w:rFonts w:ascii="Times New Roman" w:hAnsi="Times New Roman" w:cs="Times New Roman" w:eastAsia="Times New Roman" w:hint="default"/>
          <w:spacing w:val="-5"/>
          <w:w w:val="101"/>
        </w:rPr>
        <w:t>2019</w:t>
      </w:r>
      <w:r>
        <w:rPr>
          <w:spacing w:val="-5"/>
          <w:w w:val="101"/>
        </w:rPr>
        <w:t>年</w:t>
      </w:r>
      <w:r>
        <w:rPr>
          <w:rFonts w:ascii="Times New Roman" w:hAnsi="Times New Roman" w:cs="Times New Roman" w:eastAsia="Times New Roman" w:hint="default"/>
          <w:spacing w:val="-5"/>
          <w:w w:val="101"/>
        </w:rPr>
        <w:t>3</w:t>
      </w:r>
      <w:r>
        <w:rPr>
          <w:spacing w:val="-5"/>
          <w:w w:val="101"/>
        </w:rPr>
        <w:t>月</w:t>
      </w:r>
      <w:r>
        <w:rPr>
          <w:rFonts w:ascii="Times New Roman" w:hAnsi="Times New Roman" w:cs="Times New Roman" w:eastAsia="Times New Roman" w:hint="default"/>
          <w:spacing w:val="-5"/>
          <w:w w:val="101"/>
        </w:rPr>
        <w:t>28</w:t>
      </w:r>
      <w:r>
        <w:rPr>
          <w:spacing w:val="-5"/>
          <w:w w:val="101"/>
        </w:rPr>
        <w:t>日召开</w:t>
      </w:r>
      <w:r>
        <w:rPr>
          <w:rFonts w:ascii="Times New Roman" w:hAnsi="Times New Roman" w:cs="Times New Roman" w:eastAsia="Times New Roman" w:hint="default"/>
          <w:spacing w:val="-5"/>
          <w:w w:val="101"/>
        </w:rPr>
        <w:t>2018</w:t>
      </w:r>
      <w:r>
        <w:rPr>
          <w:spacing w:val="-5"/>
          <w:w w:val="101"/>
        </w:rPr>
        <w:t>年度股东大会审议通过了《南天信息</w:t>
      </w:r>
      <w:r>
        <w:rPr>
          <w:rFonts w:ascii="Times New Roman" w:hAnsi="Times New Roman" w:cs="Times New Roman" w:eastAsia="Times New Roman" w:hint="default"/>
          <w:spacing w:val="-5"/>
          <w:w w:val="101"/>
        </w:rPr>
        <w:t>2018</w:t>
      </w:r>
      <w:r>
        <w:rPr>
          <w:rFonts w:ascii="Times New Roman" w:hAnsi="Times New Roman" w:cs="Times New Roman" w:eastAsia="Times New Roman" w:hint="default"/>
          <w:spacing w:val="-5"/>
        </w:rPr>
      </w:r>
    </w:p>
    <w:p>
      <w:pPr>
        <w:pStyle w:val="BodyText"/>
        <w:spacing w:line="230" w:lineRule="exact"/>
        <w:ind w:right="855"/>
        <w:jc w:val="left"/>
      </w:pPr>
      <w:r>
        <w:rPr>
          <w:spacing w:val="-2"/>
        </w:rPr>
        <w:t>年度利润分配及资本公积转增股本的方案》，公司以</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日的总股本</w:t>
      </w:r>
      <w:r>
        <w:rPr>
          <w:rFonts w:ascii="Times New Roman" w:hAnsi="Times New Roman" w:cs="Times New Roman" w:eastAsia="Times New Roman" w:hint="default"/>
          <w:spacing w:val="-2"/>
        </w:rPr>
        <w:t>246,606,046</w:t>
      </w:r>
      <w:r>
        <w:rPr>
          <w:rFonts w:ascii="Times New Roman" w:hAnsi="Times New Roman" w:cs="Times New Roman" w:eastAsia="Times New Roman" w:hint="default"/>
        </w:rPr>
        <w:t>   </w:t>
      </w:r>
      <w:r>
        <w:rPr>
          <w:rFonts w:ascii="Times New Roman" w:hAnsi="Times New Roman" w:cs="Times New Roman" w:eastAsia="Times New Roman" w:hint="default"/>
          <w:spacing w:val="27"/>
        </w:rPr>
        <w:t> </w:t>
      </w:r>
      <w:r>
        <w:rPr>
          <w:spacing w:val="-3"/>
        </w:rPr>
        <w:t>股为基数，进行资本公积金转增</w:t>
      </w:r>
    </w:p>
    <w:p>
      <w:pPr>
        <w:pStyle w:val="BodyText"/>
        <w:spacing w:line="300" w:lineRule="auto" w:before="63"/>
        <w:ind w:right="855"/>
        <w:jc w:val="left"/>
      </w:pPr>
      <w:r>
        <w:rPr>
          <w:spacing w:val="-3"/>
        </w:rPr>
        <w:t>股本，向全体股东每</w:t>
      </w:r>
      <w:r>
        <w:rPr>
          <w:rFonts w:ascii="Times New Roman" w:hAnsi="Times New Roman" w:cs="Times New Roman" w:eastAsia="Times New Roman" w:hint="default"/>
          <w:spacing w:val="-3"/>
        </w:rPr>
        <w:t>10</w:t>
      </w:r>
      <w:r>
        <w:rPr>
          <w:spacing w:val="-3"/>
        </w:rPr>
        <w:t>股转增</w:t>
      </w:r>
      <w:r>
        <w:rPr>
          <w:rFonts w:ascii="Times New Roman" w:hAnsi="Times New Roman" w:cs="Times New Roman" w:eastAsia="Times New Roman" w:hint="default"/>
          <w:spacing w:val="-3"/>
        </w:rPr>
        <w:t>3</w:t>
      </w:r>
      <w:r>
        <w:rPr>
          <w:spacing w:val="-3"/>
        </w:rPr>
        <w:t>股，合计转增股本</w:t>
      </w:r>
      <w:r>
        <w:rPr>
          <w:rFonts w:ascii="Times New Roman" w:hAnsi="Times New Roman" w:cs="Times New Roman" w:eastAsia="Times New Roman" w:hint="default"/>
          <w:spacing w:val="-3"/>
        </w:rPr>
        <w:t>73,981,813</w:t>
      </w:r>
      <w:r>
        <w:rPr>
          <w:spacing w:val="-3"/>
        </w:rPr>
        <w:t>股。该分配方案已于</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4</w:t>
      </w:r>
      <w:r>
        <w:rPr>
          <w:spacing w:val="-3"/>
        </w:rPr>
        <w:t>月</w:t>
      </w:r>
      <w:r>
        <w:rPr>
          <w:rFonts w:ascii="Times New Roman" w:hAnsi="Times New Roman" w:cs="Times New Roman" w:eastAsia="Times New Roman" w:hint="default"/>
          <w:spacing w:val="-3"/>
        </w:rPr>
        <w:t>15</w:t>
      </w:r>
      <w:r>
        <w:rPr>
          <w:spacing w:val="-3"/>
        </w:rPr>
        <w:t>日实施完成，转增后，公司的</w:t>
      </w:r>
      <w:r>
        <w:rPr>
          <w:spacing w:val="11"/>
        </w:rPr>
        <w:t> </w:t>
      </w:r>
      <w:r>
        <w:rPr>
          <w:spacing w:val="11"/>
        </w:rPr>
      </w:r>
      <w:r>
        <w:rPr/>
        <w:t>总股本由</w:t>
      </w:r>
      <w:r>
        <w:rPr>
          <w:rFonts w:ascii="Times New Roman" w:hAnsi="Times New Roman" w:cs="Times New Roman" w:eastAsia="Times New Roman" w:hint="default"/>
        </w:rPr>
        <w:t>246,606,046</w:t>
      </w:r>
      <w:r>
        <w:rPr/>
        <w:t>股增加至</w:t>
      </w:r>
      <w:r>
        <w:rPr>
          <w:rFonts w:ascii="Times New Roman" w:hAnsi="Times New Roman" w:cs="Times New Roman" w:eastAsia="Times New Roman" w:hint="default"/>
        </w:rPr>
        <w:t>320,587,859</w:t>
      </w:r>
      <w:r>
        <w:rPr/>
        <w:t>股。</w:t>
      </w:r>
    </w:p>
    <w:p>
      <w:pPr>
        <w:pStyle w:val="BodyText"/>
        <w:spacing w:line="240" w:lineRule="auto" w:before="56"/>
        <w:ind w:right="855"/>
        <w:jc w:val="left"/>
      </w:pPr>
      <w:r>
        <w:rPr>
          <w:spacing w:val="-3"/>
        </w:rPr>
        <w:t>股份变动的批准情况</w:t>
      </w:r>
    </w:p>
    <w:p>
      <w:pPr>
        <w:pStyle w:val="BodyText"/>
        <w:spacing w:line="338" w:lineRule="auto" w:before="115"/>
        <w:ind w:left="513" w:right="855" w:hanging="360"/>
        <w:jc w:val="left"/>
        <w:rPr>
          <w:rFonts w:ascii="Times New Roman" w:hAnsi="Times New Roman" w:cs="Times New Roman" w:eastAsia="Times New Roman" w:hint="default"/>
        </w:rPr>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9"/>
        </w:rPr>
        <w:t> </w:t>
      </w:r>
      <w:r>
        <w:rPr>
          <w:spacing w:val="-79"/>
        </w:rPr>
      </w:r>
      <w:r>
        <w:rPr>
          <w:spacing w:val="-5"/>
          <w:w w:val="101"/>
        </w:rPr>
        <w:t>公司于</w:t>
      </w:r>
      <w:r>
        <w:rPr>
          <w:rFonts w:ascii="Times New Roman" w:hAnsi="Times New Roman" w:cs="Times New Roman" w:eastAsia="Times New Roman" w:hint="default"/>
          <w:spacing w:val="-5"/>
          <w:w w:val="101"/>
        </w:rPr>
        <w:t>2019</w:t>
      </w:r>
      <w:r>
        <w:rPr>
          <w:spacing w:val="-5"/>
          <w:w w:val="101"/>
        </w:rPr>
        <w:t>年</w:t>
      </w:r>
      <w:r>
        <w:rPr>
          <w:rFonts w:ascii="Times New Roman" w:hAnsi="Times New Roman" w:cs="Times New Roman" w:eastAsia="Times New Roman" w:hint="default"/>
          <w:spacing w:val="-5"/>
          <w:w w:val="101"/>
        </w:rPr>
        <w:t>3</w:t>
      </w:r>
      <w:r>
        <w:rPr>
          <w:spacing w:val="-5"/>
          <w:w w:val="101"/>
        </w:rPr>
        <w:t>月</w:t>
      </w:r>
      <w:r>
        <w:rPr>
          <w:rFonts w:ascii="Times New Roman" w:hAnsi="Times New Roman" w:cs="Times New Roman" w:eastAsia="Times New Roman" w:hint="default"/>
          <w:spacing w:val="-5"/>
          <w:w w:val="101"/>
        </w:rPr>
        <w:t>4</w:t>
      </w:r>
      <w:r>
        <w:rPr>
          <w:spacing w:val="-5"/>
          <w:w w:val="101"/>
        </w:rPr>
        <w:t>日召开第七届董事会第十九次会议、</w:t>
      </w:r>
      <w:r>
        <w:rPr>
          <w:rFonts w:ascii="Times New Roman" w:hAnsi="Times New Roman" w:cs="Times New Roman" w:eastAsia="Times New Roman" w:hint="default"/>
          <w:spacing w:val="-5"/>
          <w:w w:val="101"/>
        </w:rPr>
        <w:t>2019</w:t>
      </w:r>
      <w:r>
        <w:rPr>
          <w:spacing w:val="-5"/>
          <w:w w:val="101"/>
        </w:rPr>
        <w:t>年</w:t>
      </w:r>
      <w:r>
        <w:rPr>
          <w:rFonts w:ascii="Times New Roman" w:hAnsi="Times New Roman" w:cs="Times New Roman" w:eastAsia="Times New Roman" w:hint="default"/>
          <w:spacing w:val="-5"/>
          <w:w w:val="101"/>
        </w:rPr>
        <w:t>3</w:t>
      </w:r>
      <w:r>
        <w:rPr>
          <w:spacing w:val="-5"/>
          <w:w w:val="101"/>
        </w:rPr>
        <w:t>月</w:t>
      </w:r>
      <w:r>
        <w:rPr>
          <w:rFonts w:ascii="Times New Roman" w:hAnsi="Times New Roman" w:cs="Times New Roman" w:eastAsia="Times New Roman" w:hint="default"/>
          <w:spacing w:val="-5"/>
          <w:w w:val="101"/>
        </w:rPr>
        <w:t>28</w:t>
      </w:r>
      <w:r>
        <w:rPr>
          <w:spacing w:val="-5"/>
          <w:w w:val="101"/>
        </w:rPr>
        <w:t>日召开</w:t>
      </w:r>
      <w:r>
        <w:rPr>
          <w:rFonts w:ascii="Times New Roman" w:hAnsi="Times New Roman" w:cs="Times New Roman" w:eastAsia="Times New Roman" w:hint="default"/>
          <w:spacing w:val="-5"/>
          <w:w w:val="101"/>
        </w:rPr>
        <w:t>2018</w:t>
      </w:r>
      <w:r>
        <w:rPr>
          <w:spacing w:val="-5"/>
          <w:w w:val="101"/>
        </w:rPr>
        <w:t>年度股东大会审议通过了《南天信息</w:t>
      </w:r>
      <w:r>
        <w:rPr>
          <w:rFonts w:ascii="Times New Roman" w:hAnsi="Times New Roman" w:cs="Times New Roman" w:eastAsia="Times New Roman" w:hint="default"/>
          <w:spacing w:val="-5"/>
          <w:w w:val="101"/>
        </w:rPr>
        <w:t>2018</w:t>
      </w:r>
      <w:r>
        <w:rPr>
          <w:rFonts w:ascii="Times New Roman" w:hAnsi="Times New Roman" w:cs="Times New Roman" w:eastAsia="Times New Roman" w:hint="default"/>
          <w:spacing w:val="-5"/>
        </w:rPr>
      </w:r>
    </w:p>
    <w:p>
      <w:pPr>
        <w:pStyle w:val="BodyText"/>
        <w:spacing w:line="231" w:lineRule="exact"/>
        <w:ind w:right="855"/>
        <w:jc w:val="left"/>
      </w:pPr>
      <w:r>
        <w:rPr>
          <w:spacing w:val="-2"/>
        </w:rPr>
        <w:t>年度利润分配及资本公积转增股本的方案》，公司以</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日的总股本</w:t>
      </w:r>
      <w:r>
        <w:rPr>
          <w:rFonts w:ascii="Times New Roman" w:hAnsi="Times New Roman" w:cs="Times New Roman" w:eastAsia="Times New Roman" w:hint="default"/>
          <w:spacing w:val="-2"/>
        </w:rPr>
        <w:t>246,606,046</w:t>
      </w:r>
      <w:r>
        <w:rPr>
          <w:rFonts w:ascii="Times New Roman" w:hAnsi="Times New Roman" w:cs="Times New Roman" w:eastAsia="Times New Roman" w:hint="default"/>
        </w:rPr>
        <w:t>   </w:t>
      </w:r>
      <w:r>
        <w:rPr>
          <w:rFonts w:ascii="Times New Roman" w:hAnsi="Times New Roman" w:cs="Times New Roman" w:eastAsia="Times New Roman" w:hint="default"/>
          <w:spacing w:val="27"/>
        </w:rPr>
        <w:t> </w:t>
      </w:r>
      <w:r>
        <w:rPr>
          <w:spacing w:val="-3"/>
        </w:rPr>
        <w:t>股为基数，进行资本公积金转增</w:t>
      </w:r>
    </w:p>
    <w:p>
      <w:pPr>
        <w:pStyle w:val="BodyText"/>
        <w:spacing w:line="343" w:lineRule="auto" w:before="63"/>
        <w:ind w:right="4481"/>
        <w:jc w:val="left"/>
      </w:pPr>
      <w:r>
        <w:rPr>
          <w:spacing w:val="-3"/>
        </w:rPr>
        <w:t>股本，向全体股东每</w:t>
      </w:r>
      <w:r>
        <w:rPr>
          <w:rFonts w:ascii="Times New Roman" w:hAnsi="Times New Roman" w:cs="Times New Roman" w:eastAsia="Times New Roman" w:hint="default"/>
          <w:spacing w:val="-3"/>
        </w:rPr>
        <w:t>10</w:t>
      </w:r>
      <w:r>
        <w:rPr>
          <w:spacing w:val="-3"/>
        </w:rPr>
        <w:t>股转增</w:t>
      </w:r>
      <w:r>
        <w:rPr>
          <w:rFonts w:ascii="Times New Roman" w:hAnsi="Times New Roman" w:cs="Times New Roman" w:eastAsia="Times New Roman" w:hint="default"/>
          <w:spacing w:val="-3"/>
        </w:rPr>
        <w:t>3</w:t>
      </w:r>
      <w:r>
        <w:rPr>
          <w:spacing w:val="-3"/>
        </w:rPr>
        <w:t>股，合计转增股本</w:t>
      </w:r>
      <w:r>
        <w:rPr>
          <w:rFonts w:ascii="Times New Roman" w:hAnsi="Times New Roman" w:cs="Times New Roman" w:eastAsia="Times New Roman" w:hint="default"/>
          <w:spacing w:val="-3"/>
        </w:rPr>
        <w:t>73,981,813</w:t>
      </w:r>
      <w:r>
        <w:rPr>
          <w:spacing w:val="-3"/>
        </w:rPr>
        <w:t>股。</w:t>
      </w:r>
      <w:r>
        <w:rPr>
          <w:spacing w:val="5"/>
        </w:rPr>
        <w:t> </w:t>
      </w:r>
      <w:r>
        <w:rPr>
          <w:spacing w:val="-3"/>
        </w:rPr>
        <w:t>股份变动的过户情况</w:t>
      </w:r>
    </w:p>
    <w:p>
      <w:pPr>
        <w:pStyle w:val="BodyText"/>
        <w:spacing w:line="338" w:lineRule="auto" w:before="37"/>
        <w:ind w:right="807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股份回购的实施进展情况</w:t>
      </w:r>
    </w:p>
    <w:p>
      <w:pPr>
        <w:pStyle w:val="BodyText"/>
        <w:spacing w:line="343" w:lineRule="auto" w:before="41"/>
        <w:ind w:right="611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采用集中竞价方式减持回购股份的实施进展情况</w:t>
      </w:r>
    </w:p>
    <w:p>
      <w:pPr>
        <w:pStyle w:val="BodyText"/>
        <w:spacing w:line="338" w:lineRule="auto" w:before="37"/>
        <w:ind w:right="855"/>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股份变动对最近一年和最近一期基本每股收益和稀释每股收益、归属于公司普通股股东的每股净资产等财务指标的影响</w:t>
      </w:r>
    </w:p>
    <w:p>
      <w:pPr>
        <w:pStyle w:val="BodyText"/>
        <w:spacing w:line="338" w:lineRule="auto" w:before="46"/>
        <w:ind w:left="513" w:right="855" w:hanging="36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9"/>
        </w:rPr>
        <w:t> </w:t>
      </w:r>
      <w:r>
        <w:rPr>
          <w:spacing w:val="-79"/>
        </w:rPr>
      </w:r>
      <w:r>
        <w:rPr>
          <w:spacing w:val="-4"/>
        </w:rPr>
        <w:t>公司本报告期内资本公积金转增了股本，公司的总股本由</w:t>
      </w:r>
      <w:r>
        <w:rPr>
          <w:rFonts w:ascii="Times New Roman" w:hAnsi="Times New Roman" w:cs="Times New Roman" w:eastAsia="Times New Roman" w:hint="default"/>
          <w:spacing w:val="-4"/>
        </w:rPr>
        <w:t>246,606,046</w:t>
      </w:r>
      <w:r>
        <w:rPr>
          <w:spacing w:val="-4"/>
        </w:rPr>
        <w:t>股增加至</w:t>
      </w:r>
      <w:r>
        <w:rPr>
          <w:rFonts w:ascii="Times New Roman" w:hAnsi="Times New Roman" w:cs="Times New Roman" w:eastAsia="Times New Roman" w:hint="default"/>
          <w:spacing w:val="-4"/>
        </w:rPr>
        <w:t>320,587,859</w:t>
      </w:r>
      <w:r>
        <w:rPr>
          <w:spacing w:val="-4"/>
        </w:rPr>
        <w:t>股，公司基本每股收益、稀释</w:t>
      </w:r>
    </w:p>
    <w:p>
      <w:pPr>
        <w:pStyle w:val="BodyText"/>
        <w:spacing w:line="217" w:lineRule="exact"/>
        <w:ind w:right="855"/>
        <w:jc w:val="left"/>
      </w:pPr>
      <w:r>
        <w:rPr>
          <w:spacing w:val="-3"/>
        </w:rPr>
        <w:t>每股收益、归属于公司普通股股东的每股净资产等按照加权平均总股数进行计算。</w:t>
      </w:r>
      <w:r>
        <w:rPr/>
      </w:r>
    </w:p>
    <w:p>
      <w:pPr>
        <w:pStyle w:val="BodyText"/>
        <w:spacing w:line="240" w:lineRule="auto" w:before="119"/>
        <w:ind w:right="855"/>
        <w:jc w:val="left"/>
      </w:pPr>
      <w:r>
        <w:rPr>
          <w:spacing w:val="-3"/>
        </w:rPr>
        <w:t>公司认为必要或证券监管机构要求披露的其他内容</w:t>
      </w:r>
    </w:p>
    <w:p>
      <w:pPr>
        <w:spacing w:after="0" w:line="240" w:lineRule="auto"/>
        <w:jc w:val="left"/>
        <w:sectPr>
          <w:pgSz w:w="11910" w:h="16840"/>
          <w:pgMar w:header="746" w:footer="974"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6"/>
        <w:ind w:right="855"/>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8"/>
        <w:rPr>
          <w:rFonts w:ascii="宋体" w:hAnsi="宋体" w:cs="宋体" w:eastAsia="宋体" w:hint="default"/>
          <w:sz w:val="25"/>
          <w:szCs w:val="25"/>
        </w:rPr>
      </w:pPr>
    </w:p>
    <w:p>
      <w:pPr>
        <w:pStyle w:val="Heading4"/>
        <w:spacing w:line="240" w:lineRule="auto"/>
        <w:ind w:right="855"/>
        <w:jc w:val="left"/>
        <w:rPr>
          <w:b w:val="0"/>
          <w:bCs w:val="0"/>
        </w:rPr>
      </w:pPr>
      <w:r>
        <w:rPr>
          <w:rFonts w:ascii="Times New Roman" w:hAnsi="Times New Roman" w:cs="Times New Roman" w:eastAsia="Times New Roman" w:hint="default"/>
        </w:rPr>
        <w:t>2</w:t>
      </w:r>
      <w:r>
        <w:rPr/>
        <w:t>、限售股份变动情况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right="855"/>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1"/>
        </w:rPr>
        <w:t> </w:t>
      </w:r>
      <w:r>
        <w:rPr/>
        <w:t>不适用</w:t>
      </w:r>
    </w:p>
    <w:p>
      <w:pPr>
        <w:pStyle w:val="BodyText"/>
        <w:spacing w:line="240" w:lineRule="auto" w:before="106"/>
        <w:ind w:left="0" w:right="1121"/>
        <w:jc w:val="right"/>
      </w:pPr>
      <w:r>
        <w:rPr>
          <w:spacing w:val="-2"/>
        </w:rPr>
        <w:t>单位：股</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994"/>
        <w:gridCol w:w="706"/>
        <w:gridCol w:w="855"/>
        <w:gridCol w:w="850"/>
        <w:gridCol w:w="850"/>
        <w:gridCol w:w="3971"/>
        <w:gridCol w:w="1349"/>
      </w:tblGrid>
      <w:tr>
        <w:trPr>
          <w:trHeight w:val="715"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81" w:right="69"/>
              <w:jc w:val="left"/>
              <w:rPr>
                <w:rFonts w:ascii="宋体" w:hAnsi="宋体" w:cs="宋体" w:eastAsia="宋体" w:hint="default"/>
                <w:sz w:val="18"/>
                <w:szCs w:val="18"/>
              </w:rPr>
            </w:pPr>
            <w:r>
              <w:rPr>
                <w:rFonts w:ascii="宋体" w:hAnsi="宋体" w:cs="宋体" w:eastAsia="宋体" w:hint="default"/>
                <w:sz w:val="18"/>
                <w:szCs w:val="18"/>
              </w:rPr>
              <w:t>期初限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售股数</w:t>
            </w:r>
          </w:p>
        </w:tc>
        <w:tc>
          <w:tcPr>
            <w:tcW w:w="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62" w:right="55"/>
              <w:jc w:val="left"/>
              <w:rPr>
                <w:rFonts w:ascii="宋体" w:hAnsi="宋体" w:cs="宋体" w:eastAsia="宋体" w:hint="default"/>
                <w:sz w:val="18"/>
                <w:szCs w:val="18"/>
              </w:rPr>
            </w:pPr>
            <w:r>
              <w:rPr>
                <w:rFonts w:ascii="宋体" w:hAnsi="宋体" w:cs="宋体" w:eastAsia="宋体" w:hint="default"/>
                <w:sz w:val="18"/>
                <w:szCs w:val="18"/>
              </w:rPr>
              <w:t>本期增加</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限售股数</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57" w:right="56"/>
              <w:jc w:val="left"/>
              <w:rPr>
                <w:rFonts w:ascii="宋体" w:hAnsi="宋体" w:cs="宋体" w:eastAsia="宋体" w:hint="default"/>
                <w:sz w:val="18"/>
                <w:szCs w:val="18"/>
              </w:rPr>
            </w:pPr>
            <w:r>
              <w:rPr>
                <w:rFonts w:ascii="宋体" w:hAnsi="宋体" w:cs="宋体" w:eastAsia="宋体" w:hint="default"/>
                <w:sz w:val="18"/>
                <w:szCs w:val="18"/>
              </w:rPr>
              <w:t>本期解除</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限售股数</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240" w:right="51" w:hanging="178"/>
              <w:jc w:val="left"/>
              <w:rPr>
                <w:rFonts w:ascii="宋体" w:hAnsi="宋体" w:cs="宋体" w:eastAsia="宋体" w:hint="default"/>
                <w:sz w:val="18"/>
                <w:szCs w:val="18"/>
              </w:rPr>
            </w:pPr>
            <w:r>
              <w:rPr>
                <w:rFonts w:ascii="宋体" w:hAnsi="宋体" w:cs="宋体" w:eastAsia="宋体" w:hint="default"/>
                <w:sz w:val="18"/>
                <w:szCs w:val="18"/>
              </w:rPr>
              <w:t>期末限售</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股数</w:t>
            </w:r>
          </w:p>
        </w:tc>
        <w:tc>
          <w:tcPr>
            <w:tcW w:w="3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限售原因</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399"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徐宏灿</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19,617</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5,885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25,502</w:t>
            </w:r>
          </w:p>
        </w:tc>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公司现任董事长、总裁</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r>
      <w:tr>
        <w:trPr>
          <w:trHeight w:val="40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陈宇峰</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18,984</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5,696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24,680</w:t>
            </w:r>
          </w:p>
        </w:tc>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公司现任董事</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r>
      <w:tr>
        <w:trPr>
          <w:trHeight w:val="40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李云</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4,429</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1,329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5,758</w:t>
            </w:r>
          </w:p>
        </w:tc>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公司现任监事</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r>
      <w:tr>
        <w:trPr>
          <w:trHeight w:val="40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宋卫权</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5,062</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1,519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6,581</w:t>
            </w:r>
          </w:p>
        </w:tc>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公司现任副总裁</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r>
      <w:tr>
        <w:trPr>
          <w:trHeight w:val="71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吴蜀军</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13,289</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5,944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19,233</w:t>
            </w:r>
          </w:p>
        </w:tc>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95" w:lineRule="auto" w:before="54"/>
              <w:ind w:left="23"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 </w:t>
            </w:r>
            <w:r>
              <w:rPr>
                <w:rFonts w:ascii="Times New Roman" w:hAnsi="Times New Roman" w:cs="Times New Roman" w:eastAsia="Times New Roman" w:hint="default"/>
                <w:sz w:val="18"/>
                <w:szCs w:val="18"/>
              </w:rPr>
              <w:t>12 </w:t>
            </w:r>
            <w:r>
              <w:rPr>
                <w:rFonts w:ascii="宋体" w:hAnsi="宋体" w:cs="宋体" w:eastAsia="宋体" w:hint="default"/>
                <w:spacing w:val="-3"/>
                <w:sz w:val="18"/>
                <w:szCs w:val="18"/>
              </w:rPr>
              <w:t>月底因工作原因离职后所持有股份全部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锁定半年后</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解锁</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26</w:t>
            </w:r>
          </w:p>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r>
      <w:tr>
        <w:trPr>
          <w:trHeight w:val="715"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雷坚</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42,217</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12,665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54,882</w:t>
            </w:r>
          </w:p>
        </w:tc>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95" w:lineRule="auto" w:before="58"/>
              <w:ind w:left="23"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 </w:t>
            </w:r>
            <w:r>
              <w:rPr>
                <w:rFonts w:ascii="Times New Roman" w:hAnsi="Times New Roman" w:cs="Times New Roman" w:eastAsia="Times New Roman" w:hint="default"/>
                <w:sz w:val="18"/>
                <w:szCs w:val="18"/>
              </w:rPr>
              <w:t>12 </w:t>
            </w:r>
            <w:r>
              <w:rPr>
                <w:rFonts w:ascii="宋体" w:hAnsi="宋体" w:cs="宋体" w:eastAsia="宋体" w:hint="default"/>
                <w:spacing w:val="-3"/>
                <w:sz w:val="18"/>
                <w:szCs w:val="18"/>
              </w:rPr>
              <w:t>月底因工作原因离职后所持有股份全部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锁定半年后</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解锁</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26</w:t>
            </w:r>
          </w:p>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r>
      <w:tr>
        <w:trPr>
          <w:trHeight w:val="404"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103,598</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33,038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136,636</w:t>
            </w:r>
          </w:p>
        </w:tc>
        <w:tc>
          <w:tcPr>
            <w:tcW w:w="3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sz w:val="18"/>
              </w:rPr>
              <w:t>--</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5"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
        <w:rPr>
          <w:rFonts w:ascii="宋体" w:hAnsi="宋体" w:cs="宋体" w:eastAsia="宋体" w:hint="default"/>
          <w:sz w:val="18"/>
          <w:szCs w:val="18"/>
        </w:rPr>
      </w:pPr>
    </w:p>
    <w:p>
      <w:pPr>
        <w:pStyle w:val="Heading2"/>
        <w:spacing w:line="240" w:lineRule="auto" w:before="26"/>
        <w:ind w:right="855"/>
        <w:jc w:val="left"/>
        <w:rPr>
          <w:b w:val="0"/>
          <w:bCs w:val="0"/>
        </w:rPr>
      </w:pPr>
      <w:r>
        <w:rPr/>
        <w:t>二、证券发行与上市情况</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855"/>
        <w:jc w:val="left"/>
        <w:rPr>
          <w:b w:val="0"/>
          <w:bCs w:val="0"/>
        </w:rPr>
      </w:pP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855"/>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8"/>
        <w:rPr>
          <w:rFonts w:ascii="宋体" w:hAnsi="宋体" w:cs="宋体" w:eastAsia="宋体" w:hint="default"/>
          <w:sz w:val="25"/>
          <w:szCs w:val="25"/>
        </w:rPr>
      </w:pPr>
    </w:p>
    <w:p>
      <w:pPr>
        <w:pStyle w:val="Heading4"/>
        <w:spacing w:line="240" w:lineRule="auto"/>
        <w:ind w:right="855"/>
        <w:jc w:val="left"/>
        <w:rPr>
          <w:b w:val="0"/>
          <w:bCs w:val="0"/>
        </w:rPr>
      </w:pP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855"/>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1"/>
        </w:rPr>
        <w:t> </w:t>
      </w:r>
      <w:r>
        <w:rPr/>
        <w:t>不适用</w:t>
      </w:r>
    </w:p>
    <w:p>
      <w:pPr>
        <w:pStyle w:val="BodyText"/>
        <w:spacing w:line="300" w:lineRule="auto" w:before="106"/>
        <w:ind w:right="1122" w:firstLine="360"/>
        <w:jc w:val="both"/>
      </w:pPr>
      <w:r>
        <w:rPr>
          <w:spacing w:val="-4"/>
        </w:rPr>
        <w:t>（</w:t>
      </w:r>
      <w:r>
        <w:rPr>
          <w:rFonts w:ascii="Times New Roman" w:hAnsi="Times New Roman" w:cs="Times New Roman" w:eastAsia="Times New Roman" w:hint="default"/>
          <w:spacing w:val="-4"/>
        </w:rPr>
        <w:t>1</w:t>
      </w:r>
      <w:r>
        <w:rPr>
          <w:spacing w:val="-4"/>
        </w:rPr>
        <w:t>）公司于</w:t>
      </w: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3</w:t>
      </w:r>
      <w:r>
        <w:rPr>
          <w:spacing w:val="-4"/>
        </w:rPr>
        <w:t>月</w:t>
      </w:r>
      <w:r>
        <w:rPr>
          <w:rFonts w:ascii="Times New Roman" w:hAnsi="Times New Roman" w:cs="Times New Roman" w:eastAsia="Times New Roman" w:hint="default"/>
          <w:spacing w:val="-4"/>
        </w:rPr>
        <w:t>4</w:t>
      </w:r>
      <w:r>
        <w:rPr>
          <w:spacing w:val="-4"/>
        </w:rPr>
        <w:t>日召开第七届董事会第十九次会议、</w:t>
      </w: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3</w:t>
      </w:r>
      <w:r>
        <w:rPr>
          <w:spacing w:val="-4"/>
        </w:rPr>
        <w:t>月</w:t>
      </w:r>
      <w:r>
        <w:rPr>
          <w:rFonts w:ascii="Times New Roman" w:hAnsi="Times New Roman" w:cs="Times New Roman" w:eastAsia="Times New Roman" w:hint="default"/>
          <w:spacing w:val="-4"/>
        </w:rPr>
        <w:t>28</w:t>
      </w:r>
      <w:r>
        <w:rPr>
          <w:spacing w:val="-4"/>
        </w:rPr>
        <w:t>日召开</w:t>
      </w:r>
      <w:r>
        <w:rPr>
          <w:rFonts w:ascii="Times New Roman" w:hAnsi="Times New Roman" w:cs="Times New Roman" w:eastAsia="Times New Roman" w:hint="default"/>
          <w:spacing w:val="-4"/>
        </w:rPr>
        <w:t>2018</w:t>
      </w:r>
      <w:r>
        <w:rPr>
          <w:spacing w:val="-4"/>
        </w:rPr>
        <w:t>年度股东大会审议通过了《南天信</w:t>
      </w:r>
      <w:r>
        <w:rPr>
          <w:w w:val="101"/>
        </w:rPr>
        <w:t> </w:t>
      </w:r>
      <w:r>
        <w:rPr>
          <w:spacing w:val="-2"/>
        </w:rPr>
        <w:t>息</w:t>
      </w:r>
      <w:r>
        <w:rPr>
          <w:rFonts w:ascii="Times New Roman" w:hAnsi="Times New Roman" w:cs="Times New Roman" w:eastAsia="Times New Roman" w:hint="default"/>
          <w:spacing w:val="-2"/>
        </w:rPr>
        <w:t>2018</w:t>
      </w:r>
      <w:r>
        <w:rPr>
          <w:spacing w:val="-2"/>
        </w:rPr>
        <w:t>年度利润分配及资本公积转增股本的方案》，公司以</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日的总股本</w:t>
      </w:r>
      <w:r>
        <w:rPr>
          <w:rFonts w:ascii="Times New Roman" w:hAnsi="Times New Roman" w:cs="Times New Roman" w:eastAsia="Times New Roman" w:hint="default"/>
          <w:spacing w:val="-2"/>
        </w:rPr>
        <w:t>246,606,046</w:t>
      </w:r>
      <w:r>
        <w:rPr>
          <w:rFonts w:ascii="Times New Roman" w:hAnsi="Times New Roman" w:cs="Times New Roman" w:eastAsia="Times New Roman" w:hint="default"/>
        </w:rPr>
        <w:t> </w:t>
      </w:r>
      <w:r>
        <w:rPr>
          <w:spacing w:val="-3"/>
        </w:rPr>
        <w:t>股为基数，进行资本公积</w:t>
      </w:r>
      <w:r>
        <w:rPr>
          <w:spacing w:val="-17"/>
        </w:rPr>
        <w:t> </w:t>
      </w:r>
      <w:r>
        <w:rPr>
          <w:spacing w:val="-17"/>
        </w:rPr>
      </w:r>
      <w:r>
        <w:rPr>
          <w:spacing w:val="-3"/>
        </w:rPr>
        <w:t>金转增股本，向全体股东每</w:t>
      </w:r>
      <w:r>
        <w:rPr>
          <w:rFonts w:ascii="Times New Roman" w:hAnsi="Times New Roman" w:cs="Times New Roman" w:eastAsia="Times New Roman" w:hint="default"/>
          <w:spacing w:val="-3"/>
        </w:rPr>
        <w:t>10</w:t>
      </w:r>
      <w:r>
        <w:rPr>
          <w:spacing w:val="-3"/>
        </w:rPr>
        <w:t>股转增</w:t>
      </w:r>
      <w:r>
        <w:rPr>
          <w:rFonts w:ascii="Times New Roman" w:hAnsi="Times New Roman" w:cs="Times New Roman" w:eastAsia="Times New Roman" w:hint="default"/>
          <w:spacing w:val="-3"/>
        </w:rPr>
        <w:t>3</w:t>
      </w:r>
      <w:r>
        <w:rPr>
          <w:spacing w:val="-3"/>
        </w:rPr>
        <w:t>股，合计转增股本</w:t>
      </w:r>
      <w:r>
        <w:rPr>
          <w:rFonts w:ascii="Times New Roman" w:hAnsi="Times New Roman" w:cs="Times New Roman" w:eastAsia="Times New Roman" w:hint="default"/>
          <w:spacing w:val="-3"/>
        </w:rPr>
        <w:t>73,981,813</w:t>
      </w:r>
      <w:r>
        <w:rPr>
          <w:spacing w:val="-3"/>
        </w:rPr>
        <w:t>股。该分配方案已于</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4</w:t>
      </w:r>
      <w:r>
        <w:rPr>
          <w:spacing w:val="-3"/>
        </w:rPr>
        <w:t>月</w:t>
      </w:r>
      <w:r>
        <w:rPr>
          <w:rFonts w:ascii="Times New Roman" w:hAnsi="Times New Roman" w:cs="Times New Roman" w:eastAsia="Times New Roman" w:hint="default"/>
          <w:spacing w:val="-3"/>
        </w:rPr>
        <w:t>15</w:t>
      </w:r>
      <w:r>
        <w:rPr>
          <w:spacing w:val="-3"/>
        </w:rPr>
        <w:t>日实施完成，转增后，</w:t>
      </w:r>
      <w:r>
        <w:rPr>
          <w:spacing w:val="11"/>
        </w:rPr>
        <w:t> </w:t>
      </w:r>
      <w:r>
        <w:rPr>
          <w:spacing w:val="11"/>
        </w:rPr>
      </w:r>
      <w:r>
        <w:rPr/>
        <w:t>公司的总股本由</w:t>
      </w:r>
      <w:r>
        <w:rPr>
          <w:rFonts w:ascii="Times New Roman" w:hAnsi="Times New Roman" w:cs="Times New Roman" w:eastAsia="Times New Roman" w:hint="default"/>
        </w:rPr>
        <w:t>246,606,046</w:t>
      </w:r>
      <w:r>
        <w:rPr/>
        <w:t>股增加至</w:t>
      </w:r>
      <w:r>
        <w:rPr>
          <w:rFonts w:ascii="Times New Roman" w:hAnsi="Times New Roman" w:cs="Times New Roman" w:eastAsia="Times New Roman" w:hint="default"/>
        </w:rPr>
        <w:t>320,587,859</w:t>
      </w:r>
      <w:r>
        <w:rPr/>
        <w:t>股。</w:t>
      </w:r>
    </w:p>
    <w:p>
      <w:pPr>
        <w:pStyle w:val="BodyText"/>
        <w:spacing w:line="300" w:lineRule="auto" w:before="13"/>
        <w:ind w:right="855" w:firstLine="360"/>
        <w:jc w:val="left"/>
      </w:pPr>
      <w:r>
        <w:rPr>
          <w:spacing w:val="-3"/>
        </w:rPr>
        <w:t>（</w:t>
      </w:r>
      <w:r>
        <w:rPr>
          <w:rFonts w:ascii="Times New Roman" w:hAnsi="Times New Roman" w:cs="Times New Roman" w:eastAsia="Times New Roman" w:hint="default"/>
          <w:spacing w:val="-3"/>
        </w:rPr>
        <w:t>2</w:t>
      </w:r>
      <w:r>
        <w:rPr>
          <w:spacing w:val="-3"/>
        </w:rPr>
        <w:t>）</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11</w:t>
      </w:r>
      <w:r>
        <w:rPr>
          <w:spacing w:val="-3"/>
        </w:rPr>
        <w:t>月</w:t>
      </w:r>
      <w:r>
        <w:rPr>
          <w:rFonts w:ascii="Times New Roman" w:hAnsi="Times New Roman" w:cs="Times New Roman" w:eastAsia="Times New Roman" w:hint="default"/>
          <w:spacing w:val="-3"/>
        </w:rPr>
        <w:t>8</w:t>
      </w:r>
      <w:r>
        <w:rPr>
          <w:spacing w:val="-3"/>
        </w:rPr>
        <w:t>日，公司收到原第二大股东工投集团通知，决定将其全资子公司南天集团持有的南天信息</w:t>
      </w:r>
      <w:r>
        <w:rPr>
          <w:rFonts w:ascii="Times New Roman" w:hAnsi="Times New Roman" w:cs="Times New Roman" w:eastAsia="Times New Roman" w:hint="default"/>
          <w:spacing w:val="-3"/>
        </w:rPr>
        <w:t>64,367,006</w:t>
      </w:r>
      <w:r>
        <w:rPr>
          <w:rFonts w:ascii="Times New Roman" w:hAnsi="Times New Roman" w:cs="Times New Roman" w:eastAsia="Times New Roman" w:hint="default"/>
          <w:w w:val="101"/>
        </w:rPr>
        <w:t> </w:t>
      </w:r>
      <w:r>
        <w:rPr>
          <w:spacing w:val="-3"/>
        </w:rPr>
        <w:t>股股票（全部为无限售流通股，占南天信息总股本的</w:t>
      </w:r>
      <w:r>
        <w:rPr>
          <w:rFonts w:ascii="Times New Roman" w:hAnsi="Times New Roman" w:cs="Times New Roman" w:eastAsia="Times New Roman" w:hint="default"/>
          <w:spacing w:val="-3"/>
        </w:rPr>
        <w:t>26.10%</w:t>
      </w:r>
      <w:r>
        <w:rPr>
          <w:spacing w:val="-3"/>
        </w:rPr>
        <w:t>）无偿划转至工投集团。</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2</w:t>
      </w:r>
      <w:r>
        <w:rPr>
          <w:spacing w:val="-3"/>
        </w:rPr>
        <w:t>月</w:t>
      </w:r>
      <w:r>
        <w:rPr>
          <w:rFonts w:ascii="Times New Roman" w:hAnsi="Times New Roman" w:cs="Times New Roman" w:eastAsia="Times New Roman" w:hint="default"/>
          <w:spacing w:val="-3"/>
        </w:rPr>
        <w:t>1</w:t>
      </w:r>
      <w:r>
        <w:rPr>
          <w:spacing w:val="-3"/>
        </w:rPr>
        <w:t>日，上述事宜已办理完成</w:t>
      </w:r>
      <w:r>
        <w:rPr>
          <w:spacing w:val="83"/>
        </w:rPr>
        <w:t> </w:t>
      </w:r>
      <w:r>
        <w:rPr>
          <w:spacing w:val="83"/>
        </w:rPr>
      </w:r>
      <w:r>
        <w:rPr>
          <w:spacing w:val="-3"/>
        </w:rPr>
        <w:t>股份过户登记手续。至此，工投集团直接持有南天信息</w:t>
      </w:r>
      <w:r>
        <w:rPr>
          <w:rFonts w:ascii="Times New Roman" w:hAnsi="Times New Roman" w:cs="Times New Roman" w:eastAsia="Times New Roman" w:hint="default"/>
          <w:spacing w:val="-3"/>
        </w:rPr>
        <w:t>87,237,219</w:t>
      </w:r>
      <w:r>
        <w:rPr>
          <w:spacing w:val="-3"/>
        </w:rPr>
        <w:t>股股份（全部为无限售流通股），占南天信息总股本的</w:t>
      </w:r>
      <w:r>
        <w:rPr>
          <w:spacing w:val="80"/>
        </w:rPr>
        <w:t> </w:t>
      </w:r>
      <w:r>
        <w:rPr>
          <w:spacing w:val="80"/>
        </w:rPr>
      </w:r>
      <w:r>
        <w:rPr>
          <w:rFonts w:ascii="Times New Roman" w:hAnsi="Times New Roman" w:cs="Times New Roman" w:eastAsia="Times New Roman" w:hint="default"/>
          <w:spacing w:val="-3"/>
        </w:rPr>
        <w:t>35.38%</w:t>
      </w:r>
      <w:r>
        <w:rPr>
          <w:spacing w:val="-3"/>
        </w:rPr>
        <w:t>，成为南天信息的控股股东；南天集团持有南天信息</w:t>
      </w:r>
      <w:r>
        <w:rPr>
          <w:rFonts w:ascii="Times New Roman" w:hAnsi="Times New Roman" w:cs="Times New Roman" w:eastAsia="Times New Roman" w:hint="default"/>
          <w:spacing w:val="-3"/>
        </w:rPr>
        <w:t>1,914,025</w:t>
      </w:r>
      <w:r>
        <w:rPr>
          <w:spacing w:val="-3"/>
        </w:rPr>
        <w:t>股股份（全部为无限售流通股，含南天信息管理层委</w:t>
      </w:r>
      <w:r>
        <w:rPr>
          <w:spacing w:val="2"/>
        </w:rPr>
        <w:t> </w:t>
      </w:r>
      <w:r>
        <w:rPr>
          <w:spacing w:val="2"/>
        </w:rPr>
      </w:r>
      <w:r>
        <w:rPr>
          <w:spacing w:val="-5"/>
        </w:rPr>
        <w:t>托南天集团通过其资产管理计划增持的股份</w:t>
      </w:r>
      <w:r>
        <w:rPr>
          <w:rFonts w:ascii="Times New Roman" w:hAnsi="Times New Roman" w:cs="Times New Roman" w:eastAsia="Times New Roman" w:hint="default"/>
          <w:spacing w:val="-5"/>
        </w:rPr>
        <w:t>9,047</w:t>
      </w:r>
      <w:r>
        <w:rPr>
          <w:spacing w:val="-5"/>
        </w:rPr>
        <w:t>股），占南天信息总股本的</w:t>
      </w:r>
      <w:r>
        <w:rPr>
          <w:rFonts w:ascii="Times New Roman" w:hAnsi="Times New Roman" w:cs="Times New Roman" w:eastAsia="Times New Roman" w:hint="default"/>
          <w:spacing w:val="-5"/>
        </w:rPr>
        <w:t>0.78%</w:t>
      </w:r>
      <w:r>
        <w:rPr>
          <w:spacing w:val="-5"/>
        </w:rPr>
        <w:t>。公司控股股东由南天集团变为工投集团，</w:t>
      </w:r>
      <w:r>
        <w:rPr>
          <w:spacing w:val="69"/>
        </w:rPr>
        <w:t> </w:t>
      </w:r>
      <w:r>
        <w:rPr>
          <w:spacing w:val="69"/>
        </w:rPr>
      </w:r>
      <w:r>
        <w:rPr>
          <w:spacing w:val="-3"/>
        </w:rPr>
        <w:t>公司实际控制人无变化，仍为省国资委。</w:t>
      </w:r>
    </w:p>
    <w:p>
      <w:pPr>
        <w:spacing w:line="240" w:lineRule="auto" w:before="8"/>
        <w:rPr>
          <w:rFonts w:ascii="宋体" w:hAnsi="宋体" w:cs="宋体" w:eastAsia="宋体" w:hint="default"/>
          <w:sz w:val="23"/>
          <w:szCs w:val="23"/>
        </w:rPr>
      </w:pPr>
    </w:p>
    <w:p>
      <w:pPr>
        <w:pStyle w:val="Heading4"/>
        <w:spacing w:line="240" w:lineRule="auto"/>
        <w:ind w:right="855"/>
        <w:jc w:val="left"/>
        <w:rPr>
          <w:b w:val="0"/>
          <w:bCs w:val="0"/>
        </w:rPr>
      </w:pPr>
      <w:r>
        <w:rPr>
          <w:rFonts w:ascii="Times New Roman" w:hAnsi="Times New Roman" w:cs="Times New Roman" w:eastAsia="Times New Roman" w:hint="default"/>
        </w:rPr>
        <w:t>3</w:t>
      </w:r>
      <w:r>
        <w:rPr/>
        <w:t>、现存的内部职工股情况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855"/>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after="0" w:line="240" w:lineRule="auto"/>
        <w:jc w:val="left"/>
        <w:sectPr>
          <w:pgSz w:w="11910" w:h="16840"/>
          <w:pgMar w:header="746" w:footer="974" w:top="1060" w:bottom="1160" w:left="980" w:right="0"/>
        </w:sectPr>
      </w:pPr>
    </w:p>
    <w:p>
      <w:pPr>
        <w:spacing w:line="240" w:lineRule="auto" w:before="10"/>
        <w:rPr>
          <w:rFonts w:ascii="宋体" w:hAnsi="宋体" w:cs="宋体" w:eastAsia="宋体" w:hint="default"/>
          <w:sz w:val="23"/>
          <w:szCs w:val="23"/>
        </w:rPr>
      </w:pPr>
      <w:r>
        <w:rPr/>
        <w:pict>
          <v:shape style="position:absolute;margin-left:206.979996pt;margin-top:600.165955pt;width:331.6pt;height:35.1pt;mso-position-horizontal-relative:page;mso-position-vertical-relative:page;z-index:-982144" type="#_x0000_t202" filled="false" stroked="false">
            <v:textbox inset="0,0,0,0">
              <w:txbxContent>
                <w:p>
                  <w:pPr>
                    <w:spacing w:line="240" w:lineRule="auto" w:before="0"/>
                    <w:rPr>
                      <w:rFonts w:ascii="宋体" w:hAnsi="宋体" w:cs="宋体" w:eastAsia="宋体" w:hint="default"/>
                      <w:sz w:val="18"/>
                      <w:szCs w:val="18"/>
                    </w:rPr>
                  </w:pPr>
                </w:p>
                <w:p>
                  <w:pPr>
                    <w:pStyle w:val="BodyText"/>
                    <w:spacing w:line="240" w:lineRule="auto" w:before="126"/>
                    <w:ind w:left="0" w:right="0"/>
                    <w:jc w:val="left"/>
                  </w:pPr>
                  <w:r>
                    <w:rPr>
                      <w:w w:val="101"/>
                    </w:rPr>
                    <w:t>）</w:t>
                  </w:r>
                  <w:r>
                    <w:rPr/>
                  </w:r>
                </w:p>
              </w:txbxContent>
            </v:textbox>
            <w10:wrap type="none"/>
          </v:shape>
        </w:pict>
      </w:r>
      <w:r>
        <w:rPr/>
        <w:pict>
          <v:group style="position:absolute;margin-left:212.979996pt;margin-top:600.165955pt;width:325.6pt;height:7.7pt;mso-position-horizontal-relative:page;mso-position-vertical-relative:page;z-index:-982096" coordorigin="4260,12003" coordsize="6512,154">
            <v:shape style="position:absolute;left:4260;top:12003;width:6512;height:154" coordorigin="4260,12003" coordsize="6512,154" path="m4260,12157l10771,12157,10771,12003,4260,12003,4260,12157xe" filled="true" fillcolor="#ffffff" stroked="false">
              <v:path arrowok="t"/>
              <v:fill type="solid"/>
            </v:shape>
            <w10:wrap type="none"/>
          </v:group>
        </w:pict>
      </w:r>
      <w:r>
        <w:rPr/>
        <w:pict>
          <v:group style="position:absolute;margin-left:212.979996pt;margin-top:627.549988pt;width:325.6pt;height:7.7pt;mso-position-horizontal-relative:page;mso-position-vertical-relative:page;z-index:-982072" coordorigin="4260,12551" coordsize="6512,154">
            <v:shape style="position:absolute;left:4260;top:12551;width:6512;height:154" coordorigin="4260,12551" coordsize="6512,154" path="m4260,12705l10771,12705,10771,12551,4260,12551,4260,12705xe" filled="true" fillcolor="#ffffff" stroked="false">
              <v:path arrowok="t"/>
              <v:fill type="solid"/>
            </v:shape>
            <w10:wrap type="none"/>
          </v:group>
        </w:pict>
      </w:r>
    </w:p>
    <w:p>
      <w:pPr>
        <w:pStyle w:val="Heading2"/>
        <w:spacing w:line="240" w:lineRule="auto" w:before="26"/>
        <w:ind w:right="855"/>
        <w:jc w:val="left"/>
        <w:rPr>
          <w:b w:val="0"/>
          <w:bCs w:val="0"/>
        </w:rPr>
      </w:pPr>
      <w:r>
        <w:rPr/>
        <w:t>三、股东和实际控制人情况</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855"/>
        <w:jc w:val="left"/>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1"/>
        <w:jc w:val="right"/>
      </w:pPr>
      <w:r>
        <w:rPr/>
        <w:pict>
          <v:shape style="position:absolute;margin-left:483.299133pt;margin-top:19.767733pt;width:55.25pt;height:82.15pt;mso-position-horizontal-relative:page;mso-position-vertical-relative:paragraph;z-index:-982168"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ind w:left="0" w:right="0"/>
                    <w:jc w:val="left"/>
                  </w:pPr>
                  <w:r>
                    <w:rPr>
                      <w:w w:val="101"/>
                    </w:rPr>
                    <w:t>）</w:t>
                  </w:r>
                  <w:r>
                    <w:rPr/>
                  </w:r>
                </w:p>
              </w:txbxContent>
            </v:textbox>
            <w10:wrap type="none"/>
          </v:shape>
        </w:pict>
      </w:r>
      <w:r>
        <w:rPr/>
        <w:pict>
          <v:group style="position:absolute;margin-left:489.339996pt;margin-top:19.767733pt;width:49.2pt;height:82.15pt;mso-position-horizontal-relative:page;mso-position-vertical-relative:paragraph;z-index:-982120" coordorigin="9787,395" coordsize="984,1643">
            <v:group style="position:absolute;left:9787;top:395;width:984;height:1643" coordorigin="9787,395" coordsize="984,1643">
              <v:shape style="position:absolute;left:9787;top:395;width:984;height:1643" coordorigin="9787,395" coordsize="984,1643" path="m9787,2037l10771,2037,10771,395,9787,395,9787,2037xe" filled="true" fillcolor="#ffffff" stroked="false">
                <v:path arrowok="t"/>
                <v:fill type="solid"/>
              </v:shape>
            </v:group>
            <v:group style="position:absolute;left:9806;top:1019;width:946;height:394" coordorigin="9806,1019" coordsize="946,394">
              <v:shape style="position:absolute;left:9806;top:1019;width:946;height:394" coordorigin="9806,1019" coordsize="946,394" path="m9806,1413l10752,1413,10752,1019,9806,1019,9806,1413xe" filled="true" fillcolor="#ffffff" stroked="false">
                <v:path arrowok="t"/>
                <v:fill type="solid"/>
              </v:shape>
            </v:group>
            <w10:wrap type="none"/>
          </v:group>
        </w:pict>
      </w:r>
      <w:r>
        <w:rPr>
          <w:spacing w:val="-2"/>
        </w:rPr>
        <w:t>单位：股</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01"/>
        <w:gridCol w:w="499"/>
        <w:gridCol w:w="699"/>
        <w:gridCol w:w="723"/>
        <w:gridCol w:w="576"/>
        <w:gridCol w:w="759"/>
        <w:gridCol w:w="336"/>
        <w:gridCol w:w="740"/>
        <w:gridCol w:w="713"/>
        <w:gridCol w:w="1017"/>
        <w:gridCol w:w="1248"/>
        <w:gridCol w:w="135"/>
        <w:gridCol w:w="475"/>
        <w:gridCol w:w="524"/>
      </w:tblGrid>
      <w:tr>
        <w:trPr>
          <w:trHeight w:val="1656" w:hRule="exact"/>
        </w:trPr>
        <w:tc>
          <w:tcPr>
            <w:tcW w:w="1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4" w:right="81"/>
              <w:jc w:val="left"/>
              <w:rPr>
                <w:rFonts w:ascii="宋体" w:hAnsi="宋体" w:cs="宋体" w:eastAsia="宋体" w:hint="default"/>
                <w:sz w:val="18"/>
                <w:szCs w:val="18"/>
              </w:rPr>
            </w:pPr>
            <w:r>
              <w:rPr>
                <w:rFonts w:ascii="宋体" w:hAnsi="宋体" w:cs="宋体" w:eastAsia="宋体" w:hint="default"/>
                <w:spacing w:val="-2"/>
                <w:sz w:val="18"/>
                <w:szCs w:val="18"/>
              </w:rPr>
              <w:t>报告期末普通</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股股东总数</w:t>
            </w:r>
          </w:p>
        </w:tc>
        <w:tc>
          <w:tcPr>
            <w:tcW w:w="11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672" w:right="0"/>
              <w:jc w:val="left"/>
              <w:rPr>
                <w:rFonts w:ascii="Times New Roman" w:hAnsi="Times New Roman" w:cs="Times New Roman" w:eastAsia="Times New Roman" w:hint="default"/>
                <w:sz w:val="18"/>
                <w:szCs w:val="18"/>
              </w:rPr>
            </w:pPr>
            <w:r>
              <w:rPr>
                <w:rFonts w:ascii="Times New Roman"/>
                <w:sz w:val="18"/>
              </w:rPr>
              <w:t>33,892</w:t>
            </w:r>
          </w:p>
        </w:tc>
        <w:tc>
          <w:tcPr>
            <w:tcW w:w="129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21" w:right="3"/>
              <w:jc w:val="both"/>
              <w:rPr>
                <w:rFonts w:ascii="宋体" w:hAnsi="宋体" w:cs="宋体" w:eastAsia="宋体" w:hint="default"/>
                <w:sz w:val="18"/>
                <w:szCs w:val="18"/>
              </w:rPr>
            </w:pPr>
            <w:r>
              <w:rPr>
                <w:rFonts w:ascii="宋体" w:hAnsi="宋体" w:cs="宋体" w:eastAsia="宋体" w:hint="default"/>
                <w:spacing w:val="-3"/>
                <w:sz w:val="18"/>
                <w:szCs w:val="18"/>
              </w:rPr>
              <w:t>年度报告披露日</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前上一月末普通</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股股东总数</w:t>
            </w:r>
          </w:p>
        </w:tc>
        <w:tc>
          <w:tcPr>
            <w:tcW w:w="10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566" w:right="0"/>
              <w:jc w:val="left"/>
              <w:rPr>
                <w:rFonts w:ascii="Times New Roman" w:hAnsi="Times New Roman" w:cs="Times New Roman" w:eastAsia="Times New Roman" w:hint="default"/>
                <w:sz w:val="18"/>
                <w:szCs w:val="18"/>
              </w:rPr>
            </w:pPr>
            <w:r>
              <w:rPr>
                <w:rFonts w:ascii="Times New Roman"/>
                <w:sz w:val="18"/>
              </w:rPr>
              <w:t>32,176</w:t>
            </w:r>
          </w:p>
        </w:tc>
        <w:tc>
          <w:tcPr>
            <w:tcW w:w="145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4" w:right="5"/>
              <w:jc w:val="left"/>
              <w:rPr>
                <w:rFonts w:ascii="宋体" w:hAnsi="宋体" w:cs="宋体" w:eastAsia="宋体" w:hint="default"/>
                <w:sz w:val="18"/>
                <w:szCs w:val="18"/>
              </w:rPr>
            </w:pPr>
            <w:r>
              <w:rPr>
                <w:rFonts w:ascii="宋体" w:hAnsi="宋体" w:cs="宋体" w:eastAsia="宋体" w:hint="default"/>
                <w:spacing w:val="-3"/>
                <w:sz w:val="18"/>
                <w:szCs w:val="18"/>
              </w:rPr>
              <w:t>报告期末表决权</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恢复的优先股股</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26"/>
                <w:w w:val="101"/>
                <w:sz w:val="18"/>
                <w:szCs w:val="18"/>
              </w:rPr>
              <w:t>东总数（如有）（参</w:t>
            </w:r>
            <w:r>
              <w:rPr>
                <w:rFonts w:ascii="宋体" w:hAnsi="宋体" w:cs="宋体" w:eastAsia="宋体" w:hint="default"/>
                <w:spacing w:val="-90"/>
                <w:w w:val="101"/>
                <w:sz w:val="18"/>
                <w:szCs w:val="18"/>
              </w:rPr>
              <w:t> </w:t>
            </w:r>
            <w:r>
              <w:rPr>
                <w:rFonts w:ascii="宋体" w:hAnsi="宋体" w:cs="宋体" w:eastAsia="宋体" w:hint="default"/>
                <w:spacing w:val="-90"/>
                <w:w w:val="101"/>
                <w:sz w:val="18"/>
                <w:szCs w:val="18"/>
              </w:rPr>
            </w:r>
            <w:r>
              <w:rPr>
                <w:rFonts w:ascii="宋体" w:hAnsi="宋体" w:cs="宋体" w:eastAsia="宋体" w:hint="default"/>
                <w:sz w:val="18"/>
                <w:szCs w:val="18"/>
              </w:rPr>
              <w:t>见注</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3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38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80" w:right="27"/>
              <w:jc w:val="both"/>
              <w:rPr>
                <w:rFonts w:ascii="宋体" w:hAnsi="宋体" w:cs="宋体" w:eastAsia="宋体" w:hint="default"/>
                <w:sz w:val="18"/>
                <w:szCs w:val="18"/>
              </w:rPr>
            </w:pPr>
            <w:r>
              <w:rPr>
                <w:rFonts w:ascii="宋体" w:hAnsi="宋体" w:cs="宋体" w:eastAsia="宋体" w:hint="default"/>
                <w:spacing w:val="-3"/>
                <w:sz w:val="18"/>
                <w:szCs w:val="18"/>
              </w:rPr>
              <w:t>年度报告披露日</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前上一月末表决</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权恢复的优先股</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13"/>
                <w:w w:val="101"/>
                <w:sz w:val="18"/>
                <w:szCs w:val="18"/>
              </w:rPr>
              <w:t>股东总数（如有</w:t>
            </w:r>
            <w:r>
              <w:rPr>
                <w:rFonts w:ascii="宋体" w:hAnsi="宋体" w:cs="宋体" w:eastAsia="宋体" w:hint="default"/>
                <w:spacing w:val="-13"/>
                <w:sz w:val="18"/>
                <w:szCs w:val="18"/>
              </w:rPr>
            </w:r>
          </w:p>
          <w:p>
            <w:pPr>
              <w:pStyle w:val="TableParagraph"/>
              <w:spacing w:line="240" w:lineRule="auto" w:before="19"/>
              <w:ind w:left="80"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475" w:type="dxa"/>
            <w:tcBorders>
              <w:top w:val="single" w:sz="4" w:space="0" w:color="000000"/>
              <w:left w:val="single" w:sz="4" w:space="0" w:color="000000"/>
              <w:bottom w:val="single" w:sz="4" w:space="0" w:color="000000"/>
              <w:right w:val="nil" w:sz="6" w:space="0" w:color="auto"/>
            </w:tcBorders>
          </w:tcPr>
          <w:p>
            <w:pPr/>
          </w:p>
        </w:tc>
        <w:tc>
          <w:tcPr>
            <w:tcW w:w="524"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394" w:hRule="exact"/>
        </w:trPr>
        <w:tc>
          <w:tcPr>
            <w:tcW w:w="9642" w:type="dxa"/>
            <w:gridSpan w:val="1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97"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28"/>
                <w:sz w:val="18"/>
                <w:szCs w:val="18"/>
              </w:rPr>
              <w:t> </w:t>
            </w: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以上的股东或前</w:t>
            </w:r>
            <w:r>
              <w:rPr>
                <w:rFonts w:ascii="宋体" w:hAnsi="宋体" w:cs="宋体" w:eastAsia="宋体" w:hint="default"/>
                <w:spacing w:val="-2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7"/>
                <w:sz w:val="18"/>
                <w:szCs w:val="18"/>
              </w:rPr>
              <w:t> </w:t>
            </w:r>
            <w:r>
              <w:rPr>
                <w:rFonts w:ascii="宋体" w:hAnsi="宋体" w:cs="宋体" w:eastAsia="宋体" w:hint="default"/>
                <w:spacing w:val="-3"/>
                <w:sz w:val="18"/>
                <w:szCs w:val="18"/>
              </w:rPr>
              <w:t>名股东持股情况</w:t>
            </w:r>
          </w:p>
        </w:tc>
      </w:tr>
      <w:tr>
        <w:trPr>
          <w:trHeight w:val="403" w:hRule="exact"/>
        </w:trPr>
        <w:tc>
          <w:tcPr>
            <w:tcW w:w="170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484"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2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346"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5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30"/>
              <w:ind w:left="91" w:right="108"/>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86"/>
                <w:sz w:val="18"/>
                <w:szCs w:val="18"/>
              </w:rPr>
              <w:t> </w:t>
            </w:r>
            <w:r>
              <w:rPr>
                <w:rFonts w:ascii="宋体" w:hAnsi="宋体" w:cs="宋体" w:eastAsia="宋体" w:hint="default"/>
                <w:sz w:val="18"/>
                <w:szCs w:val="18"/>
              </w:rPr>
              <w:t>比例</w:t>
            </w:r>
          </w:p>
        </w:tc>
        <w:tc>
          <w:tcPr>
            <w:tcW w:w="75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30"/>
              <w:ind w:right="22"/>
              <w:jc w:val="left"/>
              <w:rPr>
                <w:rFonts w:ascii="宋体" w:hAnsi="宋体" w:cs="宋体" w:eastAsia="宋体" w:hint="default"/>
                <w:sz w:val="18"/>
                <w:szCs w:val="18"/>
              </w:rPr>
            </w:pPr>
            <w:r>
              <w:rPr>
                <w:rFonts w:ascii="宋体" w:hAnsi="宋体" w:cs="宋体" w:eastAsia="宋体" w:hint="default"/>
                <w:sz w:val="18"/>
                <w:szCs w:val="18"/>
              </w:rPr>
              <w:t>报告期末</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持股数量</w:t>
            </w:r>
          </w:p>
        </w:tc>
        <w:tc>
          <w:tcPr>
            <w:tcW w:w="107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30"/>
              <w:ind w:left="81" w:right="79"/>
              <w:jc w:val="left"/>
              <w:rPr>
                <w:rFonts w:ascii="宋体" w:hAnsi="宋体" w:cs="宋体" w:eastAsia="宋体" w:hint="default"/>
                <w:sz w:val="18"/>
                <w:szCs w:val="18"/>
              </w:rPr>
            </w:pPr>
            <w:r>
              <w:rPr>
                <w:rFonts w:ascii="宋体" w:hAnsi="宋体" w:cs="宋体" w:eastAsia="宋体" w:hint="default"/>
                <w:spacing w:val="-2"/>
                <w:sz w:val="18"/>
                <w:szCs w:val="18"/>
              </w:rPr>
              <w:t>报告期内增</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减变动情况</w:t>
            </w:r>
          </w:p>
        </w:tc>
        <w:tc>
          <w:tcPr>
            <w:tcW w:w="713"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3"/>
              <w:ind w:left="81" w:right="77"/>
              <w:jc w:val="both"/>
              <w:rPr>
                <w:rFonts w:ascii="宋体" w:hAnsi="宋体" w:cs="宋体" w:eastAsia="宋体" w:hint="default"/>
                <w:sz w:val="18"/>
                <w:szCs w:val="18"/>
              </w:rPr>
            </w:pPr>
            <w:r>
              <w:rPr>
                <w:rFonts w:ascii="宋体" w:hAnsi="宋体" w:cs="宋体" w:eastAsia="宋体" w:hint="default"/>
                <w:sz w:val="18"/>
                <w:szCs w:val="18"/>
              </w:rPr>
              <w:t>持有有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限售条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件的股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份数量</w:t>
            </w:r>
          </w:p>
        </w:tc>
        <w:tc>
          <w:tcPr>
            <w:tcW w:w="10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36" w:right="65"/>
              <w:jc w:val="center"/>
              <w:rPr>
                <w:rFonts w:ascii="宋体" w:hAnsi="宋体" w:cs="宋体" w:eastAsia="宋体" w:hint="default"/>
                <w:sz w:val="18"/>
                <w:szCs w:val="18"/>
              </w:rPr>
            </w:pPr>
            <w:r>
              <w:rPr>
                <w:rFonts w:ascii="宋体" w:hAnsi="宋体" w:cs="宋体" w:eastAsia="宋体" w:hint="default"/>
                <w:spacing w:val="-2"/>
                <w:sz w:val="18"/>
                <w:szCs w:val="18"/>
              </w:rPr>
              <w:t>持有无限售</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条件的股份</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数量</w:t>
            </w:r>
          </w:p>
        </w:tc>
        <w:tc>
          <w:tcPr>
            <w:tcW w:w="238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41" w:right="0"/>
              <w:jc w:val="left"/>
              <w:rPr>
                <w:rFonts w:ascii="宋体" w:hAnsi="宋体" w:cs="宋体" w:eastAsia="宋体" w:hint="default"/>
                <w:sz w:val="18"/>
                <w:szCs w:val="18"/>
              </w:rPr>
            </w:pPr>
            <w:r>
              <w:rPr>
                <w:rFonts w:ascii="宋体" w:hAnsi="宋体" w:cs="宋体" w:eastAsia="宋体" w:hint="default"/>
                <w:spacing w:val="-3"/>
                <w:sz w:val="18"/>
                <w:szCs w:val="18"/>
              </w:rPr>
              <w:t>质押或冻结情况</w:t>
            </w:r>
          </w:p>
        </w:tc>
      </w:tr>
      <w:tr>
        <w:trPr>
          <w:trHeight w:val="937" w:hRule="exact"/>
        </w:trPr>
        <w:tc>
          <w:tcPr>
            <w:tcW w:w="1700" w:type="dxa"/>
            <w:gridSpan w:val="2"/>
            <w:vMerge/>
            <w:tcBorders>
              <w:left w:val="single" w:sz="4" w:space="0" w:color="000000"/>
              <w:bottom w:val="single" w:sz="4" w:space="0" w:color="000000"/>
              <w:right w:val="single" w:sz="4" w:space="0" w:color="000000"/>
            </w:tcBorders>
            <w:shd w:val="clear" w:color="auto" w:fill="D2D2D2"/>
          </w:tcPr>
          <w:p>
            <w:pPr/>
          </w:p>
        </w:tc>
        <w:tc>
          <w:tcPr>
            <w:tcW w:w="1422" w:type="dxa"/>
            <w:gridSpan w:val="2"/>
            <w:vMerge/>
            <w:tcBorders>
              <w:left w:val="single" w:sz="4" w:space="0" w:color="000000"/>
              <w:bottom w:val="single" w:sz="4" w:space="0" w:color="000000"/>
              <w:right w:val="single" w:sz="4" w:space="0" w:color="000000"/>
            </w:tcBorders>
            <w:shd w:val="clear" w:color="auto" w:fill="D2D2D2"/>
          </w:tcPr>
          <w:p>
            <w:pPr/>
          </w:p>
        </w:tc>
        <w:tc>
          <w:tcPr>
            <w:tcW w:w="576" w:type="dxa"/>
            <w:vMerge/>
            <w:tcBorders>
              <w:left w:val="single" w:sz="4" w:space="0" w:color="000000"/>
              <w:bottom w:val="single" w:sz="4" w:space="0" w:color="000000"/>
              <w:right w:val="single" w:sz="4" w:space="0" w:color="000000"/>
            </w:tcBorders>
            <w:shd w:val="clear" w:color="auto" w:fill="D2D2D2"/>
          </w:tcPr>
          <w:p>
            <w:pPr/>
          </w:p>
        </w:tc>
        <w:tc>
          <w:tcPr>
            <w:tcW w:w="759" w:type="dxa"/>
            <w:vMerge/>
            <w:tcBorders>
              <w:left w:val="single" w:sz="4" w:space="0" w:color="000000"/>
              <w:bottom w:val="single" w:sz="4" w:space="0" w:color="000000"/>
              <w:right w:val="single" w:sz="4" w:space="0" w:color="000000"/>
            </w:tcBorders>
            <w:shd w:val="clear" w:color="auto" w:fill="D2D2D2"/>
          </w:tcPr>
          <w:p>
            <w:pPr/>
          </w:p>
        </w:tc>
        <w:tc>
          <w:tcPr>
            <w:tcW w:w="1076" w:type="dxa"/>
            <w:gridSpan w:val="2"/>
            <w:vMerge/>
            <w:tcBorders>
              <w:left w:val="single" w:sz="4" w:space="0" w:color="000000"/>
              <w:bottom w:val="single" w:sz="4" w:space="0" w:color="000000"/>
              <w:right w:val="single" w:sz="4" w:space="0" w:color="000000"/>
            </w:tcBorders>
            <w:shd w:val="clear" w:color="auto" w:fill="D2D2D2"/>
          </w:tcPr>
          <w:p>
            <w:pPr/>
          </w:p>
        </w:tc>
        <w:tc>
          <w:tcPr>
            <w:tcW w:w="713" w:type="dxa"/>
            <w:vMerge/>
            <w:tcBorders>
              <w:left w:val="single" w:sz="4" w:space="0" w:color="000000"/>
              <w:bottom w:val="single" w:sz="4" w:space="0" w:color="000000"/>
              <w:right w:val="single" w:sz="4" w:space="0" w:color="000000"/>
            </w:tcBorders>
            <w:shd w:val="clear" w:color="auto" w:fill="D2D2D2"/>
          </w:tcPr>
          <w:p>
            <w:pPr/>
          </w:p>
        </w:tc>
        <w:tc>
          <w:tcPr>
            <w:tcW w:w="1017" w:type="dxa"/>
            <w:vMerge/>
            <w:tcBorders>
              <w:left w:val="single" w:sz="4" w:space="0" w:color="000000"/>
              <w:bottom w:val="single" w:sz="4" w:space="0" w:color="000000"/>
              <w:right w:val="single" w:sz="4" w:space="0" w:color="000000"/>
            </w:tcBorders>
            <w:shd w:val="clear" w:color="auto" w:fill="D2D2D2"/>
          </w:tcPr>
          <w:p>
            <w:pPr/>
          </w:p>
        </w:tc>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44"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13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384"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715" w:hRule="exact"/>
        </w:trPr>
        <w:tc>
          <w:tcPr>
            <w:tcW w:w="170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41"/>
              <w:jc w:val="left"/>
              <w:rPr>
                <w:rFonts w:ascii="宋体" w:hAnsi="宋体" w:cs="宋体" w:eastAsia="宋体" w:hint="default"/>
                <w:sz w:val="18"/>
                <w:szCs w:val="18"/>
              </w:rPr>
            </w:pPr>
            <w:r>
              <w:rPr>
                <w:rFonts w:ascii="宋体" w:hAnsi="宋体" w:cs="宋体" w:eastAsia="宋体" w:hint="default"/>
                <w:spacing w:val="-3"/>
                <w:sz w:val="18"/>
                <w:szCs w:val="18"/>
              </w:rPr>
              <w:t>云南省工业投资控股</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集团有限责任公司</w:t>
            </w:r>
          </w:p>
        </w:tc>
        <w:tc>
          <w:tcPr>
            <w:tcW w:w="14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5" w:right="0"/>
              <w:jc w:val="left"/>
              <w:rPr>
                <w:rFonts w:ascii="Times New Roman" w:hAnsi="Times New Roman" w:cs="Times New Roman" w:eastAsia="Times New Roman" w:hint="default"/>
                <w:sz w:val="18"/>
                <w:szCs w:val="18"/>
              </w:rPr>
            </w:pPr>
            <w:r>
              <w:rPr>
                <w:rFonts w:ascii="Times New Roman"/>
                <w:sz w:val="18"/>
              </w:rPr>
              <w:t>35.38</w:t>
            </w:r>
          </w:p>
          <w:p>
            <w:pPr>
              <w:pStyle w:val="TableParagraph"/>
              <w:spacing w:line="240" w:lineRule="auto" w:before="110"/>
              <w:ind w:left="369" w:right="0"/>
              <w:jc w:val="lef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2"/>
                <w:sz w:val="18"/>
              </w:rPr>
              <w:t>113,408,3</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85</w:t>
            </w:r>
          </w:p>
        </w:tc>
        <w:tc>
          <w:tcPr>
            <w:tcW w:w="10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90,538,172</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113,408,385</w:t>
            </w:r>
          </w:p>
        </w:tc>
        <w:tc>
          <w:tcPr>
            <w:tcW w:w="1248" w:type="dxa"/>
            <w:tcBorders>
              <w:top w:val="single" w:sz="4" w:space="0" w:color="000000"/>
              <w:left w:val="single" w:sz="4" w:space="0" w:color="000000"/>
              <w:bottom w:val="single" w:sz="4" w:space="0" w:color="000000"/>
              <w:right w:val="single" w:sz="4" w:space="0" w:color="000000"/>
            </w:tcBorders>
          </w:tcPr>
          <w:p>
            <w:pPr/>
          </w:p>
        </w:tc>
        <w:tc>
          <w:tcPr>
            <w:tcW w:w="1133" w:type="dxa"/>
            <w:gridSpan w:val="3"/>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70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41"/>
              <w:jc w:val="both"/>
              <w:rPr>
                <w:rFonts w:ascii="宋体" w:hAnsi="宋体" w:cs="宋体" w:eastAsia="宋体" w:hint="default"/>
                <w:sz w:val="18"/>
                <w:szCs w:val="18"/>
              </w:rPr>
            </w:pPr>
            <w:r>
              <w:rPr>
                <w:rFonts w:ascii="宋体" w:hAnsi="宋体" w:cs="宋体" w:eastAsia="宋体" w:hint="default"/>
                <w:spacing w:val="-3"/>
                <w:sz w:val="18"/>
                <w:szCs w:val="18"/>
              </w:rPr>
              <w:t>云南南天电子信息产</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业股份有限公司－第</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一期员工持股计划</w:t>
            </w:r>
          </w:p>
        </w:tc>
        <w:tc>
          <w:tcPr>
            <w:tcW w:w="14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2.57%</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8,243,014</w:t>
            </w:r>
          </w:p>
        </w:tc>
        <w:tc>
          <w:tcPr>
            <w:tcW w:w="10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1,902,234</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33" w:right="0"/>
              <w:jc w:val="left"/>
              <w:rPr>
                <w:rFonts w:ascii="Times New Roman" w:hAnsi="Times New Roman" w:cs="Times New Roman" w:eastAsia="Times New Roman" w:hint="default"/>
                <w:sz w:val="18"/>
                <w:szCs w:val="18"/>
              </w:rPr>
            </w:pPr>
            <w:r>
              <w:rPr>
                <w:rFonts w:ascii="Times New Roman"/>
                <w:sz w:val="18"/>
              </w:rPr>
              <w:t>8,243,014</w:t>
            </w:r>
          </w:p>
        </w:tc>
        <w:tc>
          <w:tcPr>
            <w:tcW w:w="1248" w:type="dxa"/>
            <w:tcBorders>
              <w:top w:val="single" w:sz="4" w:space="0" w:color="000000"/>
              <w:left w:val="single" w:sz="4" w:space="0" w:color="000000"/>
              <w:bottom w:val="single" w:sz="4" w:space="0" w:color="000000"/>
              <w:right w:val="single" w:sz="4" w:space="0" w:color="000000"/>
            </w:tcBorders>
          </w:tcPr>
          <w:p>
            <w:pPr/>
          </w:p>
        </w:tc>
        <w:tc>
          <w:tcPr>
            <w:tcW w:w="1133" w:type="dxa"/>
            <w:gridSpan w:val="3"/>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7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滕健</w:t>
            </w:r>
          </w:p>
        </w:tc>
        <w:tc>
          <w:tcPr>
            <w:tcW w:w="14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2" w:right="0"/>
              <w:jc w:val="left"/>
              <w:rPr>
                <w:rFonts w:ascii="Times New Roman" w:hAnsi="Times New Roman" w:cs="Times New Roman" w:eastAsia="Times New Roman" w:hint="default"/>
                <w:sz w:val="18"/>
                <w:szCs w:val="18"/>
              </w:rPr>
            </w:pPr>
            <w:r>
              <w:rPr>
                <w:rFonts w:ascii="Times New Roman"/>
                <w:sz w:val="18"/>
              </w:rPr>
              <w:t>0.82%</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2,625,993</w:t>
            </w:r>
          </w:p>
        </w:tc>
        <w:tc>
          <w:tcPr>
            <w:tcW w:w="10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1,505,993</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4"/>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3" w:right="0"/>
              <w:jc w:val="left"/>
              <w:rPr>
                <w:rFonts w:ascii="Times New Roman" w:hAnsi="Times New Roman" w:cs="Times New Roman" w:eastAsia="Times New Roman" w:hint="default"/>
                <w:sz w:val="18"/>
                <w:szCs w:val="18"/>
              </w:rPr>
            </w:pPr>
            <w:r>
              <w:rPr>
                <w:rFonts w:ascii="Times New Roman"/>
                <w:sz w:val="18"/>
              </w:rPr>
              <w:t>2,625,993</w:t>
            </w:r>
          </w:p>
        </w:tc>
        <w:tc>
          <w:tcPr>
            <w:tcW w:w="1248" w:type="dxa"/>
            <w:tcBorders>
              <w:top w:val="single" w:sz="4" w:space="0" w:color="000000"/>
              <w:left w:val="single" w:sz="4" w:space="0" w:color="000000"/>
              <w:bottom w:val="single" w:sz="4" w:space="0" w:color="000000"/>
              <w:right w:val="single" w:sz="4" w:space="0" w:color="000000"/>
            </w:tcBorders>
          </w:tcPr>
          <w:p>
            <w:pPr/>
          </w:p>
        </w:tc>
        <w:tc>
          <w:tcPr>
            <w:tcW w:w="1133" w:type="dxa"/>
            <w:gridSpan w:val="3"/>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70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41"/>
              <w:jc w:val="left"/>
              <w:rPr>
                <w:rFonts w:ascii="宋体" w:hAnsi="宋体" w:cs="宋体" w:eastAsia="宋体" w:hint="default"/>
                <w:sz w:val="18"/>
                <w:szCs w:val="18"/>
              </w:rPr>
            </w:pPr>
            <w:r>
              <w:rPr>
                <w:rFonts w:ascii="宋体" w:hAnsi="宋体" w:cs="宋体" w:eastAsia="宋体" w:hint="default"/>
                <w:spacing w:val="-3"/>
                <w:sz w:val="18"/>
                <w:szCs w:val="18"/>
              </w:rPr>
              <w:t>南天电子信息产业集</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团公司</w:t>
            </w:r>
          </w:p>
        </w:tc>
        <w:tc>
          <w:tcPr>
            <w:tcW w:w="14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0.78%</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2,488,233</w:t>
            </w:r>
          </w:p>
        </w:tc>
        <w:tc>
          <w:tcPr>
            <w:tcW w:w="10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-63,792,798</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33" w:right="0"/>
              <w:jc w:val="left"/>
              <w:rPr>
                <w:rFonts w:ascii="Times New Roman" w:hAnsi="Times New Roman" w:cs="Times New Roman" w:eastAsia="Times New Roman" w:hint="default"/>
                <w:sz w:val="18"/>
                <w:szCs w:val="18"/>
              </w:rPr>
            </w:pPr>
            <w:r>
              <w:rPr>
                <w:rFonts w:ascii="Times New Roman"/>
                <w:sz w:val="18"/>
              </w:rPr>
              <w:t>2,488,233</w:t>
            </w:r>
          </w:p>
        </w:tc>
        <w:tc>
          <w:tcPr>
            <w:tcW w:w="1248" w:type="dxa"/>
            <w:tcBorders>
              <w:top w:val="single" w:sz="4" w:space="0" w:color="000000"/>
              <w:left w:val="single" w:sz="4" w:space="0" w:color="000000"/>
              <w:bottom w:val="single" w:sz="4" w:space="0" w:color="000000"/>
              <w:right w:val="single" w:sz="4" w:space="0" w:color="000000"/>
            </w:tcBorders>
          </w:tcPr>
          <w:p>
            <w:pPr/>
          </w:p>
        </w:tc>
        <w:tc>
          <w:tcPr>
            <w:tcW w:w="1133" w:type="dxa"/>
            <w:gridSpan w:val="3"/>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70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41"/>
              <w:jc w:val="left"/>
              <w:rPr>
                <w:rFonts w:ascii="宋体" w:hAnsi="宋体" w:cs="宋体" w:eastAsia="宋体" w:hint="default"/>
                <w:sz w:val="18"/>
                <w:szCs w:val="18"/>
              </w:rPr>
            </w:pPr>
            <w:r>
              <w:rPr>
                <w:rFonts w:ascii="宋体" w:hAnsi="宋体" w:cs="宋体" w:eastAsia="宋体" w:hint="default"/>
                <w:spacing w:val="-3"/>
                <w:sz w:val="18"/>
                <w:szCs w:val="18"/>
              </w:rPr>
              <w:t>中国证券金融股份有</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限公司</w:t>
            </w:r>
          </w:p>
        </w:tc>
        <w:tc>
          <w:tcPr>
            <w:tcW w:w="14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3"/>
                <w:sz w:val="18"/>
                <w:szCs w:val="18"/>
              </w:rPr>
              <w:t>境内非国有法人</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0.52%</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1,674,400</w:t>
            </w:r>
          </w:p>
        </w:tc>
        <w:tc>
          <w:tcPr>
            <w:tcW w:w="10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386,400</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33" w:right="0"/>
              <w:jc w:val="left"/>
              <w:rPr>
                <w:rFonts w:ascii="Times New Roman" w:hAnsi="Times New Roman" w:cs="Times New Roman" w:eastAsia="Times New Roman" w:hint="default"/>
                <w:sz w:val="18"/>
                <w:szCs w:val="18"/>
              </w:rPr>
            </w:pPr>
            <w:r>
              <w:rPr>
                <w:rFonts w:ascii="Times New Roman"/>
                <w:sz w:val="18"/>
              </w:rPr>
              <w:t>1,674,400</w:t>
            </w:r>
          </w:p>
        </w:tc>
        <w:tc>
          <w:tcPr>
            <w:tcW w:w="1248" w:type="dxa"/>
            <w:tcBorders>
              <w:top w:val="single" w:sz="4" w:space="0" w:color="000000"/>
              <w:left w:val="single" w:sz="4" w:space="0" w:color="000000"/>
              <w:bottom w:val="single" w:sz="4" w:space="0" w:color="000000"/>
              <w:right w:val="single" w:sz="4" w:space="0" w:color="000000"/>
            </w:tcBorders>
          </w:tcPr>
          <w:p>
            <w:pPr/>
          </w:p>
        </w:tc>
        <w:tc>
          <w:tcPr>
            <w:tcW w:w="1133" w:type="dxa"/>
            <w:gridSpan w:val="3"/>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7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林碎兰</w:t>
            </w:r>
          </w:p>
        </w:tc>
        <w:tc>
          <w:tcPr>
            <w:tcW w:w="14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2" w:right="0"/>
              <w:jc w:val="left"/>
              <w:rPr>
                <w:rFonts w:ascii="Times New Roman" w:hAnsi="Times New Roman" w:cs="Times New Roman" w:eastAsia="Times New Roman" w:hint="default"/>
                <w:sz w:val="18"/>
                <w:szCs w:val="18"/>
              </w:rPr>
            </w:pPr>
            <w:r>
              <w:rPr>
                <w:rFonts w:ascii="Times New Roman"/>
                <w:sz w:val="18"/>
              </w:rPr>
              <w:t>0.47%</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1,500,000</w:t>
            </w:r>
          </w:p>
        </w:tc>
        <w:tc>
          <w:tcPr>
            <w:tcW w:w="10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1,500,000</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4"/>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3" w:right="0"/>
              <w:jc w:val="left"/>
              <w:rPr>
                <w:rFonts w:ascii="Times New Roman" w:hAnsi="Times New Roman" w:cs="Times New Roman" w:eastAsia="Times New Roman" w:hint="default"/>
                <w:sz w:val="18"/>
                <w:szCs w:val="18"/>
              </w:rPr>
            </w:pPr>
            <w:r>
              <w:rPr>
                <w:rFonts w:ascii="Times New Roman"/>
                <w:sz w:val="18"/>
              </w:rPr>
              <w:t>1,500,000</w:t>
            </w:r>
          </w:p>
        </w:tc>
        <w:tc>
          <w:tcPr>
            <w:tcW w:w="1248" w:type="dxa"/>
            <w:tcBorders>
              <w:top w:val="single" w:sz="4" w:space="0" w:color="000000"/>
              <w:left w:val="single" w:sz="4" w:space="0" w:color="000000"/>
              <w:bottom w:val="single" w:sz="4" w:space="0" w:color="000000"/>
              <w:right w:val="single" w:sz="4" w:space="0" w:color="000000"/>
            </w:tcBorders>
          </w:tcPr>
          <w:p>
            <w:pPr/>
          </w:p>
        </w:tc>
        <w:tc>
          <w:tcPr>
            <w:tcW w:w="1133" w:type="dxa"/>
            <w:gridSpan w:val="3"/>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17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翁迎春</w:t>
            </w:r>
          </w:p>
        </w:tc>
        <w:tc>
          <w:tcPr>
            <w:tcW w:w="14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2" w:right="0"/>
              <w:jc w:val="left"/>
              <w:rPr>
                <w:rFonts w:ascii="Times New Roman" w:hAnsi="Times New Roman" w:cs="Times New Roman" w:eastAsia="Times New Roman" w:hint="default"/>
                <w:sz w:val="18"/>
                <w:szCs w:val="18"/>
              </w:rPr>
            </w:pPr>
            <w:r>
              <w:rPr>
                <w:rFonts w:ascii="Times New Roman"/>
                <w:sz w:val="18"/>
              </w:rPr>
              <w:t>0.39%</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1,262,600</w:t>
            </w:r>
          </w:p>
        </w:tc>
        <w:tc>
          <w:tcPr>
            <w:tcW w:w="10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309,900</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4"/>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3" w:right="0"/>
              <w:jc w:val="left"/>
              <w:rPr>
                <w:rFonts w:ascii="Times New Roman" w:hAnsi="Times New Roman" w:cs="Times New Roman" w:eastAsia="Times New Roman" w:hint="default"/>
                <w:sz w:val="18"/>
                <w:szCs w:val="18"/>
              </w:rPr>
            </w:pPr>
            <w:r>
              <w:rPr>
                <w:rFonts w:ascii="Times New Roman"/>
                <w:sz w:val="18"/>
              </w:rPr>
              <w:t>1,262,600</w:t>
            </w:r>
          </w:p>
        </w:tc>
        <w:tc>
          <w:tcPr>
            <w:tcW w:w="1248" w:type="dxa"/>
            <w:tcBorders>
              <w:top w:val="single" w:sz="4" w:space="0" w:color="000000"/>
              <w:left w:val="single" w:sz="4" w:space="0" w:color="000000"/>
              <w:bottom w:val="single" w:sz="4" w:space="0" w:color="000000"/>
              <w:right w:val="single" w:sz="4" w:space="0" w:color="000000"/>
            </w:tcBorders>
          </w:tcPr>
          <w:p>
            <w:pPr/>
          </w:p>
        </w:tc>
        <w:tc>
          <w:tcPr>
            <w:tcW w:w="1133" w:type="dxa"/>
            <w:gridSpan w:val="3"/>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7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孙焕平</w:t>
            </w:r>
          </w:p>
        </w:tc>
        <w:tc>
          <w:tcPr>
            <w:tcW w:w="14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2" w:right="0"/>
              <w:jc w:val="left"/>
              <w:rPr>
                <w:rFonts w:ascii="Times New Roman" w:hAnsi="Times New Roman" w:cs="Times New Roman" w:eastAsia="Times New Roman" w:hint="default"/>
                <w:sz w:val="18"/>
                <w:szCs w:val="18"/>
              </w:rPr>
            </w:pPr>
            <w:r>
              <w:rPr>
                <w:rFonts w:ascii="Times New Roman"/>
                <w:sz w:val="18"/>
              </w:rPr>
              <w:t>0.37%</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1,179,753</w:t>
            </w:r>
          </w:p>
        </w:tc>
        <w:tc>
          <w:tcPr>
            <w:tcW w:w="10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244,451</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4"/>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3" w:right="0"/>
              <w:jc w:val="left"/>
              <w:rPr>
                <w:rFonts w:ascii="Times New Roman" w:hAnsi="Times New Roman" w:cs="Times New Roman" w:eastAsia="Times New Roman" w:hint="default"/>
                <w:sz w:val="18"/>
                <w:szCs w:val="18"/>
              </w:rPr>
            </w:pPr>
            <w:r>
              <w:rPr>
                <w:rFonts w:ascii="Times New Roman"/>
                <w:sz w:val="18"/>
              </w:rPr>
              <w:t>1,179,753</w:t>
            </w:r>
          </w:p>
        </w:tc>
        <w:tc>
          <w:tcPr>
            <w:tcW w:w="1248" w:type="dxa"/>
            <w:tcBorders>
              <w:top w:val="single" w:sz="4" w:space="0" w:color="000000"/>
              <w:left w:val="single" w:sz="4" w:space="0" w:color="000000"/>
              <w:bottom w:val="single" w:sz="4" w:space="0" w:color="000000"/>
              <w:right w:val="single" w:sz="4" w:space="0" w:color="000000"/>
            </w:tcBorders>
          </w:tcPr>
          <w:p>
            <w:pPr/>
          </w:p>
        </w:tc>
        <w:tc>
          <w:tcPr>
            <w:tcW w:w="1133" w:type="dxa"/>
            <w:gridSpan w:val="3"/>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7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李美秀</w:t>
            </w:r>
          </w:p>
        </w:tc>
        <w:tc>
          <w:tcPr>
            <w:tcW w:w="14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2" w:right="0"/>
              <w:jc w:val="left"/>
              <w:rPr>
                <w:rFonts w:ascii="Times New Roman" w:hAnsi="Times New Roman" w:cs="Times New Roman" w:eastAsia="Times New Roman" w:hint="default"/>
                <w:sz w:val="18"/>
                <w:szCs w:val="18"/>
              </w:rPr>
            </w:pPr>
            <w:r>
              <w:rPr>
                <w:rFonts w:ascii="Times New Roman"/>
                <w:sz w:val="18"/>
              </w:rPr>
              <w:t>0.33%</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1,055,669</w:t>
            </w:r>
          </w:p>
        </w:tc>
        <w:tc>
          <w:tcPr>
            <w:tcW w:w="10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243,616</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4"/>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3" w:right="0"/>
              <w:jc w:val="left"/>
              <w:rPr>
                <w:rFonts w:ascii="Times New Roman" w:hAnsi="Times New Roman" w:cs="Times New Roman" w:eastAsia="Times New Roman" w:hint="default"/>
                <w:sz w:val="18"/>
                <w:szCs w:val="18"/>
              </w:rPr>
            </w:pPr>
            <w:r>
              <w:rPr>
                <w:rFonts w:ascii="Times New Roman"/>
                <w:sz w:val="18"/>
              </w:rPr>
              <w:t>1,055,669</w:t>
            </w:r>
          </w:p>
        </w:tc>
        <w:tc>
          <w:tcPr>
            <w:tcW w:w="1248" w:type="dxa"/>
            <w:tcBorders>
              <w:top w:val="single" w:sz="4" w:space="0" w:color="000000"/>
              <w:left w:val="single" w:sz="4" w:space="0" w:color="000000"/>
              <w:bottom w:val="single" w:sz="4" w:space="0" w:color="000000"/>
              <w:right w:val="single" w:sz="4" w:space="0" w:color="000000"/>
            </w:tcBorders>
          </w:tcPr>
          <w:p>
            <w:pPr/>
          </w:p>
        </w:tc>
        <w:tc>
          <w:tcPr>
            <w:tcW w:w="1133" w:type="dxa"/>
            <w:gridSpan w:val="3"/>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7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陆卫其</w:t>
            </w:r>
          </w:p>
        </w:tc>
        <w:tc>
          <w:tcPr>
            <w:tcW w:w="14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2" w:right="0"/>
              <w:jc w:val="left"/>
              <w:rPr>
                <w:rFonts w:ascii="Times New Roman" w:hAnsi="Times New Roman" w:cs="Times New Roman" w:eastAsia="Times New Roman" w:hint="default"/>
                <w:sz w:val="18"/>
                <w:szCs w:val="18"/>
              </w:rPr>
            </w:pPr>
            <w:r>
              <w:rPr>
                <w:rFonts w:ascii="Times New Roman"/>
                <w:sz w:val="18"/>
              </w:rPr>
              <w:t>0.29%</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931,900</w:t>
            </w:r>
          </w:p>
        </w:tc>
        <w:tc>
          <w:tcPr>
            <w:tcW w:w="10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931,900</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4"/>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46"/>
              <w:jc w:val="right"/>
              <w:rPr>
                <w:rFonts w:ascii="Times New Roman" w:hAnsi="Times New Roman" w:cs="Times New Roman" w:eastAsia="Times New Roman" w:hint="default"/>
                <w:sz w:val="18"/>
                <w:szCs w:val="18"/>
              </w:rPr>
            </w:pPr>
            <w:r>
              <w:rPr>
                <w:rFonts w:ascii="Times New Roman"/>
                <w:spacing w:val="-1"/>
                <w:sz w:val="18"/>
              </w:rPr>
              <w:t>931,900</w:t>
            </w:r>
          </w:p>
        </w:tc>
        <w:tc>
          <w:tcPr>
            <w:tcW w:w="1248" w:type="dxa"/>
            <w:tcBorders>
              <w:top w:val="single" w:sz="4" w:space="0" w:color="000000"/>
              <w:left w:val="single" w:sz="4" w:space="0" w:color="000000"/>
              <w:bottom w:val="single" w:sz="4" w:space="0" w:color="000000"/>
              <w:right w:val="single" w:sz="4" w:space="0" w:color="000000"/>
            </w:tcBorders>
          </w:tcPr>
          <w:p>
            <w:pPr/>
          </w:p>
        </w:tc>
        <w:tc>
          <w:tcPr>
            <w:tcW w:w="1133" w:type="dxa"/>
            <w:gridSpan w:val="3"/>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312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23"/>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战略投资者或一般法人因配售新股成为</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w w:val="101"/>
                <w:sz w:val="18"/>
                <w:szCs w:val="18"/>
              </w:rPr>
              <w:t>前</w:t>
            </w:r>
            <w:r>
              <w:rPr>
                <w:rFonts w:ascii="宋体" w:hAnsi="宋体" w:cs="宋体" w:eastAsia="宋体" w:hint="default"/>
                <w:spacing w:val="-46"/>
                <w:w w:val="101"/>
                <w:sz w:val="18"/>
                <w:szCs w:val="18"/>
              </w:rPr>
              <w:t> </w:t>
            </w:r>
            <w:r>
              <w:rPr>
                <w:rFonts w:ascii="Times New Roman" w:hAnsi="Times New Roman" w:cs="Times New Roman" w:eastAsia="Times New Roman" w:hint="default"/>
                <w:w w:val="101"/>
                <w:sz w:val="18"/>
                <w:szCs w:val="18"/>
              </w:rPr>
              <w:t>10</w:t>
            </w:r>
            <w:r>
              <w:rPr>
                <w:rFonts w:ascii="Times New Roman" w:hAnsi="Times New Roman" w:cs="Times New Roman" w:eastAsia="Times New Roman" w:hint="default"/>
                <w:spacing w:val="-1"/>
                <w:w w:val="101"/>
                <w:sz w:val="18"/>
                <w:szCs w:val="18"/>
              </w:rPr>
              <w:t> </w:t>
            </w:r>
            <w:r>
              <w:rPr>
                <w:rFonts w:ascii="宋体" w:hAnsi="宋体" w:cs="宋体" w:eastAsia="宋体" w:hint="default"/>
                <w:spacing w:val="-12"/>
                <w:w w:val="101"/>
                <w:sz w:val="18"/>
                <w:szCs w:val="18"/>
              </w:rPr>
              <w:t>名股东的情况（如有）（参见注</w:t>
            </w:r>
            <w:r>
              <w:rPr>
                <w:rFonts w:ascii="宋体" w:hAnsi="宋体" w:cs="宋体" w:eastAsia="宋体" w:hint="default"/>
                <w:spacing w:val="-50"/>
                <w:w w:val="101"/>
                <w:sz w:val="18"/>
                <w:szCs w:val="18"/>
              </w:rPr>
              <w:t> </w:t>
            </w:r>
            <w:r>
              <w:rPr>
                <w:rFonts w:ascii="Times New Roman" w:hAnsi="Times New Roman" w:cs="Times New Roman" w:eastAsia="Times New Roman" w:hint="default"/>
                <w:w w:val="101"/>
                <w:sz w:val="18"/>
                <w:szCs w:val="18"/>
              </w:rPr>
              <w:t>3</w:t>
            </w:r>
            <w:r>
              <w:rPr>
                <w:rFonts w:ascii="Times New Roman" w:hAnsi="Times New Roman" w:cs="Times New Roman" w:eastAsia="Times New Roman" w:hint="default"/>
                <w:sz w:val="18"/>
                <w:szCs w:val="18"/>
              </w:rPr>
            </w:r>
          </w:p>
        </w:tc>
        <w:tc>
          <w:tcPr>
            <w:tcW w:w="576"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c>
          <w:tcPr>
            <w:tcW w:w="759" w:type="dxa"/>
            <w:tcBorders>
              <w:top w:val="single" w:sz="4" w:space="0" w:color="000000"/>
              <w:left w:val="nil" w:sz="6" w:space="0" w:color="auto"/>
              <w:bottom w:val="single" w:sz="4" w:space="0" w:color="000000"/>
              <w:right w:val="nil" w:sz="6" w:space="0" w:color="auto"/>
            </w:tcBorders>
          </w:tcPr>
          <w:p>
            <w:pPr/>
          </w:p>
        </w:tc>
        <w:tc>
          <w:tcPr>
            <w:tcW w:w="336" w:type="dxa"/>
            <w:tcBorders>
              <w:top w:val="single" w:sz="4" w:space="0" w:color="000000"/>
              <w:left w:val="nil" w:sz="6" w:space="0" w:color="auto"/>
              <w:bottom w:val="single" w:sz="4" w:space="0" w:color="000000"/>
              <w:right w:val="nil" w:sz="6" w:space="0" w:color="auto"/>
            </w:tcBorders>
          </w:tcPr>
          <w:p>
            <w:pPr/>
          </w:p>
        </w:tc>
        <w:tc>
          <w:tcPr>
            <w:tcW w:w="740" w:type="dxa"/>
            <w:tcBorders>
              <w:top w:val="single" w:sz="4" w:space="0" w:color="000000"/>
              <w:left w:val="nil" w:sz="6" w:space="0" w:color="auto"/>
              <w:bottom w:val="single" w:sz="4" w:space="0" w:color="000000"/>
              <w:right w:val="nil" w:sz="6" w:space="0" w:color="auto"/>
            </w:tcBorders>
          </w:tcPr>
          <w:p>
            <w:pPr/>
          </w:p>
        </w:tc>
        <w:tc>
          <w:tcPr>
            <w:tcW w:w="713" w:type="dxa"/>
            <w:tcBorders>
              <w:top w:val="single" w:sz="4" w:space="0" w:color="000000"/>
              <w:left w:val="nil" w:sz="6" w:space="0" w:color="auto"/>
              <w:bottom w:val="single" w:sz="4" w:space="0" w:color="000000"/>
              <w:right w:val="nil" w:sz="6" w:space="0" w:color="auto"/>
            </w:tcBorders>
          </w:tcPr>
          <w:p>
            <w:pPr/>
          </w:p>
        </w:tc>
        <w:tc>
          <w:tcPr>
            <w:tcW w:w="1017" w:type="dxa"/>
            <w:tcBorders>
              <w:top w:val="single" w:sz="4" w:space="0" w:color="000000"/>
              <w:left w:val="nil" w:sz="6" w:space="0" w:color="auto"/>
              <w:bottom w:val="single" w:sz="4" w:space="0" w:color="000000"/>
              <w:right w:val="nil" w:sz="6" w:space="0" w:color="auto"/>
            </w:tcBorders>
          </w:tcPr>
          <w:p>
            <w:pPr/>
          </w:p>
        </w:tc>
        <w:tc>
          <w:tcPr>
            <w:tcW w:w="1248" w:type="dxa"/>
            <w:tcBorders>
              <w:top w:val="single" w:sz="4" w:space="0" w:color="000000"/>
              <w:left w:val="nil" w:sz="6" w:space="0" w:color="auto"/>
              <w:bottom w:val="single" w:sz="4" w:space="0" w:color="000000"/>
              <w:right w:val="nil" w:sz="6" w:space="0" w:color="auto"/>
            </w:tcBorders>
          </w:tcPr>
          <w:p>
            <w:pPr/>
          </w:p>
        </w:tc>
        <w:tc>
          <w:tcPr>
            <w:tcW w:w="135" w:type="dxa"/>
            <w:tcBorders>
              <w:top w:val="single" w:sz="4" w:space="0" w:color="000000"/>
              <w:left w:val="nil" w:sz="6" w:space="0" w:color="auto"/>
              <w:bottom w:val="single" w:sz="4" w:space="0" w:color="000000"/>
              <w:right w:val="nil" w:sz="6" w:space="0" w:color="auto"/>
            </w:tcBorders>
          </w:tcPr>
          <w:p>
            <w:pPr/>
          </w:p>
        </w:tc>
        <w:tc>
          <w:tcPr>
            <w:tcW w:w="475" w:type="dxa"/>
            <w:tcBorders>
              <w:top w:val="single" w:sz="4" w:space="0" w:color="000000"/>
              <w:left w:val="nil" w:sz="6" w:space="0" w:color="auto"/>
              <w:bottom w:val="single" w:sz="4" w:space="0" w:color="000000"/>
              <w:right w:val="nil" w:sz="6" w:space="0" w:color="auto"/>
            </w:tcBorders>
          </w:tcPr>
          <w:p>
            <w:pPr/>
          </w:p>
        </w:tc>
        <w:tc>
          <w:tcPr>
            <w:tcW w:w="524" w:type="dxa"/>
            <w:tcBorders>
              <w:top w:val="single" w:sz="4" w:space="0" w:color="000000"/>
              <w:left w:val="nil" w:sz="6" w:space="0" w:color="auto"/>
              <w:bottom w:val="single" w:sz="4" w:space="0" w:color="000000"/>
              <w:right w:val="single" w:sz="4" w:space="0" w:color="000000"/>
            </w:tcBorders>
          </w:tcPr>
          <w:p>
            <w:pPr/>
          </w:p>
        </w:tc>
      </w:tr>
      <w:tr>
        <w:trPr>
          <w:trHeight w:val="317" w:hRule="exact"/>
        </w:trPr>
        <w:tc>
          <w:tcPr>
            <w:tcW w:w="3122" w:type="dxa"/>
            <w:gridSpan w:val="4"/>
            <w:tcBorders>
              <w:top w:val="single" w:sz="4" w:space="0" w:color="000000"/>
              <w:left w:val="single" w:sz="4" w:space="0" w:color="000000"/>
              <w:bottom w:val="nil" w:sz="6" w:space="0" w:color="auto"/>
              <w:right w:val="single" w:sz="4" w:space="0" w:color="000000"/>
            </w:tcBorders>
            <w:shd w:val="clear" w:color="auto" w:fill="D2D2D2"/>
          </w:tcPr>
          <w:p>
            <w:pPr/>
          </w:p>
        </w:tc>
        <w:tc>
          <w:tcPr>
            <w:tcW w:w="6521" w:type="dxa"/>
            <w:gridSpan w:val="10"/>
            <w:vMerge w:val="restart"/>
            <w:tcBorders>
              <w:top w:val="single" w:sz="4" w:space="0" w:color="000000"/>
              <w:left w:val="single" w:sz="4" w:space="0" w:color="000000"/>
              <w:right w:val="single" w:sz="4" w:space="0" w:color="000000"/>
            </w:tcBorders>
          </w:tcPr>
          <w:p>
            <w:pPr>
              <w:pStyle w:val="TableParagraph"/>
              <w:spacing w:line="316" w:lineRule="auto" w:before="53"/>
              <w:ind w:left="23" w:right="18"/>
              <w:jc w:val="both"/>
              <w:rPr>
                <w:rFonts w:ascii="宋体" w:hAnsi="宋体" w:cs="宋体" w:eastAsia="宋体" w:hint="default"/>
                <w:sz w:val="18"/>
                <w:szCs w:val="18"/>
              </w:rPr>
            </w:pPr>
            <w:r>
              <w:rPr>
                <w:rFonts w:ascii="宋体" w:hAnsi="宋体" w:cs="宋体" w:eastAsia="宋体" w:hint="default"/>
                <w:spacing w:val="-3"/>
                <w:sz w:val="18"/>
                <w:szCs w:val="18"/>
              </w:rPr>
              <w:t>上述股东中，公司已知南天集团是工投集团的全资子公司，故工投集团、南天集团</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pacing w:val="-3"/>
                <w:sz w:val="18"/>
                <w:szCs w:val="18"/>
              </w:rPr>
              <w:t>属于一致行动人；未知其他股东是否属于《上市公司股东持股变动信息披露管理办</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pacing w:val="-3"/>
                <w:sz w:val="18"/>
                <w:szCs w:val="18"/>
              </w:rPr>
              <w:t>法》中规定的一致行动人；也未知以上其他股东之间是否存在关联关系。</w:t>
            </w:r>
          </w:p>
        </w:tc>
      </w:tr>
      <w:tr>
        <w:trPr>
          <w:trHeight w:val="394" w:hRule="exact"/>
        </w:trPr>
        <w:tc>
          <w:tcPr>
            <w:tcW w:w="3122" w:type="dxa"/>
            <w:gridSpan w:val="4"/>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上述股东关联关系或一致行动的说明</w:t>
            </w:r>
          </w:p>
        </w:tc>
        <w:tc>
          <w:tcPr>
            <w:tcW w:w="6521" w:type="dxa"/>
            <w:gridSpan w:val="10"/>
            <w:vMerge/>
            <w:tcBorders>
              <w:left w:val="single" w:sz="4" w:space="0" w:color="000000"/>
              <w:right w:val="single" w:sz="4" w:space="0" w:color="000000"/>
            </w:tcBorders>
          </w:tcPr>
          <w:p>
            <w:pPr/>
          </w:p>
        </w:tc>
      </w:tr>
      <w:tr>
        <w:trPr>
          <w:trHeight w:val="317" w:hRule="exact"/>
        </w:trPr>
        <w:tc>
          <w:tcPr>
            <w:tcW w:w="3122" w:type="dxa"/>
            <w:gridSpan w:val="4"/>
            <w:tcBorders>
              <w:top w:val="nil" w:sz="6" w:space="0" w:color="auto"/>
              <w:left w:val="single" w:sz="4" w:space="0" w:color="000000"/>
              <w:bottom w:val="single" w:sz="4" w:space="0" w:color="000000"/>
              <w:right w:val="single" w:sz="4" w:space="0" w:color="000000"/>
            </w:tcBorders>
            <w:shd w:val="clear" w:color="auto" w:fill="D2D2D2"/>
          </w:tcPr>
          <w:p>
            <w:pPr/>
          </w:p>
        </w:tc>
        <w:tc>
          <w:tcPr>
            <w:tcW w:w="6521" w:type="dxa"/>
            <w:gridSpan w:val="10"/>
            <w:vMerge/>
            <w:tcBorders>
              <w:left w:val="single" w:sz="4" w:space="0" w:color="000000"/>
              <w:bottom w:val="single" w:sz="4" w:space="0" w:color="000000"/>
              <w:right w:val="single" w:sz="4" w:space="0" w:color="000000"/>
            </w:tcBorders>
          </w:tcPr>
          <w:p>
            <w:pPr/>
          </w:p>
        </w:tc>
      </w:tr>
      <w:tr>
        <w:trPr>
          <w:trHeight w:val="404" w:hRule="exact"/>
        </w:trPr>
        <w:tc>
          <w:tcPr>
            <w:tcW w:w="9642" w:type="dxa"/>
            <w:gridSpan w:val="1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前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名无限售条件股东持股情况</w:t>
            </w:r>
          </w:p>
        </w:tc>
      </w:tr>
      <w:tr>
        <w:trPr>
          <w:trHeight w:val="206" w:hRule="exact"/>
        </w:trPr>
        <w:tc>
          <w:tcPr>
            <w:tcW w:w="3122" w:type="dxa"/>
            <w:gridSpan w:val="4"/>
            <w:tcBorders>
              <w:top w:val="single" w:sz="4" w:space="0" w:color="000000"/>
              <w:left w:val="single" w:sz="4" w:space="0" w:color="000000"/>
              <w:bottom w:val="nil" w:sz="6" w:space="0" w:color="auto"/>
              <w:right w:val="single" w:sz="4" w:space="0" w:color="000000"/>
            </w:tcBorders>
            <w:shd w:val="clear" w:color="auto" w:fill="D2D2D2"/>
          </w:tcPr>
          <w:p>
            <w:pPr/>
          </w:p>
        </w:tc>
        <w:tc>
          <w:tcPr>
            <w:tcW w:w="4140" w:type="dxa"/>
            <w:gridSpan w:val="6"/>
            <w:tcBorders>
              <w:top w:val="single" w:sz="4" w:space="0" w:color="000000"/>
              <w:left w:val="single" w:sz="4" w:space="0" w:color="000000"/>
              <w:bottom w:val="nil" w:sz="6" w:space="0" w:color="auto"/>
              <w:right w:val="single" w:sz="4" w:space="0" w:color="000000"/>
            </w:tcBorders>
            <w:shd w:val="clear" w:color="auto" w:fill="D2D2D2"/>
          </w:tcPr>
          <w:p>
            <w:pPr/>
          </w:p>
        </w:tc>
        <w:tc>
          <w:tcPr>
            <w:tcW w:w="2381"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22"/>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7" w:hRule="exact"/>
        </w:trPr>
        <w:tc>
          <w:tcPr>
            <w:tcW w:w="3122" w:type="dxa"/>
            <w:gridSpan w:val="4"/>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4140" w:type="dxa"/>
            <w:gridSpan w:val="6"/>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700" w:right="0"/>
              <w:jc w:val="left"/>
              <w:rPr>
                <w:rFonts w:ascii="宋体" w:hAnsi="宋体" w:cs="宋体" w:eastAsia="宋体" w:hint="default"/>
                <w:sz w:val="18"/>
                <w:szCs w:val="18"/>
              </w:rPr>
            </w:pPr>
            <w:r>
              <w:rPr>
                <w:rFonts w:ascii="宋体" w:hAnsi="宋体" w:cs="宋体" w:eastAsia="宋体" w:hint="default"/>
                <w:spacing w:val="-3"/>
                <w:sz w:val="18"/>
                <w:szCs w:val="18"/>
              </w:rPr>
              <w:t>报告期末持有无限售条件股份数量</w:t>
            </w:r>
          </w:p>
        </w:tc>
        <w:tc>
          <w:tcPr>
            <w:tcW w:w="2381" w:type="dxa"/>
            <w:gridSpan w:val="4"/>
            <w:vMerge/>
            <w:tcBorders>
              <w:left w:val="single" w:sz="4" w:space="0" w:color="000000"/>
              <w:bottom w:val="single" w:sz="4" w:space="0" w:color="000000"/>
              <w:right w:val="single" w:sz="4" w:space="0" w:color="000000"/>
            </w:tcBorders>
            <w:shd w:val="clear" w:color="auto" w:fill="D2D2D2"/>
          </w:tcPr>
          <w:p>
            <w:pPr/>
          </w:p>
        </w:tc>
      </w:tr>
      <w:tr>
        <w:trPr>
          <w:trHeight w:val="192" w:hRule="exact"/>
        </w:trPr>
        <w:tc>
          <w:tcPr>
            <w:tcW w:w="3122" w:type="dxa"/>
            <w:gridSpan w:val="4"/>
            <w:vMerge/>
            <w:tcBorders>
              <w:left w:val="single" w:sz="4" w:space="0" w:color="000000"/>
              <w:bottom w:val="nil" w:sz="6" w:space="0" w:color="auto"/>
              <w:right w:val="single" w:sz="4" w:space="0" w:color="000000"/>
            </w:tcBorders>
            <w:shd w:val="clear" w:color="auto" w:fill="D2D2D2"/>
          </w:tcPr>
          <w:p>
            <w:pPr/>
          </w:p>
        </w:tc>
        <w:tc>
          <w:tcPr>
            <w:tcW w:w="4140" w:type="dxa"/>
            <w:gridSpan w:val="6"/>
            <w:vMerge/>
            <w:tcBorders>
              <w:left w:val="single" w:sz="4" w:space="0" w:color="000000"/>
              <w:bottom w:val="nil" w:sz="6" w:space="0" w:color="auto"/>
              <w:right w:val="single" w:sz="4" w:space="0" w:color="000000"/>
            </w:tcBorders>
            <w:shd w:val="clear" w:color="auto" w:fill="D2D2D2"/>
          </w:tcPr>
          <w:p>
            <w:pPr/>
          </w:p>
        </w:tc>
        <w:tc>
          <w:tcPr>
            <w:tcW w:w="12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244"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13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384"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3122" w:type="dxa"/>
            <w:gridSpan w:val="4"/>
            <w:tcBorders>
              <w:top w:val="nil" w:sz="6" w:space="0" w:color="auto"/>
              <w:left w:val="single" w:sz="4" w:space="0" w:color="000000"/>
              <w:bottom w:val="single" w:sz="4" w:space="0" w:color="000000"/>
              <w:right w:val="single" w:sz="4" w:space="0" w:color="000000"/>
            </w:tcBorders>
            <w:shd w:val="clear" w:color="auto" w:fill="D2D2D2"/>
          </w:tcPr>
          <w:p>
            <w:pPr/>
          </w:p>
        </w:tc>
        <w:tc>
          <w:tcPr>
            <w:tcW w:w="4140" w:type="dxa"/>
            <w:gridSpan w:val="6"/>
            <w:tcBorders>
              <w:top w:val="nil" w:sz="6" w:space="0" w:color="auto"/>
              <w:left w:val="single" w:sz="4" w:space="0" w:color="000000"/>
              <w:bottom w:val="single" w:sz="4" w:space="0" w:color="000000"/>
              <w:right w:val="single" w:sz="4" w:space="0" w:color="000000"/>
            </w:tcBorders>
            <w:shd w:val="clear" w:color="auto" w:fill="D2D2D2"/>
          </w:tcPr>
          <w:p>
            <w:pPr/>
          </w:p>
        </w:tc>
        <w:tc>
          <w:tcPr>
            <w:tcW w:w="1248" w:type="dxa"/>
            <w:vMerge/>
            <w:tcBorders>
              <w:left w:val="single" w:sz="4" w:space="0" w:color="000000"/>
              <w:bottom w:val="single" w:sz="4" w:space="0" w:color="000000"/>
              <w:right w:val="single" w:sz="4" w:space="0" w:color="000000"/>
            </w:tcBorders>
            <w:shd w:val="clear" w:color="auto" w:fill="D2D2D2"/>
          </w:tcPr>
          <w:p>
            <w:pPr/>
          </w:p>
        </w:tc>
        <w:tc>
          <w:tcPr>
            <w:tcW w:w="1133" w:type="dxa"/>
            <w:gridSpan w:val="3"/>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312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云南省工业投资控股集团有限责任公司</w:t>
            </w:r>
          </w:p>
        </w:tc>
        <w:tc>
          <w:tcPr>
            <w:tcW w:w="4140"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42"/>
              <w:jc w:val="right"/>
              <w:rPr>
                <w:rFonts w:ascii="Times New Roman" w:hAnsi="Times New Roman" w:cs="Times New Roman" w:eastAsia="Times New Roman" w:hint="default"/>
                <w:sz w:val="18"/>
                <w:szCs w:val="18"/>
              </w:rPr>
            </w:pPr>
            <w:r>
              <w:rPr>
                <w:rFonts w:ascii="Times New Roman"/>
                <w:spacing w:val="-2"/>
                <w:sz w:val="18"/>
              </w:rPr>
              <w:t>113,408,385</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6"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13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11" w:right="0"/>
              <w:jc w:val="left"/>
              <w:rPr>
                <w:rFonts w:ascii="Times New Roman" w:hAnsi="Times New Roman" w:cs="Times New Roman" w:eastAsia="Times New Roman" w:hint="default"/>
                <w:sz w:val="18"/>
                <w:szCs w:val="18"/>
              </w:rPr>
            </w:pPr>
            <w:r>
              <w:rPr>
                <w:rFonts w:ascii="Times New Roman"/>
                <w:sz w:val="18"/>
              </w:rPr>
              <w:t>113,408,385</w:t>
            </w:r>
          </w:p>
        </w:tc>
      </w:tr>
    </w:tbl>
    <w:p>
      <w:pPr>
        <w:spacing w:after="0" w:line="240" w:lineRule="auto"/>
        <w:jc w:val="left"/>
        <w:rPr>
          <w:rFonts w:ascii="Times New Roman" w:hAnsi="Times New Roman" w:cs="Times New Roman" w:eastAsia="Times New Roman" w:hint="default"/>
          <w:sz w:val="18"/>
          <w:szCs w:val="18"/>
        </w:rPr>
        <w:sectPr>
          <w:pgSz w:w="11910" w:h="16840"/>
          <w:pgMar w:header="746" w:footer="974"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22"/>
        <w:gridCol w:w="4110"/>
        <w:gridCol w:w="1277"/>
        <w:gridCol w:w="1133"/>
      </w:tblGrid>
      <w:tr>
        <w:trPr>
          <w:trHeight w:val="715" w:hRule="exact"/>
        </w:trPr>
        <w:tc>
          <w:tcPr>
            <w:tcW w:w="3122"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3"/>
              <w:ind w:left="24" w:right="23"/>
              <w:jc w:val="left"/>
              <w:rPr>
                <w:rFonts w:ascii="宋体" w:hAnsi="宋体" w:cs="宋体" w:eastAsia="宋体" w:hint="default"/>
                <w:sz w:val="18"/>
                <w:szCs w:val="18"/>
              </w:rPr>
            </w:pPr>
            <w:r>
              <w:rPr>
                <w:rFonts w:ascii="宋体" w:hAnsi="宋体" w:cs="宋体" w:eastAsia="宋体" w:hint="default"/>
                <w:spacing w:val="-3"/>
                <w:sz w:val="18"/>
                <w:szCs w:val="18"/>
              </w:rPr>
              <w:t>云南南天电子信息产业股份有限公司－</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第一期员工持股计划</w:t>
            </w:r>
          </w:p>
        </w:tc>
        <w:tc>
          <w:tcPr>
            <w:tcW w:w="4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8,243,014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8,243,014</w:t>
            </w:r>
          </w:p>
        </w:tc>
      </w:tr>
      <w:tr>
        <w:trPr>
          <w:trHeight w:val="399" w:hRule="exact"/>
        </w:trPr>
        <w:tc>
          <w:tcPr>
            <w:tcW w:w="3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滕健</w:t>
            </w:r>
          </w:p>
        </w:tc>
        <w:tc>
          <w:tcPr>
            <w:tcW w:w="4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2,625,993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2,625,993</w:t>
            </w:r>
          </w:p>
        </w:tc>
      </w:tr>
      <w:tr>
        <w:trPr>
          <w:trHeight w:val="403" w:hRule="exact"/>
        </w:trPr>
        <w:tc>
          <w:tcPr>
            <w:tcW w:w="3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南天电子信息产业集团公司</w:t>
            </w:r>
          </w:p>
        </w:tc>
        <w:tc>
          <w:tcPr>
            <w:tcW w:w="4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2,488,233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2,488,233</w:t>
            </w:r>
          </w:p>
        </w:tc>
      </w:tr>
      <w:tr>
        <w:trPr>
          <w:trHeight w:val="403" w:hRule="exact"/>
        </w:trPr>
        <w:tc>
          <w:tcPr>
            <w:tcW w:w="3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中国证券金融股份有限公司</w:t>
            </w:r>
          </w:p>
        </w:tc>
        <w:tc>
          <w:tcPr>
            <w:tcW w:w="4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1,674,400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1,674,400</w:t>
            </w:r>
          </w:p>
        </w:tc>
      </w:tr>
      <w:tr>
        <w:trPr>
          <w:trHeight w:val="403" w:hRule="exact"/>
        </w:trPr>
        <w:tc>
          <w:tcPr>
            <w:tcW w:w="3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林碎兰</w:t>
            </w:r>
          </w:p>
        </w:tc>
        <w:tc>
          <w:tcPr>
            <w:tcW w:w="4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1,500,000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1,500,000</w:t>
            </w:r>
          </w:p>
        </w:tc>
      </w:tr>
      <w:tr>
        <w:trPr>
          <w:trHeight w:val="399" w:hRule="exact"/>
        </w:trPr>
        <w:tc>
          <w:tcPr>
            <w:tcW w:w="3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翁迎春</w:t>
            </w:r>
          </w:p>
        </w:tc>
        <w:tc>
          <w:tcPr>
            <w:tcW w:w="4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1,262,600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1,262,600</w:t>
            </w:r>
          </w:p>
        </w:tc>
      </w:tr>
      <w:tr>
        <w:trPr>
          <w:trHeight w:val="403" w:hRule="exact"/>
        </w:trPr>
        <w:tc>
          <w:tcPr>
            <w:tcW w:w="3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孙焕平</w:t>
            </w:r>
          </w:p>
        </w:tc>
        <w:tc>
          <w:tcPr>
            <w:tcW w:w="4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1,179,753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1,179,753</w:t>
            </w:r>
          </w:p>
        </w:tc>
      </w:tr>
      <w:tr>
        <w:trPr>
          <w:trHeight w:val="403" w:hRule="exact"/>
        </w:trPr>
        <w:tc>
          <w:tcPr>
            <w:tcW w:w="3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李美秀</w:t>
            </w:r>
          </w:p>
        </w:tc>
        <w:tc>
          <w:tcPr>
            <w:tcW w:w="4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1,055,669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1,055,669</w:t>
            </w:r>
          </w:p>
        </w:tc>
      </w:tr>
      <w:tr>
        <w:trPr>
          <w:trHeight w:val="403" w:hRule="exact"/>
        </w:trPr>
        <w:tc>
          <w:tcPr>
            <w:tcW w:w="3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陆卫其</w:t>
            </w:r>
          </w:p>
        </w:tc>
        <w:tc>
          <w:tcPr>
            <w:tcW w:w="4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931,900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931,900</w:t>
            </w:r>
          </w:p>
        </w:tc>
      </w:tr>
      <w:tr>
        <w:trPr>
          <w:trHeight w:val="1023" w:hRule="exact"/>
        </w:trPr>
        <w:tc>
          <w:tcPr>
            <w:tcW w:w="3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前</w:t>
            </w:r>
            <w:r>
              <w:rPr>
                <w:rFonts w:ascii="宋体" w:hAnsi="宋体" w:cs="宋体" w:eastAsia="宋体" w:hint="default"/>
                <w:spacing w:val="-47"/>
                <w:sz w:val="18"/>
                <w:szCs w:val="18"/>
              </w:rPr>
              <w:t> </w:t>
            </w:r>
            <w:r>
              <w:rPr>
                <w:rFonts w:ascii="Times New Roman" w:hAnsi="Times New Roman" w:cs="Times New Roman" w:eastAsia="Times New Roman" w:hint="default"/>
                <w:w w:val="101"/>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w w:val="101"/>
                <w:sz w:val="18"/>
                <w:szCs w:val="18"/>
              </w:rPr>
              <w:t>名</w:t>
            </w:r>
            <w:r>
              <w:rPr>
                <w:rFonts w:ascii="宋体" w:hAnsi="宋体" w:cs="宋体" w:eastAsia="宋体" w:hint="default"/>
                <w:spacing w:val="-5"/>
                <w:w w:val="101"/>
                <w:sz w:val="18"/>
                <w:szCs w:val="18"/>
              </w:rPr>
              <w:t>无</w:t>
            </w:r>
            <w:r>
              <w:rPr>
                <w:rFonts w:ascii="宋体" w:hAnsi="宋体" w:cs="宋体" w:eastAsia="宋体" w:hint="default"/>
                <w:w w:val="101"/>
                <w:sz w:val="18"/>
                <w:szCs w:val="18"/>
              </w:rPr>
              <w:t>限</w:t>
            </w:r>
            <w:r>
              <w:rPr>
                <w:rFonts w:ascii="宋体" w:hAnsi="宋体" w:cs="宋体" w:eastAsia="宋体" w:hint="default"/>
                <w:spacing w:val="-5"/>
                <w:w w:val="101"/>
                <w:sz w:val="18"/>
                <w:szCs w:val="18"/>
              </w:rPr>
              <w:t>售</w:t>
            </w:r>
            <w:r>
              <w:rPr>
                <w:rFonts w:ascii="宋体" w:hAnsi="宋体" w:cs="宋体" w:eastAsia="宋体" w:hint="default"/>
                <w:w w:val="101"/>
                <w:sz w:val="18"/>
                <w:szCs w:val="18"/>
              </w:rPr>
              <w:t>流</w:t>
            </w:r>
            <w:r>
              <w:rPr>
                <w:rFonts w:ascii="宋体" w:hAnsi="宋体" w:cs="宋体" w:eastAsia="宋体" w:hint="default"/>
                <w:spacing w:val="-5"/>
                <w:w w:val="101"/>
                <w:sz w:val="18"/>
                <w:szCs w:val="18"/>
              </w:rPr>
              <w:t>通</w:t>
            </w:r>
            <w:r>
              <w:rPr>
                <w:rFonts w:ascii="宋体" w:hAnsi="宋体" w:cs="宋体" w:eastAsia="宋体" w:hint="default"/>
                <w:w w:val="101"/>
                <w:sz w:val="18"/>
                <w:szCs w:val="18"/>
              </w:rPr>
              <w:t>股</w:t>
            </w:r>
            <w:r>
              <w:rPr>
                <w:rFonts w:ascii="宋体" w:hAnsi="宋体" w:cs="宋体" w:eastAsia="宋体" w:hint="default"/>
                <w:spacing w:val="-5"/>
                <w:w w:val="101"/>
                <w:sz w:val="18"/>
                <w:szCs w:val="18"/>
              </w:rPr>
              <w:t>股</w:t>
            </w:r>
            <w:r>
              <w:rPr>
                <w:rFonts w:ascii="宋体" w:hAnsi="宋体" w:cs="宋体" w:eastAsia="宋体" w:hint="default"/>
                <w:w w:val="101"/>
                <w:sz w:val="18"/>
                <w:szCs w:val="18"/>
              </w:rPr>
              <w:t>东</w:t>
            </w:r>
            <w:r>
              <w:rPr>
                <w:rFonts w:ascii="宋体" w:hAnsi="宋体" w:cs="宋体" w:eastAsia="宋体" w:hint="default"/>
                <w:spacing w:val="-5"/>
                <w:w w:val="101"/>
                <w:sz w:val="18"/>
                <w:szCs w:val="18"/>
              </w:rPr>
              <w:t>之</w:t>
            </w:r>
            <w:r>
              <w:rPr>
                <w:rFonts w:ascii="宋体" w:hAnsi="宋体" w:cs="宋体" w:eastAsia="宋体" w:hint="default"/>
                <w:w w:val="101"/>
                <w:sz w:val="18"/>
                <w:szCs w:val="18"/>
              </w:rPr>
              <w:t>间</w:t>
            </w:r>
            <w:r>
              <w:rPr>
                <w:rFonts w:ascii="宋体" w:hAnsi="宋体" w:cs="宋体" w:eastAsia="宋体" w:hint="default"/>
                <w:spacing w:val="-92"/>
                <w:w w:val="101"/>
                <w:sz w:val="18"/>
                <w:szCs w:val="18"/>
              </w:rPr>
              <w:t>，</w:t>
            </w:r>
            <w:r>
              <w:rPr>
                <w:rFonts w:ascii="宋体" w:hAnsi="宋体" w:cs="宋体" w:eastAsia="宋体" w:hint="default"/>
                <w:w w:val="101"/>
                <w:sz w:val="18"/>
                <w:szCs w:val="18"/>
              </w:rPr>
              <w:t>以</w:t>
            </w:r>
            <w:r>
              <w:rPr>
                <w:rFonts w:ascii="宋体" w:hAnsi="宋体" w:cs="宋体" w:eastAsia="宋体" w:hint="default"/>
                <w:spacing w:val="-5"/>
                <w:w w:val="101"/>
                <w:sz w:val="18"/>
                <w:szCs w:val="18"/>
              </w:rPr>
              <w:t>及</w:t>
            </w:r>
            <w:r>
              <w:rPr>
                <w:rFonts w:ascii="宋体" w:hAnsi="宋体" w:cs="宋体" w:eastAsia="宋体" w:hint="default"/>
                <w:w w:val="101"/>
                <w:sz w:val="18"/>
                <w:szCs w:val="18"/>
              </w:rPr>
              <w:t>前</w:t>
            </w:r>
            <w:r>
              <w:rPr>
                <w:rFonts w:ascii="宋体" w:hAnsi="宋体" w:cs="宋体" w:eastAsia="宋体" w:hint="default"/>
                <w:sz w:val="18"/>
                <w:szCs w:val="18"/>
              </w:rPr>
            </w:r>
          </w:p>
          <w:p>
            <w:pPr>
              <w:pStyle w:val="TableParagraph"/>
              <w:spacing w:line="300" w:lineRule="auto" w:before="58"/>
              <w:ind w:left="24" w:right="65"/>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名股东</w:t>
            </w:r>
            <w:r>
              <w:rPr>
                <w:rFonts w:ascii="宋体" w:hAnsi="宋体" w:cs="宋体" w:eastAsia="宋体" w:hint="default"/>
                <w:w w:val="101"/>
                <w:sz w:val="18"/>
                <w:szCs w:val="18"/>
              </w:rPr>
              <w:t> </w:t>
            </w:r>
            <w:r>
              <w:rPr>
                <w:rFonts w:ascii="宋体" w:hAnsi="宋体" w:cs="宋体" w:eastAsia="宋体" w:hint="default"/>
                <w:spacing w:val="-3"/>
                <w:sz w:val="18"/>
                <w:szCs w:val="18"/>
              </w:rPr>
              <w:t>之间关联关系或一致行动的说明</w:t>
            </w:r>
          </w:p>
        </w:tc>
        <w:tc>
          <w:tcPr>
            <w:tcW w:w="6521" w:type="dxa"/>
            <w:gridSpan w:val="3"/>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8"/>
              <w:jc w:val="both"/>
              <w:rPr>
                <w:rFonts w:ascii="宋体" w:hAnsi="宋体" w:cs="宋体" w:eastAsia="宋体" w:hint="default"/>
                <w:sz w:val="18"/>
                <w:szCs w:val="18"/>
              </w:rPr>
            </w:pPr>
            <w:r>
              <w:rPr>
                <w:rFonts w:ascii="宋体" w:hAnsi="宋体" w:cs="宋体" w:eastAsia="宋体" w:hint="default"/>
                <w:spacing w:val="-3"/>
                <w:sz w:val="18"/>
                <w:szCs w:val="18"/>
              </w:rPr>
              <w:t>上述股东中，公司已知南天集团是工投集团的全资子公司，故工投集团、南天集团</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pacing w:val="-3"/>
                <w:sz w:val="18"/>
                <w:szCs w:val="18"/>
              </w:rPr>
              <w:t>属于一致行动人；未知其他股东是否属于《上市公司股东持股变动信息披露管理办</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pacing w:val="-3"/>
                <w:sz w:val="18"/>
                <w:szCs w:val="18"/>
              </w:rPr>
              <w:t>法》中规定的一致行动人；也未知以上其他股东之间是否存在关联关系。</w:t>
            </w:r>
          </w:p>
        </w:tc>
      </w:tr>
      <w:tr>
        <w:trPr>
          <w:trHeight w:val="715" w:hRule="exact"/>
        </w:trPr>
        <w:tc>
          <w:tcPr>
            <w:tcW w:w="3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5" w:lineRule="auto" w:before="58"/>
              <w:ind w:left="24" w:right="109"/>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2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9"/>
                <w:sz w:val="18"/>
                <w:szCs w:val="18"/>
              </w:rPr>
              <w:t> </w:t>
            </w:r>
            <w:r>
              <w:rPr>
                <w:rFonts w:ascii="宋体" w:hAnsi="宋体" w:cs="宋体" w:eastAsia="宋体" w:hint="default"/>
                <w:spacing w:val="-3"/>
                <w:sz w:val="18"/>
                <w:szCs w:val="18"/>
              </w:rPr>
              <w:t>名普通股股东参与融资融券业务</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0"/>
                <w:w w:val="101"/>
                <w:sz w:val="18"/>
                <w:szCs w:val="18"/>
              </w:rPr>
              <w:t>情况说明（如有）（参见注</w:t>
            </w:r>
            <w:r>
              <w:rPr>
                <w:rFonts w:ascii="宋体" w:hAnsi="宋体" w:cs="宋体" w:eastAsia="宋体" w:hint="default"/>
                <w:spacing w:val="-45"/>
                <w:w w:val="101"/>
                <w:sz w:val="18"/>
                <w:szCs w:val="18"/>
              </w:rPr>
              <w:t> </w:t>
            </w:r>
            <w:r>
              <w:rPr>
                <w:rFonts w:ascii="Times New Roman" w:hAnsi="Times New Roman" w:cs="Times New Roman" w:eastAsia="Times New Roman" w:hint="default"/>
                <w:w w:val="101"/>
                <w:sz w:val="18"/>
                <w:szCs w:val="18"/>
              </w:rPr>
              <w:t>4</w:t>
            </w:r>
            <w:r>
              <w:rPr>
                <w:rFonts w:ascii="宋体" w:hAnsi="宋体" w:cs="宋体" w:eastAsia="宋体" w:hint="default"/>
                <w:w w:val="101"/>
                <w:sz w:val="18"/>
                <w:szCs w:val="18"/>
              </w:rPr>
              <w:t>）</w:t>
            </w:r>
            <w:r>
              <w:rPr>
                <w:rFonts w:ascii="宋体" w:hAnsi="宋体" w:cs="宋体" w:eastAsia="宋体" w:hint="default"/>
                <w:sz w:val="18"/>
                <w:szCs w:val="18"/>
              </w:rPr>
            </w:r>
          </w:p>
        </w:tc>
        <w:tc>
          <w:tcPr>
            <w:tcW w:w="65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报告期内，公司自然人股东滕健通过投资者信用证券账户持有公司股票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2,625,993</w:t>
            </w:r>
          </w:p>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股。</w:t>
            </w:r>
          </w:p>
        </w:tc>
      </w:tr>
    </w:tbl>
    <w:p>
      <w:pPr>
        <w:pStyle w:val="BodyText"/>
        <w:spacing w:line="300" w:lineRule="auto" w:before="53"/>
        <w:ind w:right="1121" w:firstLine="360"/>
        <w:jc w:val="both"/>
      </w:pPr>
      <w:r>
        <w:rPr>
          <w:spacing w:val="-15"/>
          <w:w w:val="101"/>
        </w:rPr>
        <w:t>注：①</w:t>
      </w:r>
      <w:r>
        <w:rPr>
          <w:rFonts w:ascii="Times New Roman" w:hAnsi="Times New Roman" w:cs="Times New Roman" w:eastAsia="Times New Roman" w:hint="default"/>
          <w:spacing w:val="-15"/>
          <w:w w:val="101"/>
        </w:rPr>
        <w:t>2018</w:t>
      </w:r>
      <w:r>
        <w:rPr>
          <w:rFonts w:ascii="Times New Roman" w:hAnsi="Times New Roman" w:cs="Times New Roman" w:eastAsia="Times New Roman" w:hint="default"/>
          <w:spacing w:val="-12"/>
          <w:w w:val="101"/>
        </w:rPr>
        <w:t> </w:t>
      </w:r>
      <w:r>
        <w:rPr>
          <w:w w:val="101"/>
        </w:rPr>
        <w:t>年</w:t>
      </w:r>
      <w:r>
        <w:rPr>
          <w:spacing w:val="-62"/>
          <w:w w:val="101"/>
        </w:rPr>
        <w:t> </w:t>
      </w:r>
      <w:r>
        <w:rPr>
          <w:rFonts w:ascii="Times New Roman" w:hAnsi="Times New Roman" w:cs="Times New Roman" w:eastAsia="Times New Roman" w:hint="default"/>
          <w:spacing w:val="-3"/>
          <w:w w:val="101"/>
        </w:rPr>
        <w:t>11</w:t>
      </w:r>
      <w:r>
        <w:rPr>
          <w:rFonts w:ascii="Times New Roman" w:hAnsi="Times New Roman" w:cs="Times New Roman" w:eastAsia="Times New Roman" w:hint="default"/>
          <w:spacing w:val="-17"/>
          <w:w w:val="101"/>
        </w:rPr>
        <w:t> </w:t>
      </w:r>
      <w:r>
        <w:rPr>
          <w:w w:val="101"/>
        </w:rPr>
        <w:t>月</w:t>
      </w:r>
      <w:r>
        <w:rPr>
          <w:spacing w:val="-61"/>
          <w:w w:val="101"/>
        </w:rPr>
        <w:t> </w:t>
      </w:r>
      <w:r>
        <w:rPr>
          <w:rFonts w:ascii="Times New Roman" w:hAnsi="Times New Roman" w:cs="Times New Roman" w:eastAsia="Times New Roman" w:hint="default"/>
          <w:w w:val="101"/>
        </w:rPr>
        <w:t>8</w:t>
      </w:r>
      <w:r>
        <w:rPr>
          <w:rFonts w:ascii="Times New Roman" w:hAnsi="Times New Roman" w:cs="Times New Roman" w:eastAsia="Times New Roman" w:hint="default"/>
          <w:spacing w:val="-12"/>
          <w:w w:val="101"/>
        </w:rPr>
        <w:t> </w:t>
      </w:r>
      <w:r>
        <w:rPr>
          <w:spacing w:val="-7"/>
          <w:w w:val="101"/>
        </w:rPr>
        <w:t>日，公司收到原第二大股东工投集团通知，决定将其全资子公司南天集团持有的南天信息</w:t>
      </w:r>
      <w:r>
        <w:rPr>
          <w:spacing w:val="-60"/>
          <w:w w:val="101"/>
        </w:rPr>
        <w:t> </w:t>
      </w:r>
      <w:r>
        <w:rPr>
          <w:rFonts w:ascii="Times New Roman" w:hAnsi="Times New Roman" w:cs="Times New Roman" w:eastAsia="Times New Roman" w:hint="default"/>
          <w:spacing w:val="-2"/>
          <w:w w:val="101"/>
        </w:rPr>
        <w:t>64,367,006</w:t>
      </w:r>
      <w:r>
        <w:rPr>
          <w:rFonts w:ascii="Times New Roman" w:hAnsi="Times New Roman" w:cs="Times New Roman" w:eastAsia="Times New Roman" w:hint="default"/>
          <w:w w:val="101"/>
        </w:rPr>
        <w:t> </w:t>
      </w:r>
      <w:r>
        <w:rPr>
          <w:spacing w:val="-3"/>
        </w:rPr>
        <w:t>股股票（全部为无限售流通股，占南天信息总股本的 </w:t>
      </w:r>
      <w:r>
        <w:rPr>
          <w:rFonts w:ascii="Times New Roman" w:hAnsi="Times New Roman" w:cs="Times New Roman" w:eastAsia="Times New Roman" w:hint="default"/>
          <w:spacing w:val="-3"/>
        </w:rPr>
        <w:t>26.10%</w:t>
      </w:r>
      <w:r>
        <w:rPr>
          <w:spacing w:val="-3"/>
        </w:rPr>
        <w:t>）无偿划转至工投集团。</w:t>
      </w:r>
      <w:r>
        <w:rPr>
          <w:rFonts w:ascii="Times New Roman" w:hAnsi="Times New Roman" w:cs="Times New Roman" w:eastAsia="Times New Roman" w:hint="default"/>
          <w:spacing w:val="-3"/>
        </w:rPr>
        <w:t>2019 </w:t>
      </w:r>
      <w:r>
        <w:rPr/>
        <w:t>年 </w:t>
      </w:r>
      <w:r>
        <w:rPr>
          <w:rFonts w:ascii="Times New Roman" w:hAnsi="Times New Roman" w:cs="Times New Roman" w:eastAsia="Times New Roman" w:hint="default"/>
        </w:rPr>
        <w:t>2 </w:t>
      </w:r>
      <w:r>
        <w:rPr/>
        <w:t>月 </w:t>
      </w:r>
      <w:r>
        <w:rPr>
          <w:rFonts w:ascii="Times New Roman" w:hAnsi="Times New Roman" w:cs="Times New Roman" w:eastAsia="Times New Roman" w:hint="default"/>
        </w:rPr>
        <w:t>1 </w:t>
      </w:r>
      <w:r>
        <w:rPr>
          <w:spacing w:val="-3"/>
        </w:rPr>
        <w:t>日，上述事宜已办理完</w:t>
      </w:r>
      <w:r>
        <w:rPr>
          <w:spacing w:val="-65"/>
        </w:rPr>
        <w:t> </w:t>
      </w:r>
      <w:r>
        <w:rPr>
          <w:spacing w:val="-65"/>
        </w:rPr>
      </w:r>
      <w:r>
        <w:rPr>
          <w:spacing w:val="-3"/>
          <w:w w:val="101"/>
        </w:rPr>
        <w:t>成股份过户登记手续。至此，工投集团直接持有南天信息</w:t>
      </w:r>
      <w:r>
        <w:rPr>
          <w:spacing w:val="-40"/>
          <w:w w:val="101"/>
        </w:rPr>
        <w:t> </w:t>
      </w:r>
      <w:r>
        <w:rPr>
          <w:rFonts w:ascii="Times New Roman" w:hAnsi="Times New Roman" w:cs="Times New Roman" w:eastAsia="Times New Roman" w:hint="default"/>
          <w:spacing w:val="-2"/>
          <w:w w:val="101"/>
        </w:rPr>
        <w:t>87,237,219</w:t>
      </w:r>
      <w:r>
        <w:rPr>
          <w:rFonts w:ascii="Times New Roman" w:hAnsi="Times New Roman" w:cs="Times New Roman" w:eastAsia="Times New Roman" w:hint="default"/>
          <w:spacing w:val="11"/>
          <w:w w:val="101"/>
        </w:rPr>
        <w:t> </w:t>
      </w:r>
      <w:r>
        <w:rPr>
          <w:spacing w:val="-6"/>
          <w:w w:val="101"/>
        </w:rPr>
        <w:t>股股份（全部为无限售流通股），占南天信息总股本的</w:t>
      </w:r>
      <w:r>
        <w:rPr>
          <w:spacing w:val="-6"/>
        </w:rPr>
      </w:r>
    </w:p>
    <w:p>
      <w:pPr>
        <w:pStyle w:val="BodyText"/>
        <w:spacing w:line="300" w:lineRule="auto" w:before="13"/>
        <w:ind w:right="855"/>
        <w:jc w:val="left"/>
      </w:pPr>
      <w:r>
        <w:rPr>
          <w:rFonts w:ascii="Times New Roman" w:hAnsi="Times New Roman" w:cs="Times New Roman" w:eastAsia="Times New Roman" w:hint="default"/>
          <w:spacing w:val="-3"/>
        </w:rPr>
        <w:t>35.38%</w:t>
      </w:r>
      <w:r>
        <w:rPr>
          <w:spacing w:val="-3"/>
        </w:rPr>
        <w:t>，成为南天信息的控股股东；南天集团持有南天信息 </w:t>
      </w:r>
      <w:r>
        <w:rPr>
          <w:rFonts w:ascii="Times New Roman" w:hAnsi="Times New Roman" w:cs="Times New Roman" w:eastAsia="Times New Roman" w:hint="default"/>
        </w:rPr>
        <w:t>1,914,025 </w:t>
      </w:r>
      <w:r>
        <w:rPr>
          <w:spacing w:val="-3"/>
        </w:rPr>
        <w:t>股股份（全部为无限售流通股，含南天信息管理层委</w:t>
      </w:r>
      <w:r>
        <w:rPr>
          <w:spacing w:val="-29"/>
        </w:rPr>
        <w:t> </w:t>
      </w:r>
      <w:r>
        <w:rPr>
          <w:spacing w:val="-29"/>
        </w:rPr>
      </w:r>
      <w:r>
        <w:rPr>
          <w:spacing w:val="-3"/>
          <w:w w:val="101"/>
        </w:rPr>
        <w:t>托南天集团通过其资产管理计划增持的股份</w:t>
      </w:r>
      <w:r>
        <w:rPr>
          <w:spacing w:val="-39"/>
          <w:w w:val="101"/>
        </w:rPr>
        <w:t> </w:t>
      </w:r>
      <w:r>
        <w:rPr>
          <w:rFonts w:ascii="Times New Roman" w:hAnsi="Times New Roman" w:cs="Times New Roman" w:eastAsia="Times New Roman" w:hint="default"/>
          <w:spacing w:val="-2"/>
          <w:w w:val="101"/>
        </w:rPr>
        <w:t>9,047</w:t>
      </w:r>
      <w:r>
        <w:rPr>
          <w:rFonts w:ascii="Times New Roman" w:hAnsi="Times New Roman" w:cs="Times New Roman" w:eastAsia="Times New Roman" w:hint="default"/>
          <w:spacing w:val="5"/>
          <w:w w:val="101"/>
        </w:rPr>
        <w:t> </w:t>
      </w:r>
      <w:r>
        <w:rPr>
          <w:spacing w:val="-10"/>
          <w:w w:val="101"/>
        </w:rPr>
        <w:t>股），占南天信息总股本的</w:t>
      </w:r>
      <w:r>
        <w:rPr>
          <w:spacing w:val="-41"/>
          <w:w w:val="101"/>
        </w:rPr>
        <w:t> </w:t>
      </w:r>
      <w:r>
        <w:rPr>
          <w:rFonts w:ascii="Times New Roman" w:hAnsi="Times New Roman" w:cs="Times New Roman" w:eastAsia="Times New Roman" w:hint="default"/>
          <w:spacing w:val="-3"/>
          <w:w w:val="101"/>
        </w:rPr>
        <w:t>0.78%</w:t>
      </w:r>
      <w:r>
        <w:rPr>
          <w:spacing w:val="-3"/>
          <w:w w:val="101"/>
        </w:rPr>
        <w:t>。公司控股股东由南天集团变为工投集</w:t>
      </w:r>
      <w:r>
        <w:rPr>
          <w:spacing w:val="-73"/>
          <w:w w:val="101"/>
        </w:rPr>
        <w:t> </w:t>
      </w:r>
      <w:r>
        <w:rPr>
          <w:spacing w:val="-73"/>
          <w:w w:val="101"/>
        </w:rPr>
      </w:r>
      <w:r>
        <w:rPr>
          <w:spacing w:val="-3"/>
        </w:rPr>
        <w:t>团，公司实际控制人无变化，仍为省国资委。</w:t>
      </w:r>
    </w:p>
    <w:p>
      <w:pPr>
        <w:pStyle w:val="BodyText"/>
        <w:spacing w:line="240" w:lineRule="auto" w:before="70"/>
        <w:ind w:left="513" w:right="855"/>
        <w:jc w:val="left"/>
        <w:rPr>
          <w:rFonts w:ascii="Times New Roman" w:hAnsi="Times New Roman" w:cs="Times New Roman" w:eastAsia="Times New Roman" w:hint="default"/>
        </w:rPr>
      </w:pPr>
      <w:r>
        <w:rPr/>
        <w:t>②南天集团持有南天信息 </w:t>
      </w:r>
      <w:r>
        <w:rPr>
          <w:rFonts w:ascii="Times New Roman" w:hAnsi="Times New Roman" w:cs="Times New Roman" w:eastAsia="Times New Roman" w:hint="default"/>
        </w:rPr>
        <w:t>1,914,025  </w:t>
      </w:r>
      <w:r>
        <w:rPr>
          <w:spacing w:val="-3"/>
        </w:rPr>
        <w:t>股股份中含有南天信息管理层委托南天集团通过其资产管理计划增持的股份</w:t>
      </w:r>
      <w:r>
        <w:rPr>
          <w:spacing w:val="-35"/>
        </w:rPr>
        <w:t> </w:t>
      </w:r>
      <w:r>
        <w:rPr>
          <w:rFonts w:ascii="Times New Roman" w:hAnsi="Times New Roman" w:cs="Times New Roman" w:eastAsia="Times New Roman" w:hint="default"/>
        </w:rPr>
        <w:t>9,047</w:t>
      </w:r>
    </w:p>
    <w:p>
      <w:pPr>
        <w:pStyle w:val="BodyText"/>
        <w:spacing w:line="300" w:lineRule="auto" w:before="63"/>
        <w:ind w:right="1128"/>
        <w:jc w:val="left"/>
      </w:pPr>
      <w:r>
        <w:rPr>
          <w:spacing w:val="-3"/>
          <w:w w:val="101"/>
        </w:rPr>
        <w:t>股；根据南天集团与工投集团于</w:t>
      </w:r>
      <w:r>
        <w:rPr>
          <w:spacing w:val="-44"/>
          <w:w w:val="101"/>
        </w:rPr>
        <w:t> </w:t>
      </w:r>
      <w:r>
        <w:rPr>
          <w:rFonts w:ascii="Times New Roman" w:hAnsi="Times New Roman" w:cs="Times New Roman" w:eastAsia="Times New Roman" w:hint="default"/>
          <w:w w:val="101"/>
        </w:rPr>
        <w:t>2017</w:t>
      </w:r>
      <w:r>
        <w:rPr>
          <w:rFonts w:ascii="Times New Roman" w:hAnsi="Times New Roman" w:cs="Times New Roman" w:eastAsia="Times New Roman" w:hint="default"/>
          <w:spacing w:val="1"/>
          <w:w w:val="101"/>
        </w:rPr>
        <w:t> </w:t>
      </w:r>
      <w:r>
        <w:rPr>
          <w:w w:val="101"/>
        </w:rPr>
        <w:t>年</w:t>
      </w:r>
      <w:r>
        <w:rPr>
          <w:spacing w:val="-50"/>
          <w:w w:val="101"/>
        </w:rPr>
        <w:t> </w:t>
      </w:r>
      <w:r>
        <w:rPr>
          <w:rFonts w:ascii="Times New Roman" w:hAnsi="Times New Roman" w:cs="Times New Roman" w:eastAsia="Times New Roman" w:hint="default"/>
          <w:w w:val="101"/>
        </w:rPr>
        <w:t>12</w:t>
      </w:r>
      <w:r>
        <w:rPr>
          <w:rFonts w:ascii="Times New Roman" w:hAnsi="Times New Roman" w:cs="Times New Roman" w:eastAsia="Times New Roman" w:hint="default"/>
          <w:spacing w:val="1"/>
          <w:w w:val="101"/>
        </w:rPr>
        <w:t> </w:t>
      </w:r>
      <w:r>
        <w:rPr>
          <w:w w:val="101"/>
        </w:rPr>
        <w:t>月</w:t>
      </w:r>
      <w:r>
        <w:rPr>
          <w:spacing w:val="-44"/>
          <w:w w:val="101"/>
        </w:rPr>
        <w:t> </w:t>
      </w:r>
      <w:r>
        <w:rPr>
          <w:rFonts w:ascii="Times New Roman" w:hAnsi="Times New Roman" w:cs="Times New Roman" w:eastAsia="Times New Roman" w:hint="default"/>
          <w:w w:val="101"/>
        </w:rPr>
        <w:t>18</w:t>
      </w:r>
      <w:r>
        <w:rPr>
          <w:rFonts w:ascii="Times New Roman" w:hAnsi="Times New Roman" w:cs="Times New Roman" w:eastAsia="Times New Roman" w:hint="default"/>
          <w:spacing w:val="1"/>
          <w:w w:val="101"/>
        </w:rPr>
        <w:t> </w:t>
      </w:r>
      <w:r>
        <w:rPr>
          <w:spacing w:val="-7"/>
          <w:w w:val="101"/>
        </w:rPr>
        <w:t>日签署的《委托管理协议》，南天集团所持南天信息</w:t>
      </w:r>
      <w:r>
        <w:rPr>
          <w:spacing w:val="-49"/>
          <w:w w:val="101"/>
        </w:rPr>
        <w:t> </w:t>
      </w:r>
      <w:r>
        <w:rPr>
          <w:rFonts w:ascii="Times New Roman" w:hAnsi="Times New Roman" w:cs="Times New Roman" w:eastAsia="Times New Roman" w:hint="default"/>
          <w:spacing w:val="-1"/>
          <w:w w:val="101"/>
        </w:rPr>
        <w:t>1,914,025</w:t>
      </w:r>
      <w:r>
        <w:rPr>
          <w:rFonts w:ascii="Times New Roman" w:hAnsi="Times New Roman" w:cs="Times New Roman" w:eastAsia="Times New Roman" w:hint="default"/>
          <w:spacing w:val="-3"/>
          <w:w w:val="101"/>
        </w:rPr>
        <w:t> </w:t>
      </w:r>
      <w:r>
        <w:rPr>
          <w:spacing w:val="-2"/>
          <w:w w:val="101"/>
        </w:rPr>
        <w:t>股（占南天</w:t>
      </w:r>
      <w:r>
        <w:rPr>
          <w:w w:val="101"/>
        </w:rPr>
        <w:t> </w:t>
      </w:r>
      <w:r>
        <w:rPr/>
        <w:t>信息总股本的</w:t>
      </w:r>
      <w:r>
        <w:rPr>
          <w:spacing w:val="41"/>
        </w:rPr>
        <w:t> </w:t>
      </w:r>
      <w:r>
        <w:rPr>
          <w:rFonts w:ascii="Times New Roman" w:hAnsi="Times New Roman" w:cs="Times New Roman" w:eastAsia="Times New Roman" w:hint="default"/>
          <w:spacing w:val="-3"/>
        </w:rPr>
        <w:t>0.78%</w:t>
      </w:r>
      <w:r>
        <w:rPr>
          <w:spacing w:val="-3"/>
        </w:rPr>
        <w:t>）股份除财产权之外的其他权利继续委托工投集团管理。</w:t>
      </w:r>
    </w:p>
    <w:p>
      <w:pPr>
        <w:pStyle w:val="BodyText"/>
        <w:spacing w:line="240" w:lineRule="auto" w:before="51"/>
        <w:ind w:right="855"/>
        <w:jc w:val="left"/>
      </w:pPr>
      <w:r>
        <w:rPr/>
        <w:t>公司前 </w:t>
      </w:r>
      <w:r>
        <w:rPr>
          <w:rFonts w:ascii="Times New Roman" w:hAnsi="Times New Roman" w:cs="Times New Roman" w:eastAsia="Times New Roman" w:hint="default"/>
        </w:rPr>
        <w:t>10 </w:t>
      </w:r>
      <w:r>
        <w:rPr/>
        <w:t>名普通股股东、前 </w:t>
      </w:r>
      <w:r>
        <w:rPr>
          <w:rFonts w:ascii="Times New Roman" w:hAnsi="Times New Roman" w:cs="Times New Roman" w:eastAsia="Times New Roman" w:hint="default"/>
        </w:rPr>
        <w:t>10</w:t>
      </w:r>
      <w:r>
        <w:rPr>
          <w:rFonts w:ascii="Times New Roman" w:hAnsi="Times New Roman" w:cs="Times New Roman" w:eastAsia="Times New Roman" w:hint="default"/>
          <w:spacing w:val="-17"/>
        </w:rPr>
        <w:t> </w:t>
      </w:r>
      <w:r>
        <w:rPr>
          <w:spacing w:val="-3"/>
        </w:rPr>
        <w:t>名无限售条件普通股股东在报告期内是否进行约定购回交易</w:t>
      </w:r>
    </w:p>
    <w:p>
      <w:pPr>
        <w:pStyle w:val="BodyText"/>
        <w:spacing w:line="240" w:lineRule="auto" w:before="106"/>
        <w:ind w:right="855"/>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pStyle w:val="BodyText"/>
        <w:spacing w:line="240" w:lineRule="auto" w:before="102"/>
        <w:ind w:right="855"/>
        <w:jc w:val="left"/>
      </w:pPr>
      <w:r>
        <w:rPr/>
        <w:t>公司前 </w:t>
      </w:r>
      <w:r>
        <w:rPr>
          <w:rFonts w:ascii="Times New Roman" w:hAnsi="Times New Roman" w:cs="Times New Roman" w:eastAsia="Times New Roman" w:hint="default"/>
        </w:rPr>
        <w:t>10 </w:t>
      </w:r>
      <w:r>
        <w:rPr/>
        <w:t>名普通股股东、前 </w:t>
      </w:r>
      <w:r>
        <w:rPr>
          <w:rFonts w:ascii="Times New Roman" w:hAnsi="Times New Roman" w:cs="Times New Roman" w:eastAsia="Times New Roman" w:hint="default"/>
        </w:rPr>
        <w:t>10</w:t>
      </w:r>
      <w:r>
        <w:rPr>
          <w:rFonts w:ascii="Times New Roman" w:hAnsi="Times New Roman" w:cs="Times New Roman" w:eastAsia="Times New Roman" w:hint="default"/>
          <w:spacing w:val="-17"/>
        </w:rPr>
        <w:t> </w:t>
      </w:r>
      <w:r>
        <w:rPr>
          <w:spacing w:val="-3"/>
        </w:rPr>
        <w:t>名无限售条件普通股股东在报告期内未进行约定购回交易。</w:t>
      </w:r>
    </w:p>
    <w:p>
      <w:pPr>
        <w:spacing w:line="240" w:lineRule="auto" w:before="8"/>
        <w:rPr>
          <w:rFonts w:ascii="宋体" w:hAnsi="宋体" w:cs="宋体" w:eastAsia="宋体" w:hint="default"/>
          <w:sz w:val="25"/>
          <w:szCs w:val="25"/>
        </w:rPr>
      </w:pPr>
    </w:p>
    <w:p>
      <w:pPr>
        <w:pStyle w:val="Heading4"/>
        <w:spacing w:line="240" w:lineRule="auto"/>
        <w:ind w:right="855"/>
        <w:jc w:val="left"/>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9"/>
        <w:rPr>
          <w:rFonts w:ascii="宋体" w:hAnsi="宋体" w:cs="宋体" w:eastAsia="宋体" w:hint="default"/>
          <w:b/>
          <w:bCs/>
          <w:sz w:val="26"/>
          <w:szCs w:val="26"/>
        </w:rPr>
      </w:pPr>
    </w:p>
    <w:p>
      <w:pPr>
        <w:pStyle w:val="BodyText"/>
        <w:spacing w:line="362" w:lineRule="auto"/>
        <w:ind w:right="7349"/>
        <w:jc w:val="left"/>
      </w:pPr>
      <w:r>
        <w:rPr>
          <w:spacing w:val="-3"/>
        </w:rPr>
        <w:t>控股股东性质：地方国有控股</w:t>
      </w:r>
      <w:r>
        <w:rPr>
          <w:spacing w:val="-50"/>
        </w:rPr>
        <w:t> </w:t>
      </w:r>
      <w:r>
        <w:rPr>
          <w:spacing w:val="-50"/>
        </w:rPr>
      </w:r>
      <w:r>
        <w:rPr>
          <w:spacing w:val="-3"/>
        </w:rPr>
        <w:t>控股股东类型：法人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6"/>
          <w:szCs w:val="16"/>
        </w:rPr>
      </w:pPr>
    </w:p>
    <w:p>
      <w:pPr>
        <w:pStyle w:val="BodyText"/>
        <w:spacing w:line="240" w:lineRule="auto" w:before="46"/>
        <w:ind w:left="0" w:right="1127"/>
        <w:jc w:val="right"/>
      </w:pPr>
      <w:r>
        <w:rPr/>
        <w:pict>
          <v:shape style="position:absolute;margin-left:56.424pt;margin-top:-36.628254pt;width:479.25pt;height:121.25pt;mso-position-horizontal-relative:page;mso-position-vertical-relative:paragraph;z-index:18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61"/>
                    <w:gridCol w:w="1133"/>
                    <w:gridCol w:w="711"/>
                    <w:gridCol w:w="850"/>
                    <w:gridCol w:w="5316"/>
                  </w:tblGrid>
                  <w:tr>
                    <w:trPr>
                      <w:trHeight w:val="715" w:hRule="exact"/>
                    </w:trPr>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控股股东名称</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5" w:lineRule="auto" w:before="53"/>
                          <w:ind w:left="115" w:right="81" w:hanging="29"/>
                          <w:jc w:val="left"/>
                          <w:rPr>
                            <w:rFonts w:ascii="宋体" w:hAnsi="宋体" w:cs="宋体" w:eastAsia="宋体" w:hint="default"/>
                            <w:sz w:val="18"/>
                            <w:szCs w:val="18"/>
                          </w:rPr>
                        </w:pPr>
                        <w:r>
                          <w:rPr>
                            <w:rFonts w:ascii="宋体" w:hAnsi="宋体" w:cs="宋体" w:eastAsia="宋体" w:hint="default"/>
                            <w:spacing w:val="-2"/>
                            <w:sz w:val="18"/>
                            <w:szCs w:val="18"/>
                          </w:rPr>
                          <w:t>法定代表人</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31"/>
                            <w:sz w:val="18"/>
                            <w:szCs w:val="18"/>
                          </w:rPr>
                          <w:t> </w:t>
                        </w:r>
                        <w:r>
                          <w:rPr>
                            <w:rFonts w:ascii="宋体" w:hAnsi="宋体" w:cs="宋体" w:eastAsia="宋体" w:hint="default"/>
                            <w:sz w:val="18"/>
                            <w:szCs w:val="18"/>
                          </w:rPr>
                          <w:t>单位负责人</w:t>
                        </w:r>
                      </w:p>
                    </w:tc>
                    <w:tc>
                      <w:tcPr>
                        <w:tcW w:w="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259" w:right="75" w:hanging="179"/>
                          <w:jc w:val="left"/>
                          <w:rPr>
                            <w:rFonts w:ascii="宋体" w:hAnsi="宋体" w:cs="宋体" w:eastAsia="宋体" w:hint="default"/>
                            <w:sz w:val="18"/>
                            <w:szCs w:val="18"/>
                          </w:rPr>
                        </w:pPr>
                        <w:r>
                          <w:rPr>
                            <w:rFonts w:ascii="宋体" w:hAnsi="宋体" w:cs="宋体" w:eastAsia="宋体" w:hint="default"/>
                            <w:sz w:val="18"/>
                            <w:szCs w:val="18"/>
                          </w:rPr>
                          <w:t>成立日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期</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240" w:right="51" w:hanging="178"/>
                          <w:jc w:val="left"/>
                          <w:rPr>
                            <w:rFonts w:ascii="宋体" w:hAnsi="宋体" w:cs="宋体" w:eastAsia="宋体" w:hint="default"/>
                            <w:sz w:val="18"/>
                            <w:szCs w:val="18"/>
                          </w:rPr>
                        </w:pPr>
                        <w:r>
                          <w:rPr>
                            <w:rFonts w:ascii="宋体" w:hAnsi="宋体" w:cs="宋体" w:eastAsia="宋体" w:hint="default"/>
                            <w:sz w:val="18"/>
                            <w:szCs w:val="18"/>
                          </w:rPr>
                          <w:t>组织机构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代码</w:t>
                        </w:r>
                      </w:p>
                    </w:tc>
                    <w:tc>
                      <w:tcPr>
                        <w:tcW w:w="53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1335" w:hRule="exact"/>
                    </w:trPr>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4" w:right="79"/>
                          <w:jc w:val="both"/>
                          <w:rPr>
                            <w:rFonts w:ascii="宋体" w:hAnsi="宋体" w:cs="宋体" w:eastAsia="宋体" w:hint="default"/>
                            <w:sz w:val="18"/>
                            <w:szCs w:val="18"/>
                          </w:rPr>
                        </w:pPr>
                        <w:r>
                          <w:rPr>
                            <w:rFonts w:ascii="宋体" w:hAnsi="宋体" w:cs="宋体" w:eastAsia="宋体" w:hint="default"/>
                            <w:spacing w:val="-2"/>
                            <w:sz w:val="18"/>
                            <w:szCs w:val="18"/>
                          </w:rPr>
                          <w:t>云南省工业投资控</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股集团有限责任公</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孙德刚</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91530100</w:t>
                        </w:r>
                      </w:p>
                      <w:p>
                        <w:pPr>
                          <w:pStyle w:val="TableParagraph"/>
                          <w:spacing w:line="240" w:lineRule="auto" w:before="110"/>
                          <w:ind w:left="24" w:right="0"/>
                          <w:jc w:val="left"/>
                          <w:rPr>
                            <w:rFonts w:ascii="Times New Roman" w:hAnsi="Times New Roman" w:cs="Times New Roman" w:eastAsia="Times New Roman" w:hint="default"/>
                            <w:sz w:val="18"/>
                            <w:szCs w:val="18"/>
                          </w:rPr>
                        </w:pPr>
                        <w:r>
                          <w:rPr>
                            <w:rFonts w:ascii="Times New Roman"/>
                            <w:sz w:val="18"/>
                          </w:rPr>
                          <w:t>67363734</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83</w:t>
                        </w:r>
                      </w:p>
                    </w:tc>
                    <w:tc>
                      <w:tcPr>
                        <w:tcW w:w="53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8"/>
                          <w:jc w:val="left"/>
                          <w:rPr>
                            <w:rFonts w:ascii="宋体" w:hAnsi="宋体" w:cs="宋体" w:eastAsia="宋体" w:hint="default"/>
                            <w:sz w:val="18"/>
                            <w:szCs w:val="18"/>
                          </w:rPr>
                        </w:pPr>
                        <w:r>
                          <w:rPr>
                            <w:rFonts w:ascii="宋体" w:hAnsi="宋体" w:cs="宋体" w:eastAsia="宋体" w:hint="default"/>
                            <w:spacing w:val="-5"/>
                            <w:sz w:val="18"/>
                            <w:szCs w:val="18"/>
                          </w:rPr>
                          <w:t>法律、法规允许范围内的各类产业和行业的投融资业务、资产经营</w:t>
                        </w:r>
                        <w:r>
                          <w:rPr>
                            <w:rFonts w:ascii="宋体" w:hAnsi="宋体" w:cs="宋体" w:eastAsia="宋体" w:hint="default"/>
                            <w:spacing w:val="5"/>
                            <w:sz w:val="18"/>
                            <w:szCs w:val="18"/>
                          </w:rPr>
                          <w:t> </w:t>
                        </w:r>
                        <w:r>
                          <w:rPr>
                            <w:rFonts w:ascii="宋体" w:hAnsi="宋体" w:cs="宋体" w:eastAsia="宋体" w:hint="default"/>
                            <w:spacing w:val="5"/>
                            <w:sz w:val="18"/>
                            <w:szCs w:val="18"/>
                          </w:rPr>
                        </w:r>
                        <w:r>
                          <w:rPr>
                            <w:rFonts w:ascii="宋体" w:hAnsi="宋体" w:cs="宋体" w:eastAsia="宋体" w:hint="default"/>
                            <w:spacing w:val="-5"/>
                            <w:sz w:val="18"/>
                            <w:szCs w:val="18"/>
                          </w:rPr>
                          <w:t>企业购并、股权交易、国有资产的委托理财和国有资产的委托处置</w:t>
                        </w:r>
                        <w:r>
                          <w:rPr>
                            <w:rFonts w:ascii="宋体" w:hAnsi="宋体" w:cs="宋体" w:eastAsia="宋体" w:hint="default"/>
                            <w:spacing w:val="4"/>
                            <w:sz w:val="18"/>
                            <w:szCs w:val="18"/>
                          </w:rPr>
                          <w:t> </w:t>
                        </w:r>
                        <w:r>
                          <w:rPr>
                            <w:rFonts w:ascii="宋体" w:hAnsi="宋体" w:cs="宋体" w:eastAsia="宋体" w:hint="default"/>
                            <w:spacing w:val="4"/>
                            <w:sz w:val="18"/>
                            <w:szCs w:val="18"/>
                          </w:rPr>
                        </w:r>
                        <w:r>
                          <w:rPr>
                            <w:rFonts w:ascii="宋体" w:hAnsi="宋体" w:cs="宋体" w:eastAsia="宋体" w:hint="default"/>
                            <w:spacing w:val="-8"/>
                            <w:w w:val="101"/>
                            <w:sz w:val="18"/>
                            <w:szCs w:val="18"/>
                          </w:rPr>
                          <w:t>国内及国际贸易；经云南省人民政府批准的其他经营业务。（依法须</w:t>
                        </w:r>
                        <w:r>
                          <w:rPr>
                            <w:rFonts w:ascii="宋体" w:hAnsi="宋体" w:cs="宋体" w:eastAsia="宋体" w:hint="default"/>
                            <w:spacing w:val="-66"/>
                            <w:w w:val="101"/>
                            <w:sz w:val="18"/>
                            <w:szCs w:val="18"/>
                          </w:rPr>
                          <w:t> </w:t>
                        </w:r>
                        <w:r>
                          <w:rPr>
                            <w:rFonts w:ascii="宋体" w:hAnsi="宋体" w:cs="宋体" w:eastAsia="宋体" w:hint="default"/>
                            <w:spacing w:val="-66"/>
                            <w:w w:val="101"/>
                            <w:sz w:val="18"/>
                            <w:szCs w:val="18"/>
                          </w:rPr>
                        </w:r>
                        <w:r>
                          <w:rPr>
                            <w:rFonts w:ascii="宋体" w:hAnsi="宋体" w:cs="宋体" w:eastAsia="宋体" w:hint="default"/>
                            <w:spacing w:val="-6"/>
                            <w:w w:val="101"/>
                            <w:sz w:val="18"/>
                            <w:szCs w:val="18"/>
                          </w:rPr>
                          <w:t>经批准的项目，经相关部门批准后方可开展经营活动）。</w:t>
                        </w:r>
                        <w:r>
                          <w:rPr>
                            <w:rFonts w:ascii="宋体" w:hAnsi="宋体" w:cs="宋体" w:eastAsia="宋体" w:hint="default"/>
                            <w:spacing w:val="-6"/>
                            <w:sz w:val="18"/>
                            <w:szCs w:val="18"/>
                          </w:rPr>
                        </w:r>
                      </w:p>
                    </w:tc>
                  </w:tr>
                  <w:tr>
                    <w:trPr>
                      <w:trHeight w:val="365" w:hRule="exact"/>
                    </w:trPr>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55"/>
                          <w:jc w:val="center"/>
                          <w:rPr>
                            <w:rFonts w:ascii="宋体" w:hAnsi="宋体" w:cs="宋体" w:eastAsia="宋体" w:hint="default"/>
                            <w:sz w:val="18"/>
                            <w:szCs w:val="18"/>
                          </w:rPr>
                        </w:pPr>
                        <w:r>
                          <w:rPr>
                            <w:rFonts w:ascii="宋体" w:hAnsi="宋体" w:cs="宋体" w:eastAsia="宋体" w:hint="default"/>
                            <w:sz w:val="18"/>
                            <w:szCs w:val="18"/>
                          </w:rPr>
                          <w:t>控股股东报告期内</w:t>
                        </w:r>
                      </w:p>
                    </w:tc>
                    <w:tc>
                      <w:tcPr>
                        <w:tcW w:w="801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截止</w:t>
                        </w:r>
                        <w:r>
                          <w:rPr>
                            <w:rFonts w:ascii="宋体" w:hAnsi="宋体" w:cs="宋体" w:eastAsia="宋体" w:hint="default"/>
                            <w:spacing w:val="-47"/>
                            <w:sz w:val="18"/>
                            <w:szCs w:val="18"/>
                          </w:rPr>
                          <w:t> </w:t>
                        </w:r>
                        <w:r>
                          <w:rPr>
                            <w:rFonts w:ascii="Times New Roman" w:hAnsi="Times New Roman" w:cs="Times New Roman" w:eastAsia="Times New Roman" w:hint="default"/>
                            <w:w w:val="101"/>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w w:val="101"/>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w w:val="101"/>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w w:val="101"/>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w w:val="101"/>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pacing w:val="-5"/>
                            <w:w w:val="101"/>
                            <w:sz w:val="18"/>
                            <w:szCs w:val="18"/>
                          </w:rPr>
                          <w:t>日</w:t>
                        </w:r>
                        <w:r>
                          <w:rPr>
                            <w:rFonts w:ascii="宋体" w:hAnsi="宋体" w:cs="宋体" w:eastAsia="宋体" w:hint="default"/>
                            <w:spacing w:val="-10"/>
                            <w:w w:val="101"/>
                            <w:sz w:val="18"/>
                            <w:szCs w:val="18"/>
                          </w:rPr>
                          <w:t>，</w:t>
                        </w:r>
                        <w:r>
                          <w:rPr>
                            <w:rFonts w:ascii="宋体" w:hAnsi="宋体" w:cs="宋体" w:eastAsia="宋体" w:hint="default"/>
                            <w:spacing w:val="-5"/>
                            <w:w w:val="101"/>
                            <w:sz w:val="18"/>
                            <w:szCs w:val="18"/>
                          </w:rPr>
                          <w:t>工</w:t>
                        </w:r>
                        <w:r>
                          <w:rPr>
                            <w:rFonts w:ascii="宋体" w:hAnsi="宋体" w:cs="宋体" w:eastAsia="宋体" w:hint="default"/>
                            <w:w w:val="101"/>
                            <w:sz w:val="18"/>
                            <w:szCs w:val="18"/>
                          </w:rPr>
                          <w:t>投</w:t>
                        </w:r>
                        <w:r>
                          <w:rPr>
                            <w:rFonts w:ascii="宋体" w:hAnsi="宋体" w:cs="宋体" w:eastAsia="宋体" w:hint="default"/>
                            <w:spacing w:val="-5"/>
                            <w:w w:val="101"/>
                            <w:sz w:val="18"/>
                            <w:szCs w:val="18"/>
                          </w:rPr>
                          <w:t>集</w:t>
                        </w:r>
                        <w:r>
                          <w:rPr>
                            <w:rFonts w:ascii="宋体" w:hAnsi="宋体" w:cs="宋体" w:eastAsia="宋体" w:hint="default"/>
                            <w:w w:val="101"/>
                            <w:sz w:val="18"/>
                            <w:szCs w:val="18"/>
                          </w:rPr>
                          <w:t>团</w:t>
                        </w:r>
                        <w:r>
                          <w:rPr>
                            <w:rFonts w:ascii="宋体" w:hAnsi="宋体" w:cs="宋体" w:eastAsia="宋体" w:hint="default"/>
                            <w:spacing w:val="-5"/>
                            <w:w w:val="101"/>
                            <w:sz w:val="18"/>
                            <w:szCs w:val="18"/>
                          </w:rPr>
                          <w:t>持</w:t>
                        </w:r>
                        <w:r>
                          <w:rPr>
                            <w:rFonts w:ascii="宋体" w:hAnsi="宋体" w:cs="宋体" w:eastAsia="宋体" w:hint="default"/>
                            <w:w w:val="101"/>
                            <w:sz w:val="18"/>
                            <w:szCs w:val="18"/>
                          </w:rPr>
                          <w:t>有</w:t>
                        </w:r>
                        <w:r>
                          <w:rPr>
                            <w:rFonts w:ascii="宋体" w:hAnsi="宋体" w:cs="宋体" w:eastAsia="宋体" w:hint="default"/>
                            <w:spacing w:val="-5"/>
                            <w:w w:val="101"/>
                            <w:sz w:val="18"/>
                            <w:szCs w:val="18"/>
                          </w:rPr>
                          <w:t>沃</w:t>
                        </w:r>
                        <w:r>
                          <w:rPr>
                            <w:rFonts w:ascii="宋体" w:hAnsi="宋体" w:cs="宋体" w:eastAsia="宋体" w:hint="default"/>
                            <w:w w:val="101"/>
                            <w:sz w:val="18"/>
                            <w:szCs w:val="18"/>
                          </w:rPr>
                          <w:t>森</w:t>
                        </w:r>
                        <w:r>
                          <w:rPr>
                            <w:rFonts w:ascii="宋体" w:hAnsi="宋体" w:cs="宋体" w:eastAsia="宋体" w:hint="default"/>
                            <w:spacing w:val="-5"/>
                            <w:w w:val="101"/>
                            <w:sz w:val="18"/>
                            <w:szCs w:val="18"/>
                          </w:rPr>
                          <w:t>生</w:t>
                        </w:r>
                        <w:r>
                          <w:rPr>
                            <w:rFonts w:ascii="宋体" w:hAnsi="宋体" w:cs="宋体" w:eastAsia="宋体" w:hint="default"/>
                            <w:w w:val="101"/>
                            <w:sz w:val="18"/>
                            <w:szCs w:val="18"/>
                          </w:rPr>
                          <w:t>物</w:t>
                        </w:r>
                        <w:r>
                          <w:rPr>
                            <w:rFonts w:ascii="宋体" w:hAnsi="宋体" w:cs="宋体" w:eastAsia="宋体" w:hint="default"/>
                            <w:spacing w:val="-47"/>
                            <w:sz w:val="18"/>
                            <w:szCs w:val="18"/>
                          </w:rPr>
                          <w:t> </w:t>
                        </w:r>
                        <w:r>
                          <w:rPr>
                            <w:rFonts w:ascii="Times New Roman" w:hAnsi="Times New Roman" w:cs="Times New Roman" w:eastAsia="Times New Roman" w:hint="default"/>
                            <w:w w:val="101"/>
                            <w:sz w:val="18"/>
                            <w:szCs w:val="18"/>
                          </w:rPr>
                          <w:t>10</w:t>
                        </w:r>
                        <w:r>
                          <w:rPr>
                            <w:rFonts w:ascii="Times New Roman" w:hAnsi="Times New Roman" w:cs="Times New Roman" w:eastAsia="Times New Roman" w:hint="default"/>
                            <w:spacing w:val="-5"/>
                            <w:w w:val="101"/>
                            <w:sz w:val="18"/>
                            <w:szCs w:val="18"/>
                          </w:rPr>
                          <w:t>7</w:t>
                        </w:r>
                        <w:r>
                          <w:rPr>
                            <w:rFonts w:ascii="Times New Roman" w:hAnsi="Times New Roman" w:cs="Times New Roman" w:eastAsia="Times New Roman" w:hint="default"/>
                            <w:spacing w:val="2"/>
                            <w:w w:val="101"/>
                            <w:sz w:val="18"/>
                            <w:szCs w:val="18"/>
                          </w:rPr>
                          <w:t>,</w:t>
                        </w:r>
                        <w:r>
                          <w:rPr>
                            <w:rFonts w:ascii="Times New Roman" w:hAnsi="Times New Roman" w:cs="Times New Roman" w:eastAsia="Times New Roman" w:hint="default"/>
                            <w:w w:val="101"/>
                            <w:sz w:val="18"/>
                            <w:szCs w:val="18"/>
                          </w:rPr>
                          <w:t>3</w:t>
                        </w:r>
                        <w:r>
                          <w:rPr>
                            <w:rFonts w:ascii="Times New Roman" w:hAnsi="Times New Roman" w:cs="Times New Roman" w:eastAsia="Times New Roman" w:hint="default"/>
                            <w:spacing w:val="-5"/>
                            <w:w w:val="101"/>
                            <w:sz w:val="18"/>
                            <w:szCs w:val="18"/>
                          </w:rPr>
                          <w:t>9</w:t>
                        </w:r>
                        <w:r>
                          <w:rPr>
                            <w:rFonts w:ascii="Times New Roman" w:hAnsi="Times New Roman" w:cs="Times New Roman" w:eastAsia="Times New Roman" w:hint="default"/>
                            <w:w w:val="101"/>
                            <w:sz w:val="18"/>
                            <w:szCs w:val="18"/>
                          </w:rPr>
                          <w:t>0</w:t>
                        </w:r>
                        <w:r>
                          <w:rPr>
                            <w:rFonts w:ascii="Times New Roman" w:hAnsi="Times New Roman" w:cs="Times New Roman" w:eastAsia="Times New Roman" w:hint="default"/>
                            <w:spacing w:val="-3"/>
                            <w:w w:val="101"/>
                            <w:sz w:val="18"/>
                            <w:szCs w:val="18"/>
                          </w:rPr>
                          <w:t>,</w:t>
                        </w:r>
                        <w:r>
                          <w:rPr>
                            <w:rFonts w:ascii="Times New Roman" w:hAnsi="Times New Roman" w:cs="Times New Roman" w:eastAsia="Times New Roman" w:hint="default"/>
                            <w:w w:val="101"/>
                            <w:sz w:val="18"/>
                            <w:szCs w:val="18"/>
                          </w:rPr>
                          <w:t>731</w:t>
                        </w:r>
                        <w:r>
                          <w:rPr>
                            <w:rFonts w:ascii="Times New Roman" w:hAnsi="Times New Roman" w:cs="Times New Roman" w:eastAsia="Times New Roman" w:hint="default"/>
                            <w:spacing w:val="-6"/>
                            <w:sz w:val="18"/>
                            <w:szCs w:val="18"/>
                          </w:rPr>
                          <w:t> </w:t>
                        </w:r>
                        <w:r>
                          <w:rPr>
                            <w:rFonts w:ascii="宋体" w:hAnsi="宋体" w:cs="宋体" w:eastAsia="宋体" w:hint="default"/>
                            <w:w w:val="101"/>
                            <w:sz w:val="18"/>
                            <w:szCs w:val="18"/>
                          </w:rPr>
                          <w:t>股</w:t>
                        </w:r>
                        <w:r>
                          <w:rPr>
                            <w:rFonts w:ascii="宋体" w:hAnsi="宋体" w:cs="宋体" w:eastAsia="宋体" w:hint="default"/>
                            <w:spacing w:val="-5"/>
                            <w:w w:val="101"/>
                            <w:sz w:val="18"/>
                            <w:szCs w:val="18"/>
                          </w:rPr>
                          <w:t>股</w:t>
                        </w:r>
                        <w:r>
                          <w:rPr>
                            <w:rFonts w:ascii="宋体" w:hAnsi="宋体" w:cs="宋体" w:eastAsia="宋体" w:hint="default"/>
                            <w:spacing w:val="-10"/>
                            <w:w w:val="101"/>
                            <w:sz w:val="18"/>
                            <w:szCs w:val="18"/>
                          </w:rPr>
                          <w:t>份</w:t>
                        </w:r>
                        <w:r>
                          <w:rPr>
                            <w:rFonts w:ascii="宋体" w:hAnsi="宋体" w:cs="宋体" w:eastAsia="宋体" w:hint="default"/>
                            <w:spacing w:val="-5"/>
                            <w:w w:val="101"/>
                            <w:sz w:val="18"/>
                            <w:szCs w:val="18"/>
                          </w:rPr>
                          <w:t>（</w:t>
                        </w:r>
                        <w:r>
                          <w:rPr>
                            <w:rFonts w:ascii="宋体" w:hAnsi="宋体" w:cs="宋体" w:eastAsia="宋体" w:hint="default"/>
                            <w:w w:val="101"/>
                            <w:sz w:val="18"/>
                            <w:szCs w:val="18"/>
                          </w:rPr>
                          <w:t>持</w:t>
                        </w:r>
                        <w:r>
                          <w:rPr>
                            <w:rFonts w:ascii="宋体" w:hAnsi="宋体" w:cs="宋体" w:eastAsia="宋体" w:hint="default"/>
                            <w:spacing w:val="-5"/>
                            <w:w w:val="101"/>
                            <w:sz w:val="18"/>
                            <w:szCs w:val="18"/>
                          </w:rPr>
                          <w:t>股</w:t>
                        </w:r>
                        <w:r>
                          <w:rPr>
                            <w:rFonts w:ascii="宋体" w:hAnsi="宋体" w:cs="宋体" w:eastAsia="宋体" w:hint="default"/>
                            <w:w w:val="101"/>
                            <w:sz w:val="18"/>
                            <w:szCs w:val="18"/>
                          </w:rPr>
                          <w:t>比例为</w:t>
                        </w:r>
                        <w:r>
                          <w:rPr>
                            <w:rFonts w:ascii="宋体" w:hAnsi="宋体" w:cs="宋体" w:eastAsia="宋体" w:hint="default"/>
                            <w:spacing w:val="-47"/>
                            <w:sz w:val="18"/>
                            <w:szCs w:val="18"/>
                          </w:rPr>
                          <w:t> </w:t>
                        </w:r>
                        <w:r>
                          <w:rPr>
                            <w:rFonts w:ascii="Times New Roman" w:hAnsi="Times New Roman" w:cs="Times New Roman" w:eastAsia="Times New Roman" w:hint="default"/>
                            <w:spacing w:val="-5"/>
                            <w:w w:val="101"/>
                            <w:sz w:val="18"/>
                            <w:szCs w:val="18"/>
                          </w:rPr>
                          <w:t>6</w:t>
                        </w:r>
                        <w:r>
                          <w:rPr>
                            <w:rFonts w:ascii="Times New Roman" w:hAnsi="Times New Roman" w:cs="Times New Roman" w:eastAsia="Times New Roman" w:hint="default"/>
                            <w:spacing w:val="2"/>
                            <w:w w:val="101"/>
                            <w:sz w:val="18"/>
                            <w:szCs w:val="18"/>
                          </w:rPr>
                          <w:t>.</w:t>
                        </w:r>
                        <w:r>
                          <w:rPr>
                            <w:rFonts w:ascii="Times New Roman" w:hAnsi="Times New Roman" w:cs="Times New Roman" w:eastAsia="Times New Roman" w:hint="default"/>
                            <w:spacing w:val="-5"/>
                            <w:w w:val="101"/>
                            <w:sz w:val="18"/>
                            <w:szCs w:val="18"/>
                          </w:rPr>
                          <w:t>9</w:t>
                        </w:r>
                        <w:r>
                          <w:rPr>
                            <w:rFonts w:ascii="Times New Roman" w:hAnsi="Times New Roman" w:cs="Times New Roman" w:eastAsia="Times New Roman" w:hint="default"/>
                            <w:w w:val="101"/>
                            <w:sz w:val="18"/>
                            <w:szCs w:val="18"/>
                          </w:rPr>
                          <w:t>9</w:t>
                        </w:r>
                        <w:r>
                          <w:rPr>
                            <w:rFonts w:ascii="Times New Roman" w:hAnsi="Times New Roman" w:cs="Times New Roman" w:eastAsia="Times New Roman" w:hint="default"/>
                            <w:spacing w:val="-3"/>
                            <w:w w:val="101"/>
                            <w:sz w:val="18"/>
                            <w:szCs w:val="18"/>
                          </w:rPr>
                          <w:t>%</w:t>
                        </w:r>
                        <w:r>
                          <w:rPr>
                            <w:rFonts w:ascii="宋体" w:hAnsi="宋体" w:cs="宋体" w:eastAsia="宋体" w:hint="default"/>
                            <w:spacing w:val="-92"/>
                            <w:w w:val="101"/>
                            <w:sz w:val="18"/>
                            <w:szCs w:val="18"/>
                          </w:rPr>
                          <w:t>）</w:t>
                        </w:r>
                        <w:r>
                          <w:rPr>
                            <w:rFonts w:ascii="宋体" w:hAnsi="宋体" w:cs="宋体" w:eastAsia="宋体" w:hint="default"/>
                            <w:spacing w:val="-15"/>
                            <w:w w:val="101"/>
                            <w:sz w:val="18"/>
                            <w:szCs w:val="18"/>
                          </w:rPr>
                          <w:t>；</w:t>
                        </w:r>
                        <w:r>
                          <w:rPr>
                            <w:rFonts w:ascii="宋体" w:hAnsi="宋体" w:cs="宋体" w:eastAsia="宋体" w:hint="default"/>
                            <w:w w:val="101"/>
                            <w:sz w:val="18"/>
                            <w:szCs w:val="18"/>
                          </w:rPr>
                          <w:t>持</w:t>
                        </w:r>
                        <w:r>
                          <w:rPr>
                            <w:rFonts w:ascii="宋体" w:hAnsi="宋体" w:cs="宋体" w:eastAsia="宋体" w:hint="default"/>
                            <w:spacing w:val="-5"/>
                            <w:w w:val="101"/>
                            <w:sz w:val="18"/>
                            <w:szCs w:val="18"/>
                          </w:rPr>
                          <w:t>有</w:t>
                        </w:r>
                        <w:r>
                          <w:rPr>
                            <w:rFonts w:ascii="宋体" w:hAnsi="宋体" w:cs="宋体" w:eastAsia="宋体" w:hint="default"/>
                            <w:w w:val="101"/>
                            <w:sz w:val="18"/>
                            <w:szCs w:val="18"/>
                          </w:rPr>
                          <w:t>易见</w:t>
                        </w:r>
                        <w:r>
                          <w:rPr>
                            <w:rFonts w:ascii="宋体" w:hAnsi="宋体" w:cs="宋体" w:eastAsia="宋体" w:hint="default"/>
                            <w:sz w:val="18"/>
                            <w:szCs w:val="18"/>
                          </w:rPr>
                        </w:r>
                      </w:p>
                    </w:tc>
                  </w:tr>
                </w:tbl>
                <w:p>
                  <w:pPr/>
                </w:p>
              </w:txbxContent>
            </v:textbox>
            <w10:wrap type="none"/>
          </v:shape>
        </w:pict>
      </w:r>
      <w:r>
        <w:rPr>
          <w:w w:val="101"/>
        </w:rPr>
        <w:t>、</w:t>
      </w:r>
      <w:r>
        <w:rPr/>
      </w:r>
    </w:p>
    <w:p>
      <w:pPr>
        <w:pStyle w:val="BodyText"/>
        <w:spacing w:line="240" w:lineRule="auto" w:before="71"/>
        <w:ind w:left="0" w:right="1127"/>
        <w:jc w:val="right"/>
      </w:pPr>
      <w:r>
        <w:rPr>
          <w:w w:val="101"/>
        </w:rPr>
        <w:t>；</w:t>
      </w:r>
      <w:r>
        <w:rPr/>
      </w:r>
    </w:p>
    <w:p>
      <w:pPr>
        <w:spacing w:after="0" w:line="240" w:lineRule="auto"/>
        <w:jc w:val="right"/>
        <w:sectPr>
          <w:pgSz w:w="11910" w:h="16840"/>
          <w:pgMar w:header="746" w:footer="974"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61"/>
        <w:gridCol w:w="8010"/>
      </w:tblGrid>
      <w:tr>
        <w:trPr>
          <w:trHeight w:val="2545" w:hRule="exact"/>
        </w:trPr>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24" w:right="79"/>
              <w:jc w:val="both"/>
              <w:rPr>
                <w:rFonts w:ascii="宋体" w:hAnsi="宋体" w:cs="宋体" w:eastAsia="宋体" w:hint="default"/>
                <w:sz w:val="18"/>
                <w:szCs w:val="18"/>
              </w:rPr>
            </w:pPr>
            <w:r>
              <w:rPr>
                <w:rFonts w:ascii="宋体" w:hAnsi="宋体" w:cs="宋体" w:eastAsia="宋体" w:hint="default"/>
                <w:spacing w:val="-2"/>
                <w:sz w:val="18"/>
                <w:szCs w:val="18"/>
              </w:rPr>
              <w:t>控股和参股的其他</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境内外上市公司的</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股权情况</w:t>
            </w:r>
          </w:p>
        </w:tc>
        <w:tc>
          <w:tcPr>
            <w:tcW w:w="801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0"/>
              <w:ind w:left="24" w:right="12"/>
              <w:jc w:val="left"/>
              <w:rPr>
                <w:rFonts w:ascii="Times New Roman" w:hAnsi="Times New Roman" w:cs="Times New Roman" w:eastAsia="Times New Roman" w:hint="default"/>
                <w:sz w:val="18"/>
                <w:szCs w:val="18"/>
              </w:rPr>
            </w:pPr>
            <w:r>
              <w:rPr>
                <w:rFonts w:ascii="宋体" w:hAnsi="宋体" w:cs="宋体" w:eastAsia="宋体" w:hint="default"/>
                <w:w w:val="101"/>
                <w:sz w:val="18"/>
                <w:szCs w:val="18"/>
              </w:rPr>
              <w:t>股份</w:t>
            </w:r>
            <w:r>
              <w:rPr>
                <w:rFonts w:ascii="宋体" w:hAnsi="宋体" w:cs="宋体" w:eastAsia="宋体" w:hint="default"/>
                <w:spacing w:val="-47"/>
                <w:sz w:val="18"/>
                <w:szCs w:val="18"/>
              </w:rPr>
              <w:t> </w:t>
            </w:r>
            <w:r>
              <w:rPr>
                <w:rFonts w:ascii="Times New Roman" w:hAnsi="Times New Roman" w:cs="Times New Roman" w:eastAsia="Times New Roman" w:hint="default"/>
                <w:w w:val="101"/>
                <w:sz w:val="18"/>
                <w:szCs w:val="18"/>
              </w:rPr>
              <w:t>1</w:t>
            </w:r>
            <w:r>
              <w:rPr>
                <w:rFonts w:ascii="Times New Roman" w:hAnsi="Times New Roman" w:cs="Times New Roman" w:eastAsia="Times New Roman" w:hint="default"/>
                <w:spacing w:val="-5"/>
                <w:w w:val="101"/>
                <w:sz w:val="18"/>
                <w:szCs w:val="18"/>
              </w:rPr>
              <w:t>5</w:t>
            </w:r>
            <w:r>
              <w:rPr>
                <w:rFonts w:ascii="Times New Roman" w:hAnsi="Times New Roman" w:cs="Times New Roman" w:eastAsia="Times New Roman" w:hint="default"/>
                <w:spacing w:val="2"/>
                <w:w w:val="101"/>
                <w:sz w:val="18"/>
                <w:szCs w:val="18"/>
              </w:rPr>
              <w:t>,</w:t>
            </w:r>
            <w:r>
              <w:rPr>
                <w:rFonts w:ascii="Times New Roman" w:hAnsi="Times New Roman" w:cs="Times New Roman" w:eastAsia="Times New Roman" w:hint="default"/>
                <w:w w:val="101"/>
                <w:sz w:val="18"/>
                <w:szCs w:val="18"/>
              </w:rPr>
              <w:t>0</w:t>
            </w:r>
            <w:r>
              <w:rPr>
                <w:rFonts w:ascii="Times New Roman" w:hAnsi="Times New Roman" w:cs="Times New Roman" w:eastAsia="Times New Roman" w:hint="default"/>
                <w:spacing w:val="-5"/>
                <w:w w:val="101"/>
                <w:sz w:val="18"/>
                <w:szCs w:val="18"/>
              </w:rPr>
              <w:t>0</w:t>
            </w:r>
            <w:r>
              <w:rPr>
                <w:rFonts w:ascii="Times New Roman" w:hAnsi="Times New Roman" w:cs="Times New Roman" w:eastAsia="Times New Roman" w:hint="default"/>
                <w:w w:val="101"/>
                <w:sz w:val="18"/>
                <w:szCs w:val="18"/>
              </w:rPr>
              <w:t>0</w:t>
            </w:r>
            <w:r>
              <w:rPr>
                <w:rFonts w:ascii="Times New Roman" w:hAnsi="Times New Roman" w:cs="Times New Roman" w:eastAsia="Times New Roman" w:hint="default"/>
                <w:spacing w:val="2"/>
                <w:w w:val="101"/>
                <w:sz w:val="18"/>
                <w:szCs w:val="18"/>
              </w:rPr>
              <w:t>,</w:t>
            </w:r>
            <w:r>
              <w:rPr>
                <w:rFonts w:ascii="Times New Roman" w:hAnsi="Times New Roman" w:cs="Times New Roman" w:eastAsia="Times New Roman" w:hint="default"/>
                <w:spacing w:val="-5"/>
                <w:w w:val="101"/>
                <w:sz w:val="18"/>
                <w:szCs w:val="18"/>
              </w:rPr>
              <w:t>1</w:t>
            </w:r>
            <w:r>
              <w:rPr>
                <w:rFonts w:ascii="Times New Roman" w:hAnsi="Times New Roman" w:cs="Times New Roman" w:eastAsia="Times New Roman" w:hint="default"/>
                <w:w w:val="101"/>
                <w:sz w:val="18"/>
                <w:szCs w:val="18"/>
              </w:rPr>
              <w:t>00</w:t>
            </w:r>
            <w:r>
              <w:rPr>
                <w:rFonts w:ascii="Times New Roman" w:hAnsi="Times New Roman" w:cs="Times New Roman" w:eastAsia="Times New Roman" w:hint="default"/>
                <w:spacing w:val="-1"/>
                <w:sz w:val="18"/>
                <w:szCs w:val="18"/>
              </w:rPr>
              <w:t> </w:t>
            </w:r>
            <w:r>
              <w:rPr>
                <w:rFonts w:ascii="宋体" w:hAnsi="宋体" w:cs="宋体" w:eastAsia="宋体" w:hint="default"/>
                <w:spacing w:val="-5"/>
                <w:w w:val="101"/>
                <w:sz w:val="18"/>
                <w:szCs w:val="18"/>
              </w:rPr>
              <w:t>股</w:t>
            </w:r>
            <w:r>
              <w:rPr>
                <w:rFonts w:ascii="宋体" w:hAnsi="宋体" w:cs="宋体" w:eastAsia="宋体" w:hint="default"/>
                <w:w w:val="101"/>
                <w:sz w:val="18"/>
                <w:szCs w:val="18"/>
              </w:rPr>
              <w:t>股</w:t>
            </w:r>
            <w:r>
              <w:rPr>
                <w:rFonts w:ascii="宋体" w:hAnsi="宋体" w:cs="宋体" w:eastAsia="宋体" w:hint="default"/>
                <w:spacing w:val="-25"/>
                <w:w w:val="101"/>
                <w:sz w:val="18"/>
                <w:szCs w:val="18"/>
              </w:rPr>
              <w:t>份</w:t>
            </w:r>
            <w:r>
              <w:rPr>
                <w:rFonts w:ascii="宋体" w:hAnsi="宋体" w:cs="宋体" w:eastAsia="宋体" w:hint="default"/>
                <w:spacing w:val="-5"/>
                <w:w w:val="101"/>
                <w:sz w:val="18"/>
                <w:szCs w:val="18"/>
              </w:rPr>
              <w:t>（</w:t>
            </w:r>
            <w:r>
              <w:rPr>
                <w:rFonts w:ascii="宋体" w:hAnsi="宋体" w:cs="宋体" w:eastAsia="宋体" w:hint="default"/>
                <w:w w:val="101"/>
                <w:sz w:val="18"/>
                <w:szCs w:val="18"/>
              </w:rPr>
              <w:t>持</w:t>
            </w:r>
            <w:r>
              <w:rPr>
                <w:rFonts w:ascii="宋体" w:hAnsi="宋体" w:cs="宋体" w:eastAsia="宋体" w:hint="default"/>
                <w:spacing w:val="-5"/>
                <w:w w:val="101"/>
                <w:sz w:val="18"/>
                <w:szCs w:val="18"/>
              </w:rPr>
              <w:t>股</w:t>
            </w:r>
            <w:r>
              <w:rPr>
                <w:rFonts w:ascii="宋体" w:hAnsi="宋体" w:cs="宋体" w:eastAsia="宋体" w:hint="default"/>
                <w:w w:val="101"/>
                <w:sz w:val="18"/>
                <w:szCs w:val="18"/>
              </w:rPr>
              <w:t>比例为</w:t>
            </w:r>
            <w:r>
              <w:rPr>
                <w:rFonts w:ascii="宋体" w:hAnsi="宋体" w:cs="宋体" w:eastAsia="宋体" w:hint="default"/>
                <w:spacing w:val="-52"/>
                <w:sz w:val="18"/>
                <w:szCs w:val="18"/>
              </w:rPr>
              <w:t> </w:t>
            </w:r>
            <w:r>
              <w:rPr>
                <w:rFonts w:ascii="Times New Roman" w:hAnsi="Times New Roman" w:cs="Times New Roman" w:eastAsia="Times New Roman" w:hint="default"/>
                <w:w w:val="101"/>
                <w:sz w:val="18"/>
                <w:szCs w:val="18"/>
              </w:rPr>
              <w:t>1</w:t>
            </w:r>
            <w:r>
              <w:rPr>
                <w:rFonts w:ascii="Times New Roman" w:hAnsi="Times New Roman" w:cs="Times New Roman" w:eastAsia="Times New Roman" w:hint="default"/>
                <w:spacing w:val="2"/>
                <w:w w:val="101"/>
                <w:sz w:val="18"/>
                <w:szCs w:val="18"/>
              </w:rPr>
              <w:t>.</w:t>
            </w:r>
            <w:r>
              <w:rPr>
                <w:rFonts w:ascii="Times New Roman" w:hAnsi="Times New Roman" w:cs="Times New Roman" w:eastAsia="Times New Roman" w:hint="default"/>
                <w:spacing w:val="-5"/>
                <w:w w:val="101"/>
                <w:sz w:val="18"/>
                <w:szCs w:val="18"/>
              </w:rPr>
              <w:t>34</w:t>
            </w:r>
            <w:r>
              <w:rPr>
                <w:rFonts w:ascii="Times New Roman" w:hAnsi="Times New Roman" w:cs="Times New Roman" w:eastAsia="Times New Roman" w:hint="default"/>
                <w:spacing w:val="1"/>
                <w:w w:val="101"/>
                <w:sz w:val="18"/>
                <w:szCs w:val="18"/>
              </w:rPr>
              <w:t>%</w:t>
            </w:r>
            <w:r>
              <w:rPr>
                <w:rFonts w:ascii="宋体" w:hAnsi="宋体" w:cs="宋体" w:eastAsia="宋体" w:hint="default"/>
                <w:spacing w:val="-92"/>
                <w:w w:val="101"/>
                <w:sz w:val="18"/>
                <w:szCs w:val="18"/>
              </w:rPr>
              <w:t>）</w:t>
            </w:r>
            <w:r>
              <w:rPr>
                <w:rFonts w:ascii="宋体" w:hAnsi="宋体" w:cs="宋体" w:eastAsia="宋体" w:hint="default"/>
                <w:spacing w:val="-25"/>
                <w:w w:val="101"/>
                <w:sz w:val="18"/>
                <w:szCs w:val="18"/>
              </w:rPr>
              <w:t>；</w:t>
            </w:r>
            <w:r>
              <w:rPr>
                <w:rFonts w:ascii="宋体" w:hAnsi="宋体" w:cs="宋体" w:eastAsia="宋体" w:hint="default"/>
                <w:spacing w:val="-5"/>
                <w:w w:val="101"/>
                <w:sz w:val="18"/>
                <w:szCs w:val="18"/>
              </w:rPr>
              <w:t>持</w:t>
            </w:r>
            <w:r>
              <w:rPr>
                <w:rFonts w:ascii="宋体" w:hAnsi="宋体" w:cs="宋体" w:eastAsia="宋体" w:hint="default"/>
                <w:w w:val="101"/>
                <w:sz w:val="18"/>
                <w:szCs w:val="18"/>
              </w:rPr>
              <w:t>有</w:t>
            </w:r>
            <w:r>
              <w:rPr>
                <w:rFonts w:ascii="宋体" w:hAnsi="宋体" w:cs="宋体" w:eastAsia="宋体" w:hint="default"/>
                <w:spacing w:val="-5"/>
                <w:w w:val="101"/>
                <w:sz w:val="18"/>
                <w:szCs w:val="18"/>
              </w:rPr>
              <w:t>云</w:t>
            </w:r>
            <w:r>
              <w:rPr>
                <w:rFonts w:ascii="宋体" w:hAnsi="宋体" w:cs="宋体" w:eastAsia="宋体" w:hint="default"/>
                <w:w w:val="101"/>
                <w:sz w:val="18"/>
                <w:szCs w:val="18"/>
              </w:rPr>
              <w:t>天化</w:t>
            </w:r>
            <w:r>
              <w:rPr>
                <w:rFonts w:ascii="宋体" w:hAnsi="宋体" w:cs="宋体" w:eastAsia="宋体" w:hint="default"/>
                <w:spacing w:val="-47"/>
                <w:sz w:val="18"/>
                <w:szCs w:val="18"/>
              </w:rPr>
              <w:t> </w:t>
            </w:r>
            <w:r>
              <w:rPr>
                <w:rFonts w:ascii="Times New Roman" w:hAnsi="Times New Roman" w:cs="Times New Roman" w:eastAsia="Times New Roman" w:hint="default"/>
                <w:spacing w:val="-5"/>
                <w:w w:val="101"/>
                <w:sz w:val="18"/>
                <w:szCs w:val="18"/>
              </w:rPr>
              <w:t>1</w:t>
            </w:r>
            <w:r>
              <w:rPr>
                <w:rFonts w:ascii="Times New Roman" w:hAnsi="Times New Roman" w:cs="Times New Roman" w:eastAsia="Times New Roman" w:hint="default"/>
                <w:w w:val="101"/>
                <w:sz w:val="18"/>
                <w:szCs w:val="18"/>
              </w:rPr>
              <w:t>5</w:t>
            </w:r>
            <w:r>
              <w:rPr>
                <w:rFonts w:ascii="Times New Roman" w:hAnsi="Times New Roman" w:cs="Times New Roman" w:eastAsia="Times New Roman" w:hint="default"/>
                <w:spacing w:val="2"/>
                <w:w w:val="101"/>
                <w:sz w:val="18"/>
                <w:szCs w:val="18"/>
              </w:rPr>
              <w:t>,</w:t>
            </w:r>
            <w:r>
              <w:rPr>
                <w:rFonts w:ascii="Times New Roman" w:hAnsi="Times New Roman" w:cs="Times New Roman" w:eastAsia="Times New Roman" w:hint="default"/>
                <w:spacing w:val="-5"/>
                <w:w w:val="101"/>
                <w:sz w:val="18"/>
                <w:szCs w:val="18"/>
              </w:rPr>
              <w:t>5</w:t>
            </w:r>
            <w:r>
              <w:rPr>
                <w:rFonts w:ascii="Times New Roman" w:hAnsi="Times New Roman" w:cs="Times New Roman" w:eastAsia="Times New Roman" w:hint="default"/>
                <w:w w:val="101"/>
                <w:sz w:val="18"/>
                <w:szCs w:val="18"/>
              </w:rPr>
              <w:t>00</w:t>
            </w:r>
            <w:r>
              <w:rPr>
                <w:rFonts w:ascii="Times New Roman" w:hAnsi="Times New Roman" w:cs="Times New Roman" w:eastAsia="Times New Roman" w:hint="default"/>
                <w:spacing w:val="2"/>
                <w:w w:val="101"/>
                <w:sz w:val="18"/>
                <w:szCs w:val="18"/>
              </w:rPr>
              <w:t>,</w:t>
            </w:r>
            <w:r>
              <w:rPr>
                <w:rFonts w:ascii="Times New Roman" w:hAnsi="Times New Roman" w:cs="Times New Roman" w:eastAsia="Times New Roman" w:hint="default"/>
                <w:spacing w:val="-5"/>
                <w:w w:val="101"/>
                <w:sz w:val="18"/>
                <w:szCs w:val="18"/>
              </w:rPr>
              <w:t>0</w:t>
            </w:r>
            <w:r>
              <w:rPr>
                <w:rFonts w:ascii="Times New Roman" w:hAnsi="Times New Roman" w:cs="Times New Roman" w:eastAsia="Times New Roman" w:hint="default"/>
                <w:w w:val="101"/>
                <w:sz w:val="18"/>
                <w:szCs w:val="18"/>
              </w:rPr>
              <w:t>00</w:t>
            </w:r>
            <w:r>
              <w:rPr>
                <w:rFonts w:ascii="Times New Roman" w:hAnsi="Times New Roman" w:cs="Times New Roman" w:eastAsia="Times New Roman" w:hint="default"/>
                <w:spacing w:val="-1"/>
                <w:sz w:val="18"/>
                <w:szCs w:val="18"/>
              </w:rPr>
              <w:t> </w:t>
            </w:r>
            <w:r>
              <w:rPr>
                <w:rFonts w:ascii="宋体" w:hAnsi="宋体" w:cs="宋体" w:eastAsia="宋体" w:hint="default"/>
                <w:spacing w:val="-5"/>
                <w:w w:val="101"/>
                <w:sz w:val="18"/>
                <w:szCs w:val="18"/>
              </w:rPr>
              <w:t>股</w:t>
            </w:r>
            <w:r>
              <w:rPr>
                <w:rFonts w:ascii="宋体" w:hAnsi="宋体" w:cs="宋体" w:eastAsia="宋体" w:hint="default"/>
                <w:w w:val="101"/>
                <w:sz w:val="18"/>
                <w:szCs w:val="18"/>
              </w:rPr>
              <w:t>股</w:t>
            </w:r>
            <w:r>
              <w:rPr>
                <w:rFonts w:ascii="宋体" w:hAnsi="宋体" w:cs="宋体" w:eastAsia="宋体" w:hint="default"/>
                <w:spacing w:val="-25"/>
                <w:w w:val="101"/>
                <w:sz w:val="18"/>
                <w:szCs w:val="18"/>
              </w:rPr>
              <w:t>份</w:t>
            </w:r>
            <w:r>
              <w:rPr>
                <w:rFonts w:ascii="宋体" w:hAnsi="宋体" w:cs="宋体" w:eastAsia="宋体" w:hint="default"/>
                <w:spacing w:val="-5"/>
                <w:w w:val="101"/>
                <w:sz w:val="18"/>
                <w:szCs w:val="18"/>
              </w:rPr>
              <w:t>（</w:t>
            </w:r>
            <w:r>
              <w:rPr>
                <w:rFonts w:ascii="宋体" w:hAnsi="宋体" w:cs="宋体" w:eastAsia="宋体" w:hint="default"/>
                <w:w w:val="101"/>
                <w:sz w:val="18"/>
                <w:szCs w:val="18"/>
              </w:rPr>
              <w:t>持</w:t>
            </w:r>
            <w:r>
              <w:rPr>
                <w:rFonts w:ascii="宋体" w:hAnsi="宋体" w:cs="宋体" w:eastAsia="宋体" w:hint="default"/>
                <w:spacing w:val="-5"/>
                <w:w w:val="101"/>
                <w:sz w:val="18"/>
                <w:szCs w:val="18"/>
              </w:rPr>
              <w:t>股</w:t>
            </w:r>
            <w:r>
              <w:rPr>
                <w:rFonts w:ascii="宋体" w:hAnsi="宋体" w:cs="宋体" w:eastAsia="宋体" w:hint="default"/>
                <w:w w:val="101"/>
                <w:sz w:val="18"/>
                <w:szCs w:val="18"/>
              </w:rPr>
              <w:t>比例为</w:t>
            </w:r>
            <w:r>
              <w:rPr>
                <w:rFonts w:ascii="宋体" w:hAnsi="宋体" w:cs="宋体" w:eastAsia="宋体" w:hint="default"/>
                <w:spacing w:val="-51"/>
                <w:sz w:val="18"/>
                <w:szCs w:val="18"/>
              </w:rPr>
              <w:t> </w:t>
            </w:r>
            <w:r>
              <w:rPr>
                <w:rFonts w:ascii="Times New Roman" w:hAnsi="Times New Roman" w:cs="Times New Roman" w:eastAsia="Times New Roman" w:hint="default"/>
                <w:w w:val="101"/>
                <w:sz w:val="18"/>
                <w:szCs w:val="18"/>
              </w:rPr>
              <w:t>1</w:t>
            </w:r>
            <w:r>
              <w:rPr>
                <w:rFonts w:ascii="Times New Roman" w:hAnsi="Times New Roman" w:cs="Times New Roman" w:eastAsia="Times New Roman" w:hint="default"/>
                <w:spacing w:val="2"/>
                <w:w w:val="101"/>
                <w:sz w:val="18"/>
                <w:szCs w:val="18"/>
              </w:rPr>
              <w:t>.</w:t>
            </w:r>
            <w:r>
              <w:rPr>
                <w:rFonts w:ascii="Times New Roman" w:hAnsi="Times New Roman" w:cs="Times New Roman" w:eastAsia="Times New Roman" w:hint="default"/>
                <w:spacing w:val="-5"/>
                <w:w w:val="101"/>
                <w:sz w:val="18"/>
                <w:szCs w:val="18"/>
              </w:rPr>
              <w:t>1</w:t>
            </w:r>
            <w:r>
              <w:rPr>
                <w:rFonts w:ascii="Times New Roman" w:hAnsi="Times New Roman" w:cs="Times New Roman" w:eastAsia="Times New Roman" w:hint="default"/>
                <w:w w:val="101"/>
                <w:sz w:val="18"/>
                <w:szCs w:val="18"/>
              </w:rPr>
              <w:t>7</w:t>
            </w:r>
            <w:r>
              <w:rPr>
                <w:rFonts w:ascii="Times New Roman" w:hAnsi="Times New Roman" w:cs="Times New Roman" w:eastAsia="Times New Roman" w:hint="default"/>
                <w:spacing w:val="-3"/>
                <w:w w:val="101"/>
                <w:sz w:val="18"/>
                <w:szCs w:val="18"/>
              </w:rPr>
              <w:t>%</w:t>
            </w:r>
            <w:r>
              <w:rPr>
                <w:rFonts w:ascii="宋体" w:hAnsi="宋体" w:cs="宋体" w:eastAsia="宋体" w:hint="default"/>
                <w:spacing w:val="-92"/>
                <w:w w:val="101"/>
                <w:sz w:val="18"/>
                <w:szCs w:val="18"/>
              </w:rPr>
              <w:t>）</w:t>
            </w:r>
            <w:r>
              <w:rPr>
                <w:rFonts w:ascii="宋体" w:hAnsi="宋体" w:cs="宋体" w:eastAsia="宋体" w:hint="default"/>
                <w:spacing w:val="-25"/>
                <w:w w:val="101"/>
                <w:sz w:val="18"/>
                <w:szCs w:val="18"/>
              </w:rPr>
              <w:t>；</w:t>
            </w:r>
            <w:r>
              <w:rPr>
                <w:rFonts w:ascii="宋体" w:hAnsi="宋体" w:cs="宋体" w:eastAsia="宋体" w:hint="default"/>
                <w:w w:val="101"/>
                <w:sz w:val="18"/>
                <w:szCs w:val="18"/>
              </w:rPr>
              <w:t>持</w:t>
            </w:r>
            <w:r>
              <w:rPr>
                <w:rFonts w:ascii="宋体" w:hAnsi="宋体" w:cs="宋体" w:eastAsia="宋体" w:hint="default"/>
                <w:w w:val="101"/>
                <w:sz w:val="18"/>
                <w:szCs w:val="18"/>
              </w:rPr>
              <w:t> 有</w:t>
            </w:r>
            <w:r>
              <w:rPr>
                <w:rFonts w:ascii="宋体" w:hAnsi="宋体" w:cs="宋体" w:eastAsia="宋体" w:hint="default"/>
                <w:spacing w:val="-5"/>
                <w:w w:val="101"/>
                <w:sz w:val="18"/>
                <w:szCs w:val="18"/>
              </w:rPr>
              <w:t>云</w:t>
            </w:r>
            <w:r>
              <w:rPr>
                <w:rFonts w:ascii="宋体" w:hAnsi="宋体" w:cs="宋体" w:eastAsia="宋体" w:hint="default"/>
                <w:w w:val="101"/>
                <w:sz w:val="18"/>
                <w:szCs w:val="18"/>
              </w:rPr>
              <w:t>南能投</w:t>
            </w:r>
            <w:r>
              <w:rPr>
                <w:rFonts w:ascii="宋体" w:hAnsi="宋体" w:cs="宋体" w:eastAsia="宋体" w:hint="default"/>
                <w:spacing w:val="-61"/>
                <w:sz w:val="18"/>
                <w:szCs w:val="18"/>
              </w:rPr>
              <w:t> </w:t>
            </w:r>
            <w:r>
              <w:rPr>
                <w:rFonts w:ascii="Times New Roman" w:hAnsi="Times New Roman" w:cs="Times New Roman" w:eastAsia="Times New Roman" w:hint="default"/>
                <w:spacing w:val="-5"/>
                <w:w w:val="101"/>
                <w:sz w:val="18"/>
                <w:szCs w:val="18"/>
              </w:rPr>
              <w:t>6</w:t>
            </w:r>
            <w:r>
              <w:rPr>
                <w:rFonts w:ascii="Times New Roman" w:hAnsi="Times New Roman" w:cs="Times New Roman" w:eastAsia="Times New Roman" w:hint="default"/>
                <w:spacing w:val="2"/>
                <w:w w:val="101"/>
                <w:sz w:val="18"/>
                <w:szCs w:val="18"/>
              </w:rPr>
              <w:t>,</w:t>
            </w:r>
            <w:r>
              <w:rPr>
                <w:rFonts w:ascii="Times New Roman" w:hAnsi="Times New Roman" w:cs="Times New Roman" w:eastAsia="Times New Roman" w:hint="default"/>
                <w:spacing w:val="-5"/>
                <w:w w:val="101"/>
                <w:sz w:val="18"/>
                <w:szCs w:val="18"/>
              </w:rPr>
              <w:t>3</w:t>
            </w:r>
            <w:r>
              <w:rPr>
                <w:rFonts w:ascii="Times New Roman" w:hAnsi="Times New Roman" w:cs="Times New Roman" w:eastAsia="Times New Roman" w:hint="default"/>
                <w:w w:val="101"/>
                <w:sz w:val="18"/>
                <w:szCs w:val="18"/>
              </w:rPr>
              <w:t>2</w:t>
            </w:r>
            <w:r>
              <w:rPr>
                <w:rFonts w:ascii="Times New Roman" w:hAnsi="Times New Roman" w:cs="Times New Roman" w:eastAsia="Times New Roman" w:hint="default"/>
                <w:spacing w:val="-5"/>
                <w:w w:val="101"/>
                <w:sz w:val="18"/>
                <w:szCs w:val="18"/>
              </w:rPr>
              <w:t>9</w:t>
            </w:r>
            <w:r>
              <w:rPr>
                <w:rFonts w:ascii="Times New Roman" w:hAnsi="Times New Roman" w:cs="Times New Roman" w:eastAsia="Times New Roman" w:hint="default"/>
                <w:spacing w:val="2"/>
                <w:w w:val="101"/>
                <w:sz w:val="18"/>
                <w:szCs w:val="18"/>
              </w:rPr>
              <w:t>,</w:t>
            </w:r>
            <w:r>
              <w:rPr>
                <w:rFonts w:ascii="Times New Roman" w:hAnsi="Times New Roman" w:cs="Times New Roman" w:eastAsia="Times New Roman" w:hint="default"/>
                <w:w w:val="101"/>
                <w:sz w:val="18"/>
                <w:szCs w:val="18"/>
              </w:rPr>
              <w:t>906</w:t>
            </w:r>
            <w:r>
              <w:rPr>
                <w:rFonts w:ascii="Times New Roman" w:hAnsi="Times New Roman" w:cs="Times New Roman" w:eastAsia="Times New Roman" w:hint="default"/>
                <w:spacing w:val="-16"/>
                <w:sz w:val="18"/>
                <w:szCs w:val="18"/>
              </w:rPr>
              <w:t> </w:t>
            </w:r>
            <w:r>
              <w:rPr>
                <w:rFonts w:ascii="宋体" w:hAnsi="宋体" w:cs="宋体" w:eastAsia="宋体" w:hint="default"/>
                <w:spacing w:val="-5"/>
                <w:w w:val="101"/>
                <w:sz w:val="18"/>
                <w:szCs w:val="18"/>
              </w:rPr>
              <w:t>股</w:t>
            </w:r>
            <w:r>
              <w:rPr>
                <w:rFonts w:ascii="宋体" w:hAnsi="宋体" w:cs="宋体" w:eastAsia="宋体" w:hint="default"/>
                <w:w w:val="101"/>
                <w:sz w:val="18"/>
                <w:szCs w:val="18"/>
              </w:rPr>
              <w:t>股</w:t>
            </w:r>
            <w:r>
              <w:rPr>
                <w:rFonts w:ascii="宋体" w:hAnsi="宋体" w:cs="宋体" w:eastAsia="宋体" w:hint="default"/>
                <w:spacing w:val="-96"/>
                <w:w w:val="101"/>
                <w:sz w:val="18"/>
                <w:szCs w:val="18"/>
              </w:rPr>
              <w:t>份</w:t>
            </w:r>
            <w:r>
              <w:rPr>
                <w:rFonts w:ascii="宋体" w:hAnsi="宋体" w:cs="宋体" w:eastAsia="宋体" w:hint="default"/>
                <w:w w:val="101"/>
                <w:sz w:val="18"/>
                <w:szCs w:val="18"/>
              </w:rPr>
              <w:t>（</w:t>
            </w:r>
            <w:r>
              <w:rPr>
                <w:rFonts w:ascii="宋体" w:hAnsi="宋体" w:cs="宋体" w:eastAsia="宋体" w:hint="default"/>
                <w:spacing w:val="-5"/>
                <w:w w:val="101"/>
                <w:sz w:val="18"/>
                <w:szCs w:val="18"/>
              </w:rPr>
              <w:t>持</w:t>
            </w:r>
            <w:r>
              <w:rPr>
                <w:rFonts w:ascii="宋体" w:hAnsi="宋体" w:cs="宋体" w:eastAsia="宋体" w:hint="default"/>
                <w:w w:val="101"/>
                <w:sz w:val="18"/>
                <w:szCs w:val="18"/>
              </w:rPr>
              <w:t>股</w:t>
            </w:r>
            <w:r>
              <w:rPr>
                <w:rFonts w:ascii="宋体" w:hAnsi="宋体" w:cs="宋体" w:eastAsia="宋体" w:hint="default"/>
                <w:spacing w:val="-5"/>
                <w:w w:val="101"/>
                <w:sz w:val="18"/>
                <w:szCs w:val="18"/>
              </w:rPr>
              <w:t>比</w:t>
            </w:r>
            <w:r>
              <w:rPr>
                <w:rFonts w:ascii="宋体" w:hAnsi="宋体" w:cs="宋体" w:eastAsia="宋体" w:hint="default"/>
                <w:w w:val="101"/>
                <w:sz w:val="18"/>
                <w:szCs w:val="18"/>
              </w:rPr>
              <w:t>例为</w:t>
            </w:r>
            <w:r>
              <w:rPr>
                <w:rFonts w:ascii="宋体" w:hAnsi="宋体" w:cs="宋体" w:eastAsia="宋体" w:hint="default"/>
                <w:spacing w:val="-62"/>
                <w:sz w:val="18"/>
                <w:szCs w:val="18"/>
              </w:rPr>
              <w:t> </w:t>
            </w:r>
            <w:r>
              <w:rPr>
                <w:rFonts w:ascii="Times New Roman" w:hAnsi="Times New Roman" w:cs="Times New Roman" w:eastAsia="Times New Roman" w:hint="default"/>
                <w:spacing w:val="-5"/>
                <w:w w:val="101"/>
                <w:sz w:val="18"/>
                <w:szCs w:val="18"/>
              </w:rPr>
              <w:t>0</w:t>
            </w:r>
            <w:r>
              <w:rPr>
                <w:rFonts w:ascii="Times New Roman" w:hAnsi="Times New Roman" w:cs="Times New Roman" w:eastAsia="Times New Roman" w:hint="default"/>
                <w:spacing w:val="2"/>
                <w:w w:val="101"/>
                <w:sz w:val="18"/>
                <w:szCs w:val="18"/>
              </w:rPr>
              <w:t>.</w:t>
            </w:r>
            <w:r>
              <w:rPr>
                <w:rFonts w:ascii="Times New Roman" w:hAnsi="Times New Roman" w:cs="Times New Roman" w:eastAsia="Times New Roman" w:hint="default"/>
                <w:w w:val="101"/>
                <w:sz w:val="18"/>
                <w:szCs w:val="18"/>
              </w:rPr>
              <w:t>8</w:t>
            </w:r>
            <w:r>
              <w:rPr>
                <w:rFonts w:ascii="Times New Roman" w:hAnsi="Times New Roman" w:cs="Times New Roman" w:eastAsia="Times New Roman" w:hint="default"/>
                <w:spacing w:val="-5"/>
                <w:w w:val="101"/>
                <w:sz w:val="18"/>
                <w:szCs w:val="18"/>
              </w:rPr>
              <w:t>3</w:t>
            </w:r>
            <w:r>
              <w:rPr>
                <w:rFonts w:ascii="Times New Roman" w:hAnsi="Times New Roman" w:cs="Times New Roman" w:eastAsia="Times New Roman" w:hint="default"/>
                <w:spacing w:val="2"/>
                <w:w w:val="101"/>
                <w:sz w:val="18"/>
                <w:szCs w:val="18"/>
              </w:rPr>
              <w:t>%</w:t>
            </w:r>
            <w:r>
              <w:rPr>
                <w:rFonts w:ascii="宋体" w:hAnsi="宋体" w:cs="宋体" w:eastAsia="宋体" w:hint="default"/>
                <w:spacing w:val="-96"/>
                <w:w w:val="101"/>
                <w:sz w:val="18"/>
                <w:szCs w:val="18"/>
              </w:rPr>
              <w:t>）</w:t>
            </w:r>
            <w:r>
              <w:rPr>
                <w:rFonts w:ascii="宋体" w:hAnsi="宋体" w:cs="宋体" w:eastAsia="宋体" w:hint="default"/>
                <w:spacing w:val="-92"/>
                <w:w w:val="101"/>
                <w:sz w:val="18"/>
                <w:szCs w:val="18"/>
              </w:rPr>
              <w:t>；</w:t>
            </w:r>
            <w:r>
              <w:rPr>
                <w:rFonts w:ascii="宋体" w:hAnsi="宋体" w:cs="宋体" w:eastAsia="宋体" w:hint="default"/>
                <w:spacing w:val="-5"/>
                <w:w w:val="101"/>
                <w:sz w:val="18"/>
                <w:szCs w:val="18"/>
              </w:rPr>
              <w:t>持</w:t>
            </w:r>
            <w:r>
              <w:rPr>
                <w:rFonts w:ascii="宋体" w:hAnsi="宋体" w:cs="宋体" w:eastAsia="宋体" w:hint="default"/>
                <w:w w:val="101"/>
                <w:sz w:val="18"/>
                <w:szCs w:val="18"/>
              </w:rPr>
              <w:t>有</w:t>
            </w:r>
            <w:r>
              <w:rPr>
                <w:rFonts w:ascii="宋体" w:hAnsi="宋体" w:cs="宋体" w:eastAsia="宋体" w:hint="default"/>
                <w:spacing w:val="-5"/>
                <w:w w:val="101"/>
                <w:sz w:val="18"/>
                <w:szCs w:val="18"/>
              </w:rPr>
              <w:t>西</w:t>
            </w:r>
            <w:r>
              <w:rPr>
                <w:rFonts w:ascii="宋体" w:hAnsi="宋体" w:cs="宋体" w:eastAsia="宋体" w:hint="default"/>
                <w:w w:val="101"/>
                <w:sz w:val="18"/>
                <w:szCs w:val="18"/>
              </w:rPr>
              <w:t>仪</w:t>
            </w:r>
            <w:r>
              <w:rPr>
                <w:rFonts w:ascii="宋体" w:hAnsi="宋体" w:cs="宋体" w:eastAsia="宋体" w:hint="default"/>
                <w:spacing w:val="-5"/>
                <w:w w:val="101"/>
                <w:sz w:val="18"/>
                <w:szCs w:val="18"/>
              </w:rPr>
              <w:t>股</w:t>
            </w:r>
            <w:r>
              <w:rPr>
                <w:rFonts w:ascii="宋体" w:hAnsi="宋体" w:cs="宋体" w:eastAsia="宋体" w:hint="default"/>
                <w:w w:val="101"/>
                <w:sz w:val="18"/>
                <w:szCs w:val="18"/>
              </w:rPr>
              <w:t>份</w:t>
            </w:r>
            <w:r>
              <w:rPr>
                <w:rFonts w:ascii="宋体" w:hAnsi="宋体" w:cs="宋体" w:eastAsia="宋体" w:hint="default"/>
                <w:spacing w:val="-61"/>
                <w:sz w:val="18"/>
                <w:szCs w:val="18"/>
              </w:rPr>
              <w:t> </w:t>
            </w:r>
            <w:r>
              <w:rPr>
                <w:rFonts w:ascii="Times New Roman" w:hAnsi="Times New Roman" w:cs="Times New Roman" w:eastAsia="Times New Roman" w:hint="default"/>
                <w:w w:val="101"/>
                <w:sz w:val="18"/>
                <w:szCs w:val="18"/>
              </w:rPr>
              <w:t>2</w:t>
            </w:r>
            <w:r>
              <w:rPr>
                <w:rFonts w:ascii="Times New Roman" w:hAnsi="Times New Roman" w:cs="Times New Roman" w:eastAsia="Times New Roman" w:hint="default"/>
                <w:spacing w:val="2"/>
                <w:w w:val="101"/>
                <w:sz w:val="18"/>
                <w:szCs w:val="18"/>
              </w:rPr>
              <w:t>,</w:t>
            </w:r>
            <w:r>
              <w:rPr>
                <w:rFonts w:ascii="Times New Roman" w:hAnsi="Times New Roman" w:cs="Times New Roman" w:eastAsia="Times New Roman" w:hint="default"/>
                <w:spacing w:val="-5"/>
                <w:w w:val="101"/>
                <w:sz w:val="18"/>
                <w:szCs w:val="18"/>
              </w:rPr>
              <w:t>2</w:t>
            </w:r>
            <w:r>
              <w:rPr>
                <w:rFonts w:ascii="Times New Roman" w:hAnsi="Times New Roman" w:cs="Times New Roman" w:eastAsia="Times New Roman" w:hint="default"/>
                <w:w w:val="101"/>
                <w:sz w:val="18"/>
                <w:szCs w:val="18"/>
              </w:rPr>
              <w:t>02</w:t>
            </w:r>
            <w:r>
              <w:rPr>
                <w:rFonts w:ascii="Times New Roman" w:hAnsi="Times New Roman" w:cs="Times New Roman" w:eastAsia="Times New Roman" w:hint="default"/>
                <w:spacing w:val="-3"/>
                <w:w w:val="101"/>
                <w:sz w:val="18"/>
                <w:szCs w:val="18"/>
              </w:rPr>
              <w:t>,</w:t>
            </w:r>
            <w:r>
              <w:rPr>
                <w:rFonts w:ascii="Times New Roman" w:hAnsi="Times New Roman" w:cs="Times New Roman" w:eastAsia="Times New Roman" w:hint="default"/>
                <w:w w:val="101"/>
                <w:sz w:val="18"/>
                <w:szCs w:val="18"/>
              </w:rPr>
              <w:t>504</w:t>
            </w:r>
            <w:r>
              <w:rPr>
                <w:rFonts w:ascii="Times New Roman" w:hAnsi="Times New Roman" w:cs="Times New Roman" w:eastAsia="Times New Roman" w:hint="default"/>
                <w:spacing w:val="-17"/>
                <w:sz w:val="18"/>
                <w:szCs w:val="18"/>
              </w:rPr>
              <w:t> </w:t>
            </w:r>
            <w:r>
              <w:rPr>
                <w:rFonts w:ascii="宋体" w:hAnsi="宋体" w:cs="宋体" w:eastAsia="宋体" w:hint="default"/>
                <w:spacing w:val="-5"/>
                <w:w w:val="101"/>
                <w:sz w:val="18"/>
                <w:szCs w:val="18"/>
              </w:rPr>
              <w:t>股</w:t>
            </w:r>
            <w:r>
              <w:rPr>
                <w:rFonts w:ascii="宋体" w:hAnsi="宋体" w:cs="宋体" w:eastAsia="宋体" w:hint="default"/>
                <w:w w:val="101"/>
                <w:sz w:val="18"/>
                <w:szCs w:val="18"/>
              </w:rPr>
              <w:t>股</w:t>
            </w:r>
            <w:r>
              <w:rPr>
                <w:rFonts w:ascii="宋体" w:hAnsi="宋体" w:cs="宋体" w:eastAsia="宋体" w:hint="default"/>
                <w:spacing w:val="-96"/>
                <w:w w:val="101"/>
                <w:sz w:val="18"/>
                <w:szCs w:val="18"/>
              </w:rPr>
              <w:t>份</w:t>
            </w:r>
            <w:r>
              <w:rPr>
                <w:rFonts w:ascii="宋体" w:hAnsi="宋体" w:cs="宋体" w:eastAsia="宋体" w:hint="default"/>
                <w:w w:val="101"/>
                <w:sz w:val="18"/>
                <w:szCs w:val="18"/>
              </w:rPr>
              <w:t>（</w:t>
            </w:r>
            <w:r>
              <w:rPr>
                <w:rFonts w:ascii="宋体" w:hAnsi="宋体" w:cs="宋体" w:eastAsia="宋体" w:hint="default"/>
                <w:spacing w:val="-5"/>
                <w:w w:val="101"/>
                <w:sz w:val="18"/>
                <w:szCs w:val="18"/>
              </w:rPr>
              <w:t>持</w:t>
            </w:r>
            <w:r>
              <w:rPr>
                <w:rFonts w:ascii="宋体" w:hAnsi="宋体" w:cs="宋体" w:eastAsia="宋体" w:hint="default"/>
                <w:w w:val="101"/>
                <w:sz w:val="18"/>
                <w:szCs w:val="18"/>
              </w:rPr>
              <w:t>股</w:t>
            </w:r>
            <w:r>
              <w:rPr>
                <w:rFonts w:ascii="宋体" w:hAnsi="宋体" w:cs="宋体" w:eastAsia="宋体" w:hint="default"/>
                <w:spacing w:val="-5"/>
                <w:w w:val="101"/>
                <w:sz w:val="18"/>
                <w:szCs w:val="18"/>
              </w:rPr>
              <w:t>比</w:t>
            </w:r>
            <w:r>
              <w:rPr>
                <w:rFonts w:ascii="宋体" w:hAnsi="宋体" w:cs="宋体" w:eastAsia="宋体" w:hint="default"/>
                <w:w w:val="101"/>
                <w:sz w:val="18"/>
                <w:szCs w:val="18"/>
              </w:rPr>
              <w:t>例为</w:t>
            </w:r>
            <w:r>
              <w:rPr>
                <w:rFonts w:ascii="宋体" w:hAnsi="宋体" w:cs="宋体" w:eastAsia="宋体" w:hint="default"/>
                <w:spacing w:val="-61"/>
                <w:sz w:val="18"/>
                <w:szCs w:val="18"/>
              </w:rPr>
              <w:t> </w:t>
            </w:r>
            <w:r>
              <w:rPr>
                <w:rFonts w:ascii="Times New Roman" w:hAnsi="Times New Roman" w:cs="Times New Roman" w:eastAsia="Times New Roman" w:hint="default"/>
                <w:spacing w:val="-5"/>
                <w:w w:val="101"/>
                <w:sz w:val="18"/>
                <w:szCs w:val="18"/>
              </w:rPr>
              <w:t>0</w:t>
            </w:r>
            <w:r>
              <w:rPr>
                <w:rFonts w:ascii="Times New Roman" w:hAnsi="Times New Roman" w:cs="Times New Roman" w:eastAsia="Times New Roman" w:hint="default"/>
                <w:spacing w:val="2"/>
                <w:w w:val="101"/>
                <w:sz w:val="18"/>
                <w:szCs w:val="18"/>
              </w:rPr>
              <w:t>.</w:t>
            </w:r>
            <w:r>
              <w:rPr>
                <w:rFonts w:ascii="Times New Roman" w:hAnsi="Times New Roman" w:cs="Times New Roman" w:eastAsia="Times New Roman" w:hint="default"/>
                <w:w w:val="101"/>
                <w:sz w:val="18"/>
                <w:szCs w:val="18"/>
              </w:rPr>
              <w:t>6</w:t>
            </w:r>
            <w:r>
              <w:rPr>
                <w:rFonts w:ascii="Times New Roman" w:hAnsi="Times New Roman" w:cs="Times New Roman" w:eastAsia="Times New Roman" w:hint="default"/>
                <w:spacing w:val="-5"/>
                <w:w w:val="101"/>
                <w:sz w:val="18"/>
                <w:szCs w:val="18"/>
              </w:rPr>
              <w:t>9</w:t>
            </w:r>
            <w:r>
              <w:rPr>
                <w:rFonts w:ascii="Times New Roman" w:hAnsi="Times New Roman" w:cs="Times New Roman" w:eastAsia="Times New Roman" w:hint="default"/>
                <w:spacing w:val="1"/>
                <w:w w:val="101"/>
                <w:sz w:val="18"/>
                <w:szCs w:val="18"/>
              </w:rPr>
              <w:t>%</w:t>
            </w:r>
            <w:r>
              <w:rPr>
                <w:rFonts w:ascii="宋体" w:hAnsi="宋体" w:cs="宋体" w:eastAsia="宋体" w:hint="default"/>
                <w:spacing w:val="-96"/>
                <w:w w:val="101"/>
                <w:sz w:val="18"/>
                <w:szCs w:val="18"/>
              </w:rPr>
              <w:t>）； </w:t>
            </w:r>
            <w:r>
              <w:rPr>
                <w:rFonts w:ascii="宋体" w:hAnsi="宋体" w:cs="宋体" w:eastAsia="宋体" w:hint="default"/>
                <w:w w:val="101"/>
                <w:sz w:val="18"/>
                <w:szCs w:val="18"/>
              </w:rPr>
              <w:t>持</w:t>
            </w:r>
            <w:r>
              <w:rPr>
                <w:rFonts w:ascii="宋体" w:hAnsi="宋体" w:cs="宋体" w:eastAsia="宋体" w:hint="default"/>
                <w:spacing w:val="-5"/>
                <w:w w:val="101"/>
                <w:sz w:val="18"/>
                <w:szCs w:val="18"/>
              </w:rPr>
              <w:t>有</w:t>
            </w:r>
            <w:r>
              <w:rPr>
                <w:rFonts w:ascii="宋体" w:hAnsi="宋体" w:cs="宋体" w:eastAsia="宋体" w:hint="default"/>
                <w:w w:val="101"/>
                <w:sz w:val="18"/>
                <w:szCs w:val="18"/>
              </w:rPr>
              <w:t>昆</w:t>
            </w:r>
            <w:r>
              <w:rPr>
                <w:rFonts w:ascii="宋体" w:hAnsi="宋体" w:cs="宋体" w:eastAsia="宋体" w:hint="default"/>
                <w:spacing w:val="-5"/>
                <w:w w:val="101"/>
                <w:sz w:val="18"/>
                <w:szCs w:val="18"/>
              </w:rPr>
              <w:t>药</w:t>
            </w:r>
            <w:r>
              <w:rPr>
                <w:rFonts w:ascii="宋体" w:hAnsi="宋体" w:cs="宋体" w:eastAsia="宋体" w:hint="default"/>
                <w:w w:val="101"/>
                <w:sz w:val="18"/>
                <w:szCs w:val="18"/>
              </w:rPr>
              <w:t>集团</w:t>
            </w:r>
            <w:r>
              <w:rPr>
                <w:rFonts w:ascii="宋体" w:hAnsi="宋体" w:cs="宋体" w:eastAsia="宋体" w:hint="default"/>
                <w:spacing w:val="-47"/>
                <w:sz w:val="18"/>
                <w:szCs w:val="18"/>
              </w:rPr>
              <w:t> </w:t>
            </w:r>
            <w:r>
              <w:rPr>
                <w:rFonts w:ascii="Times New Roman" w:hAnsi="Times New Roman" w:cs="Times New Roman" w:eastAsia="Times New Roman" w:hint="default"/>
                <w:spacing w:val="-5"/>
                <w:w w:val="101"/>
                <w:sz w:val="18"/>
                <w:szCs w:val="18"/>
              </w:rPr>
              <w:t>3</w:t>
            </w:r>
            <w:r>
              <w:rPr>
                <w:rFonts w:ascii="Times New Roman" w:hAnsi="Times New Roman" w:cs="Times New Roman" w:eastAsia="Times New Roman" w:hint="default"/>
                <w:spacing w:val="2"/>
                <w:w w:val="101"/>
                <w:sz w:val="18"/>
                <w:szCs w:val="18"/>
              </w:rPr>
              <w:t>,</w:t>
            </w:r>
            <w:r>
              <w:rPr>
                <w:rFonts w:ascii="Times New Roman" w:hAnsi="Times New Roman" w:cs="Times New Roman" w:eastAsia="Times New Roman" w:hint="default"/>
                <w:w w:val="101"/>
                <w:sz w:val="18"/>
                <w:szCs w:val="18"/>
              </w:rPr>
              <w:t>15</w:t>
            </w:r>
            <w:r>
              <w:rPr>
                <w:rFonts w:ascii="Times New Roman" w:hAnsi="Times New Roman" w:cs="Times New Roman" w:eastAsia="Times New Roman" w:hint="default"/>
                <w:spacing w:val="-5"/>
                <w:w w:val="101"/>
                <w:sz w:val="18"/>
                <w:szCs w:val="18"/>
              </w:rPr>
              <w:t>7</w:t>
            </w:r>
            <w:r>
              <w:rPr>
                <w:rFonts w:ascii="Times New Roman" w:hAnsi="Times New Roman" w:cs="Times New Roman" w:eastAsia="Times New Roman" w:hint="default"/>
                <w:spacing w:val="2"/>
                <w:w w:val="101"/>
                <w:sz w:val="18"/>
                <w:szCs w:val="18"/>
              </w:rPr>
              <w:t>,</w:t>
            </w:r>
            <w:r>
              <w:rPr>
                <w:rFonts w:ascii="Times New Roman" w:hAnsi="Times New Roman" w:cs="Times New Roman" w:eastAsia="Times New Roman" w:hint="default"/>
                <w:w w:val="101"/>
                <w:sz w:val="18"/>
                <w:szCs w:val="18"/>
              </w:rPr>
              <w:t>270</w:t>
            </w:r>
            <w:r>
              <w:rPr>
                <w:rFonts w:ascii="Times New Roman" w:hAnsi="Times New Roman" w:cs="Times New Roman" w:eastAsia="Times New Roman" w:hint="default"/>
                <w:spacing w:val="-6"/>
                <w:sz w:val="18"/>
                <w:szCs w:val="18"/>
              </w:rPr>
              <w:t> </w:t>
            </w:r>
            <w:r>
              <w:rPr>
                <w:rFonts w:ascii="宋体" w:hAnsi="宋体" w:cs="宋体" w:eastAsia="宋体" w:hint="default"/>
                <w:w w:val="101"/>
                <w:sz w:val="18"/>
                <w:szCs w:val="18"/>
              </w:rPr>
              <w:t>股</w:t>
            </w:r>
            <w:r>
              <w:rPr>
                <w:rFonts w:ascii="宋体" w:hAnsi="宋体" w:cs="宋体" w:eastAsia="宋体" w:hint="default"/>
                <w:spacing w:val="-5"/>
                <w:w w:val="101"/>
                <w:sz w:val="18"/>
                <w:szCs w:val="18"/>
              </w:rPr>
              <w:t>股</w:t>
            </w:r>
            <w:r>
              <w:rPr>
                <w:rFonts w:ascii="宋体" w:hAnsi="宋体" w:cs="宋体" w:eastAsia="宋体" w:hint="default"/>
                <w:w w:val="101"/>
                <w:sz w:val="18"/>
                <w:szCs w:val="18"/>
              </w:rPr>
              <w:t>份</w:t>
            </w:r>
            <w:r>
              <w:rPr>
                <w:rFonts w:ascii="宋体" w:hAnsi="宋体" w:cs="宋体" w:eastAsia="宋体" w:hint="default"/>
                <w:spacing w:val="-5"/>
                <w:w w:val="101"/>
                <w:sz w:val="18"/>
                <w:szCs w:val="18"/>
              </w:rPr>
              <w:t>（</w:t>
            </w:r>
            <w:r>
              <w:rPr>
                <w:rFonts w:ascii="宋体" w:hAnsi="宋体" w:cs="宋体" w:eastAsia="宋体" w:hint="default"/>
                <w:w w:val="101"/>
                <w:sz w:val="18"/>
                <w:szCs w:val="18"/>
              </w:rPr>
              <w:t>持</w:t>
            </w:r>
            <w:r>
              <w:rPr>
                <w:rFonts w:ascii="宋体" w:hAnsi="宋体" w:cs="宋体" w:eastAsia="宋体" w:hint="default"/>
                <w:spacing w:val="-5"/>
                <w:w w:val="101"/>
                <w:sz w:val="18"/>
                <w:szCs w:val="18"/>
              </w:rPr>
              <w:t>股</w:t>
            </w:r>
            <w:r>
              <w:rPr>
                <w:rFonts w:ascii="宋体" w:hAnsi="宋体" w:cs="宋体" w:eastAsia="宋体" w:hint="default"/>
                <w:w w:val="101"/>
                <w:sz w:val="18"/>
                <w:szCs w:val="18"/>
              </w:rPr>
              <w:t>比例为</w:t>
            </w:r>
            <w:r>
              <w:rPr>
                <w:rFonts w:ascii="宋体" w:hAnsi="宋体" w:cs="宋体" w:eastAsia="宋体" w:hint="default"/>
                <w:spacing w:val="-51"/>
                <w:sz w:val="18"/>
                <w:szCs w:val="18"/>
              </w:rPr>
              <w:t> </w:t>
            </w:r>
            <w:r>
              <w:rPr>
                <w:rFonts w:ascii="Times New Roman" w:hAnsi="Times New Roman" w:cs="Times New Roman" w:eastAsia="Times New Roman" w:hint="default"/>
                <w:w w:val="101"/>
                <w:sz w:val="18"/>
                <w:szCs w:val="18"/>
              </w:rPr>
              <w:t>0</w:t>
            </w:r>
            <w:r>
              <w:rPr>
                <w:rFonts w:ascii="Times New Roman" w:hAnsi="Times New Roman" w:cs="Times New Roman" w:eastAsia="Times New Roman" w:hint="default"/>
                <w:spacing w:val="-3"/>
                <w:w w:val="101"/>
                <w:sz w:val="18"/>
                <w:szCs w:val="18"/>
              </w:rPr>
              <w:t>.</w:t>
            </w:r>
            <w:r>
              <w:rPr>
                <w:rFonts w:ascii="Times New Roman" w:hAnsi="Times New Roman" w:cs="Times New Roman" w:eastAsia="Times New Roman" w:hint="default"/>
                <w:w w:val="101"/>
                <w:sz w:val="18"/>
                <w:szCs w:val="18"/>
              </w:rPr>
              <w:t>4</w:t>
            </w:r>
            <w:r>
              <w:rPr>
                <w:rFonts w:ascii="Times New Roman" w:hAnsi="Times New Roman" w:cs="Times New Roman" w:eastAsia="Times New Roman" w:hint="default"/>
                <w:spacing w:val="-5"/>
                <w:w w:val="101"/>
                <w:sz w:val="18"/>
                <w:szCs w:val="18"/>
              </w:rPr>
              <w:t>1</w:t>
            </w:r>
            <w:r>
              <w:rPr>
                <w:rFonts w:ascii="Times New Roman" w:hAnsi="Times New Roman" w:cs="Times New Roman" w:eastAsia="Times New Roman" w:hint="default"/>
                <w:spacing w:val="1"/>
                <w:w w:val="101"/>
                <w:sz w:val="18"/>
                <w:szCs w:val="18"/>
              </w:rPr>
              <w:t>%</w:t>
            </w:r>
            <w:r>
              <w:rPr>
                <w:rFonts w:ascii="宋体" w:hAnsi="宋体" w:cs="宋体" w:eastAsia="宋体" w:hint="default"/>
                <w:spacing w:val="-92"/>
                <w:w w:val="101"/>
                <w:sz w:val="18"/>
                <w:szCs w:val="18"/>
              </w:rPr>
              <w:t>）</w:t>
            </w:r>
            <w:r>
              <w:rPr>
                <w:rFonts w:ascii="宋体" w:hAnsi="宋体" w:cs="宋体" w:eastAsia="宋体" w:hint="default"/>
                <w:spacing w:val="-5"/>
                <w:w w:val="101"/>
                <w:sz w:val="18"/>
                <w:szCs w:val="18"/>
              </w:rPr>
              <w:t>；</w:t>
            </w:r>
            <w:r>
              <w:rPr>
                <w:rFonts w:ascii="宋体" w:hAnsi="宋体" w:cs="宋体" w:eastAsia="宋体" w:hint="default"/>
                <w:w w:val="101"/>
                <w:sz w:val="18"/>
                <w:szCs w:val="18"/>
              </w:rPr>
              <w:t>持</w:t>
            </w:r>
            <w:r>
              <w:rPr>
                <w:rFonts w:ascii="宋体" w:hAnsi="宋体" w:cs="宋体" w:eastAsia="宋体" w:hint="default"/>
                <w:spacing w:val="-5"/>
                <w:w w:val="101"/>
                <w:sz w:val="18"/>
                <w:szCs w:val="18"/>
              </w:rPr>
              <w:t>有飞</w:t>
            </w:r>
            <w:r>
              <w:rPr>
                <w:rFonts w:ascii="宋体" w:hAnsi="宋体" w:cs="宋体" w:eastAsia="宋体" w:hint="default"/>
                <w:w w:val="101"/>
                <w:sz w:val="18"/>
                <w:szCs w:val="18"/>
              </w:rPr>
              <w:t>龙股份</w:t>
            </w:r>
            <w:r>
              <w:rPr>
                <w:rFonts w:ascii="宋体" w:hAnsi="宋体" w:cs="宋体" w:eastAsia="宋体" w:hint="default"/>
                <w:spacing w:val="-47"/>
                <w:sz w:val="18"/>
                <w:szCs w:val="18"/>
              </w:rPr>
              <w:t> </w:t>
            </w:r>
            <w:r>
              <w:rPr>
                <w:rFonts w:ascii="Times New Roman" w:hAnsi="Times New Roman" w:cs="Times New Roman" w:eastAsia="Times New Roman" w:hint="default"/>
                <w:spacing w:val="-5"/>
                <w:w w:val="101"/>
                <w:sz w:val="18"/>
                <w:szCs w:val="18"/>
              </w:rPr>
              <w:t>1</w:t>
            </w:r>
            <w:r>
              <w:rPr>
                <w:rFonts w:ascii="Times New Roman" w:hAnsi="Times New Roman" w:cs="Times New Roman" w:eastAsia="Times New Roman" w:hint="default"/>
                <w:spacing w:val="2"/>
                <w:w w:val="101"/>
                <w:sz w:val="18"/>
                <w:szCs w:val="18"/>
              </w:rPr>
              <w:t>,</w:t>
            </w:r>
            <w:r>
              <w:rPr>
                <w:rFonts w:ascii="Times New Roman" w:hAnsi="Times New Roman" w:cs="Times New Roman" w:eastAsia="Times New Roman" w:hint="default"/>
                <w:spacing w:val="-5"/>
                <w:w w:val="101"/>
                <w:sz w:val="18"/>
                <w:szCs w:val="18"/>
              </w:rPr>
              <w:t>9</w:t>
            </w:r>
            <w:r>
              <w:rPr>
                <w:rFonts w:ascii="Times New Roman" w:hAnsi="Times New Roman" w:cs="Times New Roman" w:eastAsia="Times New Roman" w:hint="default"/>
                <w:w w:val="101"/>
                <w:sz w:val="18"/>
                <w:szCs w:val="18"/>
              </w:rPr>
              <w:t>74</w:t>
            </w:r>
            <w:r>
              <w:rPr>
                <w:rFonts w:ascii="Times New Roman" w:hAnsi="Times New Roman" w:cs="Times New Roman" w:eastAsia="Times New Roman" w:hint="default"/>
                <w:spacing w:val="-3"/>
                <w:w w:val="101"/>
                <w:sz w:val="18"/>
                <w:szCs w:val="18"/>
              </w:rPr>
              <w:t>,</w:t>
            </w:r>
            <w:r>
              <w:rPr>
                <w:rFonts w:ascii="Times New Roman" w:hAnsi="Times New Roman" w:cs="Times New Roman" w:eastAsia="Times New Roman" w:hint="default"/>
                <w:w w:val="101"/>
                <w:sz w:val="18"/>
                <w:szCs w:val="18"/>
              </w:rPr>
              <w:t>307</w:t>
            </w:r>
            <w:r>
              <w:rPr>
                <w:rFonts w:ascii="Times New Roman" w:hAnsi="Times New Roman" w:cs="Times New Roman" w:eastAsia="Times New Roman" w:hint="default"/>
                <w:spacing w:val="-2"/>
                <w:sz w:val="18"/>
                <w:szCs w:val="18"/>
              </w:rPr>
              <w:t> </w:t>
            </w:r>
            <w:r>
              <w:rPr>
                <w:rFonts w:ascii="宋体" w:hAnsi="宋体" w:cs="宋体" w:eastAsia="宋体" w:hint="default"/>
                <w:spacing w:val="-5"/>
                <w:w w:val="101"/>
                <w:sz w:val="18"/>
                <w:szCs w:val="18"/>
              </w:rPr>
              <w:t>股</w:t>
            </w:r>
            <w:r>
              <w:rPr>
                <w:rFonts w:ascii="宋体" w:hAnsi="宋体" w:cs="宋体" w:eastAsia="宋体" w:hint="default"/>
                <w:w w:val="101"/>
                <w:sz w:val="18"/>
                <w:szCs w:val="18"/>
              </w:rPr>
              <w:t>股</w:t>
            </w:r>
            <w:r>
              <w:rPr>
                <w:rFonts w:ascii="宋体" w:hAnsi="宋体" w:cs="宋体" w:eastAsia="宋体" w:hint="default"/>
                <w:spacing w:val="-5"/>
                <w:w w:val="101"/>
                <w:sz w:val="18"/>
                <w:szCs w:val="18"/>
              </w:rPr>
              <w:t>份</w:t>
            </w:r>
            <w:r>
              <w:rPr>
                <w:rFonts w:ascii="宋体" w:hAnsi="宋体" w:cs="宋体" w:eastAsia="宋体" w:hint="default"/>
                <w:w w:val="101"/>
                <w:sz w:val="18"/>
                <w:szCs w:val="18"/>
              </w:rPr>
              <w:t>（</w:t>
            </w:r>
            <w:r>
              <w:rPr>
                <w:rFonts w:ascii="宋体" w:hAnsi="宋体" w:cs="宋体" w:eastAsia="宋体" w:hint="default"/>
                <w:spacing w:val="-5"/>
                <w:w w:val="101"/>
                <w:sz w:val="18"/>
                <w:szCs w:val="18"/>
              </w:rPr>
              <w:t>持</w:t>
            </w:r>
            <w:r>
              <w:rPr>
                <w:rFonts w:ascii="宋体" w:hAnsi="宋体" w:cs="宋体" w:eastAsia="宋体" w:hint="default"/>
                <w:w w:val="101"/>
                <w:sz w:val="18"/>
                <w:szCs w:val="18"/>
              </w:rPr>
              <w:t>股</w:t>
            </w:r>
            <w:r>
              <w:rPr>
                <w:rFonts w:ascii="宋体" w:hAnsi="宋体" w:cs="宋体" w:eastAsia="宋体" w:hint="default"/>
                <w:spacing w:val="-5"/>
                <w:w w:val="101"/>
                <w:sz w:val="18"/>
                <w:szCs w:val="18"/>
              </w:rPr>
              <w:t>比</w:t>
            </w:r>
            <w:r>
              <w:rPr>
                <w:rFonts w:ascii="宋体" w:hAnsi="宋体" w:cs="宋体" w:eastAsia="宋体" w:hint="default"/>
                <w:w w:val="101"/>
                <w:sz w:val="18"/>
                <w:szCs w:val="18"/>
              </w:rPr>
              <w:t>例为</w:t>
            </w:r>
            <w:r>
              <w:rPr>
                <w:rFonts w:ascii="宋体" w:hAnsi="宋体" w:cs="宋体" w:eastAsia="宋体" w:hint="default"/>
                <w:w w:val="101"/>
                <w:sz w:val="18"/>
                <w:szCs w:val="18"/>
              </w:rPr>
              <w:t> </w:t>
            </w:r>
            <w:r>
              <w:rPr>
                <w:rFonts w:ascii="Times New Roman" w:hAnsi="Times New Roman" w:cs="Times New Roman" w:eastAsia="Times New Roman" w:hint="default"/>
                <w:w w:val="101"/>
                <w:sz w:val="18"/>
                <w:szCs w:val="18"/>
              </w:rPr>
              <w:t>0</w:t>
            </w:r>
            <w:r>
              <w:rPr>
                <w:rFonts w:ascii="Times New Roman" w:hAnsi="Times New Roman" w:cs="Times New Roman" w:eastAsia="Times New Roman" w:hint="default"/>
                <w:spacing w:val="2"/>
                <w:w w:val="101"/>
                <w:sz w:val="18"/>
                <w:szCs w:val="18"/>
              </w:rPr>
              <w:t>.</w:t>
            </w:r>
            <w:r>
              <w:rPr>
                <w:rFonts w:ascii="Times New Roman" w:hAnsi="Times New Roman" w:cs="Times New Roman" w:eastAsia="Times New Roman" w:hint="default"/>
                <w:w w:val="101"/>
                <w:sz w:val="18"/>
                <w:szCs w:val="18"/>
              </w:rPr>
              <w:t>3</w:t>
            </w:r>
            <w:r>
              <w:rPr>
                <w:rFonts w:ascii="Times New Roman" w:hAnsi="Times New Roman" w:cs="Times New Roman" w:eastAsia="Times New Roman" w:hint="default"/>
                <w:spacing w:val="-5"/>
                <w:w w:val="101"/>
                <w:sz w:val="18"/>
                <w:szCs w:val="18"/>
              </w:rPr>
              <w:t>9</w:t>
            </w:r>
            <w:r>
              <w:rPr>
                <w:rFonts w:ascii="Times New Roman" w:hAnsi="Times New Roman" w:cs="Times New Roman" w:eastAsia="Times New Roman" w:hint="default"/>
                <w:spacing w:val="2"/>
                <w:w w:val="101"/>
                <w:sz w:val="18"/>
                <w:szCs w:val="18"/>
              </w:rPr>
              <w:t>%</w:t>
            </w:r>
            <w:r>
              <w:rPr>
                <w:rFonts w:ascii="宋体" w:hAnsi="宋体" w:cs="宋体" w:eastAsia="宋体" w:hint="default"/>
                <w:spacing w:val="-96"/>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持</w:t>
            </w:r>
            <w:r>
              <w:rPr>
                <w:rFonts w:ascii="宋体" w:hAnsi="宋体" w:cs="宋体" w:eastAsia="宋体" w:hint="default"/>
                <w:w w:val="101"/>
                <w:sz w:val="18"/>
                <w:szCs w:val="18"/>
              </w:rPr>
              <w:t>有</w:t>
            </w:r>
            <w:r>
              <w:rPr>
                <w:rFonts w:ascii="宋体" w:hAnsi="宋体" w:cs="宋体" w:eastAsia="宋体" w:hint="default"/>
                <w:spacing w:val="-5"/>
                <w:w w:val="101"/>
                <w:sz w:val="18"/>
                <w:szCs w:val="18"/>
              </w:rPr>
              <w:t>云</w:t>
            </w:r>
            <w:r>
              <w:rPr>
                <w:rFonts w:ascii="宋体" w:hAnsi="宋体" w:cs="宋体" w:eastAsia="宋体" w:hint="default"/>
                <w:w w:val="101"/>
                <w:sz w:val="18"/>
                <w:szCs w:val="18"/>
              </w:rPr>
              <w:t>南</w:t>
            </w:r>
            <w:r>
              <w:rPr>
                <w:rFonts w:ascii="宋体" w:hAnsi="宋体" w:cs="宋体" w:eastAsia="宋体" w:hint="default"/>
                <w:spacing w:val="-5"/>
                <w:w w:val="101"/>
                <w:sz w:val="18"/>
                <w:szCs w:val="18"/>
              </w:rPr>
              <w:t>铜</w:t>
            </w:r>
            <w:r>
              <w:rPr>
                <w:rFonts w:ascii="宋体" w:hAnsi="宋体" w:cs="宋体" w:eastAsia="宋体" w:hint="default"/>
                <w:w w:val="101"/>
                <w:sz w:val="18"/>
                <w:szCs w:val="18"/>
              </w:rPr>
              <w:t>业</w:t>
            </w:r>
            <w:r>
              <w:rPr>
                <w:rFonts w:ascii="宋体" w:hAnsi="宋体" w:cs="宋体" w:eastAsia="宋体" w:hint="default"/>
                <w:spacing w:val="-47"/>
                <w:sz w:val="18"/>
                <w:szCs w:val="18"/>
              </w:rPr>
              <w:t> </w:t>
            </w:r>
            <w:r>
              <w:rPr>
                <w:rFonts w:ascii="Times New Roman" w:hAnsi="Times New Roman" w:cs="Times New Roman" w:eastAsia="Times New Roman" w:hint="default"/>
                <w:w w:val="101"/>
                <w:sz w:val="18"/>
                <w:szCs w:val="18"/>
              </w:rPr>
              <w:t>9</w:t>
            </w:r>
            <w:r>
              <w:rPr>
                <w:rFonts w:ascii="Times New Roman" w:hAnsi="Times New Roman" w:cs="Times New Roman" w:eastAsia="Times New Roman" w:hint="default"/>
                <w:spacing w:val="-3"/>
                <w:w w:val="101"/>
                <w:sz w:val="18"/>
                <w:szCs w:val="18"/>
              </w:rPr>
              <w:t>,</w:t>
            </w:r>
            <w:r>
              <w:rPr>
                <w:rFonts w:ascii="Times New Roman" w:hAnsi="Times New Roman" w:cs="Times New Roman" w:eastAsia="Times New Roman" w:hint="default"/>
                <w:w w:val="101"/>
                <w:sz w:val="18"/>
                <w:szCs w:val="18"/>
              </w:rPr>
              <w:t>65</w:t>
            </w:r>
            <w:r>
              <w:rPr>
                <w:rFonts w:ascii="Times New Roman" w:hAnsi="Times New Roman" w:cs="Times New Roman" w:eastAsia="Times New Roman" w:hint="default"/>
                <w:spacing w:val="-5"/>
                <w:w w:val="101"/>
                <w:sz w:val="18"/>
                <w:szCs w:val="18"/>
              </w:rPr>
              <w:t>9</w:t>
            </w:r>
            <w:r>
              <w:rPr>
                <w:rFonts w:ascii="Times New Roman" w:hAnsi="Times New Roman" w:cs="Times New Roman" w:eastAsia="Times New Roman" w:hint="default"/>
                <w:spacing w:val="2"/>
                <w:w w:val="101"/>
                <w:sz w:val="18"/>
                <w:szCs w:val="18"/>
              </w:rPr>
              <w:t>,</w:t>
            </w:r>
            <w:r>
              <w:rPr>
                <w:rFonts w:ascii="Times New Roman" w:hAnsi="Times New Roman" w:cs="Times New Roman" w:eastAsia="Times New Roman" w:hint="default"/>
                <w:w w:val="101"/>
                <w:sz w:val="18"/>
                <w:szCs w:val="18"/>
              </w:rPr>
              <w:t>600</w:t>
            </w:r>
            <w:r>
              <w:rPr>
                <w:rFonts w:ascii="Times New Roman" w:hAnsi="Times New Roman" w:cs="Times New Roman" w:eastAsia="Times New Roman" w:hint="default"/>
                <w:spacing w:val="-7"/>
                <w:sz w:val="18"/>
                <w:szCs w:val="18"/>
              </w:rPr>
              <w:t> </w:t>
            </w:r>
            <w:r>
              <w:rPr>
                <w:rFonts w:ascii="宋体" w:hAnsi="宋体" w:cs="宋体" w:eastAsia="宋体" w:hint="default"/>
                <w:w w:val="101"/>
                <w:sz w:val="18"/>
                <w:szCs w:val="18"/>
              </w:rPr>
              <w:t>股</w:t>
            </w:r>
            <w:r>
              <w:rPr>
                <w:rFonts w:ascii="宋体" w:hAnsi="宋体" w:cs="宋体" w:eastAsia="宋体" w:hint="default"/>
                <w:spacing w:val="-5"/>
                <w:w w:val="101"/>
                <w:sz w:val="18"/>
                <w:szCs w:val="18"/>
              </w:rPr>
              <w:t>股</w:t>
            </w:r>
            <w:r>
              <w:rPr>
                <w:rFonts w:ascii="宋体" w:hAnsi="宋体" w:cs="宋体" w:eastAsia="宋体" w:hint="default"/>
                <w:w w:val="101"/>
                <w:sz w:val="18"/>
                <w:szCs w:val="18"/>
              </w:rPr>
              <w:t>份</w:t>
            </w:r>
            <w:r>
              <w:rPr>
                <w:rFonts w:ascii="宋体" w:hAnsi="宋体" w:cs="宋体" w:eastAsia="宋体" w:hint="default"/>
                <w:spacing w:val="-5"/>
                <w:w w:val="101"/>
                <w:sz w:val="18"/>
                <w:szCs w:val="18"/>
              </w:rPr>
              <w:t>（</w:t>
            </w:r>
            <w:r>
              <w:rPr>
                <w:rFonts w:ascii="宋体" w:hAnsi="宋体" w:cs="宋体" w:eastAsia="宋体" w:hint="default"/>
                <w:w w:val="101"/>
                <w:sz w:val="18"/>
                <w:szCs w:val="18"/>
              </w:rPr>
              <w:t>持</w:t>
            </w:r>
            <w:r>
              <w:rPr>
                <w:rFonts w:ascii="宋体" w:hAnsi="宋体" w:cs="宋体" w:eastAsia="宋体" w:hint="default"/>
                <w:spacing w:val="-5"/>
                <w:w w:val="101"/>
                <w:sz w:val="18"/>
                <w:szCs w:val="18"/>
              </w:rPr>
              <w:t>股</w:t>
            </w:r>
            <w:r>
              <w:rPr>
                <w:rFonts w:ascii="宋体" w:hAnsi="宋体" w:cs="宋体" w:eastAsia="宋体" w:hint="default"/>
                <w:w w:val="101"/>
                <w:sz w:val="18"/>
                <w:szCs w:val="18"/>
              </w:rPr>
              <w:t>比例为</w:t>
            </w:r>
            <w:r>
              <w:rPr>
                <w:rFonts w:ascii="宋体" w:hAnsi="宋体" w:cs="宋体" w:eastAsia="宋体" w:hint="default"/>
                <w:spacing w:val="-52"/>
                <w:sz w:val="18"/>
                <w:szCs w:val="18"/>
              </w:rPr>
              <w:t> </w:t>
            </w:r>
            <w:r>
              <w:rPr>
                <w:rFonts w:ascii="Times New Roman" w:hAnsi="Times New Roman" w:cs="Times New Roman" w:eastAsia="Times New Roman" w:hint="default"/>
                <w:w w:val="101"/>
                <w:sz w:val="18"/>
                <w:szCs w:val="18"/>
              </w:rPr>
              <w:t>0</w:t>
            </w:r>
            <w:r>
              <w:rPr>
                <w:rFonts w:ascii="Times New Roman" w:hAnsi="Times New Roman" w:cs="Times New Roman" w:eastAsia="Times New Roman" w:hint="default"/>
                <w:spacing w:val="-3"/>
                <w:w w:val="101"/>
                <w:sz w:val="18"/>
                <w:szCs w:val="18"/>
              </w:rPr>
              <w:t>.</w:t>
            </w:r>
            <w:r>
              <w:rPr>
                <w:rFonts w:ascii="Times New Roman" w:hAnsi="Times New Roman" w:cs="Times New Roman" w:eastAsia="Times New Roman" w:hint="default"/>
                <w:w w:val="101"/>
                <w:sz w:val="18"/>
                <w:szCs w:val="18"/>
              </w:rPr>
              <w:t>5</w:t>
            </w:r>
            <w:r>
              <w:rPr>
                <w:rFonts w:ascii="Times New Roman" w:hAnsi="Times New Roman" w:cs="Times New Roman" w:eastAsia="Times New Roman" w:hint="default"/>
                <w:spacing w:val="-5"/>
                <w:w w:val="101"/>
                <w:sz w:val="18"/>
                <w:szCs w:val="18"/>
              </w:rPr>
              <w:t>7</w:t>
            </w:r>
            <w:r>
              <w:rPr>
                <w:rFonts w:ascii="Times New Roman" w:hAnsi="Times New Roman" w:cs="Times New Roman" w:eastAsia="Times New Roman" w:hint="default"/>
                <w:spacing w:val="2"/>
                <w:w w:val="101"/>
                <w:sz w:val="18"/>
                <w:szCs w:val="18"/>
              </w:rPr>
              <w:t>%</w:t>
            </w:r>
            <w:r>
              <w:rPr>
                <w:rFonts w:ascii="宋体" w:hAnsi="宋体" w:cs="宋体" w:eastAsia="宋体" w:hint="default"/>
                <w:spacing w:val="-96"/>
                <w:w w:val="101"/>
                <w:sz w:val="18"/>
                <w:szCs w:val="18"/>
              </w:rPr>
              <w:t>）</w:t>
            </w:r>
            <w:r>
              <w:rPr>
                <w:rFonts w:ascii="宋体" w:hAnsi="宋体" w:cs="宋体" w:eastAsia="宋体" w:hint="default"/>
                <w:w w:val="101"/>
                <w:sz w:val="18"/>
                <w:szCs w:val="18"/>
              </w:rPr>
              <w:t>；持有</w:t>
            </w:r>
            <w:r>
              <w:rPr>
                <w:rFonts w:ascii="宋体" w:hAnsi="宋体" w:cs="宋体" w:eastAsia="宋体" w:hint="default"/>
                <w:spacing w:val="-47"/>
                <w:sz w:val="18"/>
                <w:szCs w:val="18"/>
              </w:rPr>
              <w:t> </w:t>
            </w:r>
            <w:r>
              <w:rPr>
                <w:rFonts w:ascii="Times New Roman" w:hAnsi="Times New Roman" w:cs="Times New Roman" w:eastAsia="Times New Roman" w:hint="default"/>
                <w:spacing w:val="-1"/>
                <w:w w:val="101"/>
                <w:sz w:val="18"/>
                <w:szCs w:val="18"/>
              </w:rPr>
              <w:t>S</w:t>
            </w:r>
            <w:r>
              <w:rPr>
                <w:rFonts w:ascii="Times New Roman" w:hAnsi="Times New Roman" w:cs="Times New Roman" w:eastAsia="Times New Roman" w:hint="default"/>
                <w:w w:val="101"/>
                <w:sz w:val="18"/>
                <w:szCs w:val="18"/>
              </w:rPr>
              <w:t>T</w:t>
            </w:r>
            <w:r>
              <w:rPr>
                <w:rFonts w:ascii="Times New Roman" w:hAnsi="Times New Roman" w:cs="Times New Roman" w:eastAsia="Times New Roman" w:hint="default"/>
                <w:spacing w:val="-8"/>
                <w:sz w:val="18"/>
                <w:szCs w:val="18"/>
              </w:rPr>
              <w:t> </w:t>
            </w:r>
            <w:r>
              <w:rPr>
                <w:rFonts w:ascii="宋体" w:hAnsi="宋体" w:cs="宋体" w:eastAsia="宋体" w:hint="default"/>
                <w:w w:val="101"/>
                <w:sz w:val="18"/>
                <w:szCs w:val="18"/>
              </w:rPr>
              <w:t>云维</w:t>
            </w:r>
            <w:r>
              <w:rPr>
                <w:rFonts w:ascii="宋体" w:hAnsi="宋体" w:cs="宋体" w:eastAsia="宋体" w:hint="default"/>
                <w:spacing w:val="-47"/>
                <w:sz w:val="18"/>
                <w:szCs w:val="18"/>
              </w:rPr>
              <w:t> </w:t>
            </w:r>
            <w:r>
              <w:rPr>
                <w:rFonts w:ascii="Times New Roman" w:hAnsi="Times New Roman" w:cs="Times New Roman" w:eastAsia="Times New Roman" w:hint="default"/>
                <w:spacing w:val="-5"/>
                <w:w w:val="101"/>
                <w:sz w:val="18"/>
                <w:szCs w:val="18"/>
              </w:rPr>
              <w:t>6</w:t>
            </w:r>
            <w:r>
              <w:rPr>
                <w:rFonts w:ascii="Times New Roman" w:hAnsi="Times New Roman" w:cs="Times New Roman" w:eastAsia="Times New Roman" w:hint="default"/>
                <w:spacing w:val="2"/>
                <w:w w:val="101"/>
                <w:sz w:val="18"/>
                <w:szCs w:val="18"/>
              </w:rPr>
              <w:t>,</w:t>
            </w:r>
            <w:r>
              <w:rPr>
                <w:rFonts w:ascii="Times New Roman" w:hAnsi="Times New Roman" w:cs="Times New Roman" w:eastAsia="Times New Roman" w:hint="default"/>
                <w:w w:val="101"/>
                <w:sz w:val="18"/>
                <w:szCs w:val="18"/>
              </w:rPr>
              <w:t>00</w:t>
            </w:r>
            <w:r>
              <w:rPr>
                <w:rFonts w:ascii="Times New Roman" w:hAnsi="Times New Roman" w:cs="Times New Roman" w:eastAsia="Times New Roman" w:hint="default"/>
                <w:spacing w:val="-5"/>
                <w:w w:val="101"/>
                <w:sz w:val="18"/>
                <w:szCs w:val="18"/>
              </w:rPr>
              <w:t>9</w:t>
            </w:r>
            <w:r>
              <w:rPr>
                <w:rFonts w:ascii="Times New Roman" w:hAnsi="Times New Roman" w:cs="Times New Roman" w:eastAsia="Times New Roman" w:hint="default"/>
                <w:spacing w:val="2"/>
                <w:w w:val="101"/>
                <w:sz w:val="18"/>
                <w:szCs w:val="18"/>
              </w:rPr>
              <w:t>,</w:t>
            </w:r>
            <w:r>
              <w:rPr>
                <w:rFonts w:ascii="Times New Roman" w:hAnsi="Times New Roman" w:cs="Times New Roman" w:eastAsia="Times New Roman" w:hint="default"/>
                <w:w w:val="101"/>
                <w:sz w:val="18"/>
                <w:szCs w:val="18"/>
              </w:rPr>
              <w:t>739</w:t>
            </w:r>
            <w:r>
              <w:rPr>
                <w:rFonts w:ascii="Times New Roman" w:hAnsi="Times New Roman" w:cs="Times New Roman" w:eastAsia="Times New Roman" w:hint="default"/>
                <w:spacing w:val="-7"/>
                <w:sz w:val="18"/>
                <w:szCs w:val="18"/>
              </w:rPr>
              <w:t> </w:t>
            </w:r>
            <w:r>
              <w:rPr>
                <w:rFonts w:ascii="宋体" w:hAnsi="宋体" w:cs="宋体" w:eastAsia="宋体" w:hint="default"/>
                <w:w w:val="101"/>
                <w:sz w:val="18"/>
                <w:szCs w:val="18"/>
              </w:rPr>
              <w:t>股</w:t>
            </w:r>
            <w:r>
              <w:rPr>
                <w:rFonts w:ascii="宋体" w:hAnsi="宋体" w:cs="宋体" w:eastAsia="宋体" w:hint="default"/>
                <w:spacing w:val="-5"/>
                <w:w w:val="101"/>
                <w:sz w:val="18"/>
                <w:szCs w:val="18"/>
              </w:rPr>
              <w:t>股</w:t>
            </w:r>
            <w:r>
              <w:rPr>
                <w:rFonts w:ascii="宋体" w:hAnsi="宋体" w:cs="宋体" w:eastAsia="宋体" w:hint="default"/>
                <w:w w:val="101"/>
                <w:sz w:val="18"/>
                <w:szCs w:val="18"/>
              </w:rPr>
              <w:t>份</w:t>
            </w:r>
            <w:r>
              <w:rPr>
                <w:rFonts w:ascii="宋体" w:hAnsi="宋体" w:cs="宋体" w:eastAsia="宋体" w:hint="default"/>
                <w:spacing w:val="-5"/>
                <w:w w:val="101"/>
                <w:sz w:val="18"/>
                <w:szCs w:val="18"/>
              </w:rPr>
              <w:t>（</w:t>
            </w:r>
            <w:r>
              <w:rPr>
                <w:rFonts w:ascii="宋体" w:hAnsi="宋体" w:cs="宋体" w:eastAsia="宋体" w:hint="default"/>
                <w:w w:val="101"/>
                <w:sz w:val="18"/>
                <w:szCs w:val="18"/>
              </w:rPr>
              <w:t>持股</w:t>
            </w:r>
            <w:r>
              <w:rPr>
                <w:rFonts w:ascii="宋体" w:hAnsi="宋体" w:cs="宋体" w:eastAsia="宋体" w:hint="default"/>
                <w:w w:val="101"/>
                <w:sz w:val="18"/>
                <w:szCs w:val="18"/>
              </w:rPr>
              <w:t> 比例为</w:t>
            </w:r>
            <w:r>
              <w:rPr>
                <w:rFonts w:ascii="宋体" w:hAnsi="宋体" w:cs="宋体" w:eastAsia="宋体" w:hint="default"/>
                <w:spacing w:val="-47"/>
                <w:sz w:val="18"/>
                <w:szCs w:val="18"/>
              </w:rPr>
              <w:t> </w:t>
            </w:r>
            <w:r>
              <w:rPr>
                <w:rFonts w:ascii="Times New Roman" w:hAnsi="Times New Roman" w:cs="Times New Roman" w:eastAsia="Times New Roman" w:hint="default"/>
                <w:spacing w:val="-5"/>
                <w:w w:val="101"/>
                <w:sz w:val="18"/>
                <w:szCs w:val="18"/>
              </w:rPr>
              <w:t>0</w:t>
            </w:r>
            <w:r>
              <w:rPr>
                <w:rFonts w:ascii="Times New Roman" w:hAnsi="Times New Roman" w:cs="Times New Roman" w:eastAsia="Times New Roman" w:hint="default"/>
                <w:spacing w:val="2"/>
                <w:w w:val="101"/>
                <w:sz w:val="18"/>
                <w:szCs w:val="18"/>
              </w:rPr>
              <w:t>.</w:t>
            </w:r>
            <w:r>
              <w:rPr>
                <w:rFonts w:ascii="Times New Roman" w:hAnsi="Times New Roman" w:cs="Times New Roman" w:eastAsia="Times New Roman" w:hint="default"/>
                <w:spacing w:val="-5"/>
                <w:w w:val="101"/>
                <w:sz w:val="18"/>
                <w:szCs w:val="18"/>
              </w:rPr>
              <w:t>4</w:t>
            </w:r>
            <w:r>
              <w:rPr>
                <w:rFonts w:ascii="Times New Roman" w:hAnsi="Times New Roman" w:cs="Times New Roman" w:eastAsia="Times New Roman" w:hint="default"/>
                <w:w w:val="101"/>
                <w:sz w:val="18"/>
                <w:szCs w:val="18"/>
              </w:rPr>
              <w:t>8</w:t>
            </w:r>
            <w:r>
              <w:rPr>
                <w:rFonts w:ascii="Times New Roman" w:hAnsi="Times New Roman" w:cs="Times New Roman" w:eastAsia="Times New Roman" w:hint="default"/>
                <w:spacing w:val="-4"/>
                <w:w w:val="101"/>
                <w:sz w:val="18"/>
                <w:szCs w:val="18"/>
              </w:rPr>
              <w:t>%</w:t>
            </w:r>
            <w:r>
              <w:rPr>
                <w:rFonts w:ascii="宋体" w:hAnsi="宋体" w:cs="宋体" w:eastAsia="宋体" w:hint="default"/>
                <w:spacing w:val="-92"/>
                <w:w w:val="101"/>
                <w:sz w:val="18"/>
                <w:szCs w:val="18"/>
              </w:rPr>
              <w:t>）</w:t>
            </w:r>
            <w:r>
              <w:rPr>
                <w:rFonts w:ascii="宋体" w:hAnsi="宋体" w:cs="宋体" w:eastAsia="宋体" w:hint="default"/>
                <w:spacing w:val="-5"/>
                <w:w w:val="101"/>
                <w:sz w:val="18"/>
                <w:szCs w:val="18"/>
              </w:rPr>
              <w:t>；</w:t>
            </w:r>
            <w:r>
              <w:rPr>
                <w:rFonts w:ascii="宋体" w:hAnsi="宋体" w:cs="宋体" w:eastAsia="宋体" w:hint="default"/>
                <w:w w:val="101"/>
                <w:sz w:val="18"/>
                <w:szCs w:val="18"/>
              </w:rPr>
              <w:t>持</w:t>
            </w:r>
            <w:r>
              <w:rPr>
                <w:rFonts w:ascii="宋体" w:hAnsi="宋体" w:cs="宋体" w:eastAsia="宋体" w:hint="default"/>
                <w:spacing w:val="-5"/>
                <w:w w:val="101"/>
                <w:sz w:val="18"/>
                <w:szCs w:val="18"/>
              </w:rPr>
              <w:t>有</w:t>
            </w:r>
            <w:r>
              <w:rPr>
                <w:rFonts w:ascii="宋体" w:hAnsi="宋体" w:cs="宋体" w:eastAsia="宋体" w:hint="default"/>
                <w:w w:val="101"/>
                <w:sz w:val="18"/>
                <w:szCs w:val="18"/>
              </w:rPr>
              <w:t>宜</w:t>
            </w:r>
            <w:r>
              <w:rPr>
                <w:rFonts w:ascii="宋体" w:hAnsi="宋体" w:cs="宋体" w:eastAsia="宋体" w:hint="default"/>
                <w:spacing w:val="-5"/>
                <w:w w:val="101"/>
                <w:sz w:val="18"/>
                <w:szCs w:val="18"/>
              </w:rPr>
              <w:t>华</w:t>
            </w:r>
            <w:r>
              <w:rPr>
                <w:rFonts w:ascii="宋体" w:hAnsi="宋体" w:cs="宋体" w:eastAsia="宋体" w:hint="default"/>
                <w:w w:val="101"/>
                <w:sz w:val="18"/>
                <w:szCs w:val="18"/>
              </w:rPr>
              <w:t>生活</w:t>
            </w:r>
            <w:r>
              <w:rPr>
                <w:rFonts w:ascii="宋体" w:hAnsi="宋体" w:cs="宋体" w:eastAsia="宋体" w:hint="default"/>
                <w:spacing w:val="-46"/>
                <w:sz w:val="18"/>
                <w:szCs w:val="18"/>
              </w:rPr>
              <w:t> </w:t>
            </w:r>
            <w:r>
              <w:rPr>
                <w:rFonts w:ascii="Times New Roman" w:hAnsi="Times New Roman" w:cs="Times New Roman" w:eastAsia="Times New Roman" w:hint="default"/>
                <w:spacing w:val="-5"/>
                <w:w w:val="101"/>
                <w:sz w:val="18"/>
                <w:szCs w:val="18"/>
              </w:rPr>
              <w:t>6</w:t>
            </w:r>
            <w:r>
              <w:rPr>
                <w:rFonts w:ascii="Times New Roman" w:hAnsi="Times New Roman" w:cs="Times New Roman" w:eastAsia="Times New Roman" w:hint="default"/>
                <w:spacing w:val="2"/>
                <w:w w:val="101"/>
                <w:sz w:val="18"/>
                <w:szCs w:val="18"/>
              </w:rPr>
              <w:t>,</w:t>
            </w:r>
            <w:r>
              <w:rPr>
                <w:rFonts w:ascii="Times New Roman" w:hAnsi="Times New Roman" w:cs="Times New Roman" w:eastAsia="Times New Roman" w:hint="default"/>
                <w:w w:val="101"/>
                <w:sz w:val="18"/>
                <w:szCs w:val="18"/>
              </w:rPr>
              <w:t>8</w:t>
            </w:r>
            <w:r>
              <w:rPr>
                <w:rFonts w:ascii="Times New Roman" w:hAnsi="Times New Roman" w:cs="Times New Roman" w:eastAsia="Times New Roman" w:hint="default"/>
                <w:spacing w:val="-10"/>
                <w:w w:val="101"/>
                <w:sz w:val="18"/>
                <w:szCs w:val="18"/>
              </w:rPr>
              <w:t>1</w:t>
            </w:r>
            <w:r>
              <w:rPr>
                <w:rFonts w:ascii="Times New Roman" w:hAnsi="Times New Roman" w:cs="Times New Roman" w:eastAsia="Times New Roman" w:hint="default"/>
                <w:w w:val="101"/>
                <w:sz w:val="18"/>
                <w:szCs w:val="18"/>
              </w:rPr>
              <w:t>1</w:t>
            </w:r>
            <w:r>
              <w:rPr>
                <w:rFonts w:ascii="Times New Roman" w:hAnsi="Times New Roman" w:cs="Times New Roman" w:eastAsia="Times New Roman" w:hint="default"/>
                <w:spacing w:val="-3"/>
                <w:w w:val="101"/>
                <w:sz w:val="18"/>
                <w:szCs w:val="18"/>
              </w:rPr>
              <w:t>,</w:t>
            </w:r>
            <w:r>
              <w:rPr>
                <w:rFonts w:ascii="Times New Roman" w:hAnsi="Times New Roman" w:cs="Times New Roman" w:eastAsia="Times New Roman" w:hint="default"/>
                <w:w w:val="101"/>
                <w:sz w:val="18"/>
                <w:szCs w:val="18"/>
              </w:rPr>
              <w:t>821</w:t>
            </w:r>
            <w:r>
              <w:rPr>
                <w:rFonts w:ascii="Times New Roman" w:hAnsi="Times New Roman" w:cs="Times New Roman" w:eastAsia="Times New Roman" w:hint="default"/>
                <w:spacing w:val="-2"/>
                <w:sz w:val="18"/>
                <w:szCs w:val="18"/>
              </w:rPr>
              <w:t> </w:t>
            </w:r>
            <w:r>
              <w:rPr>
                <w:rFonts w:ascii="宋体" w:hAnsi="宋体" w:cs="宋体" w:eastAsia="宋体" w:hint="default"/>
                <w:spacing w:val="-5"/>
                <w:w w:val="101"/>
                <w:sz w:val="18"/>
                <w:szCs w:val="18"/>
              </w:rPr>
              <w:t>股</w:t>
            </w:r>
            <w:r>
              <w:rPr>
                <w:rFonts w:ascii="宋体" w:hAnsi="宋体" w:cs="宋体" w:eastAsia="宋体" w:hint="default"/>
                <w:w w:val="101"/>
                <w:sz w:val="18"/>
                <w:szCs w:val="18"/>
              </w:rPr>
              <w:t>股</w:t>
            </w:r>
            <w:r>
              <w:rPr>
                <w:rFonts w:ascii="宋体" w:hAnsi="宋体" w:cs="宋体" w:eastAsia="宋体" w:hint="default"/>
                <w:spacing w:val="-5"/>
                <w:w w:val="101"/>
                <w:sz w:val="18"/>
                <w:szCs w:val="18"/>
              </w:rPr>
              <w:t>份</w:t>
            </w:r>
            <w:r>
              <w:rPr>
                <w:rFonts w:ascii="宋体" w:hAnsi="宋体" w:cs="宋体" w:eastAsia="宋体" w:hint="default"/>
                <w:w w:val="101"/>
                <w:sz w:val="18"/>
                <w:szCs w:val="18"/>
              </w:rPr>
              <w:t>（</w:t>
            </w:r>
            <w:r>
              <w:rPr>
                <w:rFonts w:ascii="宋体" w:hAnsi="宋体" w:cs="宋体" w:eastAsia="宋体" w:hint="default"/>
                <w:spacing w:val="-5"/>
                <w:w w:val="101"/>
                <w:sz w:val="18"/>
                <w:szCs w:val="18"/>
              </w:rPr>
              <w:t>持</w:t>
            </w:r>
            <w:r>
              <w:rPr>
                <w:rFonts w:ascii="宋体" w:hAnsi="宋体" w:cs="宋体" w:eastAsia="宋体" w:hint="default"/>
                <w:w w:val="101"/>
                <w:sz w:val="18"/>
                <w:szCs w:val="18"/>
              </w:rPr>
              <w:t>股</w:t>
            </w:r>
            <w:r>
              <w:rPr>
                <w:rFonts w:ascii="宋体" w:hAnsi="宋体" w:cs="宋体" w:eastAsia="宋体" w:hint="default"/>
                <w:spacing w:val="-5"/>
                <w:w w:val="101"/>
                <w:sz w:val="18"/>
                <w:szCs w:val="18"/>
              </w:rPr>
              <w:t>比</w:t>
            </w:r>
            <w:r>
              <w:rPr>
                <w:rFonts w:ascii="宋体" w:hAnsi="宋体" w:cs="宋体" w:eastAsia="宋体" w:hint="default"/>
                <w:w w:val="101"/>
                <w:sz w:val="18"/>
                <w:szCs w:val="18"/>
              </w:rPr>
              <w:t>例为</w:t>
            </w:r>
            <w:r>
              <w:rPr>
                <w:rFonts w:ascii="宋体" w:hAnsi="宋体" w:cs="宋体" w:eastAsia="宋体" w:hint="default"/>
                <w:spacing w:val="-51"/>
                <w:sz w:val="18"/>
                <w:szCs w:val="18"/>
              </w:rPr>
              <w:t> </w:t>
            </w:r>
            <w:r>
              <w:rPr>
                <w:rFonts w:ascii="Times New Roman" w:hAnsi="Times New Roman" w:cs="Times New Roman" w:eastAsia="Times New Roman" w:hint="default"/>
                <w:w w:val="101"/>
                <w:sz w:val="18"/>
                <w:szCs w:val="18"/>
              </w:rPr>
              <w:t>0</w:t>
            </w:r>
            <w:r>
              <w:rPr>
                <w:rFonts w:ascii="Times New Roman" w:hAnsi="Times New Roman" w:cs="Times New Roman" w:eastAsia="Times New Roman" w:hint="default"/>
                <w:spacing w:val="2"/>
                <w:w w:val="101"/>
                <w:sz w:val="18"/>
                <w:szCs w:val="18"/>
              </w:rPr>
              <w:t>.</w:t>
            </w:r>
            <w:r>
              <w:rPr>
                <w:rFonts w:ascii="Times New Roman" w:hAnsi="Times New Roman" w:cs="Times New Roman" w:eastAsia="Times New Roman" w:hint="default"/>
                <w:w w:val="101"/>
                <w:sz w:val="18"/>
                <w:szCs w:val="18"/>
              </w:rPr>
              <w:t>4</w:t>
            </w:r>
            <w:r>
              <w:rPr>
                <w:rFonts w:ascii="Times New Roman" w:hAnsi="Times New Roman" w:cs="Times New Roman" w:eastAsia="Times New Roman" w:hint="default"/>
                <w:spacing w:val="-5"/>
                <w:w w:val="101"/>
                <w:sz w:val="18"/>
                <w:szCs w:val="18"/>
              </w:rPr>
              <w:t>6</w:t>
            </w:r>
            <w:r>
              <w:rPr>
                <w:rFonts w:ascii="Times New Roman" w:hAnsi="Times New Roman" w:cs="Times New Roman" w:eastAsia="Times New Roman" w:hint="default"/>
                <w:spacing w:val="1"/>
                <w:w w:val="101"/>
                <w:sz w:val="18"/>
                <w:szCs w:val="18"/>
              </w:rPr>
              <w:t>%</w:t>
            </w:r>
            <w:r>
              <w:rPr>
                <w:rFonts w:ascii="宋体" w:hAnsi="宋体" w:cs="宋体" w:eastAsia="宋体" w:hint="default"/>
                <w:spacing w:val="-96"/>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持</w:t>
            </w:r>
            <w:r>
              <w:rPr>
                <w:rFonts w:ascii="宋体" w:hAnsi="宋体" w:cs="宋体" w:eastAsia="宋体" w:hint="default"/>
                <w:w w:val="101"/>
                <w:sz w:val="18"/>
                <w:szCs w:val="18"/>
              </w:rPr>
              <w:t>有</w:t>
            </w:r>
            <w:r>
              <w:rPr>
                <w:rFonts w:ascii="宋体" w:hAnsi="宋体" w:cs="宋体" w:eastAsia="宋体" w:hint="default"/>
                <w:spacing w:val="-5"/>
                <w:w w:val="101"/>
                <w:sz w:val="18"/>
                <w:szCs w:val="18"/>
              </w:rPr>
              <w:t>亨</w:t>
            </w:r>
            <w:r>
              <w:rPr>
                <w:rFonts w:ascii="宋体" w:hAnsi="宋体" w:cs="宋体" w:eastAsia="宋体" w:hint="default"/>
                <w:w w:val="101"/>
                <w:sz w:val="18"/>
                <w:szCs w:val="18"/>
              </w:rPr>
              <w:t>通</w:t>
            </w:r>
            <w:r>
              <w:rPr>
                <w:rFonts w:ascii="宋体" w:hAnsi="宋体" w:cs="宋体" w:eastAsia="宋体" w:hint="default"/>
                <w:spacing w:val="-5"/>
                <w:w w:val="101"/>
                <w:sz w:val="18"/>
                <w:szCs w:val="18"/>
              </w:rPr>
              <w:t>光</w:t>
            </w:r>
            <w:r>
              <w:rPr>
                <w:rFonts w:ascii="宋体" w:hAnsi="宋体" w:cs="宋体" w:eastAsia="宋体" w:hint="default"/>
                <w:w w:val="101"/>
                <w:sz w:val="18"/>
                <w:szCs w:val="18"/>
              </w:rPr>
              <w:t>电</w:t>
            </w:r>
            <w:r>
              <w:rPr>
                <w:rFonts w:ascii="宋体" w:hAnsi="宋体" w:cs="宋体" w:eastAsia="宋体" w:hint="default"/>
                <w:spacing w:val="-47"/>
                <w:sz w:val="18"/>
                <w:szCs w:val="18"/>
              </w:rPr>
              <w:t> </w:t>
            </w:r>
            <w:r>
              <w:rPr>
                <w:rFonts w:ascii="Times New Roman" w:hAnsi="Times New Roman" w:cs="Times New Roman" w:eastAsia="Times New Roman" w:hint="default"/>
                <w:w w:val="101"/>
                <w:sz w:val="18"/>
                <w:szCs w:val="18"/>
              </w:rPr>
              <w:t>1</w:t>
            </w:r>
            <w:r>
              <w:rPr>
                <w:rFonts w:ascii="Times New Roman" w:hAnsi="Times New Roman" w:cs="Times New Roman" w:eastAsia="Times New Roman" w:hint="default"/>
                <w:spacing w:val="-5"/>
                <w:w w:val="101"/>
                <w:sz w:val="18"/>
                <w:szCs w:val="18"/>
              </w:rPr>
              <w:t>6</w:t>
            </w:r>
            <w:r>
              <w:rPr>
                <w:rFonts w:ascii="Times New Roman" w:hAnsi="Times New Roman" w:cs="Times New Roman" w:eastAsia="Times New Roman" w:hint="default"/>
                <w:spacing w:val="2"/>
                <w:w w:val="101"/>
                <w:sz w:val="18"/>
                <w:szCs w:val="18"/>
              </w:rPr>
              <w:t>,</w:t>
            </w:r>
            <w:r>
              <w:rPr>
                <w:rFonts w:ascii="Times New Roman" w:hAnsi="Times New Roman" w:cs="Times New Roman" w:eastAsia="Times New Roman" w:hint="default"/>
                <w:w w:val="101"/>
                <w:sz w:val="18"/>
                <w:szCs w:val="18"/>
              </w:rPr>
              <w:t>02</w:t>
            </w:r>
            <w:r>
              <w:rPr>
                <w:rFonts w:ascii="Times New Roman" w:hAnsi="Times New Roman" w:cs="Times New Roman" w:eastAsia="Times New Roman" w:hint="default"/>
                <w:spacing w:val="-5"/>
                <w:w w:val="101"/>
                <w:sz w:val="18"/>
                <w:szCs w:val="18"/>
              </w:rPr>
              <w:t>7</w:t>
            </w:r>
            <w:r>
              <w:rPr>
                <w:rFonts w:ascii="Times New Roman" w:hAnsi="Times New Roman" w:cs="Times New Roman" w:eastAsia="Times New Roman" w:hint="default"/>
                <w:spacing w:val="2"/>
                <w:w w:val="101"/>
                <w:sz w:val="18"/>
                <w:szCs w:val="18"/>
              </w:rPr>
              <w:t>,</w:t>
            </w:r>
            <w:r>
              <w:rPr>
                <w:rFonts w:ascii="Times New Roman" w:hAnsi="Times New Roman" w:cs="Times New Roman" w:eastAsia="Times New Roman" w:hint="default"/>
                <w:spacing w:val="-5"/>
                <w:w w:val="101"/>
                <w:sz w:val="18"/>
                <w:szCs w:val="18"/>
              </w:rPr>
              <w:t>4</w:t>
            </w:r>
            <w:r>
              <w:rPr>
                <w:rFonts w:ascii="Times New Roman" w:hAnsi="Times New Roman" w:cs="Times New Roman" w:eastAsia="Times New Roman" w:hint="default"/>
                <w:w w:val="101"/>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w w:val="101"/>
                <w:sz w:val="18"/>
                <w:szCs w:val="18"/>
              </w:rPr>
              <w:t>股股 </w:t>
            </w:r>
            <w:r>
              <w:rPr>
                <w:rFonts w:ascii="宋体" w:hAnsi="宋体" w:cs="宋体" w:eastAsia="宋体" w:hint="default"/>
                <w:spacing w:val="-58"/>
                <w:w w:val="101"/>
                <w:sz w:val="18"/>
                <w:szCs w:val="18"/>
              </w:rPr>
              <w:t>份</w:t>
            </w:r>
            <w:r>
              <w:rPr>
                <w:rFonts w:ascii="宋体" w:hAnsi="宋体" w:cs="宋体" w:eastAsia="宋体" w:hint="default"/>
                <w:w w:val="101"/>
                <w:sz w:val="18"/>
                <w:szCs w:val="18"/>
              </w:rPr>
              <w:t>（</w:t>
            </w:r>
            <w:r>
              <w:rPr>
                <w:rFonts w:ascii="宋体" w:hAnsi="宋体" w:cs="宋体" w:eastAsia="宋体" w:hint="default"/>
                <w:spacing w:val="-5"/>
                <w:w w:val="101"/>
                <w:sz w:val="18"/>
                <w:szCs w:val="18"/>
              </w:rPr>
              <w:t>持</w:t>
            </w:r>
            <w:r>
              <w:rPr>
                <w:rFonts w:ascii="宋体" w:hAnsi="宋体" w:cs="宋体" w:eastAsia="宋体" w:hint="default"/>
                <w:w w:val="101"/>
                <w:sz w:val="18"/>
                <w:szCs w:val="18"/>
              </w:rPr>
              <w:t>股</w:t>
            </w:r>
            <w:r>
              <w:rPr>
                <w:rFonts w:ascii="宋体" w:hAnsi="宋体" w:cs="宋体" w:eastAsia="宋体" w:hint="default"/>
                <w:spacing w:val="-5"/>
                <w:w w:val="101"/>
                <w:sz w:val="18"/>
                <w:szCs w:val="18"/>
              </w:rPr>
              <w:t>比</w:t>
            </w:r>
            <w:r>
              <w:rPr>
                <w:rFonts w:ascii="宋体" w:hAnsi="宋体" w:cs="宋体" w:eastAsia="宋体" w:hint="default"/>
                <w:w w:val="101"/>
                <w:sz w:val="18"/>
                <w:szCs w:val="18"/>
              </w:rPr>
              <w:t>例为</w:t>
            </w:r>
            <w:r>
              <w:rPr>
                <w:rFonts w:ascii="宋体" w:hAnsi="宋体" w:cs="宋体" w:eastAsia="宋体" w:hint="default"/>
                <w:spacing w:val="-47"/>
                <w:sz w:val="18"/>
                <w:szCs w:val="18"/>
              </w:rPr>
              <w:t> </w:t>
            </w:r>
            <w:r>
              <w:rPr>
                <w:rFonts w:ascii="Times New Roman" w:hAnsi="Times New Roman" w:cs="Times New Roman" w:eastAsia="Times New Roman" w:hint="default"/>
                <w:spacing w:val="-5"/>
                <w:w w:val="101"/>
                <w:sz w:val="18"/>
                <w:szCs w:val="18"/>
              </w:rPr>
              <w:t>0</w:t>
            </w:r>
            <w:r>
              <w:rPr>
                <w:rFonts w:ascii="Times New Roman" w:hAnsi="Times New Roman" w:cs="Times New Roman" w:eastAsia="Times New Roman" w:hint="default"/>
                <w:spacing w:val="2"/>
                <w:w w:val="101"/>
                <w:sz w:val="18"/>
                <w:szCs w:val="18"/>
              </w:rPr>
              <w:t>.</w:t>
            </w:r>
            <w:r>
              <w:rPr>
                <w:rFonts w:ascii="Times New Roman" w:hAnsi="Times New Roman" w:cs="Times New Roman" w:eastAsia="Times New Roman" w:hint="default"/>
                <w:w w:val="101"/>
                <w:sz w:val="18"/>
                <w:szCs w:val="18"/>
              </w:rPr>
              <w:t>4</w:t>
            </w:r>
            <w:r>
              <w:rPr>
                <w:rFonts w:ascii="Times New Roman" w:hAnsi="Times New Roman" w:cs="Times New Roman" w:eastAsia="Times New Roman" w:hint="default"/>
                <w:spacing w:val="-5"/>
                <w:w w:val="101"/>
                <w:sz w:val="18"/>
                <w:szCs w:val="18"/>
              </w:rPr>
              <w:t>5</w:t>
            </w:r>
            <w:r>
              <w:rPr>
                <w:rFonts w:ascii="Times New Roman" w:hAnsi="Times New Roman" w:cs="Times New Roman" w:eastAsia="Times New Roman" w:hint="default"/>
                <w:spacing w:val="2"/>
                <w:w w:val="101"/>
                <w:sz w:val="18"/>
                <w:szCs w:val="18"/>
              </w:rPr>
              <w:t>%</w:t>
            </w:r>
            <w:r>
              <w:rPr>
                <w:rFonts w:ascii="宋体" w:hAnsi="宋体" w:cs="宋体" w:eastAsia="宋体" w:hint="default"/>
                <w:spacing w:val="-92"/>
                <w:w w:val="101"/>
                <w:sz w:val="18"/>
                <w:szCs w:val="18"/>
              </w:rPr>
              <w:t>）</w:t>
            </w:r>
            <w:r>
              <w:rPr>
                <w:rFonts w:ascii="宋体" w:hAnsi="宋体" w:cs="宋体" w:eastAsia="宋体" w:hint="default"/>
                <w:spacing w:val="-63"/>
                <w:w w:val="101"/>
                <w:sz w:val="18"/>
                <w:szCs w:val="18"/>
              </w:rPr>
              <w:t>；</w:t>
            </w:r>
            <w:r>
              <w:rPr>
                <w:rFonts w:ascii="宋体" w:hAnsi="宋体" w:cs="宋体" w:eastAsia="宋体" w:hint="default"/>
                <w:w w:val="101"/>
                <w:sz w:val="18"/>
                <w:szCs w:val="18"/>
              </w:rPr>
              <w:t>持</w:t>
            </w:r>
            <w:r>
              <w:rPr>
                <w:rFonts w:ascii="宋体" w:hAnsi="宋体" w:cs="宋体" w:eastAsia="宋体" w:hint="default"/>
                <w:spacing w:val="-5"/>
                <w:w w:val="101"/>
                <w:sz w:val="18"/>
                <w:szCs w:val="18"/>
              </w:rPr>
              <w:t>有</w:t>
            </w:r>
            <w:r>
              <w:rPr>
                <w:rFonts w:ascii="宋体" w:hAnsi="宋体" w:cs="宋体" w:eastAsia="宋体" w:hint="default"/>
                <w:w w:val="101"/>
                <w:sz w:val="18"/>
                <w:szCs w:val="18"/>
              </w:rPr>
              <w:t>光</w:t>
            </w:r>
            <w:r>
              <w:rPr>
                <w:rFonts w:ascii="宋体" w:hAnsi="宋体" w:cs="宋体" w:eastAsia="宋体" w:hint="default"/>
                <w:spacing w:val="-5"/>
                <w:w w:val="101"/>
                <w:sz w:val="18"/>
                <w:szCs w:val="18"/>
              </w:rPr>
              <w:t>电</w:t>
            </w:r>
            <w:r>
              <w:rPr>
                <w:rFonts w:ascii="宋体" w:hAnsi="宋体" w:cs="宋体" w:eastAsia="宋体" w:hint="default"/>
                <w:w w:val="101"/>
                <w:sz w:val="18"/>
                <w:szCs w:val="18"/>
              </w:rPr>
              <w:t>股份</w:t>
            </w:r>
            <w:r>
              <w:rPr>
                <w:rFonts w:ascii="宋体" w:hAnsi="宋体" w:cs="宋体" w:eastAsia="宋体" w:hint="default"/>
                <w:spacing w:val="-47"/>
                <w:sz w:val="18"/>
                <w:szCs w:val="18"/>
              </w:rPr>
              <w:t> </w:t>
            </w:r>
            <w:r>
              <w:rPr>
                <w:rFonts w:ascii="Times New Roman" w:hAnsi="Times New Roman" w:cs="Times New Roman" w:eastAsia="Times New Roman" w:hint="default"/>
                <w:spacing w:val="-5"/>
                <w:w w:val="101"/>
                <w:sz w:val="18"/>
                <w:szCs w:val="18"/>
              </w:rPr>
              <w:t>1</w:t>
            </w:r>
            <w:r>
              <w:rPr>
                <w:rFonts w:ascii="Times New Roman" w:hAnsi="Times New Roman" w:cs="Times New Roman" w:eastAsia="Times New Roman" w:hint="default"/>
                <w:spacing w:val="2"/>
                <w:w w:val="101"/>
                <w:sz w:val="18"/>
                <w:szCs w:val="18"/>
              </w:rPr>
              <w:t>,</w:t>
            </w:r>
            <w:r>
              <w:rPr>
                <w:rFonts w:ascii="Times New Roman" w:hAnsi="Times New Roman" w:cs="Times New Roman" w:eastAsia="Times New Roman" w:hint="default"/>
                <w:w w:val="101"/>
                <w:sz w:val="18"/>
                <w:szCs w:val="18"/>
              </w:rPr>
              <w:t>8</w:t>
            </w:r>
            <w:r>
              <w:rPr>
                <w:rFonts w:ascii="Times New Roman" w:hAnsi="Times New Roman" w:cs="Times New Roman" w:eastAsia="Times New Roman" w:hint="default"/>
                <w:spacing w:val="-5"/>
                <w:w w:val="101"/>
                <w:sz w:val="18"/>
                <w:szCs w:val="18"/>
              </w:rPr>
              <w:t>5</w:t>
            </w:r>
            <w:r>
              <w:rPr>
                <w:rFonts w:ascii="Times New Roman" w:hAnsi="Times New Roman" w:cs="Times New Roman" w:eastAsia="Times New Roman" w:hint="default"/>
                <w:w w:val="101"/>
                <w:sz w:val="18"/>
                <w:szCs w:val="18"/>
              </w:rPr>
              <w:t>6</w:t>
            </w:r>
            <w:r>
              <w:rPr>
                <w:rFonts w:ascii="Times New Roman" w:hAnsi="Times New Roman" w:cs="Times New Roman" w:eastAsia="Times New Roman" w:hint="default"/>
                <w:spacing w:val="-3"/>
                <w:w w:val="101"/>
                <w:sz w:val="18"/>
                <w:szCs w:val="18"/>
              </w:rPr>
              <w:t>,</w:t>
            </w:r>
            <w:r>
              <w:rPr>
                <w:rFonts w:ascii="Times New Roman" w:hAnsi="Times New Roman" w:cs="Times New Roman" w:eastAsia="Times New Roman" w:hint="default"/>
                <w:w w:val="101"/>
                <w:sz w:val="18"/>
                <w:szCs w:val="18"/>
              </w:rPr>
              <w:t>786</w:t>
            </w:r>
            <w:r>
              <w:rPr>
                <w:rFonts w:ascii="Times New Roman" w:hAnsi="Times New Roman" w:cs="Times New Roman" w:eastAsia="Times New Roman" w:hint="default"/>
                <w:spacing w:val="-2"/>
                <w:sz w:val="18"/>
                <w:szCs w:val="18"/>
              </w:rPr>
              <w:t> </w:t>
            </w:r>
            <w:r>
              <w:rPr>
                <w:rFonts w:ascii="宋体" w:hAnsi="宋体" w:cs="宋体" w:eastAsia="宋体" w:hint="default"/>
                <w:spacing w:val="-5"/>
                <w:w w:val="101"/>
                <w:sz w:val="18"/>
                <w:szCs w:val="18"/>
              </w:rPr>
              <w:t>股</w:t>
            </w:r>
            <w:r>
              <w:rPr>
                <w:rFonts w:ascii="宋体" w:hAnsi="宋体" w:cs="宋体" w:eastAsia="宋体" w:hint="default"/>
                <w:w w:val="101"/>
                <w:sz w:val="18"/>
                <w:szCs w:val="18"/>
              </w:rPr>
              <w:t>股</w:t>
            </w:r>
            <w:r>
              <w:rPr>
                <w:rFonts w:ascii="宋体" w:hAnsi="宋体" w:cs="宋体" w:eastAsia="宋体" w:hint="default"/>
                <w:spacing w:val="-58"/>
                <w:w w:val="101"/>
                <w:sz w:val="18"/>
                <w:szCs w:val="18"/>
              </w:rPr>
              <w:t>份</w:t>
            </w:r>
            <w:r>
              <w:rPr>
                <w:rFonts w:ascii="宋体" w:hAnsi="宋体" w:cs="宋体" w:eastAsia="宋体" w:hint="default"/>
                <w:spacing w:val="-5"/>
                <w:w w:val="101"/>
                <w:sz w:val="18"/>
                <w:szCs w:val="18"/>
              </w:rPr>
              <w:t>（</w:t>
            </w:r>
            <w:r>
              <w:rPr>
                <w:rFonts w:ascii="宋体" w:hAnsi="宋体" w:cs="宋体" w:eastAsia="宋体" w:hint="default"/>
                <w:w w:val="101"/>
                <w:sz w:val="18"/>
                <w:szCs w:val="18"/>
              </w:rPr>
              <w:t>持</w:t>
            </w:r>
            <w:r>
              <w:rPr>
                <w:rFonts w:ascii="宋体" w:hAnsi="宋体" w:cs="宋体" w:eastAsia="宋体" w:hint="default"/>
                <w:spacing w:val="-5"/>
                <w:w w:val="101"/>
                <w:sz w:val="18"/>
                <w:szCs w:val="18"/>
              </w:rPr>
              <w:t>股</w:t>
            </w:r>
            <w:r>
              <w:rPr>
                <w:rFonts w:ascii="宋体" w:hAnsi="宋体" w:cs="宋体" w:eastAsia="宋体" w:hint="default"/>
                <w:w w:val="101"/>
                <w:sz w:val="18"/>
                <w:szCs w:val="18"/>
              </w:rPr>
              <w:t>比例为</w:t>
            </w:r>
            <w:r>
              <w:rPr>
                <w:rFonts w:ascii="宋体" w:hAnsi="宋体" w:cs="宋体" w:eastAsia="宋体" w:hint="default"/>
                <w:spacing w:val="-47"/>
                <w:sz w:val="18"/>
                <w:szCs w:val="18"/>
              </w:rPr>
              <w:t> </w:t>
            </w:r>
            <w:r>
              <w:rPr>
                <w:rFonts w:ascii="Times New Roman" w:hAnsi="Times New Roman" w:cs="Times New Roman" w:eastAsia="Times New Roman" w:hint="default"/>
                <w:spacing w:val="-5"/>
                <w:w w:val="101"/>
                <w:sz w:val="18"/>
                <w:szCs w:val="18"/>
              </w:rPr>
              <w:t>0</w:t>
            </w:r>
            <w:r>
              <w:rPr>
                <w:rFonts w:ascii="Times New Roman" w:hAnsi="Times New Roman" w:cs="Times New Roman" w:eastAsia="Times New Roman" w:hint="default"/>
                <w:spacing w:val="2"/>
                <w:w w:val="101"/>
                <w:sz w:val="18"/>
                <w:szCs w:val="18"/>
              </w:rPr>
              <w:t>.</w:t>
            </w:r>
            <w:r>
              <w:rPr>
                <w:rFonts w:ascii="Times New Roman" w:hAnsi="Times New Roman" w:cs="Times New Roman" w:eastAsia="Times New Roman" w:hint="default"/>
                <w:spacing w:val="-5"/>
                <w:w w:val="101"/>
                <w:sz w:val="18"/>
                <w:szCs w:val="18"/>
              </w:rPr>
              <w:t>3</w:t>
            </w:r>
            <w:r>
              <w:rPr>
                <w:rFonts w:ascii="Times New Roman" w:hAnsi="Times New Roman" w:cs="Times New Roman" w:eastAsia="Times New Roman" w:hint="default"/>
                <w:w w:val="101"/>
                <w:sz w:val="18"/>
                <w:szCs w:val="18"/>
              </w:rPr>
              <w:t>6</w:t>
            </w:r>
            <w:r>
              <w:rPr>
                <w:rFonts w:ascii="Times New Roman" w:hAnsi="Times New Roman" w:cs="Times New Roman" w:eastAsia="Times New Roman" w:hint="default"/>
                <w:spacing w:val="-3"/>
                <w:w w:val="101"/>
                <w:sz w:val="18"/>
                <w:szCs w:val="18"/>
              </w:rPr>
              <w:t>%</w:t>
            </w:r>
            <w:r>
              <w:rPr>
                <w:rFonts w:ascii="宋体" w:hAnsi="宋体" w:cs="宋体" w:eastAsia="宋体" w:hint="default"/>
                <w:spacing w:val="-92"/>
                <w:w w:val="101"/>
                <w:sz w:val="18"/>
                <w:szCs w:val="18"/>
              </w:rPr>
              <w:t>）</w:t>
            </w:r>
            <w:r>
              <w:rPr>
                <w:rFonts w:ascii="宋体" w:hAnsi="宋体" w:cs="宋体" w:eastAsia="宋体" w:hint="default"/>
                <w:spacing w:val="-58"/>
                <w:w w:val="101"/>
                <w:sz w:val="18"/>
                <w:szCs w:val="18"/>
              </w:rPr>
              <w:t>；</w:t>
            </w:r>
            <w:r>
              <w:rPr>
                <w:rFonts w:ascii="宋体" w:hAnsi="宋体" w:cs="宋体" w:eastAsia="宋体" w:hint="default"/>
                <w:spacing w:val="-5"/>
                <w:w w:val="101"/>
                <w:sz w:val="18"/>
                <w:szCs w:val="18"/>
              </w:rPr>
              <w:t>持</w:t>
            </w:r>
            <w:r>
              <w:rPr>
                <w:rFonts w:ascii="宋体" w:hAnsi="宋体" w:cs="宋体" w:eastAsia="宋体" w:hint="default"/>
                <w:w w:val="101"/>
                <w:sz w:val="18"/>
                <w:szCs w:val="18"/>
              </w:rPr>
              <w:t>有</w:t>
            </w:r>
            <w:r>
              <w:rPr>
                <w:rFonts w:ascii="宋体" w:hAnsi="宋体" w:cs="宋体" w:eastAsia="宋体" w:hint="default"/>
                <w:spacing w:val="-5"/>
                <w:w w:val="101"/>
                <w:sz w:val="18"/>
                <w:szCs w:val="18"/>
              </w:rPr>
              <w:t>人</w:t>
            </w:r>
            <w:r>
              <w:rPr>
                <w:rFonts w:ascii="宋体" w:hAnsi="宋体" w:cs="宋体" w:eastAsia="宋体" w:hint="default"/>
                <w:w w:val="101"/>
                <w:sz w:val="18"/>
                <w:szCs w:val="18"/>
              </w:rPr>
              <w:t>福医药</w:t>
            </w:r>
            <w:r>
              <w:rPr>
                <w:rFonts w:ascii="宋体" w:hAnsi="宋体" w:cs="宋体" w:eastAsia="宋体" w:hint="default"/>
                <w:spacing w:val="-52"/>
                <w:sz w:val="18"/>
                <w:szCs w:val="18"/>
              </w:rPr>
              <w:t> </w:t>
            </w:r>
            <w:r>
              <w:rPr>
                <w:rFonts w:ascii="Times New Roman" w:hAnsi="Times New Roman" w:cs="Times New Roman" w:eastAsia="Times New Roman" w:hint="default"/>
                <w:w w:val="101"/>
                <w:sz w:val="18"/>
                <w:szCs w:val="18"/>
              </w:rPr>
              <w:t>1</w:t>
            </w:r>
            <w:r>
              <w:rPr>
                <w:rFonts w:ascii="Times New Roman" w:hAnsi="Times New Roman" w:cs="Times New Roman" w:eastAsia="Times New Roman" w:hint="default"/>
                <w:spacing w:val="-3"/>
                <w:w w:val="101"/>
                <w:sz w:val="18"/>
                <w:szCs w:val="18"/>
              </w:rPr>
              <w:t>,</w:t>
            </w:r>
            <w:r>
              <w:rPr>
                <w:rFonts w:ascii="Times New Roman" w:hAnsi="Times New Roman" w:cs="Times New Roman" w:eastAsia="Times New Roman" w:hint="default"/>
                <w:w w:val="101"/>
                <w:sz w:val="18"/>
                <w:szCs w:val="18"/>
              </w:rPr>
              <w:t>94</w:t>
            </w:r>
            <w:r>
              <w:rPr>
                <w:rFonts w:ascii="Times New Roman" w:hAnsi="Times New Roman" w:cs="Times New Roman" w:eastAsia="Times New Roman" w:hint="default"/>
                <w:spacing w:val="-5"/>
                <w:w w:val="101"/>
                <w:sz w:val="18"/>
                <w:szCs w:val="18"/>
              </w:rPr>
              <w:t>4</w:t>
            </w:r>
            <w:r>
              <w:rPr>
                <w:rFonts w:ascii="Times New Roman" w:hAnsi="Times New Roman" w:cs="Times New Roman" w:eastAsia="Times New Roman" w:hint="default"/>
                <w:spacing w:val="2"/>
                <w:w w:val="101"/>
                <w:sz w:val="18"/>
                <w:szCs w:val="18"/>
              </w:rPr>
              <w:t>,</w:t>
            </w:r>
            <w:r>
              <w:rPr>
                <w:rFonts w:ascii="Times New Roman" w:hAnsi="Times New Roman" w:cs="Times New Roman" w:eastAsia="Times New Roman" w:hint="default"/>
                <w:w w:val="101"/>
                <w:sz w:val="18"/>
                <w:szCs w:val="18"/>
              </w:rPr>
              <w:t>700</w:t>
            </w:r>
            <w:r>
              <w:rPr>
                <w:rFonts w:ascii="Times New Roman" w:hAnsi="Times New Roman" w:cs="Times New Roman" w:eastAsia="Times New Roman" w:hint="default"/>
                <w:sz w:val="18"/>
                <w:szCs w:val="18"/>
              </w:rPr>
            </w:r>
          </w:p>
          <w:p>
            <w:pPr>
              <w:pStyle w:val="TableParagraph"/>
              <w:spacing w:line="240" w:lineRule="auto" w:before="13"/>
              <w:ind w:left="24" w:right="0"/>
              <w:jc w:val="left"/>
              <w:rPr>
                <w:rFonts w:ascii="Times New Roman" w:hAnsi="Times New Roman" w:cs="Times New Roman" w:eastAsia="Times New Roman" w:hint="default"/>
                <w:sz w:val="18"/>
                <w:szCs w:val="18"/>
              </w:rPr>
            </w:pPr>
            <w:r>
              <w:rPr>
                <w:rFonts w:ascii="宋体" w:hAnsi="宋体" w:cs="宋体" w:eastAsia="宋体" w:hint="default"/>
                <w:w w:val="101"/>
                <w:sz w:val="18"/>
                <w:szCs w:val="18"/>
              </w:rPr>
              <w:t>股</w:t>
            </w:r>
            <w:r>
              <w:rPr>
                <w:rFonts w:ascii="宋体" w:hAnsi="宋体" w:cs="宋体" w:eastAsia="宋体" w:hint="default"/>
                <w:spacing w:val="-5"/>
                <w:w w:val="101"/>
                <w:sz w:val="18"/>
                <w:szCs w:val="18"/>
              </w:rPr>
              <w:t>股</w:t>
            </w:r>
            <w:r>
              <w:rPr>
                <w:rFonts w:ascii="宋体" w:hAnsi="宋体" w:cs="宋体" w:eastAsia="宋体" w:hint="default"/>
                <w:spacing w:val="-92"/>
                <w:w w:val="101"/>
                <w:sz w:val="18"/>
                <w:szCs w:val="18"/>
              </w:rPr>
              <w:t>份</w:t>
            </w:r>
            <w:r>
              <w:rPr>
                <w:rFonts w:ascii="宋体" w:hAnsi="宋体" w:cs="宋体" w:eastAsia="宋体" w:hint="default"/>
                <w:w w:val="101"/>
                <w:sz w:val="18"/>
                <w:szCs w:val="18"/>
              </w:rPr>
              <w:t>（</w:t>
            </w:r>
            <w:r>
              <w:rPr>
                <w:rFonts w:ascii="宋体" w:hAnsi="宋体" w:cs="宋体" w:eastAsia="宋体" w:hint="default"/>
                <w:spacing w:val="-5"/>
                <w:w w:val="101"/>
                <w:sz w:val="18"/>
                <w:szCs w:val="18"/>
              </w:rPr>
              <w:t>持</w:t>
            </w:r>
            <w:r>
              <w:rPr>
                <w:rFonts w:ascii="宋体" w:hAnsi="宋体" w:cs="宋体" w:eastAsia="宋体" w:hint="default"/>
                <w:w w:val="101"/>
                <w:sz w:val="18"/>
                <w:szCs w:val="18"/>
              </w:rPr>
              <w:t>股</w:t>
            </w:r>
            <w:r>
              <w:rPr>
                <w:rFonts w:ascii="宋体" w:hAnsi="宋体" w:cs="宋体" w:eastAsia="宋体" w:hint="default"/>
                <w:spacing w:val="-5"/>
                <w:w w:val="101"/>
                <w:sz w:val="18"/>
                <w:szCs w:val="18"/>
              </w:rPr>
              <w:t>比例</w:t>
            </w:r>
            <w:r>
              <w:rPr>
                <w:rFonts w:ascii="宋体" w:hAnsi="宋体" w:cs="宋体" w:eastAsia="宋体" w:hint="default"/>
                <w:w w:val="101"/>
                <w:sz w:val="18"/>
                <w:szCs w:val="18"/>
              </w:rPr>
              <w:t>为</w:t>
            </w:r>
            <w:r>
              <w:rPr>
                <w:rFonts w:ascii="宋体" w:hAnsi="宋体" w:cs="宋体" w:eastAsia="宋体" w:hint="default"/>
                <w:spacing w:val="-61"/>
                <w:sz w:val="18"/>
                <w:szCs w:val="18"/>
              </w:rPr>
              <w:t> </w:t>
            </w:r>
            <w:r>
              <w:rPr>
                <w:rFonts w:ascii="Times New Roman" w:hAnsi="Times New Roman" w:cs="Times New Roman" w:eastAsia="Times New Roman" w:hint="default"/>
                <w:spacing w:val="-5"/>
                <w:w w:val="101"/>
                <w:sz w:val="18"/>
                <w:szCs w:val="18"/>
              </w:rPr>
              <w:t>0</w:t>
            </w:r>
            <w:r>
              <w:rPr>
                <w:rFonts w:ascii="Times New Roman" w:hAnsi="Times New Roman" w:cs="Times New Roman" w:eastAsia="Times New Roman" w:hint="default"/>
                <w:spacing w:val="2"/>
                <w:w w:val="101"/>
                <w:sz w:val="18"/>
                <w:szCs w:val="18"/>
              </w:rPr>
              <w:t>.</w:t>
            </w:r>
            <w:r>
              <w:rPr>
                <w:rFonts w:ascii="Times New Roman" w:hAnsi="Times New Roman" w:cs="Times New Roman" w:eastAsia="Times New Roman" w:hint="default"/>
                <w:w w:val="101"/>
                <w:sz w:val="18"/>
                <w:szCs w:val="18"/>
              </w:rPr>
              <w:t>1</w:t>
            </w:r>
            <w:r>
              <w:rPr>
                <w:rFonts w:ascii="Times New Roman" w:hAnsi="Times New Roman" w:cs="Times New Roman" w:eastAsia="Times New Roman" w:hint="default"/>
                <w:spacing w:val="-5"/>
                <w:w w:val="101"/>
                <w:sz w:val="18"/>
                <w:szCs w:val="18"/>
              </w:rPr>
              <w:t>4</w:t>
            </w:r>
            <w:r>
              <w:rPr>
                <w:rFonts w:ascii="Times New Roman" w:hAnsi="Times New Roman" w:cs="Times New Roman" w:eastAsia="Times New Roman" w:hint="default"/>
                <w:spacing w:val="1"/>
                <w:w w:val="101"/>
                <w:sz w:val="18"/>
                <w:szCs w:val="18"/>
              </w:rPr>
              <w:t>%</w:t>
            </w:r>
            <w:r>
              <w:rPr>
                <w:rFonts w:ascii="宋体" w:hAnsi="宋体" w:cs="宋体" w:eastAsia="宋体" w:hint="default"/>
                <w:spacing w:val="-92"/>
                <w:w w:val="101"/>
                <w:sz w:val="18"/>
                <w:szCs w:val="18"/>
              </w:rPr>
              <w:t>）</w:t>
            </w:r>
            <w:r>
              <w:rPr>
                <w:rFonts w:ascii="宋体" w:hAnsi="宋体" w:cs="宋体" w:eastAsia="宋体" w:hint="default"/>
                <w:spacing w:val="-96"/>
                <w:w w:val="101"/>
                <w:sz w:val="18"/>
                <w:szCs w:val="18"/>
              </w:rPr>
              <w:t>；</w:t>
            </w:r>
            <w:r>
              <w:rPr>
                <w:rFonts w:ascii="宋体" w:hAnsi="宋体" w:cs="宋体" w:eastAsia="宋体" w:hint="default"/>
                <w:w w:val="101"/>
                <w:sz w:val="18"/>
                <w:szCs w:val="18"/>
              </w:rPr>
              <w:t>持</w:t>
            </w:r>
            <w:r>
              <w:rPr>
                <w:rFonts w:ascii="宋体" w:hAnsi="宋体" w:cs="宋体" w:eastAsia="宋体" w:hint="default"/>
                <w:spacing w:val="-5"/>
                <w:w w:val="101"/>
                <w:sz w:val="18"/>
                <w:szCs w:val="18"/>
              </w:rPr>
              <w:t>有</w:t>
            </w:r>
            <w:r>
              <w:rPr>
                <w:rFonts w:ascii="宋体" w:hAnsi="宋体" w:cs="宋体" w:eastAsia="宋体" w:hint="default"/>
                <w:w w:val="101"/>
                <w:sz w:val="18"/>
                <w:szCs w:val="18"/>
              </w:rPr>
              <w:t>拓</w:t>
            </w:r>
            <w:r>
              <w:rPr>
                <w:rFonts w:ascii="宋体" w:hAnsi="宋体" w:cs="宋体" w:eastAsia="宋体" w:hint="default"/>
                <w:spacing w:val="-5"/>
                <w:w w:val="101"/>
                <w:sz w:val="18"/>
                <w:szCs w:val="18"/>
              </w:rPr>
              <w:t>邦股</w:t>
            </w:r>
            <w:r>
              <w:rPr>
                <w:rFonts w:ascii="宋体" w:hAnsi="宋体" w:cs="宋体" w:eastAsia="宋体" w:hint="default"/>
                <w:w w:val="101"/>
                <w:sz w:val="18"/>
                <w:szCs w:val="18"/>
              </w:rPr>
              <w:t>份</w:t>
            </w:r>
            <w:r>
              <w:rPr>
                <w:rFonts w:ascii="宋体" w:hAnsi="宋体" w:cs="宋体" w:eastAsia="宋体" w:hint="default"/>
                <w:spacing w:val="-62"/>
                <w:sz w:val="18"/>
                <w:szCs w:val="18"/>
              </w:rPr>
              <w:t> </w:t>
            </w:r>
            <w:r>
              <w:rPr>
                <w:rFonts w:ascii="Times New Roman" w:hAnsi="Times New Roman" w:cs="Times New Roman" w:eastAsia="Times New Roman" w:hint="default"/>
                <w:spacing w:val="-5"/>
                <w:w w:val="101"/>
                <w:sz w:val="18"/>
                <w:szCs w:val="18"/>
              </w:rPr>
              <w:t>2</w:t>
            </w:r>
            <w:r>
              <w:rPr>
                <w:rFonts w:ascii="Times New Roman" w:hAnsi="Times New Roman" w:cs="Times New Roman" w:eastAsia="Times New Roman" w:hint="default"/>
                <w:spacing w:val="2"/>
                <w:w w:val="101"/>
                <w:sz w:val="18"/>
                <w:szCs w:val="18"/>
              </w:rPr>
              <w:t>,</w:t>
            </w:r>
            <w:r>
              <w:rPr>
                <w:rFonts w:ascii="Times New Roman" w:hAnsi="Times New Roman" w:cs="Times New Roman" w:eastAsia="Times New Roman" w:hint="default"/>
                <w:w w:val="101"/>
                <w:sz w:val="18"/>
                <w:szCs w:val="18"/>
              </w:rPr>
              <w:t>96</w:t>
            </w:r>
            <w:r>
              <w:rPr>
                <w:rFonts w:ascii="Times New Roman" w:hAnsi="Times New Roman" w:cs="Times New Roman" w:eastAsia="Times New Roman" w:hint="default"/>
                <w:spacing w:val="-5"/>
                <w:w w:val="101"/>
                <w:sz w:val="18"/>
                <w:szCs w:val="18"/>
              </w:rPr>
              <w:t>1</w:t>
            </w:r>
            <w:r>
              <w:rPr>
                <w:rFonts w:ascii="Times New Roman" w:hAnsi="Times New Roman" w:cs="Times New Roman" w:eastAsia="Times New Roman" w:hint="default"/>
                <w:spacing w:val="2"/>
                <w:w w:val="101"/>
                <w:sz w:val="18"/>
                <w:szCs w:val="18"/>
              </w:rPr>
              <w:t>,</w:t>
            </w:r>
            <w:r>
              <w:rPr>
                <w:rFonts w:ascii="Times New Roman" w:hAnsi="Times New Roman" w:cs="Times New Roman" w:eastAsia="Times New Roman" w:hint="default"/>
                <w:w w:val="101"/>
                <w:sz w:val="18"/>
                <w:szCs w:val="18"/>
              </w:rPr>
              <w:t>0</w:t>
            </w:r>
            <w:r>
              <w:rPr>
                <w:rFonts w:ascii="Times New Roman" w:hAnsi="Times New Roman" w:cs="Times New Roman" w:eastAsia="Times New Roman" w:hint="default"/>
                <w:spacing w:val="-5"/>
                <w:w w:val="101"/>
                <w:sz w:val="18"/>
                <w:szCs w:val="18"/>
              </w:rPr>
              <w:t>7</w:t>
            </w:r>
            <w:r>
              <w:rPr>
                <w:rFonts w:ascii="Times New Roman" w:hAnsi="Times New Roman" w:cs="Times New Roman" w:eastAsia="Times New Roman" w:hint="default"/>
                <w:w w:val="101"/>
                <w:sz w:val="18"/>
                <w:szCs w:val="18"/>
              </w:rPr>
              <w:t>5</w:t>
            </w:r>
            <w:r>
              <w:rPr>
                <w:rFonts w:ascii="Times New Roman" w:hAnsi="Times New Roman" w:cs="Times New Roman" w:eastAsia="Times New Roman" w:hint="default"/>
                <w:spacing w:val="-21"/>
                <w:sz w:val="18"/>
                <w:szCs w:val="18"/>
              </w:rPr>
              <w:t> </w:t>
            </w:r>
            <w:r>
              <w:rPr>
                <w:rFonts w:ascii="宋体" w:hAnsi="宋体" w:cs="宋体" w:eastAsia="宋体" w:hint="default"/>
                <w:w w:val="101"/>
                <w:sz w:val="18"/>
                <w:szCs w:val="18"/>
              </w:rPr>
              <w:t>股</w:t>
            </w:r>
            <w:r>
              <w:rPr>
                <w:rFonts w:ascii="宋体" w:hAnsi="宋体" w:cs="宋体" w:eastAsia="宋体" w:hint="default"/>
                <w:spacing w:val="-5"/>
                <w:w w:val="101"/>
                <w:sz w:val="18"/>
                <w:szCs w:val="18"/>
              </w:rPr>
              <w:t>股</w:t>
            </w:r>
            <w:r>
              <w:rPr>
                <w:rFonts w:ascii="宋体" w:hAnsi="宋体" w:cs="宋体" w:eastAsia="宋体" w:hint="default"/>
                <w:spacing w:val="-92"/>
                <w:w w:val="101"/>
                <w:sz w:val="18"/>
                <w:szCs w:val="18"/>
              </w:rPr>
              <w:t>份</w:t>
            </w:r>
            <w:r>
              <w:rPr>
                <w:rFonts w:ascii="宋体" w:hAnsi="宋体" w:cs="宋体" w:eastAsia="宋体" w:hint="default"/>
                <w:w w:val="101"/>
                <w:sz w:val="18"/>
                <w:szCs w:val="18"/>
              </w:rPr>
              <w:t>（</w:t>
            </w:r>
            <w:r>
              <w:rPr>
                <w:rFonts w:ascii="宋体" w:hAnsi="宋体" w:cs="宋体" w:eastAsia="宋体" w:hint="default"/>
                <w:spacing w:val="-5"/>
                <w:w w:val="101"/>
                <w:sz w:val="18"/>
                <w:szCs w:val="18"/>
              </w:rPr>
              <w:t>持</w:t>
            </w:r>
            <w:r>
              <w:rPr>
                <w:rFonts w:ascii="宋体" w:hAnsi="宋体" w:cs="宋体" w:eastAsia="宋体" w:hint="default"/>
                <w:w w:val="101"/>
                <w:sz w:val="18"/>
                <w:szCs w:val="18"/>
              </w:rPr>
              <w:t>股</w:t>
            </w:r>
            <w:r>
              <w:rPr>
                <w:rFonts w:ascii="宋体" w:hAnsi="宋体" w:cs="宋体" w:eastAsia="宋体" w:hint="default"/>
                <w:spacing w:val="-5"/>
                <w:w w:val="101"/>
                <w:sz w:val="18"/>
                <w:szCs w:val="18"/>
              </w:rPr>
              <w:t>比</w:t>
            </w:r>
            <w:r>
              <w:rPr>
                <w:rFonts w:ascii="宋体" w:hAnsi="宋体" w:cs="宋体" w:eastAsia="宋体" w:hint="default"/>
                <w:w w:val="101"/>
                <w:sz w:val="18"/>
                <w:szCs w:val="18"/>
              </w:rPr>
              <w:t>例为</w:t>
            </w:r>
            <w:r>
              <w:rPr>
                <w:rFonts w:ascii="宋体" w:hAnsi="宋体" w:cs="宋体" w:eastAsia="宋体" w:hint="default"/>
                <w:spacing w:val="-66"/>
                <w:sz w:val="18"/>
                <w:szCs w:val="18"/>
              </w:rPr>
              <w:t> </w:t>
            </w:r>
            <w:r>
              <w:rPr>
                <w:rFonts w:ascii="Times New Roman" w:hAnsi="Times New Roman" w:cs="Times New Roman" w:eastAsia="Times New Roman" w:hint="default"/>
                <w:w w:val="101"/>
                <w:sz w:val="18"/>
                <w:szCs w:val="18"/>
              </w:rPr>
              <w:t>0</w:t>
            </w:r>
            <w:r>
              <w:rPr>
                <w:rFonts w:ascii="Times New Roman" w:hAnsi="Times New Roman" w:cs="Times New Roman" w:eastAsia="Times New Roman" w:hint="default"/>
                <w:spacing w:val="2"/>
                <w:w w:val="101"/>
                <w:sz w:val="18"/>
                <w:szCs w:val="18"/>
              </w:rPr>
              <w:t>.</w:t>
            </w:r>
            <w:r>
              <w:rPr>
                <w:rFonts w:ascii="Times New Roman" w:hAnsi="Times New Roman" w:cs="Times New Roman" w:eastAsia="Times New Roman" w:hint="default"/>
                <w:spacing w:val="-5"/>
                <w:w w:val="101"/>
                <w:sz w:val="18"/>
                <w:szCs w:val="18"/>
              </w:rPr>
              <w:t>29</w:t>
            </w:r>
            <w:r>
              <w:rPr>
                <w:rFonts w:ascii="Times New Roman" w:hAnsi="Times New Roman" w:cs="Times New Roman" w:eastAsia="Times New Roman" w:hint="default"/>
                <w:spacing w:val="2"/>
                <w:w w:val="101"/>
                <w:sz w:val="18"/>
                <w:szCs w:val="18"/>
              </w:rPr>
              <w:t>%</w:t>
            </w:r>
            <w:r>
              <w:rPr>
                <w:rFonts w:ascii="宋体" w:hAnsi="宋体" w:cs="宋体" w:eastAsia="宋体" w:hint="default"/>
                <w:spacing w:val="-92"/>
                <w:w w:val="101"/>
                <w:sz w:val="18"/>
                <w:szCs w:val="18"/>
              </w:rPr>
              <w:t>）</w:t>
            </w:r>
            <w:r>
              <w:rPr>
                <w:rFonts w:ascii="宋体" w:hAnsi="宋体" w:cs="宋体" w:eastAsia="宋体" w:hint="default"/>
                <w:spacing w:val="-96"/>
                <w:w w:val="101"/>
                <w:sz w:val="18"/>
                <w:szCs w:val="18"/>
              </w:rPr>
              <w:t>；</w:t>
            </w:r>
            <w:r>
              <w:rPr>
                <w:rFonts w:ascii="宋体" w:hAnsi="宋体" w:cs="宋体" w:eastAsia="宋体" w:hint="default"/>
                <w:w w:val="101"/>
                <w:sz w:val="18"/>
                <w:szCs w:val="18"/>
              </w:rPr>
              <w:t>持</w:t>
            </w:r>
            <w:r>
              <w:rPr>
                <w:rFonts w:ascii="宋体" w:hAnsi="宋体" w:cs="宋体" w:eastAsia="宋体" w:hint="default"/>
                <w:spacing w:val="-5"/>
                <w:w w:val="101"/>
                <w:sz w:val="18"/>
                <w:szCs w:val="18"/>
              </w:rPr>
              <w:t>有</w:t>
            </w:r>
            <w:r>
              <w:rPr>
                <w:rFonts w:ascii="宋体" w:hAnsi="宋体" w:cs="宋体" w:eastAsia="宋体" w:hint="default"/>
                <w:w w:val="101"/>
                <w:sz w:val="18"/>
                <w:szCs w:val="18"/>
              </w:rPr>
              <w:t>聚</w:t>
            </w:r>
            <w:r>
              <w:rPr>
                <w:rFonts w:ascii="宋体" w:hAnsi="宋体" w:cs="宋体" w:eastAsia="宋体" w:hint="default"/>
                <w:spacing w:val="-5"/>
                <w:w w:val="101"/>
                <w:sz w:val="18"/>
                <w:szCs w:val="18"/>
              </w:rPr>
              <w:t>光</w:t>
            </w:r>
            <w:r>
              <w:rPr>
                <w:rFonts w:ascii="宋体" w:hAnsi="宋体" w:cs="宋体" w:eastAsia="宋体" w:hint="default"/>
                <w:w w:val="101"/>
                <w:sz w:val="18"/>
                <w:szCs w:val="18"/>
              </w:rPr>
              <w:t>科技</w:t>
            </w:r>
            <w:r>
              <w:rPr>
                <w:rFonts w:ascii="宋体" w:hAnsi="宋体" w:cs="宋体" w:eastAsia="宋体" w:hint="default"/>
                <w:spacing w:val="-66"/>
                <w:sz w:val="18"/>
                <w:szCs w:val="18"/>
              </w:rPr>
              <w:t> </w:t>
            </w:r>
            <w:r>
              <w:rPr>
                <w:rFonts w:ascii="Times New Roman" w:hAnsi="Times New Roman" w:cs="Times New Roman" w:eastAsia="Times New Roman" w:hint="default"/>
                <w:w w:val="101"/>
                <w:sz w:val="18"/>
                <w:szCs w:val="18"/>
              </w:rPr>
              <w:t>40</w:t>
            </w:r>
            <w:r>
              <w:rPr>
                <w:rFonts w:ascii="Times New Roman" w:hAnsi="Times New Roman" w:cs="Times New Roman" w:eastAsia="Times New Roman" w:hint="default"/>
                <w:spacing w:val="-5"/>
                <w:w w:val="101"/>
                <w:sz w:val="18"/>
                <w:szCs w:val="18"/>
              </w:rPr>
              <w:t>3</w:t>
            </w:r>
            <w:r>
              <w:rPr>
                <w:rFonts w:ascii="Times New Roman" w:hAnsi="Times New Roman" w:cs="Times New Roman" w:eastAsia="Times New Roman" w:hint="default"/>
                <w:spacing w:val="2"/>
                <w:w w:val="101"/>
                <w:sz w:val="18"/>
                <w:szCs w:val="18"/>
              </w:rPr>
              <w:t>,</w:t>
            </w:r>
            <w:r>
              <w:rPr>
                <w:rFonts w:ascii="Times New Roman" w:hAnsi="Times New Roman" w:cs="Times New Roman" w:eastAsia="Times New Roman" w:hint="default"/>
                <w:w w:val="101"/>
                <w:sz w:val="18"/>
                <w:szCs w:val="18"/>
              </w:rPr>
              <w:t>0</w:t>
            </w:r>
            <w:r>
              <w:rPr>
                <w:rFonts w:ascii="Times New Roman" w:hAnsi="Times New Roman" w:cs="Times New Roman" w:eastAsia="Times New Roman" w:hint="default"/>
                <w:spacing w:val="-5"/>
                <w:w w:val="101"/>
                <w:sz w:val="18"/>
                <w:szCs w:val="18"/>
              </w:rPr>
              <w:t>0</w:t>
            </w:r>
            <w:r>
              <w:rPr>
                <w:rFonts w:ascii="Times New Roman" w:hAnsi="Times New Roman" w:cs="Times New Roman" w:eastAsia="Times New Roman" w:hint="default"/>
                <w:w w:val="101"/>
                <w:sz w:val="18"/>
                <w:szCs w:val="18"/>
              </w:rPr>
              <w:t>0</w:t>
            </w:r>
            <w:r>
              <w:rPr>
                <w:rFonts w:ascii="Times New Roman" w:hAnsi="Times New Roman" w:cs="Times New Roman" w:eastAsia="Times New Roman" w:hint="default"/>
                <w:sz w:val="18"/>
                <w:szCs w:val="18"/>
              </w:rPr>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w w:val="101"/>
                <w:sz w:val="18"/>
                <w:szCs w:val="18"/>
              </w:rPr>
              <w:t>股</w:t>
            </w:r>
            <w:r>
              <w:rPr>
                <w:rFonts w:ascii="宋体" w:hAnsi="宋体" w:cs="宋体" w:eastAsia="宋体" w:hint="default"/>
                <w:spacing w:val="-5"/>
                <w:w w:val="101"/>
                <w:sz w:val="18"/>
                <w:szCs w:val="18"/>
              </w:rPr>
              <w:t>股</w:t>
            </w:r>
            <w:r>
              <w:rPr>
                <w:rFonts w:ascii="宋体" w:hAnsi="宋体" w:cs="宋体" w:eastAsia="宋体" w:hint="default"/>
                <w:w w:val="101"/>
                <w:sz w:val="18"/>
                <w:szCs w:val="18"/>
              </w:rPr>
              <w:t>份</w:t>
            </w:r>
            <w:r>
              <w:rPr>
                <w:rFonts w:ascii="宋体" w:hAnsi="宋体" w:cs="宋体" w:eastAsia="宋体" w:hint="default"/>
                <w:spacing w:val="-5"/>
                <w:w w:val="101"/>
                <w:sz w:val="18"/>
                <w:szCs w:val="18"/>
              </w:rPr>
              <w:t>（</w:t>
            </w:r>
            <w:r>
              <w:rPr>
                <w:rFonts w:ascii="宋体" w:hAnsi="宋体" w:cs="宋体" w:eastAsia="宋体" w:hint="default"/>
                <w:w w:val="101"/>
                <w:sz w:val="18"/>
                <w:szCs w:val="18"/>
              </w:rPr>
              <w:t>持</w:t>
            </w:r>
            <w:r>
              <w:rPr>
                <w:rFonts w:ascii="宋体" w:hAnsi="宋体" w:cs="宋体" w:eastAsia="宋体" w:hint="default"/>
                <w:spacing w:val="-5"/>
                <w:w w:val="101"/>
                <w:sz w:val="18"/>
                <w:szCs w:val="18"/>
              </w:rPr>
              <w:t>股</w:t>
            </w:r>
            <w:r>
              <w:rPr>
                <w:rFonts w:ascii="宋体" w:hAnsi="宋体" w:cs="宋体" w:eastAsia="宋体" w:hint="default"/>
                <w:w w:val="101"/>
                <w:sz w:val="18"/>
                <w:szCs w:val="18"/>
              </w:rPr>
              <w:t>比例为</w:t>
            </w:r>
            <w:r>
              <w:rPr>
                <w:rFonts w:ascii="宋体" w:hAnsi="宋体" w:cs="宋体" w:eastAsia="宋体" w:hint="default"/>
                <w:spacing w:val="-46"/>
                <w:sz w:val="18"/>
                <w:szCs w:val="18"/>
              </w:rPr>
              <w:t> </w:t>
            </w:r>
            <w:r>
              <w:rPr>
                <w:rFonts w:ascii="Times New Roman" w:hAnsi="Times New Roman" w:cs="Times New Roman" w:eastAsia="Times New Roman" w:hint="default"/>
                <w:spacing w:val="-5"/>
                <w:w w:val="101"/>
                <w:sz w:val="18"/>
                <w:szCs w:val="18"/>
              </w:rPr>
              <w:t>0</w:t>
            </w:r>
            <w:r>
              <w:rPr>
                <w:rFonts w:ascii="Times New Roman" w:hAnsi="Times New Roman" w:cs="Times New Roman" w:eastAsia="Times New Roman" w:hint="default"/>
                <w:spacing w:val="2"/>
                <w:w w:val="101"/>
                <w:sz w:val="18"/>
                <w:szCs w:val="18"/>
              </w:rPr>
              <w:t>.</w:t>
            </w:r>
            <w:r>
              <w:rPr>
                <w:rFonts w:ascii="Times New Roman" w:hAnsi="Times New Roman" w:cs="Times New Roman" w:eastAsia="Times New Roman" w:hint="default"/>
                <w:spacing w:val="-5"/>
                <w:w w:val="101"/>
                <w:sz w:val="18"/>
                <w:szCs w:val="18"/>
              </w:rPr>
              <w:t>0</w:t>
            </w:r>
            <w:r>
              <w:rPr>
                <w:rFonts w:ascii="Times New Roman" w:hAnsi="Times New Roman" w:cs="Times New Roman" w:eastAsia="Times New Roman" w:hint="default"/>
                <w:w w:val="101"/>
                <w:sz w:val="18"/>
                <w:szCs w:val="18"/>
              </w:rPr>
              <w:t>9</w:t>
            </w:r>
            <w:r>
              <w:rPr>
                <w:rFonts w:ascii="Times New Roman" w:hAnsi="Times New Roman" w:cs="Times New Roman" w:eastAsia="Times New Roman" w:hint="default"/>
                <w:spacing w:val="-4"/>
                <w:w w:val="101"/>
                <w:sz w:val="18"/>
                <w:szCs w:val="18"/>
              </w:rPr>
              <w:t>%</w:t>
            </w:r>
            <w:r>
              <w:rPr>
                <w:rFonts w:ascii="宋体" w:hAnsi="宋体" w:cs="宋体" w:eastAsia="宋体" w:hint="default"/>
                <w:spacing w:val="-92"/>
                <w:w w:val="101"/>
                <w:sz w:val="18"/>
                <w:szCs w:val="18"/>
              </w:rPr>
              <w:t>）</w:t>
            </w:r>
            <w:r>
              <w:rPr>
                <w:rFonts w:ascii="宋体" w:hAnsi="宋体" w:cs="宋体" w:eastAsia="宋体" w:hint="default"/>
                <w:spacing w:val="-5"/>
                <w:w w:val="101"/>
                <w:sz w:val="18"/>
                <w:szCs w:val="18"/>
              </w:rPr>
              <w:t>；</w:t>
            </w:r>
            <w:r>
              <w:rPr>
                <w:rFonts w:ascii="宋体" w:hAnsi="宋体" w:cs="宋体" w:eastAsia="宋体" w:hint="default"/>
                <w:w w:val="101"/>
                <w:sz w:val="18"/>
                <w:szCs w:val="18"/>
              </w:rPr>
              <w:t>持</w:t>
            </w:r>
            <w:r>
              <w:rPr>
                <w:rFonts w:ascii="宋体" w:hAnsi="宋体" w:cs="宋体" w:eastAsia="宋体" w:hint="default"/>
                <w:spacing w:val="-5"/>
                <w:w w:val="101"/>
                <w:sz w:val="18"/>
                <w:szCs w:val="18"/>
              </w:rPr>
              <w:t>有</w:t>
            </w:r>
            <w:r>
              <w:rPr>
                <w:rFonts w:ascii="宋体" w:hAnsi="宋体" w:cs="宋体" w:eastAsia="宋体" w:hint="default"/>
                <w:w w:val="101"/>
                <w:sz w:val="18"/>
                <w:szCs w:val="18"/>
              </w:rPr>
              <w:t>复</w:t>
            </w:r>
            <w:r>
              <w:rPr>
                <w:rFonts w:ascii="宋体" w:hAnsi="宋体" w:cs="宋体" w:eastAsia="宋体" w:hint="default"/>
                <w:spacing w:val="-5"/>
                <w:w w:val="101"/>
                <w:sz w:val="18"/>
                <w:szCs w:val="18"/>
              </w:rPr>
              <w:t>星</w:t>
            </w:r>
            <w:r>
              <w:rPr>
                <w:rFonts w:ascii="宋体" w:hAnsi="宋体" w:cs="宋体" w:eastAsia="宋体" w:hint="default"/>
                <w:w w:val="101"/>
                <w:sz w:val="18"/>
                <w:szCs w:val="18"/>
              </w:rPr>
              <w:t>医药</w:t>
            </w:r>
            <w:r>
              <w:rPr>
                <w:rFonts w:ascii="宋体" w:hAnsi="宋体" w:cs="宋体" w:eastAsia="宋体" w:hint="default"/>
                <w:spacing w:val="-47"/>
                <w:sz w:val="18"/>
                <w:szCs w:val="18"/>
              </w:rPr>
              <w:t> </w:t>
            </w:r>
            <w:r>
              <w:rPr>
                <w:rFonts w:ascii="Times New Roman" w:hAnsi="Times New Roman" w:cs="Times New Roman" w:eastAsia="Times New Roman" w:hint="default"/>
                <w:w w:val="101"/>
                <w:sz w:val="18"/>
                <w:szCs w:val="18"/>
              </w:rPr>
              <w:t>3</w:t>
            </w:r>
            <w:r>
              <w:rPr>
                <w:rFonts w:ascii="Times New Roman" w:hAnsi="Times New Roman" w:cs="Times New Roman" w:eastAsia="Times New Roman" w:hint="default"/>
                <w:spacing w:val="-5"/>
                <w:w w:val="101"/>
                <w:sz w:val="18"/>
                <w:szCs w:val="18"/>
              </w:rPr>
              <w:t>2</w:t>
            </w:r>
            <w:r>
              <w:rPr>
                <w:rFonts w:ascii="Times New Roman" w:hAnsi="Times New Roman" w:cs="Times New Roman" w:eastAsia="Times New Roman" w:hint="default"/>
                <w:w w:val="101"/>
                <w:sz w:val="18"/>
                <w:szCs w:val="18"/>
              </w:rPr>
              <w:t>8</w:t>
            </w:r>
            <w:r>
              <w:rPr>
                <w:rFonts w:ascii="Times New Roman" w:hAnsi="Times New Roman" w:cs="Times New Roman" w:eastAsia="Times New Roman" w:hint="default"/>
                <w:spacing w:val="2"/>
                <w:w w:val="101"/>
                <w:sz w:val="18"/>
                <w:szCs w:val="18"/>
              </w:rPr>
              <w:t>,</w:t>
            </w:r>
            <w:r>
              <w:rPr>
                <w:rFonts w:ascii="Times New Roman" w:hAnsi="Times New Roman" w:cs="Times New Roman" w:eastAsia="Times New Roman" w:hint="default"/>
                <w:spacing w:val="-5"/>
                <w:w w:val="101"/>
                <w:sz w:val="18"/>
                <w:szCs w:val="18"/>
              </w:rPr>
              <w:t>8</w:t>
            </w:r>
            <w:r>
              <w:rPr>
                <w:rFonts w:ascii="Times New Roman" w:hAnsi="Times New Roman" w:cs="Times New Roman" w:eastAsia="Times New Roman" w:hint="default"/>
                <w:w w:val="101"/>
                <w:sz w:val="18"/>
                <w:szCs w:val="18"/>
              </w:rPr>
              <w:t>00</w:t>
            </w:r>
            <w:r>
              <w:rPr>
                <w:rFonts w:ascii="Times New Roman" w:hAnsi="Times New Roman" w:cs="Times New Roman" w:eastAsia="Times New Roman" w:hint="default"/>
                <w:spacing w:val="-2"/>
                <w:sz w:val="18"/>
                <w:szCs w:val="18"/>
              </w:rPr>
              <w:t> </w:t>
            </w:r>
            <w:r>
              <w:rPr>
                <w:rFonts w:ascii="宋体" w:hAnsi="宋体" w:cs="宋体" w:eastAsia="宋体" w:hint="default"/>
                <w:spacing w:val="-5"/>
                <w:w w:val="101"/>
                <w:sz w:val="18"/>
                <w:szCs w:val="18"/>
              </w:rPr>
              <w:t>股</w:t>
            </w:r>
            <w:r>
              <w:rPr>
                <w:rFonts w:ascii="宋体" w:hAnsi="宋体" w:cs="宋体" w:eastAsia="宋体" w:hint="default"/>
                <w:w w:val="101"/>
                <w:sz w:val="18"/>
                <w:szCs w:val="18"/>
              </w:rPr>
              <w:t>股</w:t>
            </w:r>
            <w:r>
              <w:rPr>
                <w:rFonts w:ascii="宋体" w:hAnsi="宋体" w:cs="宋体" w:eastAsia="宋体" w:hint="default"/>
                <w:spacing w:val="-5"/>
                <w:w w:val="101"/>
                <w:sz w:val="18"/>
                <w:szCs w:val="18"/>
              </w:rPr>
              <w:t>份（</w:t>
            </w:r>
            <w:r>
              <w:rPr>
                <w:rFonts w:ascii="宋体" w:hAnsi="宋体" w:cs="宋体" w:eastAsia="宋体" w:hint="default"/>
                <w:w w:val="101"/>
                <w:sz w:val="18"/>
                <w:szCs w:val="18"/>
              </w:rPr>
              <w:t>持</w:t>
            </w:r>
            <w:r>
              <w:rPr>
                <w:rFonts w:ascii="宋体" w:hAnsi="宋体" w:cs="宋体" w:eastAsia="宋体" w:hint="default"/>
                <w:spacing w:val="-5"/>
                <w:w w:val="101"/>
                <w:sz w:val="18"/>
                <w:szCs w:val="18"/>
              </w:rPr>
              <w:t>股</w:t>
            </w:r>
            <w:r>
              <w:rPr>
                <w:rFonts w:ascii="宋体" w:hAnsi="宋体" w:cs="宋体" w:eastAsia="宋体" w:hint="default"/>
                <w:w w:val="101"/>
                <w:sz w:val="18"/>
                <w:szCs w:val="18"/>
              </w:rPr>
              <w:t>比例为</w:t>
            </w:r>
            <w:r>
              <w:rPr>
                <w:rFonts w:ascii="宋体" w:hAnsi="宋体" w:cs="宋体" w:eastAsia="宋体" w:hint="default"/>
                <w:spacing w:val="-47"/>
                <w:sz w:val="18"/>
                <w:szCs w:val="18"/>
              </w:rPr>
              <w:t> </w:t>
            </w:r>
            <w:r>
              <w:rPr>
                <w:rFonts w:ascii="Times New Roman" w:hAnsi="Times New Roman" w:cs="Times New Roman" w:eastAsia="Times New Roman" w:hint="default"/>
                <w:spacing w:val="-5"/>
                <w:w w:val="101"/>
                <w:sz w:val="18"/>
                <w:szCs w:val="18"/>
              </w:rPr>
              <w:t>0</w:t>
            </w:r>
            <w:r>
              <w:rPr>
                <w:rFonts w:ascii="Times New Roman" w:hAnsi="Times New Roman" w:cs="Times New Roman" w:eastAsia="Times New Roman" w:hint="default"/>
                <w:spacing w:val="2"/>
                <w:w w:val="101"/>
                <w:sz w:val="18"/>
                <w:szCs w:val="18"/>
              </w:rPr>
              <w:t>.</w:t>
            </w:r>
            <w:r>
              <w:rPr>
                <w:rFonts w:ascii="Times New Roman" w:hAnsi="Times New Roman" w:cs="Times New Roman" w:eastAsia="Times New Roman" w:hint="default"/>
                <w:spacing w:val="-5"/>
                <w:w w:val="101"/>
                <w:sz w:val="18"/>
                <w:szCs w:val="18"/>
              </w:rPr>
              <w:t>0</w:t>
            </w:r>
            <w:r>
              <w:rPr>
                <w:rFonts w:ascii="Times New Roman" w:hAnsi="Times New Roman" w:cs="Times New Roman" w:eastAsia="Times New Roman" w:hint="default"/>
                <w:w w:val="101"/>
                <w:sz w:val="18"/>
                <w:szCs w:val="18"/>
              </w:rPr>
              <w:t>1</w:t>
            </w:r>
            <w:r>
              <w:rPr>
                <w:rFonts w:ascii="Times New Roman" w:hAnsi="Times New Roman" w:cs="Times New Roman" w:eastAsia="Times New Roman" w:hint="default"/>
                <w:spacing w:val="-4"/>
                <w:w w:val="101"/>
                <w:sz w:val="18"/>
                <w:szCs w:val="18"/>
              </w:rPr>
              <w:t>%</w:t>
            </w:r>
            <w:r>
              <w:rPr>
                <w:rFonts w:ascii="宋体" w:hAnsi="宋体" w:cs="宋体" w:eastAsia="宋体" w:hint="default"/>
                <w:spacing w:val="-92"/>
                <w:w w:val="101"/>
                <w:sz w:val="18"/>
                <w:szCs w:val="18"/>
              </w:rPr>
              <w:t>）。</w:t>
            </w:r>
            <w:r>
              <w:rPr>
                <w:rFonts w:ascii="宋体" w:hAnsi="宋体" w:cs="宋体" w:eastAsia="宋体" w:hint="default"/>
                <w:sz w:val="18"/>
                <w:szCs w:val="18"/>
              </w:rPr>
            </w:r>
          </w:p>
        </w:tc>
      </w:tr>
    </w:tbl>
    <w:p>
      <w:pPr>
        <w:pStyle w:val="BodyText"/>
        <w:spacing w:line="240" w:lineRule="auto" w:before="54"/>
        <w:ind w:right="855"/>
        <w:jc w:val="left"/>
      </w:pPr>
      <w:r>
        <w:rPr/>
        <w:t>控股股东报告期内变更</w:t>
      </w:r>
    </w:p>
    <w:p>
      <w:pPr>
        <w:pStyle w:val="BodyText"/>
        <w:spacing w:line="240" w:lineRule="auto" w:before="115"/>
        <w:ind w:right="855"/>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1"/>
        </w:rPr>
        <w:t> </w:t>
      </w:r>
      <w:r>
        <w:rPr/>
        <w:t>不适用</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4788"/>
        <w:gridCol w:w="4783"/>
      </w:tblGrid>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新控股股东名称</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pacing w:val="-3"/>
                <w:sz w:val="18"/>
                <w:szCs w:val="18"/>
              </w:rPr>
              <w:t>云南省工业投资控股集团有限责任公司</w:t>
            </w:r>
          </w:p>
        </w:tc>
      </w:tr>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变更日期</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r>
      <w:tr>
        <w:trPr>
          <w:trHeight w:val="404"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指定网站查询索引</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8"/>
                <w:sz w:val="18"/>
                <w:szCs w:val="18"/>
              </w:rPr>
              <w:t> </w:t>
            </w:r>
            <w:hyperlink r:id="rId9">
              <w:r>
                <w:rPr>
                  <w:rFonts w:ascii="Times New Roman" w:hAnsi="Times New Roman" w:cs="Times New Roman" w:eastAsia="Times New Roman" w:hint="default"/>
                  <w:spacing w:val="-3"/>
                  <w:sz w:val="18"/>
                  <w:szCs w:val="18"/>
                </w:rPr>
                <w:t>http://www.cninfo.com.cn</w:t>
              </w:r>
            </w:hyperlink>
          </w:p>
        </w:tc>
      </w:tr>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指定网站披露日期</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r>
    </w:tbl>
    <w:p>
      <w:pPr>
        <w:spacing w:line="240" w:lineRule="auto" w:before="3"/>
        <w:rPr>
          <w:rFonts w:ascii="宋体" w:hAnsi="宋体" w:cs="宋体" w:eastAsia="宋体" w:hint="default"/>
          <w:sz w:val="19"/>
          <w:szCs w:val="19"/>
        </w:rPr>
      </w:pPr>
    </w:p>
    <w:p>
      <w:pPr>
        <w:pStyle w:val="Heading4"/>
        <w:spacing w:line="240" w:lineRule="auto" w:before="36"/>
        <w:ind w:right="855"/>
        <w:jc w:val="left"/>
        <w:rPr>
          <w:b w:val="0"/>
          <w:bCs w:val="0"/>
        </w:rPr>
      </w:pPr>
      <w:r>
        <w:rPr>
          <w:rFonts w:ascii="Times New Roman" w:hAnsi="Times New Roman" w:cs="Times New Roman" w:eastAsia="Times New Roman" w:hint="default"/>
        </w:rPr>
        <w:t>3</w:t>
      </w:r>
      <w:r>
        <w:rPr/>
        <w:t>、公司实际控制人及其一致行动人</w:t>
      </w:r>
      <w:r>
        <w:rPr>
          <w:b w:val="0"/>
          <w:bCs w:val="0"/>
        </w:rPr>
      </w:r>
    </w:p>
    <w:p>
      <w:pPr>
        <w:spacing w:line="240" w:lineRule="auto" w:before="5"/>
        <w:rPr>
          <w:rFonts w:ascii="宋体" w:hAnsi="宋体" w:cs="宋体" w:eastAsia="宋体" w:hint="default"/>
          <w:b/>
          <w:bCs/>
          <w:sz w:val="26"/>
          <w:szCs w:val="26"/>
        </w:rPr>
      </w:pPr>
    </w:p>
    <w:p>
      <w:pPr>
        <w:pStyle w:val="BodyText"/>
        <w:spacing w:line="357" w:lineRule="auto"/>
        <w:ind w:right="7349"/>
        <w:jc w:val="left"/>
      </w:pPr>
      <w:r>
        <w:rPr>
          <w:spacing w:val="-3"/>
        </w:rPr>
        <w:t>实际控制人性质：地方国资管理机构</w:t>
      </w:r>
      <w:r>
        <w:rPr>
          <w:spacing w:val="-39"/>
        </w:rPr>
        <w:t> </w:t>
      </w:r>
      <w:r>
        <w:rPr>
          <w:spacing w:val="-39"/>
        </w:rPr>
      </w:r>
      <w:r>
        <w:rPr/>
        <w:t>实际控制人类型：法人</w:t>
      </w:r>
    </w:p>
    <w:tbl>
      <w:tblPr>
        <w:tblW w:w="0" w:type="auto"/>
        <w:jc w:val="left"/>
        <w:tblInd w:w="148" w:type="dxa"/>
        <w:tblLayout w:type="fixed"/>
        <w:tblCellMar>
          <w:top w:w="0" w:type="dxa"/>
          <w:left w:w="0" w:type="dxa"/>
          <w:bottom w:w="0" w:type="dxa"/>
          <w:right w:w="0" w:type="dxa"/>
        </w:tblCellMar>
        <w:tblLook w:val="01E0"/>
      </w:tblPr>
      <w:tblGrid>
        <w:gridCol w:w="3971"/>
        <w:gridCol w:w="2127"/>
        <w:gridCol w:w="850"/>
        <w:gridCol w:w="1277"/>
        <w:gridCol w:w="1345"/>
      </w:tblGrid>
      <w:tr>
        <w:trPr>
          <w:trHeight w:val="398" w:hRule="exact"/>
        </w:trPr>
        <w:tc>
          <w:tcPr>
            <w:tcW w:w="3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pacing w:val="-3"/>
                <w:sz w:val="18"/>
                <w:szCs w:val="18"/>
              </w:rPr>
              <w:t>实际控制人名称</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34" w:right="0"/>
              <w:jc w:val="left"/>
              <w:rPr>
                <w:rFonts w:ascii="宋体" w:hAnsi="宋体" w:cs="宋体" w:eastAsia="宋体" w:hint="default"/>
                <w:sz w:val="18"/>
                <w:szCs w:val="18"/>
              </w:rPr>
            </w:pPr>
            <w:r>
              <w:rPr>
                <w:rFonts w:ascii="宋体" w:hAnsi="宋体" w:cs="宋体" w:eastAsia="宋体" w:hint="default"/>
                <w:spacing w:val="-3"/>
                <w:sz w:val="18"/>
                <w:szCs w:val="18"/>
              </w:rPr>
              <w:t>法定代表人</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单位负责人</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7"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9"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403"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云南省人民政府国有资产监督管理委员会</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陈明</w:t>
            </w: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国有资产管理</w:t>
            </w:r>
          </w:p>
        </w:tc>
      </w:tr>
      <w:tr>
        <w:trPr>
          <w:trHeight w:val="716" w:hRule="exact"/>
        </w:trPr>
        <w:tc>
          <w:tcPr>
            <w:tcW w:w="3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152"/>
              <w:jc w:val="left"/>
              <w:rPr>
                <w:rFonts w:ascii="宋体" w:hAnsi="宋体" w:cs="宋体" w:eastAsia="宋体" w:hint="default"/>
                <w:sz w:val="18"/>
                <w:szCs w:val="18"/>
              </w:rPr>
            </w:pPr>
            <w:r>
              <w:rPr>
                <w:rFonts w:ascii="宋体" w:hAnsi="宋体" w:cs="宋体" w:eastAsia="宋体" w:hint="default"/>
                <w:spacing w:val="-3"/>
                <w:sz w:val="18"/>
                <w:szCs w:val="18"/>
              </w:rPr>
              <w:t>实际控制人报告期内控制的其他境内外上市公司</w:t>
            </w:r>
            <w:r>
              <w:rPr>
                <w:rFonts w:ascii="宋体" w:hAnsi="宋体" w:cs="宋体" w:eastAsia="宋体" w:hint="default"/>
                <w:spacing w:val="-27"/>
                <w:sz w:val="18"/>
                <w:szCs w:val="18"/>
              </w:rPr>
              <w:t> </w:t>
            </w:r>
            <w:r>
              <w:rPr>
                <w:rFonts w:ascii="宋体" w:hAnsi="宋体" w:cs="宋体" w:eastAsia="宋体" w:hint="default"/>
                <w:spacing w:val="-27"/>
                <w:sz w:val="18"/>
                <w:szCs w:val="18"/>
              </w:rPr>
            </w:r>
            <w:r>
              <w:rPr>
                <w:rFonts w:ascii="宋体" w:hAnsi="宋体" w:cs="宋体" w:eastAsia="宋体" w:hint="default"/>
                <w:sz w:val="18"/>
                <w:szCs w:val="18"/>
              </w:rPr>
              <w:t>的股权情况</w:t>
            </w:r>
          </w:p>
        </w:tc>
        <w:tc>
          <w:tcPr>
            <w:tcW w:w="559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r>
    </w:tbl>
    <w:p>
      <w:pPr>
        <w:pStyle w:val="BodyText"/>
        <w:spacing w:line="240" w:lineRule="auto" w:before="74"/>
        <w:ind w:right="855"/>
        <w:jc w:val="left"/>
      </w:pPr>
      <w:r>
        <w:rPr>
          <w:spacing w:val="-3"/>
        </w:rPr>
        <w:t>实际控制人报告期内变更</w:t>
      </w:r>
    </w:p>
    <w:p>
      <w:pPr>
        <w:pStyle w:val="BodyText"/>
        <w:spacing w:line="348" w:lineRule="auto" w:before="115"/>
        <w:ind w:right="668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公司报告期实际控制人未发生变更。</w:t>
      </w:r>
      <w:r>
        <w:rPr>
          <w:spacing w:val="-39"/>
        </w:rPr>
        <w:t> </w:t>
      </w:r>
      <w:r>
        <w:rPr>
          <w:spacing w:val="-39"/>
        </w:rPr>
      </w:r>
      <w:r>
        <w:rPr>
          <w:spacing w:val="-3"/>
        </w:rPr>
        <w:t>公司与实际控制人之间的产权及控制关系的方框图</w:t>
      </w:r>
    </w:p>
    <w:p>
      <w:pPr>
        <w:spacing w:line="240" w:lineRule="auto" w:before="9"/>
        <w:rPr>
          <w:rFonts w:ascii="宋体" w:hAnsi="宋体" w:cs="宋体" w:eastAsia="宋体" w:hint="default"/>
          <w:sz w:val="17"/>
          <w:szCs w:val="17"/>
        </w:rPr>
      </w:pPr>
    </w:p>
    <w:p>
      <w:pPr>
        <w:spacing w:line="3045" w:lineRule="exact"/>
        <w:ind w:left="2562" w:right="0" w:firstLine="0"/>
        <w:rPr>
          <w:rFonts w:ascii="宋体" w:hAnsi="宋体" w:cs="宋体" w:eastAsia="宋体" w:hint="default"/>
          <w:sz w:val="20"/>
          <w:szCs w:val="20"/>
        </w:rPr>
      </w:pPr>
      <w:r>
        <w:rPr>
          <w:rFonts w:ascii="宋体" w:hAnsi="宋体" w:cs="宋体" w:eastAsia="宋体" w:hint="default"/>
          <w:position w:val="-60"/>
          <w:sz w:val="20"/>
          <w:szCs w:val="20"/>
        </w:rPr>
        <w:drawing>
          <wp:inline distT="0" distB="0" distL="0" distR="0">
            <wp:extent cx="3077019" cy="1933670"/>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18" cstate="print"/>
                    <a:stretch>
                      <a:fillRect/>
                    </a:stretch>
                  </pic:blipFill>
                  <pic:spPr>
                    <a:xfrm>
                      <a:off x="0" y="0"/>
                      <a:ext cx="3077019" cy="1933670"/>
                    </a:xfrm>
                    <a:prstGeom prst="rect">
                      <a:avLst/>
                    </a:prstGeom>
                  </pic:spPr>
                </pic:pic>
              </a:graphicData>
            </a:graphic>
          </wp:inline>
        </w:drawing>
      </w:r>
      <w:r>
        <w:rPr>
          <w:rFonts w:ascii="宋体" w:hAnsi="宋体" w:cs="宋体" w:eastAsia="宋体" w:hint="default"/>
          <w:position w:val="-60"/>
          <w:sz w:val="20"/>
          <w:szCs w:val="20"/>
        </w:rPr>
      </w:r>
    </w:p>
    <w:p>
      <w:pPr>
        <w:spacing w:line="240" w:lineRule="auto" w:before="3"/>
        <w:rPr>
          <w:rFonts w:ascii="宋体" w:hAnsi="宋体" w:cs="宋体" w:eastAsia="宋体" w:hint="default"/>
          <w:sz w:val="18"/>
          <w:szCs w:val="18"/>
        </w:rPr>
      </w:pPr>
    </w:p>
    <w:p>
      <w:pPr>
        <w:pStyle w:val="BodyText"/>
        <w:spacing w:line="240" w:lineRule="auto"/>
        <w:ind w:right="855"/>
        <w:jc w:val="left"/>
      </w:pPr>
      <w:r>
        <w:rPr>
          <w:spacing w:val="-3"/>
        </w:rPr>
        <w:t>实际控制人通过信托或其他资产管理方式控制公司</w:t>
      </w:r>
    </w:p>
    <w:p>
      <w:pPr>
        <w:pStyle w:val="BodyText"/>
        <w:spacing w:line="240" w:lineRule="auto" w:before="119"/>
        <w:ind w:right="855"/>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after="0" w:line="240" w:lineRule="auto"/>
        <w:jc w:val="left"/>
        <w:sectPr>
          <w:pgSz w:w="11910" w:h="16840"/>
          <w:pgMar w:header="746" w:footer="974" w:top="1060" w:bottom="1160" w:left="980" w:right="0"/>
        </w:sectPr>
      </w:pPr>
    </w:p>
    <w:p>
      <w:pPr>
        <w:spacing w:line="240" w:lineRule="auto" w:before="7"/>
        <w:rPr>
          <w:rFonts w:ascii="宋体" w:hAnsi="宋体" w:cs="宋体" w:eastAsia="宋体" w:hint="default"/>
          <w:sz w:val="24"/>
          <w:szCs w:val="24"/>
        </w:rPr>
      </w:pPr>
    </w:p>
    <w:p>
      <w:pPr>
        <w:pStyle w:val="Heading4"/>
        <w:spacing w:line="240" w:lineRule="auto" w:before="36"/>
        <w:ind w:right="855"/>
        <w:jc w:val="left"/>
        <w:rPr>
          <w:b w:val="0"/>
          <w:bCs w:val="0"/>
        </w:rPr>
      </w:pPr>
      <w:r>
        <w:rPr>
          <w:rFonts w:ascii="Times New Roman" w:hAnsi="Times New Roman" w:cs="Times New Roman" w:eastAsia="Times New Roman" w:hint="default"/>
        </w:rPr>
        <w:t>4</w:t>
      </w:r>
      <w:r>
        <w:rPr/>
        <w:t>、其他持股在</w:t>
      </w:r>
      <w:r>
        <w:rPr>
          <w:spacing w:val="-51"/>
        </w:rPr>
        <w:t> </w:t>
      </w:r>
      <w:r>
        <w:rPr>
          <w:rFonts w:ascii="Times New Roman" w:hAnsi="Times New Roman" w:cs="Times New Roman" w:eastAsia="Times New Roman" w:hint="default"/>
        </w:rPr>
        <w:t>10%</w:t>
      </w:r>
      <w:r>
        <w:rPr/>
        <w:t>以上的法人股东</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855"/>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8"/>
        <w:rPr>
          <w:rFonts w:ascii="宋体" w:hAnsi="宋体" w:cs="宋体" w:eastAsia="宋体" w:hint="default"/>
          <w:sz w:val="25"/>
          <w:szCs w:val="25"/>
        </w:rPr>
      </w:pPr>
    </w:p>
    <w:p>
      <w:pPr>
        <w:pStyle w:val="Heading4"/>
        <w:spacing w:line="240" w:lineRule="auto"/>
        <w:ind w:right="855"/>
        <w:jc w:val="left"/>
        <w:rPr>
          <w:b w:val="0"/>
          <w:bCs w:val="0"/>
        </w:rPr>
      </w:pP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855"/>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after="0" w:line="240" w:lineRule="auto"/>
        <w:jc w:val="left"/>
        <w:sectPr>
          <w:pgSz w:w="11910" w:h="16840"/>
          <w:pgMar w:header="746" w:footer="974"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284" w:right="855"/>
        <w:jc w:val="left"/>
        <w:rPr>
          <w:b w:val="0"/>
          <w:bCs w:val="0"/>
        </w:rPr>
      </w:pPr>
      <w:bookmarkStart w:name="_bookmark6" w:id="7"/>
      <w:bookmarkEnd w:id="7"/>
      <w:r>
        <w:rPr>
          <w:b w:val="0"/>
          <w:bCs w:val="0"/>
        </w:rPr>
      </w:r>
      <w:r>
        <w:rPr/>
        <w:t>第七节 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8"/>
          <w:szCs w:val="18"/>
        </w:rPr>
      </w:pPr>
    </w:p>
    <w:p>
      <w:pPr>
        <w:pStyle w:val="BodyText"/>
        <w:spacing w:line="338" w:lineRule="auto" w:before="46"/>
        <w:ind w:right="807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报告期公司不存在优先股。</w:t>
      </w:r>
    </w:p>
    <w:p>
      <w:pPr>
        <w:spacing w:after="0" w:line="338" w:lineRule="auto"/>
        <w:jc w:val="left"/>
        <w:sectPr>
          <w:pgSz w:w="11910" w:h="16840"/>
          <w:pgMar w:header="746" w:footer="974"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2645" w:right="855"/>
        <w:jc w:val="left"/>
        <w:rPr>
          <w:b w:val="0"/>
          <w:bCs w:val="0"/>
        </w:rPr>
      </w:pPr>
      <w:bookmarkStart w:name="_bookmark7" w:id="8"/>
      <w:bookmarkEnd w:id="8"/>
      <w:r>
        <w:rPr>
          <w:b w:val="0"/>
          <w:bCs w:val="0"/>
        </w:rPr>
      </w:r>
      <w:r>
        <w:rPr/>
        <w:t>第八节</w:t>
      </w:r>
      <w:r>
        <w:rPr>
          <w:spacing w:val="1"/>
        </w:rPr>
        <w:t> </w:t>
      </w:r>
      <w:r>
        <w:rPr/>
        <w:t>可转换公司债券相关情况</w:t>
      </w:r>
      <w:r>
        <w:rPr>
          <w:b w:val="0"/>
          <w:bCs w:val="0"/>
        </w:rPr>
      </w:r>
    </w:p>
    <w:p>
      <w:pPr>
        <w:spacing w:line="240" w:lineRule="auto" w:before="7"/>
        <w:rPr>
          <w:rFonts w:ascii="宋体" w:hAnsi="宋体" w:cs="宋体" w:eastAsia="宋体" w:hint="default"/>
          <w:b/>
          <w:bCs/>
          <w:sz w:val="42"/>
          <w:szCs w:val="42"/>
        </w:rPr>
      </w:pPr>
    </w:p>
    <w:p>
      <w:pPr>
        <w:pStyle w:val="BodyText"/>
        <w:spacing w:line="338" w:lineRule="auto"/>
        <w:ind w:right="7349"/>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报告期公司不存在可转换公司债券。</w:t>
      </w:r>
    </w:p>
    <w:p>
      <w:pPr>
        <w:spacing w:after="0" w:line="338" w:lineRule="auto"/>
        <w:jc w:val="left"/>
        <w:sectPr>
          <w:pgSz w:w="11910" w:h="16840"/>
          <w:pgMar w:header="746" w:footer="974"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1680" w:right="855"/>
        <w:jc w:val="left"/>
        <w:rPr>
          <w:b w:val="0"/>
          <w:bCs w:val="0"/>
        </w:rPr>
      </w:pPr>
      <w:bookmarkStart w:name="_bookmark8" w:id="9"/>
      <w:bookmarkEnd w:id="9"/>
      <w:r>
        <w:rPr>
          <w:b w:val="0"/>
          <w:bCs w:val="0"/>
        </w:rPr>
      </w:r>
      <w:r>
        <w:rPr/>
        <w:t>第九节</w:t>
      </w:r>
      <w:r>
        <w:rPr>
          <w:spacing w:val="-2"/>
        </w:rPr>
        <w:t> </w:t>
      </w:r>
      <w:r>
        <w:rPr/>
        <w:t>董事、监事、高级管理人员和员工情况</w:t>
      </w:r>
      <w:r>
        <w:rPr>
          <w:b w:val="0"/>
          <w:bCs w:val="0"/>
        </w:rPr>
      </w:r>
    </w:p>
    <w:p>
      <w:pPr>
        <w:spacing w:line="240" w:lineRule="auto" w:before="0"/>
        <w:rPr>
          <w:rFonts w:ascii="宋体" w:hAnsi="宋体" w:cs="宋体" w:eastAsia="宋体" w:hint="default"/>
          <w:b/>
          <w:bCs/>
          <w:sz w:val="39"/>
          <w:szCs w:val="39"/>
        </w:rPr>
      </w:pPr>
    </w:p>
    <w:p>
      <w:pPr>
        <w:pStyle w:val="Heading2"/>
        <w:spacing w:line="240" w:lineRule="auto"/>
        <w:ind w:right="855"/>
        <w:jc w:val="left"/>
        <w:rPr>
          <w:b w:val="0"/>
          <w:bCs w:val="0"/>
        </w:rPr>
      </w:pPr>
      <w:r>
        <w:rPr/>
        <w:pict>
          <v:shape style="position:absolute;margin-left:492.427612pt;margin-top:32.971634pt;width:45.4pt;height:50.7pt;mso-position-horizontal-relative:page;mso-position-vertical-relative:paragraph;z-index:-982024" type="#_x0000_t202" filled="false" stroked="false">
            <v:textbox inset="0,0,0,0">
              <w:txbxContent>
                <w:p>
                  <w:pPr>
                    <w:spacing w:line="240" w:lineRule="auto" w:before="0"/>
                    <w:rPr>
                      <w:rFonts w:ascii="宋体" w:hAnsi="宋体" w:cs="宋体" w:eastAsia="宋体" w:hint="default"/>
                      <w:b/>
                      <w:bCs/>
                      <w:sz w:val="18"/>
                      <w:szCs w:val="18"/>
                    </w:rPr>
                  </w:pPr>
                </w:p>
                <w:p>
                  <w:pPr>
                    <w:spacing w:line="240" w:lineRule="auto" w:before="5"/>
                    <w:rPr>
                      <w:rFonts w:ascii="宋体" w:hAnsi="宋体" w:cs="宋体" w:eastAsia="宋体" w:hint="default"/>
                      <w:b/>
                      <w:bCs/>
                      <w:sz w:val="21"/>
                      <w:szCs w:val="21"/>
                    </w:rPr>
                  </w:pPr>
                </w:p>
                <w:p>
                  <w:pPr>
                    <w:pStyle w:val="BodyText"/>
                    <w:spacing w:line="240" w:lineRule="auto"/>
                    <w:ind w:left="0" w:right="0"/>
                    <w:jc w:val="left"/>
                  </w:pPr>
                  <w:r>
                    <w:rPr>
                      <w:w w:val="101"/>
                    </w:rPr>
                    <w:t>）</w:t>
                  </w:r>
                  <w:r>
                    <w:rPr/>
                  </w:r>
                </w:p>
              </w:txbxContent>
            </v:textbox>
            <w10:wrap type="none"/>
          </v:shape>
        </w:pict>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62" w:type="dxa"/>
        <w:tblLayout w:type="fixed"/>
        <w:tblCellMar>
          <w:top w:w="0" w:type="dxa"/>
          <w:left w:w="0" w:type="dxa"/>
          <w:bottom w:w="0" w:type="dxa"/>
          <w:right w:w="0" w:type="dxa"/>
        </w:tblCellMar>
        <w:tblLook w:val="01E0"/>
      </w:tblPr>
      <w:tblGrid>
        <w:gridCol w:w="600"/>
        <w:gridCol w:w="1032"/>
        <w:gridCol w:w="480"/>
        <w:gridCol w:w="427"/>
        <w:gridCol w:w="706"/>
        <w:gridCol w:w="1575"/>
        <w:gridCol w:w="836"/>
        <w:gridCol w:w="759"/>
        <w:gridCol w:w="802"/>
        <w:gridCol w:w="797"/>
        <w:gridCol w:w="797"/>
        <w:gridCol w:w="797"/>
      </w:tblGrid>
      <w:tr>
        <w:trPr>
          <w:trHeight w:val="1023" w:hRule="exact"/>
        </w:trPr>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115"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10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331"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4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4" w:lineRule="auto"/>
              <w:ind w:left="57" w:right="46"/>
              <w:jc w:val="left"/>
              <w:rPr>
                <w:rFonts w:ascii="宋体" w:hAnsi="宋体" w:cs="宋体" w:eastAsia="宋体" w:hint="default"/>
                <w:sz w:val="18"/>
                <w:szCs w:val="18"/>
              </w:rPr>
            </w:pPr>
            <w:r>
              <w:rPr>
                <w:rFonts w:ascii="宋体" w:hAnsi="宋体" w:cs="宋体" w:eastAsia="宋体" w:hint="default"/>
                <w:sz w:val="18"/>
                <w:szCs w:val="18"/>
              </w:rPr>
              <w:t>任职</w:t>
            </w:r>
            <w:r>
              <w:rPr>
                <w:rFonts w:ascii="宋体" w:hAnsi="宋体" w:cs="宋体" w:eastAsia="宋体" w:hint="default"/>
                <w:spacing w:val="-86"/>
                <w:sz w:val="18"/>
                <w:szCs w:val="18"/>
              </w:rPr>
              <w:t> </w:t>
            </w:r>
            <w:r>
              <w:rPr>
                <w:rFonts w:ascii="宋体" w:hAnsi="宋体" w:cs="宋体" w:eastAsia="宋体" w:hint="default"/>
                <w:sz w:val="18"/>
                <w:szCs w:val="18"/>
              </w:rPr>
              <w:t>状态</w:t>
            </w:r>
          </w:p>
        </w:tc>
        <w:tc>
          <w:tcPr>
            <w:tcW w:w="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8"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168"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15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4" w:lineRule="auto"/>
              <w:ind w:left="235" w:right="46" w:hanging="183"/>
              <w:jc w:val="left"/>
              <w:rPr>
                <w:rFonts w:ascii="宋体" w:hAnsi="宋体" w:cs="宋体" w:eastAsia="宋体" w:hint="default"/>
                <w:sz w:val="18"/>
                <w:szCs w:val="18"/>
              </w:rPr>
            </w:pPr>
            <w:r>
              <w:rPr>
                <w:rFonts w:ascii="宋体" w:hAnsi="宋体" w:cs="宋体" w:eastAsia="宋体" w:hint="default"/>
                <w:sz w:val="18"/>
                <w:szCs w:val="18"/>
              </w:rPr>
              <w:t>任期终止</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日期</w:t>
            </w:r>
          </w:p>
        </w:tc>
        <w:tc>
          <w:tcPr>
            <w:tcW w:w="7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192" w:right="99" w:hanging="87"/>
              <w:jc w:val="left"/>
              <w:rPr>
                <w:rFonts w:ascii="宋体" w:hAnsi="宋体" w:cs="宋体" w:eastAsia="宋体" w:hint="default"/>
                <w:sz w:val="18"/>
                <w:szCs w:val="18"/>
              </w:rPr>
            </w:pPr>
            <w:r>
              <w:rPr>
                <w:rFonts w:ascii="宋体" w:hAnsi="宋体" w:cs="宋体" w:eastAsia="宋体" w:hint="default"/>
                <w:sz w:val="18"/>
                <w:szCs w:val="18"/>
              </w:rPr>
              <w:t>期初持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股数</w:t>
            </w:r>
          </w:p>
          <w:p>
            <w:pPr>
              <w:pStyle w:val="TableParagraph"/>
              <w:spacing w:line="240" w:lineRule="auto" w:before="23"/>
              <w:ind w:left="105"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33" w:right="31"/>
              <w:jc w:val="left"/>
              <w:rPr>
                <w:rFonts w:ascii="宋体" w:hAnsi="宋体" w:cs="宋体" w:eastAsia="宋体" w:hint="default"/>
                <w:sz w:val="18"/>
                <w:szCs w:val="18"/>
              </w:rPr>
            </w:pPr>
            <w:r>
              <w:rPr>
                <w:rFonts w:ascii="宋体" w:hAnsi="宋体" w:cs="宋体" w:eastAsia="宋体" w:hint="default"/>
                <w:sz w:val="18"/>
                <w:szCs w:val="18"/>
              </w:rPr>
              <w:t>本期增持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股份数量</w:t>
            </w:r>
          </w:p>
          <w:p>
            <w:pPr>
              <w:pStyle w:val="TableParagraph"/>
              <w:spacing w:line="240" w:lineRule="auto" w:before="23"/>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33" w:right="27"/>
              <w:jc w:val="left"/>
              <w:rPr>
                <w:rFonts w:ascii="宋体" w:hAnsi="宋体" w:cs="宋体" w:eastAsia="宋体" w:hint="default"/>
                <w:sz w:val="18"/>
                <w:szCs w:val="18"/>
              </w:rPr>
            </w:pPr>
            <w:r>
              <w:rPr>
                <w:rFonts w:ascii="宋体" w:hAnsi="宋体" w:cs="宋体" w:eastAsia="宋体" w:hint="default"/>
                <w:sz w:val="18"/>
                <w:szCs w:val="18"/>
              </w:rPr>
              <w:t>本期减持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股份数量</w:t>
            </w:r>
          </w:p>
          <w:p>
            <w:pPr>
              <w:pStyle w:val="TableParagraph"/>
              <w:spacing w:line="240" w:lineRule="auto" w:before="23"/>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4" w:lineRule="auto"/>
              <w:ind w:left="24" w:right="27" w:firstLine="9"/>
              <w:jc w:val="left"/>
              <w:rPr>
                <w:rFonts w:ascii="宋体" w:hAnsi="宋体" w:cs="宋体" w:eastAsia="宋体" w:hint="default"/>
                <w:sz w:val="18"/>
                <w:szCs w:val="18"/>
              </w:rPr>
            </w:pPr>
            <w:r>
              <w:rPr>
                <w:rFonts w:ascii="宋体" w:hAnsi="宋体" w:cs="宋体" w:eastAsia="宋体" w:hint="default"/>
                <w:sz w:val="18"/>
                <w:szCs w:val="18"/>
              </w:rPr>
              <w:t>其他增减</w:t>
            </w:r>
            <w:r>
              <w:rPr>
                <w:rFonts w:ascii="宋体" w:hAnsi="宋体" w:cs="宋体" w:eastAsia="宋体" w:hint="default"/>
                <w:w w:val="101"/>
                <w:sz w:val="18"/>
                <w:szCs w:val="18"/>
              </w:rPr>
              <w:t> </w:t>
            </w:r>
            <w:r>
              <w:rPr>
                <w:rFonts w:ascii="宋体" w:hAnsi="宋体" w:cs="宋体" w:eastAsia="宋体" w:hint="default"/>
                <w:spacing w:val="-18"/>
                <w:w w:val="101"/>
                <w:sz w:val="18"/>
                <w:szCs w:val="18"/>
              </w:rPr>
              <w:t>变动（股</w:t>
            </w:r>
            <w:r>
              <w:rPr>
                <w:rFonts w:ascii="宋体" w:hAnsi="宋体" w:cs="宋体" w:eastAsia="宋体" w:hint="default"/>
                <w:spacing w:val="-18"/>
                <w:sz w:val="18"/>
                <w:szCs w:val="18"/>
              </w:rPr>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4" w:lineRule="auto"/>
              <w:ind w:left="33" w:right="26"/>
              <w:jc w:val="left"/>
              <w:rPr>
                <w:rFonts w:ascii="宋体" w:hAnsi="宋体" w:cs="宋体" w:eastAsia="宋体" w:hint="default"/>
                <w:sz w:val="18"/>
                <w:szCs w:val="18"/>
              </w:rPr>
            </w:pPr>
            <w:r>
              <w:rPr>
                <w:rFonts w:ascii="宋体" w:hAnsi="宋体" w:cs="宋体" w:eastAsia="宋体" w:hint="default"/>
                <w:sz w:val="18"/>
                <w:szCs w:val="18"/>
              </w:rPr>
              <w:t>期末持股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数（股）</w:t>
            </w:r>
          </w:p>
        </w:tc>
      </w:tr>
      <w:tr>
        <w:trPr>
          <w:trHeight w:val="403" w:hRule="exact"/>
        </w:trPr>
        <w:tc>
          <w:tcPr>
            <w:tcW w:w="600"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徐宏灿</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57"/>
              <w:jc w:val="center"/>
              <w:rPr>
                <w:rFonts w:ascii="宋体" w:hAnsi="宋体" w:cs="宋体" w:eastAsia="宋体" w:hint="default"/>
                <w:sz w:val="18"/>
                <w:szCs w:val="18"/>
              </w:rPr>
            </w:pPr>
            <w:r>
              <w:rPr>
                <w:rFonts w:ascii="宋体" w:hAnsi="宋体" w:cs="宋体" w:eastAsia="宋体" w:hint="default"/>
                <w:sz w:val="18"/>
                <w:szCs w:val="18"/>
              </w:rPr>
              <w:t>现任</w:t>
            </w:r>
          </w:p>
        </w:tc>
        <w:tc>
          <w:tcPr>
            <w:tcW w:w="427"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706"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47</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836"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2"/>
                <w:szCs w:val="2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w:t>
            </w:r>
          </w:p>
        </w:tc>
        <w:tc>
          <w:tcPr>
            <w:tcW w:w="759"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2"/>
                <w:szCs w:val="22"/>
              </w:rPr>
            </w:pPr>
          </w:p>
          <w:p>
            <w:pPr>
              <w:pStyle w:val="TableParagraph"/>
              <w:spacing w:line="240" w:lineRule="auto"/>
              <w:ind w:left="230" w:right="0"/>
              <w:jc w:val="left"/>
              <w:rPr>
                <w:rFonts w:ascii="Times New Roman" w:hAnsi="Times New Roman" w:cs="Times New Roman" w:eastAsia="Times New Roman" w:hint="default"/>
                <w:sz w:val="18"/>
                <w:szCs w:val="18"/>
              </w:rPr>
            </w:pPr>
            <w:r>
              <w:rPr>
                <w:rFonts w:ascii="Times New Roman"/>
                <w:sz w:val="18"/>
              </w:rPr>
              <w:t>26,156</w:t>
            </w:r>
          </w:p>
        </w:tc>
        <w:tc>
          <w:tcPr>
            <w:tcW w:w="802"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2"/>
                <w:szCs w:val="22"/>
              </w:rPr>
            </w:pPr>
          </w:p>
          <w:p>
            <w:pPr>
              <w:pStyle w:val="TableParagraph"/>
              <w:spacing w:line="240" w:lineRule="auto"/>
              <w:ind w:left="364" w:right="0"/>
              <w:jc w:val="left"/>
              <w:rPr>
                <w:rFonts w:ascii="Times New Roman" w:hAnsi="Times New Roman" w:cs="Times New Roman" w:eastAsia="Times New Roman" w:hint="default"/>
                <w:sz w:val="18"/>
                <w:szCs w:val="18"/>
              </w:rPr>
            </w:pPr>
            <w:r>
              <w:rPr>
                <w:rFonts w:ascii="Times New Roman"/>
                <w:sz w:val="18"/>
              </w:rPr>
              <w:t>7,847</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2"/>
                <w:szCs w:val="22"/>
              </w:rPr>
            </w:pPr>
          </w:p>
          <w:p>
            <w:pPr>
              <w:pStyle w:val="TableParagraph"/>
              <w:spacing w:line="240" w:lineRule="auto"/>
              <w:ind w:left="273" w:right="0"/>
              <w:jc w:val="left"/>
              <w:rPr>
                <w:rFonts w:ascii="Times New Roman" w:hAnsi="Times New Roman" w:cs="Times New Roman" w:eastAsia="Times New Roman" w:hint="default"/>
                <w:sz w:val="18"/>
                <w:szCs w:val="18"/>
              </w:rPr>
            </w:pPr>
            <w:r>
              <w:rPr>
                <w:rFonts w:ascii="Times New Roman"/>
                <w:sz w:val="18"/>
              </w:rPr>
              <w:t>34,003</w:t>
            </w:r>
          </w:p>
        </w:tc>
      </w:tr>
      <w:tr>
        <w:trPr>
          <w:trHeight w:val="403" w:hRule="exact"/>
        </w:trPr>
        <w:tc>
          <w:tcPr>
            <w:tcW w:w="600" w:type="dxa"/>
            <w:vMerge/>
            <w:tcBorders>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总裁</w:t>
            </w:r>
          </w:p>
        </w:tc>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57"/>
              <w:jc w:val="center"/>
              <w:rPr>
                <w:rFonts w:ascii="宋体" w:hAnsi="宋体" w:cs="宋体" w:eastAsia="宋体" w:hint="default"/>
                <w:sz w:val="18"/>
                <w:szCs w:val="18"/>
              </w:rPr>
            </w:pPr>
            <w:r>
              <w:rPr>
                <w:rFonts w:ascii="宋体" w:hAnsi="宋体" w:cs="宋体" w:eastAsia="宋体" w:hint="default"/>
                <w:sz w:val="18"/>
                <w:szCs w:val="18"/>
              </w:rPr>
              <w:t>现任</w:t>
            </w:r>
          </w:p>
        </w:tc>
        <w:tc>
          <w:tcPr>
            <w:tcW w:w="427" w:type="dxa"/>
            <w:vMerge/>
            <w:tcBorders>
              <w:left w:val="single" w:sz="4" w:space="0" w:color="000000"/>
              <w:bottom w:val="single" w:sz="4" w:space="0" w:color="000000"/>
              <w:right w:val="single" w:sz="4" w:space="0" w:color="000000"/>
            </w:tcBorders>
          </w:tcPr>
          <w:p>
            <w:pPr/>
          </w:p>
        </w:tc>
        <w:tc>
          <w:tcPr>
            <w:tcW w:w="706" w:type="dxa"/>
            <w:vMerge/>
            <w:tcBorders>
              <w:left w:val="single" w:sz="4" w:space="0" w:color="000000"/>
              <w:bottom w:val="single" w:sz="4" w:space="0" w:color="000000"/>
              <w:right w:val="single" w:sz="4" w:space="0" w:color="000000"/>
            </w:tcBorders>
          </w:tcPr>
          <w:p>
            <w:pP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836" w:type="dxa"/>
            <w:vMerge/>
            <w:tcBorders>
              <w:left w:val="single" w:sz="4" w:space="0" w:color="000000"/>
              <w:bottom w:val="single" w:sz="4" w:space="0" w:color="000000"/>
              <w:right w:val="single" w:sz="4" w:space="0" w:color="000000"/>
            </w:tcBorders>
          </w:tcPr>
          <w:p>
            <w:pPr/>
          </w:p>
        </w:tc>
        <w:tc>
          <w:tcPr>
            <w:tcW w:w="759" w:type="dxa"/>
            <w:vMerge/>
            <w:tcBorders>
              <w:left w:val="single" w:sz="4" w:space="0" w:color="000000"/>
              <w:bottom w:val="single" w:sz="4" w:space="0" w:color="000000"/>
              <w:right w:val="single" w:sz="4" w:space="0" w:color="000000"/>
            </w:tcBorders>
          </w:tcPr>
          <w:p>
            <w:pPr/>
          </w:p>
        </w:tc>
        <w:tc>
          <w:tcPr>
            <w:tcW w:w="802"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r>
      <w:tr>
        <w:trPr>
          <w:trHeight w:val="403" w:hRule="exact"/>
        </w:trPr>
        <w:tc>
          <w:tcPr>
            <w:tcW w:w="60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13"/>
                <w:szCs w:val="1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陈宇峰</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57"/>
              <w:jc w:val="center"/>
              <w:rPr>
                <w:rFonts w:ascii="宋体" w:hAnsi="宋体" w:cs="宋体" w:eastAsia="宋体" w:hint="default"/>
                <w:sz w:val="18"/>
                <w:szCs w:val="18"/>
              </w:rPr>
            </w:pPr>
            <w:r>
              <w:rPr>
                <w:rFonts w:ascii="宋体" w:hAnsi="宋体" w:cs="宋体" w:eastAsia="宋体" w:hint="default"/>
                <w:sz w:val="18"/>
                <w:szCs w:val="18"/>
              </w:rPr>
              <w:t>现任</w:t>
            </w:r>
          </w:p>
        </w:tc>
        <w:tc>
          <w:tcPr>
            <w:tcW w:w="42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13"/>
                <w:szCs w:val="1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70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6"/>
                <w:szCs w:val="16"/>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48</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w:t>
            </w:r>
          </w:p>
        </w:tc>
        <w:tc>
          <w:tcPr>
            <w:tcW w:w="75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6"/>
                <w:szCs w:val="16"/>
              </w:rPr>
            </w:pPr>
          </w:p>
          <w:p>
            <w:pPr>
              <w:pStyle w:val="TableParagraph"/>
              <w:spacing w:line="240" w:lineRule="auto"/>
              <w:ind w:left="230" w:right="0"/>
              <w:jc w:val="left"/>
              <w:rPr>
                <w:rFonts w:ascii="Times New Roman" w:hAnsi="Times New Roman" w:cs="Times New Roman" w:eastAsia="Times New Roman" w:hint="default"/>
                <w:sz w:val="18"/>
                <w:szCs w:val="18"/>
              </w:rPr>
            </w:pPr>
            <w:r>
              <w:rPr>
                <w:rFonts w:ascii="Times New Roman"/>
                <w:sz w:val="18"/>
              </w:rPr>
              <w:t>25,312</w:t>
            </w:r>
          </w:p>
        </w:tc>
        <w:tc>
          <w:tcPr>
            <w:tcW w:w="8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6"/>
                <w:szCs w:val="16"/>
              </w:rPr>
            </w:pPr>
          </w:p>
          <w:p>
            <w:pPr>
              <w:pStyle w:val="TableParagraph"/>
              <w:spacing w:line="240" w:lineRule="auto"/>
              <w:ind w:left="364" w:right="0"/>
              <w:jc w:val="left"/>
              <w:rPr>
                <w:rFonts w:ascii="Times New Roman" w:hAnsi="Times New Roman" w:cs="Times New Roman" w:eastAsia="Times New Roman" w:hint="default"/>
                <w:sz w:val="18"/>
                <w:szCs w:val="18"/>
              </w:rPr>
            </w:pPr>
            <w:r>
              <w:rPr>
                <w:rFonts w:ascii="Times New Roman"/>
                <w:sz w:val="18"/>
              </w:rPr>
              <w:t>7,594</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6"/>
                <w:szCs w:val="16"/>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6"/>
                <w:szCs w:val="16"/>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6"/>
                <w:szCs w:val="16"/>
              </w:rPr>
            </w:pPr>
          </w:p>
          <w:p>
            <w:pPr>
              <w:pStyle w:val="TableParagraph"/>
              <w:spacing w:line="240" w:lineRule="auto"/>
              <w:ind w:left="273" w:right="0"/>
              <w:jc w:val="left"/>
              <w:rPr>
                <w:rFonts w:ascii="Times New Roman" w:hAnsi="Times New Roman" w:cs="Times New Roman" w:eastAsia="Times New Roman" w:hint="default"/>
                <w:sz w:val="18"/>
                <w:szCs w:val="18"/>
              </w:rPr>
            </w:pPr>
            <w:r>
              <w:rPr>
                <w:rFonts w:ascii="Times New Roman"/>
                <w:sz w:val="18"/>
              </w:rPr>
              <w:t>32,906</w:t>
            </w:r>
          </w:p>
        </w:tc>
      </w:tr>
      <w:tr>
        <w:trPr>
          <w:trHeight w:val="711" w:hRule="exact"/>
        </w:trPr>
        <w:tc>
          <w:tcPr>
            <w:tcW w:w="600" w:type="dxa"/>
            <w:vMerge/>
            <w:tcBorders>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高级副总裁</w:t>
            </w:r>
          </w:p>
        </w:tc>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57"/>
              <w:jc w:val="center"/>
              <w:rPr>
                <w:rFonts w:ascii="宋体" w:hAnsi="宋体" w:cs="宋体" w:eastAsia="宋体" w:hint="default"/>
                <w:sz w:val="18"/>
                <w:szCs w:val="18"/>
              </w:rPr>
            </w:pPr>
            <w:r>
              <w:rPr>
                <w:rFonts w:ascii="宋体" w:hAnsi="宋体" w:cs="宋体" w:eastAsia="宋体" w:hint="default"/>
                <w:sz w:val="18"/>
                <w:szCs w:val="18"/>
              </w:rPr>
              <w:t>离任</w:t>
            </w:r>
          </w:p>
        </w:tc>
        <w:tc>
          <w:tcPr>
            <w:tcW w:w="427" w:type="dxa"/>
            <w:vMerge/>
            <w:tcBorders>
              <w:left w:val="single" w:sz="4" w:space="0" w:color="000000"/>
              <w:bottom w:val="single" w:sz="4" w:space="0" w:color="000000"/>
              <w:right w:val="single" w:sz="4" w:space="0" w:color="000000"/>
            </w:tcBorders>
          </w:tcPr>
          <w:p>
            <w:pPr/>
          </w:p>
        </w:tc>
        <w:tc>
          <w:tcPr>
            <w:tcW w:w="706" w:type="dxa"/>
            <w:vMerge/>
            <w:tcBorders>
              <w:left w:val="single" w:sz="4" w:space="0" w:color="000000"/>
              <w:bottom w:val="single" w:sz="4" w:space="0" w:color="000000"/>
              <w:right w:val="single" w:sz="4" w:space="0" w:color="000000"/>
            </w:tcBorders>
          </w:tcPr>
          <w:p>
            <w:pP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6"/>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01</w:t>
            </w:r>
          </w:p>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59" w:type="dxa"/>
            <w:vMerge/>
            <w:tcBorders>
              <w:left w:val="single" w:sz="4" w:space="0" w:color="000000"/>
              <w:bottom w:val="single" w:sz="4" w:space="0" w:color="000000"/>
              <w:right w:val="single" w:sz="4" w:space="0" w:color="000000"/>
            </w:tcBorders>
          </w:tcPr>
          <w:p>
            <w:pPr/>
          </w:p>
        </w:tc>
        <w:tc>
          <w:tcPr>
            <w:tcW w:w="802"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r>
      <w:tr>
        <w:trPr>
          <w:trHeight w:val="403" w:hRule="exact"/>
        </w:trPr>
        <w:tc>
          <w:tcPr>
            <w:tcW w:w="600"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熊辉</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57"/>
              <w:jc w:val="center"/>
              <w:rPr>
                <w:rFonts w:ascii="宋体" w:hAnsi="宋体" w:cs="宋体" w:eastAsia="宋体" w:hint="default"/>
                <w:sz w:val="18"/>
                <w:szCs w:val="18"/>
              </w:rPr>
            </w:pPr>
            <w:r>
              <w:rPr>
                <w:rFonts w:ascii="宋体" w:hAnsi="宋体" w:cs="宋体" w:eastAsia="宋体" w:hint="default"/>
                <w:sz w:val="18"/>
                <w:szCs w:val="18"/>
              </w:rPr>
              <w:t>现任</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706"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47</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836"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2"/>
                <w:szCs w:val="2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w:t>
            </w:r>
          </w:p>
        </w:tc>
        <w:tc>
          <w:tcPr>
            <w:tcW w:w="759"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2"/>
                <w:szCs w:val="2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2"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2"/>
                <w:szCs w:val="2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403" w:hRule="exact"/>
        </w:trPr>
        <w:tc>
          <w:tcPr>
            <w:tcW w:w="600" w:type="dxa"/>
            <w:vMerge/>
            <w:tcBorders>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57"/>
              <w:jc w:val="center"/>
              <w:rPr>
                <w:rFonts w:ascii="宋体" w:hAnsi="宋体" w:cs="宋体" w:eastAsia="宋体" w:hint="default"/>
                <w:sz w:val="18"/>
                <w:szCs w:val="18"/>
              </w:rPr>
            </w:pPr>
            <w:r>
              <w:rPr>
                <w:rFonts w:ascii="宋体" w:hAnsi="宋体" w:cs="宋体" w:eastAsia="宋体" w:hint="default"/>
                <w:sz w:val="18"/>
                <w:szCs w:val="18"/>
              </w:rPr>
              <w:t>现任</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706" w:type="dxa"/>
            <w:vMerge/>
            <w:tcBorders>
              <w:left w:val="single" w:sz="4" w:space="0" w:color="000000"/>
              <w:bottom w:val="single" w:sz="4" w:space="0" w:color="000000"/>
              <w:right w:val="single" w:sz="4" w:space="0" w:color="000000"/>
            </w:tcBorders>
          </w:tcPr>
          <w:p>
            <w:pP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836" w:type="dxa"/>
            <w:vMerge/>
            <w:tcBorders>
              <w:left w:val="single" w:sz="4" w:space="0" w:color="000000"/>
              <w:bottom w:val="single" w:sz="4" w:space="0" w:color="000000"/>
              <w:right w:val="single" w:sz="4" w:space="0" w:color="000000"/>
            </w:tcBorders>
          </w:tcPr>
          <w:p>
            <w:pPr/>
          </w:p>
        </w:tc>
        <w:tc>
          <w:tcPr>
            <w:tcW w:w="759" w:type="dxa"/>
            <w:vMerge/>
            <w:tcBorders>
              <w:left w:val="single" w:sz="4" w:space="0" w:color="000000"/>
              <w:bottom w:val="single" w:sz="4" w:space="0" w:color="000000"/>
              <w:right w:val="single" w:sz="4" w:space="0" w:color="000000"/>
            </w:tcBorders>
          </w:tcPr>
          <w:p>
            <w:pPr/>
          </w:p>
        </w:tc>
        <w:tc>
          <w:tcPr>
            <w:tcW w:w="802"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r>
      <w:tr>
        <w:trPr>
          <w:trHeight w:val="404" w:hRule="exact"/>
        </w:trPr>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丁加毅</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57"/>
              <w:jc w:val="center"/>
              <w:rPr>
                <w:rFonts w:ascii="宋体" w:hAnsi="宋体" w:cs="宋体" w:eastAsia="宋体" w:hint="default"/>
                <w:sz w:val="18"/>
                <w:szCs w:val="18"/>
              </w:rPr>
            </w:pPr>
            <w:r>
              <w:rPr>
                <w:rFonts w:ascii="宋体" w:hAnsi="宋体" w:cs="宋体" w:eastAsia="宋体" w:hint="default"/>
                <w:sz w:val="18"/>
                <w:szCs w:val="18"/>
              </w:rPr>
              <w:t>现任</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55</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398" w:hRule="exact"/>
        </w:trPr>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段珺楠</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57"/>
              <w:jc w:val="center"/>
              <w:rPr>
                <w:rFonts w:ascii="宋体" w:hAnsi="宋体" w:cs="宋体" w:eastAsia="宋体" w:hint="default"/>
                <w:sz w:val="18"/>
                <w:szCs w:val="18"/>
              </w:rPr>
            </w:pPr>
            <w:r>
              <w:rPr>
                <w:rFonts w:ascii="宋体" w:hAnsi="宋体" w:cs="宋体" w:eastAsia="宋体" w:hint="default"/>
                <w:sz w:val="18"/>
                <w:szCs w:val="18"/>
              </w:rPr>
              <w:t>现任</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32</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403" w:hRule="exact"/>
        </w:trPr>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王海荣</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57"/>
              <w:jc w:val="center"/>
              <w:rPr>
                <w:rFonts w:ascii="宋体" w:hAnsi="宋体" w:cs="宋体" w:eastAsia="宋体" w:hint="default"/>
                <w:sz w:val="18"/>
                <w:szCs w:val="18"/>
              </w:rPr>
            </w:pPr>
            <w:r>
              <w:rPr>
                <w:rFonts w:ascii="宋体" w:hAnsi="宋体" w:cs="宋体" w:eastAsia="宋体" w:hint="default"/>
                <w:sz w:val="18"/>
                <w:szCs w:val="18"/>
              </w:rPr>
              <w:t>现任</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49</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403" w:hRule="exact"/>
        </w:trPr>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周子学</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57"/>
              <w:jc w:val="center"/>
              <w:rPr>
                <w:rFonts w:ascii="宋体" w:hAnsi="宋体" w:cs="宋体" w:eastAsia="宋体" w:hint="default"/>
                <w:sz w:val="18"/>
                <w:szCs w:val="18"/>
              </w:rPr>
            </w:pPr>
            <w:r>
              <w:rPr>
                <w:rFonts w:ascii="宋体" w:hAnsi="宋体" w:cs="宋体" w:eastAsia="宋体" w:hint="default"/>
                <w:sz w:val="18"/>
                <w:szCs w:val="18"/>
              </w:rPr>
              <w:t>现任</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63</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716" w:hRule="exact"/>
        </w:trPr>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王建新</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7"/>
              <w:jc w:val="center"/>
              <w:rPr>
                <w:rFonts w:ascii="宋体" w:hAnsi="宋体" w:cs="宋体" w:eastAsia="宋体" w:hint="default"/>
                <w:sz w:val="18"/>
                <w:szCs w:val="18"/>
              </w:rPr>
            </w:pPr>
            <w:r>
              <w:rPr>
                <w:rFonts w:ascii="宋体" w:hAnsi="宋体" w:cs="宋体" w:eastAsia="宋体" w:hint="default"/>
                <w:sz w:val="18"/>
                <w:szCs w:val="18"/>
              </w:rPr>
              <w:t>离任</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46</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06</w:t>
            </w:r>
          </w:p>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398" w:hRule="exact"/>
        </w:trPr>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李小军</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57"/>
              <w:jc w:val="center"/>
              <w:rPr>
                <w:rFonts w:ascii="宋体" w:hAnsi="宋体" w:cs="宋体" w:eastAsia="宋体" w:hint="default"/>
                <w:sz w:val="18"/>
                <w:szCs w:val="18"/>
              </w:rPr>
            </w:pPr>
            <w:r>
              <w:rPr>
                <w:rFonts w:ascii="宋体" w:hAnsi="宋体" w:cs="宋体" w:eastAsia="宋体" w:hint="default"/>
                <w:sz w:val="18"/>
                <w:szCs w:val="18"/>
              </w:rPr>
              <w:t>现任</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46</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403" w:hRule="exact"/>
        </w:trPr>
        <w:tc>
          <w:tcPr>
            <w:tcW w:w="600"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李云</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57"/>
              <w:jc w:val="center"/>
              <w:rPr>
                <w:rFonts w:ascii="宋体" w:hAnsi="宋体" w:cs="宋体" w:eastAsia="宋体" w:hint="default"/>
                <w:sz w:val="18"/>
                <w:szCs w:val="18"/>
              </w:rPr>
            </w:pPr>
            <w:r>
              <w:rPr>
                <w:rFonts w:ascii="宋体" w:hAnsi="宋体" w:cs="宋体" w:eastAsia="宋体" w:hint="default"/>
                <w:sz w:val="18"/>
                <w:szCs w:val="18"/>
              </w:rPr>
              <w:t>现任</w:t>
            </w:r>
          </w:p>
        </w:tc>
        <w:tc>
          <w:tcPr>
            <w:tcW w:w="427"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706"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51</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836"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2"/>
                <w:szCs w:val="2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w:t>
            </w:r>
          </w:p>
        </w:tc>
        <w:tc>
          <w:tcPr>
            <w:tcW w:w="759"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2"/>
                <w:szCs w:val="22"/>
              </w:rPr>
            </w:pPr>
          </w:p>
          <w:p>
            <w:pPr>
              <w:pStyle w:val="TableParagraph"/>
              <w:spacing w:line="240" w:lineRule="auto"/>
              <w:ind w:left="321" w:right="0"/>
              <w:jc w:val="left"/>
              <w:rPr>
                <w:rFonts w:ascii="Times New Roman" w:hAnsi="Times New Roman" w:cs="Times New Roman" w:eastAsia="Times New Roman" w:hint="default"/>
                <w:sz w:val="18"/>
                <w:szCs w:val="18"/>
              </w:rPr>
            </w:pPr>
            <w:r>
              <w:rPr>
                <w:rFonts w:ascii="Times New Roman"/>
                <w:sz w:val="18"/>
              </w:rPr>
              <w:t>5,906</w:t>
            </w:r>
          </w:p>
        </w:tc>
        <w:tc>
          <w:tcPr>
            <w:tcW w:w="802"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2"/>
                <w:szCs w:val="22"/>
              </w:rPr>
            </w:pPr>
          </w:p>
          <w:p>
            <w:pPr>
              <w:pStyle w:val="TableParagraph"/>
              <w:spacing w:line="240" w:lineRule="auto"/>
              <w:ind w:left="364" w:right="0"/>
              <w:jc w:val="left"/>
              <w:rPr>
                <w:rFonts w:ascii="Times New Roman" w:hAnsi="Times New Roman" w:cs="Times New Roman" w:eastAsia="Times New Roman" w:hint="default"/>
                <w:sz w:val="18"/>
                <w:szCs w:val="18"/>
              </w:rPr>
            </w:pPr>
            <w:r>
              <w:rPr>
                <w:rFonts w:ascii="Times New Roman"/>
                <w:sz w:val="18"/>
              </w:rPr>
              <w:t>1,772</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2"/>
                <w:szCs w:val="22"/>
              </w:rPr>
            </w:pPr>
          </w:p>
          <w:p>
            <w:pPr>
              <w:pStyle w:val="TableParagraph"/>
              <w:spacing w:line="240" w:lineRule="auto"/>
              <w:ind w:left="364" w:right="0"/>
              <w:jc w:val="left"/>
              <w:rPr>
                <w:rFonts w:ascii="Times New Roman" w:hAnsi="Times New Roman" w:cs="Times New Roman" w:eastAsia="Times New Roman" w:hint="default"/>
                <w:sz w:val="18"/>
                <w:szCs w:val="18"/>
              </w:rPr>
            </w:pPr>
            <w:r>
              <w:rPr>
                <w:rFonts w:ascii="Times New Roman"/>
                <w:sz w:val="18"/>
              </w:rPr>
              <w:t>7,678</w:t>
            </w:r>
          </w:p>
        </w:tc>
      </w:tr>
      <w:tr>
        <w:trPr>
          <w:trHeight w:val="403" w:hRule="exact"/>
        </w:trPr>
        <w:tc>
          <w:tcPr>
            <w:tcW w:w="600" w:type="dxa"/>
            <w:vMerge/>
            <w:tcBorders>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57"/>
              <w:jc w:val="center"/>
              <w:rPr>
                <w:rFonts w:ascii="宋体" w:hAnsi="宋体" w:cs="宋体" w:eastAsia="宋体" w:hint="default"/>
                <w:sz w:val="18"/>
                <w:szCs w:val="18"/>
              </w:rPr>
            </w:pPr>
            <w:r>
              <w:rPr>
                <w:rFonts w:ascii="宋体" w:hAnsi="宋体" w:cs="宋体" w:eastAsia="宋体" w:hint="default"/>
                <w:sz w:val="18"/>
                <w:szCs w:val="18"/>
              </w:rPr>
              <w:t>现任</w:t>
            </w:r>
          </w:p>
        </w:tc>
        <w:tc>
          <w:tcPr>
            <w:tcW w:w="427" w:type="dxa"/>
            <w:vMerge/>
            <w:tcBorders>
              <w:left w:val="single" w:sz="4" w:space="0" w:color="000000"/>
              <w:bottom w:val="single" w:sz="4" w:space="0" w:color="000000"/>
              <w:right w:val="single" w:sz="4" w:space="0" w:color="000000"/>
            </w:tcBorders>
          </w:tcPr>
          <w:p>
            <w:pPr/>
          </w:p>
        </w:tc>
        <w:tc>
          <w:tcPr>
            <w:tcW w:w="706" w:type="dxa"/>
            <w:vMerge/>
            <w:tcBorders>
              <w:left w:val="single" w:sz="4" w:space="0" w:color="000000"/>
              <w:bottom w:val="single" w:sz="4" w:space="0" w:color="000000"/>
              <w:right w:val="single" w:sz="4" w:space="0" w:color="000000"/>
            </w:tcBorders>
          </w:tcPr>
          <w:p>
            <w:pP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836" w:type="dxa"/>
            <w:vMerge/>
            <w:tcBorders>
              <w:left w:val="single" w:sz="4" w:space="0" w:color="000000"/>
              <w:bottom w:val="single" w:sz="4" w:space="0" w:color="000000"/>
              <w:right w:val="single" w:sz="4" w:space="0" w:color="000000"/>
            </w:tcBorders>
          </w:tcPr>
          <w:p>
            <w:pPr/>
          </w:p>
        </w:tc>
        <w:tc>
          <w:tcPr>
            <w:tcW w:w="759" w:type="dxa"/>
            <w:vMerge/>
            <w:tcBorders>
              <w:left w:val="single" w:sz="4" w:space="0" w:color="000000"/>
              <w:bottom w:val="single" w:sz="4" w:space="0" w:color="000000"/>
              <w:right w:val="single" w:sz="4" w:space="0" w:color="000000"/>
            </w:tcBorders>
          </w:tcPr>
          <w:p>
            <w:pPr/>
          </w:p>
        </w:tc>
        <w:tc>
          <w:tcPr>
            <w:tcW w:w="802"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r>
      <w:tr>
        <w:trPr>
          <w:trHeight w:val="404" w:hRule="exact"/>
        </w:trPr>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唐绯</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57"/>
              <w:jc w:val="center"/>
              <w:rPr>
                <w:rFonts w:ascii="宋体" w:hAnsi="宋体" w:cs="宋体" w:eastAsia="宋体" w:hint="default"/>
                <w:sz w:val="18"/>
                <w:szCs w:val="18"/>
              </w:rPr>
            </w:pPr>
            <w:r>
              <w:rPr>
                <w:rFonts w:ascii="宋体" w:hAnsi="宋体" w:cs="宋体" w:eastAsia="宋体" w:hint="default"/>
                <w:sz w:val="18"/>
                <w:szCs w:val="18"/>
              </w:rPr>
              <w:t>现任</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46</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398" w:hRule="exact"/>
        </w:trPr>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吴育</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57"/>
              <w:jc w:val="center"/>
              <w:rPr>
                <w:rFonts w:ascii="宋体" w:hAnsi="宋体" w:cs="宋体" w:eastAsia="宋体" w:hint="default"/>
                <w:sz w:val="18"/>
                <w:szCs w:val="18"/>
              </w:rPr>
            </w:pPr>
            <w:r>
              <w:rPr>
                <w:rFonts w:ascii="宋体" w:hAnsi="宋体" w:cs="宋体" w:eastAsia="宋体" w:hint="default"/>
                <w:sz w:val="18"/>
                <w:szCs w:val="18"/>
              </w:rPr>
              <w:t>现任</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35</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403" w:hRule="exact"/>
        </w:trPr>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陈烈</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57"/>
              <w:jc w:val="center"/>
              <w:rPr>
                <w:rFonts w:ascii="宋体" w:hAnsi="宋体" w:cs="宋体" w:eastAsia="宋体" w:hint="default"/>
                <w:sz w:val="18"/>
                <w:szCs w:val="18"/>
              </w:rPr>
            </w:pPr>
            <w:r>
              <w:rPr>
                <w:rFonts w:ascii="宋体" w:hAnsi="宋体" w:cs="宋体" w:eastAsia="宋体" w:hint="default"/>
                <w:sz w:val="18"/>
                <w:szCs w:val="18"/>
              </w:rPr>
              <w:t>现任</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52</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403" w:hRule="exact"/>
        </w:trPr>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刘伟</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57"/>
              <w:jc w:val="center"/>
              <w:rPr>
                <w:rFonts w:ascii="宋体" w:hAnsi="宋体" w:cs="宋体" w:eastAsia="宋体" w:hint="default"/>
                <w:sz w:val="18"/>
                <w:szCs w:val="18"/>
              </w:rPr>
            </w:pPr>
            <w:r>
              <w:rPr>
                <w:rFonts w:ascii="宋体" w:hAnsi="宋体" w:cs="宋体" w:eastAsia="宋体" w:hint="default"/>
                <w:sz w:val="18"/>
                <w:szCs w:val="18"/>
              </w:rPr>
              <w:t>现任</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35</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404" w:hRule="exact"/>
        </w:trPr>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宋卫权</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55"/>
              <w:jc w:val="center"/>
              <w:rPr>
                <w:rFonts w:ascii="宋体" w:hAnsi="宋体" w:cs="宋体" w:eastAsia="宋体" w:hint="default"/>
                <w:sz w:val="18"/>
                <w:szCs w:val="18"/>
              </w:rPr>
            </w:pPr>
            <w:r>
              <w:rPr>
                <w:rFonts w:ascii="宋体" w:hAnsi="宋体" w:cs="宋体" w:eastAsia="宋体" w:hint="default"/>
                <w:sz w:val="18"/>
                <w:szCs w:val="18"/>
              </w:rPr>
              <w:t>现任</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48</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3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6,750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2,025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8,775</w:t>
            </w:r>
          </w:p>
        </w:tc>
      </w:tr>
      <w:tr>
        <w:trPr>
          <w:trHeight w:val="398" w:hRule="exact"/>
        </w:trPr>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倪佳</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57"/>
              <w:jc w:val="center"/>
              <w:rPr>
                <w:rFonts w:ascii="宋体" w:hAnsi="宋体" w:cs="宋体" w:eastAsia="宋体" w:hint="default"/>
                <w:sz w:val="18"/>
                <w:szCs w:val="18"/>
              </w:rPr>
            </w:pPr>
            <w:r>
              <w:rPr>
                <w:rFonts w:ascii="宋体" w:hAnsi="宋体" w:cs="宋体" w:eastAsia="宋体" w:hint="default"/>
                <w:sz w:val="18"/>
                <w:szCs w:val="18"/>
              </w:rPr>
              <w:t>现任</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48</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403" w:hRule="exact"/>
        </w:trPr>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周建华</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55"/>
              <w:jc w:val="center"/>
              <w:rPr>
                <w:rFonts w:ascii="宋体" w:hAnsi="宋体" w:cs="宋体" w:eastAsia="宋体" w:hint="default"/>
                <w:sz w:val="18"/>
                <w:szCs w:val="18"/>
              </w:rPr>
            </w:pPr>
            <w:r>
              <w:rPr>
                <w:rFonts w:ascii="宋体" w:hAnsi="宋体" w:cs="宋体" w:eastAsia="宋体" w:hint="default"/>
                <w:sz w:val="18"/>
                <w:szCs w:val="18"/>
              </w:rPr>
              <w:t>现任</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50</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403" w:hRule="exact"/>
        </w:trPr>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何立</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57"/>
              <w:jc w:val="center"/>
              <w:rPr>
                <w:rFonts w:ascii="宋体" w:hAnsi="宋体" w:cs="宋体" w:eastAsia="宋体" w:hint="default"/>
                <w:sz w:val="18"/>
                <w:szCs w:val="18"/>
              </w:rPr>
            </w:pPr>
            <w:r>
              <w:rPr>
                <w:rFonts w:ascii="宋体" w:hAnsi="宋体" w:cs="宋体" w:eastAsia="宋体" w:hint="default"/>
                <w:sz w:val="18"/>
                <w:szCs w:val="18"/>
              </w:rPr>
              <w:t>现任</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45</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404" w:hRule="exact"/>
        </w:trPr>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刘涓</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55"/>
              <w:jc w:val="center"/>
              <w:rPr>
                <w:rFonts w:ascii="宋体" w:hAnsi="宋体" w:cs="宋体" w:eastAsia="宋体" w:hint="default"/>
                <w:sz w:val="18"/>
                <w:szCs w:val="18"/>
              </w:rPr>
            </w:pPr>
            <w:r>
              <w:rPr>
                <w:rFonts w:ascii="宋体" w:hAnsi="宋体" w:cs="宋体" w:eastAsia="宋体" w:hint="default"/>
                <w:sz w:val="18"/>
                <w:szCs w:val="18"/>
              </w:rPr>
              <w:t>现任</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44</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398" w:hRule="exact"/>
        </w:trPr>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赵起高</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57"/>
              <w:jc w:val="center"/>
              <w:rPr>
                <w:rFonts w:ascii="宋体" w:hAnsi="宋体" w:cs="宋体" w:eastAsia="宋体" w:hint="default"/>
                <w:sz w:val="18"/>
                <w:szCs w:val="18"/>
              </w:rPr>
            </w:pPr>
            <w:r>
              <w:rPr>
                <w:rFonts w:ascii="宋体" w:hAnsi="宋体" w:cs="宋体" w:eastAsia="宋体" w:hint="default"/>
                <w:sz w:val="18"/>
                <w:szCs w:val="18"/>
              </w:rPr>
              <w:t>现任</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51</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403" w:hRule="exact"/>
        </w:trPr>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sz w:val="18"/>
              </w:rPr>
              <w:t>--</w:t>
            </w:r>
          </w:p>
        </w:tc>
        <w:tc>
          <w:tcPr>
            <w:tcW w:w="4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9" w:right="0"/>
              <w:jc w:val="center"/>
              <w:rPr>
                <w:rFonts w:ascii="Times New Roman" w:hAnsi="Times New Roman" w:cs="Times New Roman" w:eastAsia="Times New Roman" w:hint="default"/>
                <w:sz w:val="18"/>
                <w:szCs w:val="18"/>
              </w:rPr>
            </w:pPr>
            <w:r>
              <w:rPr>
                <w:rFonts w:ascii="Times New Roman"/>
                <w:sz w:val="18"/>
              </w:rPr>
              <w:t>--</w:t>
            </w:r>
          </w:p>
        </w:tc>
        <w:tc>
          <w:tcPr>
            <w:tcW w:w="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sz w:val="18"/>
              </w:rPr>
              <w:t>--</w:t>
            </w:r>
          </w:p>
        </w:tc>
        <w:tc>
          <w:tcPr>
            <w:tcW w:w="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sz w:val="18"/>
              </w:rPr>
              <w:t>--</w:t>
            </w:r>
          </w:p>
        </w:tc>
        <w:tc>
          <w:tcPr>
            <w:tcW w:w="15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w:t>
            </w:r>
          </w:p>
        </w:tc>
        <w:tc>
          <w:tcPr>
            <w:tcW w:w="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9" w:right="0"/>
              <w:jc w:val="center"/>
              <w:rPr>
                <w:rFonts w:ascii="Times New Roman" w:hAnsi="Times New Roman" w:cs="Times New Roman" w:eastAsia="Times New Roman" w:hint="default"/>
                <w:sz w:val="18"/>
                <w:szCs w:val="18"/>
              </w:rPr>
            </w:pPr>
            <w:r>
              <w:rPr>
                <w:rFonts w:ascii="Times New Roman"/>
                <w:sz w:val="18"/>
              </w:rPr>
              <w:t>--</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64,124</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19,238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83,362</w:t>
            </w:r>
          </w:p>
        </w:tc>
      </w:tr>
    </w:tbl>
    <w:p>
      <w:pPr>
        <w:spacing w:after="0" w:line="240" w:lineRule="auto"/>
        <w:jc w:val="right"/>
        <w:rPr>
          <w:rFonts w:ascii="Times New Roman" w:hAnsi="Times New Roman" w:cs="Times New Roman" w:eastAsia="Times New Roman" w:hint="default"/>
          <w:sz w:val="18"/>
          <w:szCs w:val="18"/>
        </w:rPr>
        <w:sectPr>
          <w:pgSz w:w="11910" w:h="16840"/>
          <w:pgMar w:header="746" w:footer="974" w:top="1060" w:bottom="1160" w:left="980" w:right="0"/>
        </w:sectPr>
      </w:pPr>
    </w:p>
    <w:p>
      <w:pPr>
        <w:spacing w:line="240" w:lineRule="auto" w:before="10"/>
        <w:rPr>
          <w:rFonts w:ascii="宋体" w:hAnsi="宋体" w:cs="宋体" w:eastAsia="宋体" w:hint="default"/>
          <w:b/>
          <w:bCs/>
          <w:sz w:val="23"/>
          <w:szCs w:val="23"/>
        </w:rPr>
      </w:pPr>
    </w:p>
    <w:p>
      <w:pPr>
        <w:spacing w:before="26"/>
        <w:ind w:left="153" w:right="855" w:firstLine="0"/>
        <w:jc w:val="left"/>
        <w:rPr>
          <w:rFonts w:ascii="宋体" w:hAnsi="宋体" w:cs="宋体" w:eastAsia="宋体" w:hint="default"/>
          <w:sz w:val="24"/>
          <w:szCs w:val="24"/>
        </w:rPr>
      </w:pPr>
      <w:r>
        <w:rPr>
          <w:rFonts w:ascii="宋体" w:hAnsi="宋体" w:cs="宋体" w:eastAsia="宋体" w:hint="default"/>
          <w:b/>
          <w:bCs/>
          <w:sz w:val="24"/>
          <w:szCs w:val="24"/>
        </w:rPr>
        <w:t>二、公司董事、监事、高级管理人员变动情况</w:t>
      </w:r>
      <w:r>
        <w:rPr>
          <w:rFonts w:ascii="宋体" w:hAnsi="宋体" w:cs="宋体" w:eastAsia="宋体" w:hint="default"/>
          <w:sz w:val="24"/>
          <w:szCs w:val="24"/>
        </w:rPr>
      </w:r>
    </w:p>
    <w:p>
      <w:pPr>
        <w:spacing w:line="240" w:lineRule="auto" w:before="6"/>
        <w:rPr>
          <w:rFonts w:ascii="宋体" w:hAnsi="宋体" w:cs="宋体" w:eastAsia="宋体" w:hint="default"/>
          <w:b/>
          <w:bCs/>
          <w:sz w:val="26"/>
          <w:szCs w:val="26"/>
        </w:rPr>
      </w:pPr>
    </w:p>
    <w:p>
      <w:pPr>
        <w:pStyle w:val="BodyText"/>
        <w:spacing w:line="240" w:lineRule="auto"/>
        <w:ind w:right="855"/>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1"/>
        </w:rPr>
        <w:t> </w:t>
      </w:r>
      <w:r>
        <w:rPr/>
        <w:t>不适用</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850"/>
        <w:gridCol w:w="1138"/>
        <w:gridCol w:w="850"/>
        <w:gridCol w:w="2127"/>
        <w:gridCol w:w="4605"/>
      </w:tblGrid>
      <w:tr>
        <w:trPr>
          <w:trHeight w:val="404" w:hRule="exact"/>
        </w:trPr>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233"/>
              <w:jc w:val="right"/>
              <w:rPr>
                <w:rFonts w:ascii="宋体" w:hAnsi="宋体" w:cs="宋体" w:eastAsia="宋体" w:hint="default"/>
                <w:sz w:val="18"/>
                <w:szCs w:val="18"/>
              </w:rPr>
            </w:pPr>
            <w:r>
              <w:rPr>
                <w:rFonts w:ascii="宋体" w:hAnsi="宋体" w:cs="宋体" w:eastAsia="宋体" w:hint="default"/>
                <w:sz w:val="18"/>
                <w:szCs w:val="18"/>
              </w:rPr>
              <w:t>姓名</w:t>
            </w:r>
          </w:p>
        </w:tc>
        <w:tc>
          <w:tcPr>
            <w:tcW w:w="11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5"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0" w:right="0"/>
              <w:jc w:val="left"/>
              <w:rPr>
                <w:rFonts w:ascii="宋体" w:hAnsi="宋体" w:cs="宋体" w:eastAsia="宋体" w:hint="default"/>
                <w:sz w:val="18"/>
                <w:szCs w:val="18"/>
              </w:rPr>
            </w:pPr>
            <w:r>
              <w:rPr>
                <w:rFonts w:ascii="宋体" w:hAnsi="宋体" w:cs="宋体" w:eastAsia="宋体" w:hint="default"/>
                <w:sz w:val="18"/>
                <w:szCs w:val="18"/>
              </w:rPr>
              <w:t>类型</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403"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72"/>
              <w:jc w:val="right"/>
              <w:rPr>
                <w:rFonts w:ascii="宋体" w:hAnsi="宋体" w:cs="宋体" w:eastAsia="宋体" w:hint="default"/>
                <w:sz w:val="18"/>
                <w:szCs w:val="18"/>
              </w:rPr>
            </w:pPr>
            <w:r>
              <w:rPr>
                <w:rFonts w:ascii="宋体" w:hAnsi="宋体" w:cs="宋体" w:eastAsia="宋体" w:hint="default"/>
                <w:spacing w:val="-2"/>
                <w:sz w:val="18"/>
                <w:szCs w:val="18"/>
              </w:rPr>
              <w:t>王建新</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4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工作原因辞职</w:t>
            </w:r>
          </w:p>
        </w:tc>
      </w:tr>
      <w:tr>
        <w:trPr>
          <w:trHeight w:val="710"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72"/>
              <w:jc w:val="right"/>
              <w:rPr>
                <w:rFonts w:ascii="宋体" w:hAnsi="宋体" w:cs="宋体" w:eastAsia="宋体" w:hint="default"/>
                <w:sz w:val="18"/>
                <w:szCs w:val="18"/>
              </w:rPr>
            </w:pPr>
            <w:r>
              <w:rPr>
                <w:rFonts w:ascii="宋体" w:hAnsi="宋体" w:cs="宋体" w:eastAsia="宋体" w:hint="default"/>
                <w:spacing w:val="-2"/>
                <w:sz w:val="18"/>
                <w:szCs w:val="18"/>
              </w:rPr>
              <w:t>陈宇峰</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高级副总裁</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解聘</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4605"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3"/>
              <w:ind w:left="23" w:right="66"/>
              <w:jc w:val="left"/>
              <w:rPr>
                <w:rFonts w:ascii="宋体" w:hAnsi="宋体" w:cs="宋体" w:eastAsia="宋体" w:hint="default"/>
                <w:sz w:val="18"/>
                <w:szCs w:val="18"/>
              </w:rPr>
            </w:pPr>
            <w:r>
              <w:rPr>
                <w:rFonts w:ascii="宋体" w:hAnsi="宋体" w:cs="宋体" w:eastAsia="宋体" w:hint="default"/>
                <w:spacing w:val="-3"/>
                <w:sz w:val="18"/>
                <w:szCs w:val="18"/>
              </w:rPr>
              <w:t>工作变动辞去高级副总裁职务，继续担任董事、董事会战</w:t>
            </w:r>
            <w:r>
              <w:rPr>
                <w:rFonts w:ascii="宋体" w:hAnsi="宋体" w:cs="宋体" w:eastAsia="宋体" w:hint="default"/>
                <w:spacing w:val="-15"/>
                <w:sz w:val="18"/>
                <w:szCs w:val="18"/>
              </w:rPr>
              <w:t> </w:t>
            </w:r>
            <w:r>
              <w:rPr>
                <w:rFonts w:ascii="宋体" w:hAnsi="宋体" w:cs="宋体" w:eastAsia="宋体" w:hint="default"/>
                <w:spacing w:val="-15"/>
                <w:sz w:val="18"/>
                <w:szCs w:val="18"/>
              </w:rPr>
            </w:r>
            <w:r>
              <w:rPr>
                <w:rFonts w:ascii="宋体" w:hAnsi="宋体" w:cs="宋体" w:eastAsia="宋体" w:hint="default"/>
                <w:spacing w:val="-3"/>
                <w:sz w:val="18"/>
                <w:szCs w:val="18"/>
              </w:rPr>
              <w:t>略委员会委员、董事会风险管理委员会委员职务。</w:t>
            </w:r>
          </w:p>
        </w:tc>
      </w:tr>
    </w:tbl>
    <w:p>
      <w:pPr>
        <w:spacing w:line="240" w:lineRule="auto" w:before="1"/>
        <w:rPr>
          <w:rFonts w:ascii="宋体" w:hAnsi="宋体" w:cs="宋体" w:eastAsia="宋体" w:hint="default"/>
          <w:sz w:val="18"/>
          <w:szCs w:val="18"/>
        </w:rPr>
      </w:pPr>
    </w:p>
    <w:p>
      <w:pPr>
        <w:pStyle w:val="Heading2"/>
        <w:spacing w:line="240" w:lineRule="auto" w:before="26"/>
        <w:ind w:right="855"/>
        <w:jc w:val="left"/>
        <w:rPr>
          <w:b w:val="0"/>
          <w:bCs w:val="0"/>
        </w:rPr>
      </w:pPr>
      <w:r>
        <w:rPr/>
        <w:t>三、任职情况</w:t>
      </w:r>
      <w:r>
        <w:rPr>
          <w:b w:val="0"/>
          <w:bCs w:val="0"/>
        </w:rPr>
      </w:r>
    </w:p>
    <w:p>
      <w:pPr>
        <w:pStyle w:val="BodyText"/>
        <w:spacing w:line="440" w:lineRule="atLeast" w:before="146"/>
        <w:ind w:left="508" w:right="855" w:hanging="356"/>
        <w:jc w:val="left"/>
      </w:pPr>
      <w:r>
        <w:rPr>
          <w:spacing w:val="-3"/>
        </w:rPr>
        <w:t>公司现任董事、监事、高级管理人员专业背景、主要工作经历以及目前在公司的主要职责</w:t>
      </w:r>
      <w:r>
        <w:rPr>
          <w:spacing w:val="25"/>
        </w:rPr>
        <w:t> </w:t>
      </w:r>
      <w:r>
        <w:rPr>
          <w:spacing w:val="25"/>
        </w:rPr>
      </w:r>
      <w:r>
        <w:rPr>
          <w:spacing w:val="-4"/>
        </w:rPr>
        <w:t>徐宏灿：中欧国际工商学院硕士研究生</w:t>
      </w:r>
      <w:r>
        <w:rPr>
          <w:rFonts w:ascii="Times New Roman" w:hAnsi="Times New Roman" w:cs="Times New Roman" w:eastAsia="Times New Roman" w:hint="default"/>
          <w:spacing w:val="-4"/>
        </w:rPr>
        <w:t>EMBA</w:t>
      </w:r>
      <w:r>
        <w:rPr>
          <w:spacing w:val="-4"/>
        </w:rPr>
        <w:t>，高级工程师；现任本公司董事长、总裁，南天集团董事；曾任本公司副</w:t>
      </w:r>
    </w:p>
    <w:p>
      <w:pPr>
        <w:pStyle w:val="BodyText"/>
        <w:spacing w:line="240" w:lineRule="auto" w:before="63"/>
        <w:ind w:right="855"/>
        <w:jc w:val="left"/>
      </w:pPr>
      <w:r>
        <w:rPr>
          <w:spacing w:val="-3"/>
        </w:rPr>
        <w:t>董事长、副总裁、软件事业部总经理。</w:t>
      </w:r>
    </w:p>
    <w:p>
      <w:pPr>
        <w:spacing w:line="240" w:lineRule="auto" w:before="0"/>
        <w:rPr>
          <w:rFonts w:ascii="宋体" w:hAnsi="宋体" w:cs="宋体" w:eastAsia="宋体" w:hint="default"/>
          <w:sz w:val="15"/>
          <w:szCs w:val="15"/>
        </w:rPr>
      </w:pPr>
    </w:p>
    <w:p>
      <w:pPr>
        <w:pStyle w:val="BodyText"/>
        <w:spacing w:line="316" w:lineRule="auto"/>
        <w:ind w:right="1129" w:firstLine="355"/>
        <w:jc w:val="both"/>
      </w:pPr>
      <w:r>
        <w:rPr>
          <w:spacing w:val="-5"/>
        </w:rPr>
        <w:t>陈宇峰：大学学历，高级工程师。现任本公司董事，南天集团董事，工投集团信息技术部总经理；曾任本公司监事、高</w:t>
      </w:r>
      <w:r>
        <w:rPr>
          <w:w w:val="101"/>
        </w:rPr>
        <w:t> </w:t>
      </w:r>
      <w:r>
        <w:rPr>
          <w:spacing w:val="-3"/>
        </w:rPr>
        <w:t>级副总裁、副总裁、产品研发一部总经理。</w:t>
      </w:r>
    </w:p>
    <w:p>
      <w:pPr>
        <w:pStyle w:val="BodyText"/>
        <w:spacing w:line="316" w:lineRule="auto" w:before="139"/>
        <w:ind w:right="1130" w:firstLine="355"/>
        <w:jc w:val="both"/>
      </w:pPr>
      <w:r>
        <w:rPr>
          <w:spacing w:val="-5"/>
        </w:rPr>
        <w:t>熊辉：博士研究生学历，高级工程师；现任本公司董事、副总裁、软件业务集团执行总裁，北京南天软件有限公司执行</w:t>
      </w:r>
      <w:r>
        <w:rPr>
          <w:w w:val="101"/>
        </w:rPr>
        <w:t> </w:t>
      </w:r>
      <w:r>
        <w:rPr>
          <w:spacing w:val="-3"/>
        </w:rPr>
        <w:t>总经理；曾任本公司总裁助理、软件业务集团副总裁。</w:t>
      </w:r>
    </w:p>
    <w:p>
      <w:pPr>
        <w:pStyle w:val="BodyText"/>
        <w:spacing w:line="316" w:lineRule="auto" w:before="139"/>
        <w:ind w:right="1130" w:firstLine="355"/>
        <w:jc w:val="both"/>
      </w:pPr>
      <w:r>
        <w:rPr>
          <w:spacing w:val="-5"/>
        </w:rPr>
        <w:t>丁加毅：大学学历，职业经理人；现任本公司董事，工投集团金融业务部总经理；曾任工投集团资产管理部总经理、资</w:t>
      </w:r>
      <w:r>
        <w:rPr>
          <w:w w:val="101"/>
        </w:rPr>
        <w:t> </w:t>
      </w:r>
      <w:r>
        <w:rPr>
          <w:spacing w:val="-3"/>
        </w:rPr>
        <w:t>产运营部副总经理。</w:t>
      </w:r>
    </w:p>
    <w:p>
      <w:pPr>
        <w:pStyle w:val="BodyText"/>
        <w:spacing w:line="316" w:lineRule="auto" w:before="139"/>
        <w:ind w:right="1052" w:firstLine="355"/>
        <w:jc w:val="both"/>
      </w:pPr>
      <w:r>
        <w:rPr>
          <w:spacing w:val="-3"/>
        </w:rPr>
        <w:t>段珺楠：硕士研究生学历；现任本公司董事，工投集团信息技术部总经理助理，曾任工投集团投资管理部总经理助理、</w:t>
      </w:r>
      <w:r>
        <w:rPr>
          <w:w w:val="101"/>
        </w:rPr>
        <w:t> </w:t>
      </w:r>
      <w:r>
        <w:rPr>
          <w:spacing w:val="-3"/>
        </w:rPr>
        <w:t>上海亚美国际旅行社股份有限公司总经理。</w:t>
      </w:r>
    </w:p>
    <w:p>
      <w:pPr>
        <w:pStyle w:val="BodyText"/>
        <w:spacing w:line="316" w:lineRule="auto" w:before="139"/>
        <w:ind w:right="1130" w:firstLine="355"/>
        <w:jc w:val="both"/>
      </w:pPr>
      <w:r>
        <w:rPr>
          <w:spacing w:val="-5"/>
        </w:rPr>
        <w:t>王海荣：本科学历，律师；现任本公司独立董事，北京市东卫律师事务所合伙人；曾任北京市国联律师事务所律师，北</w:t>
      </w:r>
      <w:r>
        <w:rPr>
          <w:w w:val="101"/>
        </w:rPr>
        <w:t> </w:t>
      </w:r>
      <w:r>
        <w:rPr>
          <w:spacing w:val="-3"/>
        </w:rPr>
        <w:t>京国枫凯文律师事务所合伙人。</w:t>
      </w:r>
    </w:p>
    <w:p>
      <w:pPr>
        <w:pStyle w:val="BodyText"/>
        <w:spacing w:line="319" w:lineRule="auto" w:before="139"/>
        <w:ind w:right="1124" w:firstLine="355"/>
        <w:jc w:val="both"/>
      </w:pPr>
      <w:r>
        <w:rPr>
          <w:spacing w:val="-5"/>
        </w:rPr>
        <w:t>周子学：高级会计师，电子科技大学管理工程专业硕士和华中师范大学经济史博士；现任本公司独立董事，中芯国际集</w:t>
      </w:r>
      <w:r>
        <w:rPr>
          <w:w w:val="101"/>
        </w:rPr>
        <w:t> </w:t>
      </w:r>
      <w:r>
        <w:rPr>
          <w:spacing w:val="-4"/>
        </w:rPr>
        <w:t>成电路制造有限公司董事长和执行董事，江苏长电科技股份有限公司董事长；曾在电子工业部经调司历任副处长、处长、副</w:t>
      </w:r>
      <w:r>
        <w:rPr>
          <w:spacing w:val="40"/>
        </w:rPr>
        <w:t> </w:t>
      </w:r>
      <w:r>
        <w:rPr>
          <w:spacing w:val="40"/>
        </w:rPr>
      </w:r>
      <w:r>
        <w:rPr>
          <w:spacing w:val="-4"/>
        </w:rPr>
        <w:t>司长，在信息产业部经济体制改革与经济运行司任副司长，在信息产业部经济体制改革与经济运行司任司长，在工业和信息</w:t>
      </w:r>
      <w:r>
        <w:rPr>
          <w:spacing w:val="43"/>
        </w:rPr>
        <w:t> </w:t>
      </w:r>
      <w:r>
        <w:rPr>
          <w:spacing w:val="43"/>
        </w:rPr>
      </w:r>
      <w:r>
        <w:rPr>
          <w:spacing w:val="-3"/>
        </w:rPr>
        <w:t>化部财务司任司长，在工业和信息化部任总经济师。</w:t>
      </w:r>
    </w:p>
    <w:p>
      <w:pPr>
        <w:pStyle w:val="BodyText"/>
        <w:spacing w:line="316" w:lineRule="auto" w:before="137"/>
        <w:ind w:right="855" w:firstLine="355"/>
        <w:jc w:val="left"/>
      </w:pPr>
      <w:r>
        <w:rPr>
          <w:spacing w:val="-6"/>
        </w:rPr>
        <w:t>李小军：会计学副教授，西安交通大学工商管理（会计学）博士；现任本公司独立董事，云南财经大学会计学院副教授、</w:t>
      </w:r>
      <w:r>
        <w:rPr>
          <w:w w:val="101"/>
        </w:rPr>
        <w:t> </w:t>
      </w:r>
      <w:r>
        <w:rPr>
          <w:spacing w:val="-4"/>
        </w:rPr>
        <w:t>硕士研究生导师，昆明川金诺化工股份有限公司独立董事，云南煤业能源股份有限公司独立董事，昆药集团股份有限公司独</w:t>
      </w:r>
      <w:r>
        <w:rPr>
          <w:spacing w:val="43"/>
        </w:rPr>
        <w:t> </w:t>
      </w:r>
      <w:r>
        <w:rPr>
          <w:spacing w:val="43"/>
        </w:rPr>
      </w:r>
      <w:r>
        <w:rPr>
          <w:spacing w:val="-3"/>
        </w:rPr>
        <w:t>立董事，曾在昆明钢铁控股集团有限公司资产财务部任副主任（挂职）。</w:t>
      </w:r>
    </w:p>
    <w:p>
      <w:pPr>
        <w:pStyle w:val="BodyText"/>
        <w:spacing w:line="316" w:lineRule="auto" w:before="139"/>
        <w:ind w:right="1127" w:firstLine="355"/>
        <w:jc w:val="both"/>
      </w:pPr>
      <w:r>
        <w:rPr>
          <w:spacing w:val="-4"/>
        </w:rPr>
        <w:t>李云：大专学历，质量工程师；现任本公司监事会主席、工会主席、纪委书记；曾在本公司生产部任质量部经理、注册</w:t>
      </w:r>
      <w:r>
        <w:rPr>
          <w:w w:val="101"/>
        </w:rPr>
        <w:t> </w:t>
      </w:r>
      <w:r>
        <w:rPr>
          <w:spacing w:val="-3"/>
        </w:rPr>
        <w:t>质量工程师，在深圳南天东华科技有限公司任总经理。</w:t>
      </w:r>
    </w:p>
    <w:p>
      <w:pPr>
        <w:pStyle w:val="BodyText"/>
        <w:spacing w:line="316" w:lineRule="auto" w:before="139"/>
        <w:ind w:right="1124" w:firstLine="355"/>
        <w:jc w:val="both"/>
      </w:pPr>
      <w:r>
        <w:rPr>
          <w:spacing w:val="-5"/>
        </w:rPr>
        <w:t>唐绯：本科学历，高级会计师，注册会计师。现任本公司监事、审计部部长、行政管理部部长、办公室主任；曾在本公</w:t>
      </w:r>
      <w:r>
        <w:rPr>
          <w:w w:val="101"/>
        </w:rPr>
        <w:t> </w:t>
      </w:r>
      <w:r>
        <w:rPr>
          <w:spacing w:val="-4"/>
        </w:rPr>
        <w:t>司财务部历任会计、主办会计、财务经理、副总经理，财务总监，风险管理部、资产管理部部长、总部党支部书记、经营管</w:t>
      </w:r>
      <w:r>
        <w:rPr>
          <w:spacing w:val="40"/>
        </w:rPr>
        <w:t> </w:t>
      </w:r>
      <w:r>
        <w:rPr>
          <w:spacing w:val="40"/>
        </w:rPr>
      </w:r>
      <w:r>
        <w:rPr>
          <w:spacing w:val="-3"/>
        </w:rPr>
        <w:t>理中心总经理。</w:t>
      </w:r>
    </w:p>
    <w:p>
      <w:pPr>
        <w:pStyle w:val="BodyText"/>
        <w:spacing w:line="316" w:lineRule="auto" w:before="139"/>
        <w:ind w:right="1130" w:firstLine="355"/>
        <w:jc w:val="both"/>
      </w:pPr>
      <w:r>
        <w:rPr>
          <w:spacing w:val="-5"/>
        </w:rPr>
        <w:t>吴育：工商管理硕士，会计师，注册会计师；现任本公司监事，工投集团财务管理部总经理；曾历任工投集团财务管理</w:t>
      </w:r>
      <w:r>
        <w:rPr>
          <w:w w:val="101"/>
        </w:rPr>
        <w:t> </w:t>
      </w:r>
      <w:r>
        <w:rPr>
          <w:spacing w:val="-3"/>
        </w:rPr>
        <w:t>部财务内控岗，主管会计岗，财务管理部副总经理。</w:t>
      </w:r>
    </w:p>
    <w:p>
      <w:pPr>
        <w:pStyle w:val="BodyText"/>
        <w:spacing w:line="316" w:lineRule="auto" w:before="138"/>
        <w:ind w:right="1127" w:firstLine="355"/>
        <w:jc w:val="both"/>
      </w:pPr>
      <w:r>
        <w:rPr>
          <w:spacing w:val="-4"/>
        </w:rPr>
        <w:t>陈烈：本科学历，高级工程师；现任本公司监事，云南南天信息设备有限公司副总经理；曾任本公司生产部总经理，专</w:t>
      </w:r>
      <w:r>
        <w:rPr>
          <w:w w:val="101"/>
        </w:rPr>
        <w:t> </w:t>
      </w:r>
      <w:r>
        <w:rPr/>
        <w:t>业产品中心副总经理。</w:t>
      </w:r>
    </w:p>
    <w:p>
      <w:pPr>
        <w:spacing w:after="0" w:line="316" w:lineRule="auto"/>
        <w:jc w:val="both"/>
        <w:sectPr>
          <w:pgSz w:w="11910" w:h="16840"/>
          <w:pgMar w:header="746" w:footer="974" w:top="1060" w:bottom="1160" w:left="980" w:right="0"/>
        </w:sectPr>
      </w:pPr>
    </w:p>
    <w:p>
      <w:pPr>
        <w:spacing w:line="240" w:lineRule="auto" w:before="9"/>
        <w:rPr>
          <w:rFonts w:ascii="宋体" w:hAnsi="宋体" w:cs="宋体" w:eastAsia="宋体" w:hint="default"/>
          <w:sz w:val="25"/>
          <w:szCs w:val="25"/>
        </w:rPr>
      </w:pPr>
    </w:p>
    <w:p>
      <w:pPr>
        <w:pStyle w:val="BodyText"/>
        <w:spacing w:line="316" w:lineRule="auto" w:before="46"/>
        <w:ind w:right="855" w:firstLine="355"/>
        <w:jc w:val="left"/>
      </w:pPr>
      <w:r>
        <w:rPr>
          <w:spacing w:val="-3"/>
        </w:rPr>
        <w:t>刘伟：本科学历，助理统计师；现任本公司监事、经营管理中心总经理；曾历任本公司经营管理部统计主管、副部长、</w:t>
      </w:r>
      <w:r>
        <w:rPr>
          <w:w w:val="101"/>
        </w:rPr>
        <w:t> </w:t>
      </w:r>
      <w:r>
        <w:rPr>
          <w:spacing w:val="-3"/>
        </w:rPr>
        <w:t>经营管理中心副总经理。</w:t>
      </w:r>
    </w:p>
    <w:p>
      <w:pPr>
        <w:pStyle w:val="BodyText"/>
        <w:spacing w:line="300" w:lineRule="auto" w:before="139"/>
        <w:ind w:right="855" w:firstLine="355"/>
        <w:jc w:val="left"/>
      </w:pPr>
      <w:r>
        <w:rPr>
          <w:spacing w:val="-4"/>
        </w:rPr>
        <w:t>宋卫权：</w:t>
      </w:r>
      <w:r>
        <w:rPr>
          <w:rFonts w:ascii="Times New Roman" w:hAnsi="Times New Roman" w:cs="Times New Roman" w:eastAsia="Times New Roman" w:hint="default"/>
          <w:spacing w:val="-4"/>
        </w:rPr>
        <w:t>EMBA</w:t>
      </w:r>
      <w:r>
        <w:rPr>
          <w:spacing w:val="-4"/>
        </w:rPr>
        <w:t>，高级工程师；现任本公司副总裁、智慧城市事业群总经理；曾任本公司董事，云南南天信息设备有限</w:t>
      </w:r>
      <w:r>
        <w:rPr>
          <w:w w:val="101"/>
        </w:rPr>
        <w:t> </w:t>
      </w:r>
      <w:r>
        <w:rPr>
          <w:spacing w:val="-3"/>
        </w:rPr>
        <w:t>公司总经理，自助产品中心总经理。</w:t>
      </w:r>
    </w:p>
    <w:p>
      <w:pPr>
        <w:pStyle w:val="BodyText"/>
        <w:spacing w:line="316" w:lineRule="auto" w:before="151"/>
        <w:ind w:right="855" w:firstLine="355"/>
        <w:jc w:val="left"/>
      </w:pPr>
      <w:r>
        <w:rPr>
          <w:spacing w:val="-5"/>
        </w:rPr>
        <w:t>倪佳：硕士研究生学历，高级工程师；现任本公司副总裁，北京南天软件有限公司总经理、云南南天电子信息产业股份</w:t>
      </w:r>
      <w:r>
        <w:rPr>
          <w:w w:val="101"/>
        </w:rPr>
        <w:t> </w:t>
      </w:r>
      <w:r>
        <w:rPr>
          <w:spacing w:val="-3"/>
        </w:rPr>
        <w:t>有限公司北京分公司总经理；曾任本公司总裁助理，运营管理部部长，北京南天软件有限公司运营总经理。</w:t>
      </w:r>
    </w:p>
    <w:p>
      <w:pPr>
        <w:pStyle w:val="BodyText"/>
        <w:spacing w:line="300" w:lineRule="auto" w:before="139"/>
        <w:ind w:right="855" w:firstLine="355"/>
        <w:jc w:val="left"/>
      </w:pPr>
      <w:r>
        <w:rPr>
          <w:spacing w:val="-4"/>
        </w:rPr>
        <w:t>周建华：</w:t>
      </w:r>
      <w:r>
        <w:rPr>
          <w:rFonts w:ascii="Times New Roman" w:hAnsi="Times New Roman" w:cs="Times New Roman" w:eastAsia="Times New Roman" w:hint="default"/>
          <w:spacing w:val="-4"/>
        </w:rPr>
        <w:t>EMBA</w:t>
      </w:r>
      <w:r>
        <w:rPr>
          <w:spacing w:val="-4"/>
        </w:rPr>
        <w:t>，高级工程师；现任本公司副总裁、产品服务集团执行总裁，上海南天电脑系统有限公司总经理；曾任</w:t>
      </w:r>
      <w:r>
        <w:rPr>
          <w:w w:val="101"/>
        </w:rPr>
        <w:t> </w:t>
      </w:r>
      <w:r>
        <w:rPr>
          <w:spacing w:val="-3"/>
        </w:rPr>
        <w:t>本公司总裁助理，集成服务集团执行副总裁，昆明南天电脑系统有限公司总经理。</w:t>
      </w:r>
    </w:p>
    <w:p>
      <w:pPr>
        <w:pStyle w:val="BodyText"/>
        <w:spacing w:line="316" w:lineRule="auto" w:before="151"/>
        <w:ind w:right="855" w:firstLine="355"/>
        <w:jc w:val="left"/>
      </w:pPr>
      <w:r>
        <w:rPr>
          <w:spacing w:val="-6"/>
        </w:rPr>
        <w:t>何立：硕士研究生学历，中级工程师；现任本公司副总裁、集成业务集团执行总裁，北京南天软件有限公司执行总经理；</w:t>
      </w:r>
      <w:r>
        <w:rPr>
          <w:w w:val="101"/>
        </w:rPr>
        <w:t> </w:t>
      </w:r>
      <w:r>
        <w:rPr>
          <w:spacing w:val="-3"/>
        </w:rPr>
        <w:t>曾任本公司总裁助理，北京南天软件有限公司业务总经理、集成业务集团执行副总裁、集成业务本部总经理。</w:t>
      </w:r>
    </w:p>
    <w:p>
      <w:pPr>
        <w:pStyle w:val="BodyText"/>
        <w:spacing w:line="432" w:lineRule="exact" w:before="3"/>
        <w:ind w:left="508" w:right="855"/>
        <w:jc w:val="left"/>
      </w:pPr>
      <w:r>
        <w:rPr>
          <w:spacing w:val="-3"/>
        </w:rPr>
        <w:t>刘涓：本科学历，会计师，注册会计师；现任本公司财务总监；曾任工投集团财务管理部会计。</w:t>
      </w:r>
      <w:r>
        <w:rPr>
          <w:spacing w:val="31"/>
        </w:rPr>
        <w:t> </w:t>
      </w:r>
      <w:r>
        <w:rPr>
          <w:spacing w:val="31"/>
        </w:rPr>
      </w:r>
      <w:r>
        <w:rPr>
          <w:spacing w:val="-5"/>
        </w:rPr>
        <w:t>赵起高：本科学历，注册会计师、注册评估师，通过国家司法考试。现任本公司董事会秘书；曾在本公司担任董事长助</w:t>
      </w:r>
    </w:p>
    <w:p>
      <w:pPr>
        <w:pStyle w:val="BodyText"/>
        <w:spacing w:line="316" w:lineRule="auto" w:before="15"/>
        <w:ind w:right="855"/>
        <w:jc w:val="left"/>
      </w:pPr>
      <w:r>
        <w:rPr>
          <w:spacing w:val="-4"/>
        </w:rPr>
        <w:t>理，北京千舟清源投资基金管理有限公司担任副总裁，在中科招商投资管理集团担任高级副总裁，在北京海风联投资顾问有</w:t>
      </w:r>
      <w:r>
        <w:rPr>
          <w:spacing w:val="43"/>
        </w:rPr>
        <w:t> </w:t>
      </w:r>
      <w:r>
        <w:rPr>
          <w:spacing w:val="43"/>
        </w:rPr>
      </w:r>
      <w:r>
        <w:rPr/>
        <w:t>限公司担任执行总裁。</w:t>
      </w:r>
    </w:p>
    <w:p>
      <w:pPr>
        <w:pStyle w:val="BodyText"/>
        <w:spacing w:line="240" w:lineRule="auto" w:before="139"/>
        <w:ind w:right="855"/>
        <w:jc w:val="left"/>
      </w:pPr>
      <w:r>
        <w:rPr>
          <w:spacing w:val="-3"/>
        </w:rPr>
        <w:t>在股东单位任职情况</w:t>
      </w:r>
    </w:p>
    <w:p>
      <w:pPr>
        <w:pStyle w:val="BodyText"/>
        <w:spacing w:line="240" w:lineRule="auto" w:before="115"/>
        <w:ind w:right="855"/>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1"/>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850"/>
        <w:gridCol w:w="3261"/>
        <w:gridCol w:w="1560"/>
        <w:gridCol w:w="1844"/>
        <w:gridCol w:w="710"/>
        <w:gridCol w:w="1345"/>
      </w:tblGrid>
      <w:tr>
        <w:trPr>
          <w:trHeight w:val="711" w:hRule="exact"/>
        </w:trPr>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4"/>
              <w:ind w:left="240" w:right="51" w:hanging="178"/>
              <w:jc w:val="left"/>
              <w:rPr>
                <w:rFonts w:ascii="宋体" w:hAnsi="宋体" w:cs="宋体" w:eastAsia="宋体" w:hint="default"/>
                <w:sz w:val="18"/>
                <w:szCs w:val="18"/>
              </w:rPr>
            </w:pPr>
            <w:r>
              <w:rPr>
                <w:rFonts w:ascii="宋体" w:hAnsi="宋体" w:cs="宋体" w:eastAsia="宋体" w:hint="default"/>
                <w:sz w:val="18"/>
                <w:szCs w:val="18"/>
              </w:rPr>
              <w:t>任职人员</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姓名</w:t>
            </w:r>
          </w:p>
        </w:tc>
        <w:tc>
          <w:tcPr>
            <w:tcW w:w="3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85"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4"/>
              <w:ind w:left="599" w:right="46" w:hanging="543"/>
              <w:jc w:val="left"/>
              <w:rPr>
                <w:rFonts w:ascii="宋体" w:hAnsi="宋体" w:cs="宋体" w:eastAsia="宋体" w:hint="default"/>
                <w:sz w:val="18"/>
                <w:szCs w:val="18"/>
              </w:rPr>
            </w:pPr>
            <w:r>
              <w:rPr>
                <w:rFonts w:ascii="宋体" w:hAnsi="宋体" w:cs="宋体" w:eastAsia="宋体" w:hint="default"/>
                <w:spacing w:val="-2"/>
                <w:sz w:val="18"/>
                <w:szCs w:val="18"/>
              </w:rPr>
              <w:t>在股东单位担任的</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职务</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74"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4"/>
              <w:ind w:left="81" w:right="74"/>
              <w:jc w:val="left"/>
              <w:rPr>
                <w:rFonts w:ascii="宋体" w:hAnsi="宋体" w:cs="宋体" w:eastAsia="宋体" w:hint="default"/>
                <w:sz w:val="18"/>
                <w:szCs w:val="18"/>
              </w:rPr>
            </w:pPr>
            <w:r>
              <w:rPr>
                <w:rFonts w:ascii="宋体" w:hAnsi="宋体" w:cs="宋体" w:eastAsia="宋体" w:hint="default"/>
                <w:sz w:val="18"/>
                <w:szCs w:val="18"/>
              </w:rPr>
              <w:t>任期终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止日期</w:t>
            </w:r>
          </w:p>
        </w:tc>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4"/>
              <w:ind w:left="129" w:right="32" w:hanging="92"/>
              <w:jc w:val="left"/>
              <w:rPr>
                <w:rFonts w:ascii="宋体" w:hAnsi="宋体" w:cs="宋体" w:eastAsia="宋体" w:hint="default"/>
                <w:sz w:val="18"/>
                <w:szCs w:val="18"/>
              </w:rPr>
            </w:pPr>
            <w:r>
              <w:rPr>
                <w:rFonts w:ascii="宋体" w:hAnsi="宋体" w:cs="宋体" w:eastAsia="宋体" w:hint="default"/>
                <w:spacing w:val="-3"/>
                <w:sz w:val="18"/>
                <w:szCs w:val="18"/>
              </w:rPr>
              <w:t>在股东单位是否</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领取报酬津贴</w:t>
            </w:r>
          </w:p>
        </w:tc>
      </w:tr>
      <w:tr>
        <w:trPr>
          <w:trHeight w:val="403"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徐宏灿</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南天电子信息产业集团公司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710"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陈宇峰</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南天电子信息产业集团公司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710"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4"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陈宇峰</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云南省工业投资控股集团有限责任公司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8" w:right="0"/>
              <w:jc w:val="left"/>
              <w:rPr>
                <w:rFonts w:ascii="宋体" w:hAnsi="宋体" w:cs="宋体" w:eastAsia="宋体" w:hint="default"/>
                <w:sz w:val="18"/>
                <w:szCs w:val="18"/>
              </w:rPr>
            </w:pPr>
            <w:r>
              <w:rPr>
                <w:rFonts w:ascii="宋体" w:hAnsi="宋体" w:cs="宋体" w:eastAsia="宋体" w:hint="default"/>
                <w:sz w:val="18"/>
                <w:szCs w:val="18"/>
              </w:rPr>
              <w:t>信息技术部总经理</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710"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398"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丁加毅</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云南省工业投资控股集团有限责任公司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金融业务部总经理</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710"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5"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段珺楠</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3"/>
                <w:sz w:val="18"/>
                <w:szCs w:val="18"/>
              </w:rPr>
              <w:t>云南省工业投资控股集团有限责任公司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8" w:right="75"/>
              <w:jc w:val="left"/>
              <w:rPr>
                <w:rFonts w:ascii="宋体" w:hAnsi="宋体" w:cs="宋体" w:eastAsia="宋体" w:hint="default"/>
                <w:sz w:val="18"/>
                <w:szCs w:val="18"/>
              </w:rPr>
            </w:pPr>
            <w:r>
              <w:rPr>
                <w:rFonts w:ascii="宋体" w:hAnsi="宋体" w:cs="宋体" w:eastAsia="宋体" w:hint="default"/>
                <w:spacing w:val="-2"/>
                <w:sz w:val="18"/>
                <w:szCs w:val="18"/>
              </w:rPr>
              <w:t>信息技术部总经理</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助理</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710"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404"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吴育</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云南省工业投资控股集团有限责任公司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财务管理部总经理</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710"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bl>
    <w:p>
      <w:pPr>
        <w:pStyle w:val="BodyText"/>
        <w:spacing w:line="240" w:lineRule="auto" w:before="53"/>
        <w:ind w:right="855"/>
        <w:jc w:val="left"/>
      </w:pPr>
      <w:r>
        <w:rPr>
          <w:spacing w:val="-3"/>
        </w:rPr>
        <w:t>在其他单位任职情况</w:t>
      </w:r>
    </w:p>
    <w:p>
      <w:pPr>
        <w:pStyle w:val="BodyText"/>
        <w:spacing w:line="240" w:lineRule="auto" w:before="115"/>
        <w:ind w:right="855"/>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1"/>
        </w:rPr>
        <w:t> </w:t>
      </w:r>
      <w:r>
        <w:rPr/>
        <w:t>不适用</w:t>
      </w:r>
    </w:p>
    <w:p>
      <w:pPr>
        <w:spacing w:line="240" w:lineRule="auto" w:before="12"/>
        <w:rPr>
          <w:rFonts w:ascii="宋体" w:hAnsi="宋体" w:cs="宋体" w:eastAsia="宋体" w:hint="default"/>
          <w:sz w:val="6"/>
          <w:szCs w:val="6"/>
        </w:rPr>
      </w:pPr>
    </w:p>
    <w:tbl>
      <w:tblPr>
        <w:tblW w:w="0" w:type="auto"/>
        <w:jc w:val="left"/>
        <w:tblInd w:w="167" w:type="dxa"/>
        <w:tblLayout w:type="fixed"/>
        <w:tblCellMar>
          <w:top w:w="0" w:type="dxa"/>
          <w:left w:w="0" w:type="dxa"/>
          <w:bottom w:w="0" w:type="dxa"/>
          <w:right w:w="0" w:type="dxa"/>
        </w:tblCellMar>
        <w:tblLook w:val="01E0"/>
      </w:tblPr>
      <w:tblGrid>
        <w:gridCol w:w="600"/>
        <w:gridCol w:w="2977"/>
        <w:gridCol w:w="1561"/>
        <w:gridCol w:w="1729"/>
        <w:gridCol w:w="1364"/>
        <w:gridCol w:w="1373"/>
      </w:tblGrid>
      <w:tr>
        <w:trPr>
          <w:trHeight w:val="715" w:hRule="exact"/>
        </w:trPr>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28" w:right="17"/>
              <w:jc w:val="left"/>
              <w:rPr>
                <w:rFonts w:ascii="宋体" w:hAnsi="宋体" w:cs="宋体" w:eastAsia="宋体" w:hint="default"/>
                <w:sz w:val="18"/>
                <w:szCs w:val="18"/>
              </w:rPr>
            </w:pPr>
            <w:r>
              <w:rPr>
                <w:rFonts w:ascii="宋体" w:hAnsi="宋体" w:cs="宋体" w:eastAsia="宋体" w:hint="default"/>
                <w:sz w:val="18"/>
                <w:szCs w:val="18"/>
              </w:rPr>
              <w:t>任职人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员姓名</w:t>
            </w:r>
          </w:p>
        </w:tc>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945"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595" w:right="51" w:hanging="543"/>
              <w:jc w:val="left"/>
              <w:rPr>
                <w:rFonts w:ascii="宋体" w:hAnsi="宋体" w:cs="宋体" w:eastAsia="宋体" w:hint="default"/>
                <w:sz w:val="18"/>
                <w:szCs w:val="18"/>
              </w:rPr>
            </w:pPr>
            <w:r>
              <w:rPr>
                <w:rFonts w:ascii="宋体" w:hAnsi="宋体" w:cs="宋体" w:eastAsia="宋体" w:hint="default"/>
                <w:spacing w:val="-2"/>
                <w:sz w:val="18"/>
                <w:szCs w:val="18"/>
              </w:rPr>
              <w:t>在其他单位担任的</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职务</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144" w:right="45" w:hanging="92"/>
              <w:jc w:val="left"/>
              <w:rPr>
                <w:rFonts w:ascii="宋体" w:hAnsi="宋体" w:cs="宋体" w:eastAsia="宋体" w:hint="default"/>
                <w:sz w:val="18"/>
                <w:szCs w:val="18"/>
              </w:rPr>
            </w:pPr>
            <w:r>
              <w:rPr>
                <w:rFonts w:ascii="宋体" w:hAnsi="宋体" w:cs="宋体" w:eastAsia="宋体" w:hint="default"/>
                <w:spacing w:val="-3"/>
                <w:sz w:val="18"/>
                <w:szCs w:val="18"/>
              </w:rPr>
              <w:t>在其他单位是否</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领取报酬津贴</w:t>
            </w:r>
          </w:p>
        </w:tc>
      </w:tr>
      <w:tr>
        <w:trPr>
          <w:trHeight w:val="399" w:hRule="exact"/>
        </w:trPr>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2"/>
              <w:jc w:val="right"/>
              <w:rPr>
                <w:rFonts w:ascii="宋体" w:hAnsi="宋体" w:cs="宋体" w:eastAsia="宋体" w:hint="default"/>
                <w:sz w:val="18"/>
                <w:szCs w:val="18"/>
              </w:rPr>
            </w:pPr>
            <w:r>
              <w:rPr>
                <w:rFonts w:ascii="宋体" w:hAnsi="宋体" w:cs="宋体" w:eastAsia="宋体" w:hint="default"/>
                <w:spacing w:val="-2"/>
                <w:sz w:val="18"/>
                <w:szCs w:val="18"/>
              </w:rPr>
              <w:t>王海荣</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北京市东卫律师事务所</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合伙人</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2"/>
              <w:jc w:val="right"/>
              <w:rPr>
                <w:rFonts w:ascii="宋体" w:hAnsi="宋体" w:cs="宋体" w:eastAsia="宋体" w:hint="default"/>
                <w:sz w:val="18"/>
                <w:szCs w:val="18"/>
              </w:rPr>
            </w:pPr>
            <w:r>
              <w:rPr>
                <w:rFonts w:ascii="宋体" w:hAnsi="宋体" w:cs="宋体" w:eastAsia="宋体" w:hint="default"/>
                <w:spacing w:val="-2"/>
                <w:sz w:val="18"/>
                <w:szCs w:val="18"/>
              </w:rPr>
              <w:t>周子学</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pacing w:val="-3"/>
                <w:sz w:val="18"/>
                <w:szCs w:val="18"/>
              </w:rPr>
              <w:t>中芯国际集成电路制造有限公司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董事长、执行董事</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hAnsi="宋体" w:cs="宋体" w:eastAsia="宋体" w:hint="default"/>
                <w:spacing w:val="-2"/>
                <w:sz w:val="18"/>
                <w:szCs w:val="18"/>
              </w:rPr>
              <w:t>周子学</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青岛海信电器股份有限公司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hAnsi="宋体" w:cs="宋体" w:eastAsia="宋体" w:hint="default"/>
                <w:spacing w:val="-2"/>
                <w:sz w:val="18"/>
                <w:szCs w:val="18"/>
              </w:rPr>
              <w:t>周子学</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江苏长电科技股份有限公司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hAnsi="宋体" w:cs="宋体" w:eastAsia="宋体" w:hint="default"/>
                <w:spacing w:val="-2"/>
                <w:sz w:val="18"/>
                <w:szCs w:val="18"/>
              </w:rPr>
              <w:t>李小军</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云南财经大学会计学院</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4"/>
              <w:ind w:left="23" w:right="80"/>
              <w:jc w:val="left"/>
              <w:rPr>
                <w:rFonts w:ascii="宋体" w:hAnsi="宋体" w:cs="宋体" w:eastAsia="宋体" w:hint="default"/>
                <w:sz w:val="18"/>
                <w:szCs w:val="18"/>
              </w:rPr>
            </w:pPr>
            <w:r>
              <w:rPr>
                <w:rFonts w:ascii="宋体" w:hAnsi="宋体" w:cs="宋体" w:eastAsia="宋体" w:hint="default"/>
                <w:spacing w:val="-2"/>
                <w:sz w:val="18"/>
                <w:szCs w:val="18"/>
              </w:rPr>
              <w:t>副教授、硕士研究</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生导师</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2"/>
              <w:jc w:val="right"/>
              <w:rPr>
                <w:rFonts w:ascii="宋体" w:hAnsi="宋体" w:cs="宋体" w:eastAsia="宋体" w:hint="default"/>
                <w:sz w:val="18"/>
                <w:szCs w:val="18"/>
              </w:rPr>
            </w:pPr>
            <w:r>
              <w:rPr>
                <w:rFonts w:ascii="宋体" w:hAnsi="宋体" w:cs="宋体" w:eastAsia="宋体" w:hint="default"/>
                <w:spacing w:val="-2"/>
                <w:sz w:val="18"/>
                <w:szCs w:val="18"/>
              </w:rPr>
              <w:t>李小军</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pacing w:val="-3"/>
                <w:sz w:val="18"/>
                <w:szCs w:val="18"/>
              </w:rPr>
              <w:t>贵州中金众和投资管理有限公司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hAnsi="宋体" w:cs="宋体" w:eastAsia="宋体" w:hint="default"/>
                <w:spacing w:val="-2"/>
                <w:sz w:val="18"/>
                <w:szCs w:val="18"/>
              </w:rPr>
              <w:t>李小军</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云南煤业能源股份有限公司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6" w:footer="974" w:top="1060" w:bottom="1160" w:left="980" w:right="0"/>
        </w:sectPr>
      </w:pPr>
    </w:p>
    <w:p>
      <w:pPr>
        <w:spacing w:line="240" w:lineRule="auto" w:before="6"/>
        <w:rPr>
          <w:rFonts w:ascii="宋体" w:hAnsi="宋体" w:cs="宋体" w:eastAsia="宋体" w:hint="default"/>
          <w:sz w:val="28"/>
          <w:szCs w:val="28"/>
        </w:rPr>
      </w:pPr>
    </w:p>
    <w:tbl>
      <w:tblPr>
        <w:tblW w:w="0" w:type="auto"/>
        <w:jc w:val="left"/>
        <w:tblInd w:w="167" w:type="dxa"/>
        <w:tblLayout w:type="fixed"/>
        <w:tblCellMar>
          <w:top w:w="0" w:type="dxa"/>
          <w:left w:w="0" w:type="dxa"/>
          <w:bottom w:w="0" w:type="dxa"/>
          <w:right w:w="0" w:type="dxa"/>
        </w:tblCellMar>
        <w:tblLook w:val="01E0"/>
      </w:tblPr>
      <w:tblGrid>
        <w:gridCol w:w="600"/>
        <w:gridCol w:w="2977"/>
        <w:gridCol w:w="1561"/>
        <w:gridCol w:w="1729"/>
        <w:gridCol w:w="1364"/>
        <w:gridCol w:w="1373"/>
      </w:tblGrid>
      <w:tr>
        <w:trPr>
          <w:trHeight w:val="403" w:hRule="exact"/>
        </w:trPr>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hAnsi="宋体" w:cs="宋体" w:eastAsia="宋体" w:hint="default"/>
                <w:spacing w:val="-2"/>
                <w:sz w:val="18"/>
                <w:szCs w:val="18"/>
              </w:rPr>
              <w:t>李小军</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昆药集团股份有限公司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hAnsi="宋体" w:cs="宋体" w:eastAsia="宋体" w:hint="default"/>
                <w:spacing w:val="-2"/>
                <w:sz w:val="18"/>
                <w:szCs w:val="18"/>
              </w:rPr>
              <w:t>李小军</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云南陆良农村商业银行股份有限公司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2"/>
              <w:jc w:val="right"/>
              <w:rPr>
                <w:rFonts w:ascii="宋体" w:hAnsi="宋体" w:cs="宋体" w:eastAsia="宋体" w:hint="default"/>
                <w:sz w:val="18"/>
                <w:szCs w:val="18"/>
              </w:rPr>
            </w:pPr>
            <w:r>
              <w:rPr>
                <w:rFonts w:ascii="宋体" w:hAnsi="宋体" w:cs="宋体" w:eastAsia="宋体" w:hint="default"/>
                <w:spacing w:val="-2"/>
                <w:sz w:val="18"/>
                <w:szCs w:val="18"/>
              </w:rPr>
              <w:t>李小军</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3" w:right="0"/>
              <w:jc w:val="left"/>
              <w:rPr>
                <w:rFonts w:ascii="宋体" w:hAnsi="宋体" w:cs="宋体" w:eastAsia="宋体" w:hint="default"/>
                <w:sz w:val="18"/>
                <w:szCs w:val="18"/>
              </w:rPr>
            </w:pPr>
            <w:r>
              <w:rPr>
                <w:rFonts w:ascii="宋体" w:hAnsi="宋体" w:cs="宋体" w:eastAsia="宋体" w:hint="default"/>
                <w:spacing w:val="-3"/>
                <w:sz w:val="18"/>
                <w:szCs w:val="18"/>
              </w:rPr>
              <w:t>昆明川金诺化工股份有限公司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hAnsi="宋体" w:cs="宋体" w:eastAsia="宋体" w:hint="default"/>
                <w:spacing w:val="-2"/>
                <w:sz w:val="18"/>
                <w:szCs w:val="18"/>
              </w:rPr>
              <w:t>赵起高</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易见供应链管理股份有限公司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hAnsi="宋体" w:cs="宋体" w:eastAsia="宋体" w:hint="default"/>
                <w:spacing w:val="-2"/>
                <w:sz w:val="18"/>
                <w:szCs w:val="18"/>
              </w:rPr>
              <w:t>赵起高</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冰轮环境技术股份有限公司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3"/>
        <w:ind w:right="855"/>
        <w:jc w:val="left"/>
      </w:pPr>
      <w:r>
        <w:rPr>
          <w:spacing w:val="-3"/>
        </w:rPr>
        <w:t>公司现任及报告期内离任董事、监事和高级管理人员近三年证券监管机构处罚的情况</w:t>
      </w:r>
    </w:p>
    <w:p>
      <w:pPr>
        <w:pStyle w:val="BodyText"/>
        <w:spacing w:line="240" w:lineRule="auto" w:before="110"/>
        <w:ind w:right="855"/>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5"/>
        <w:rPr>
          <w:rFonts w:ascii="宋体" w:hAnsi="宋体" w:cs="宋体" w:eastAsia="宋体" w:hint="default"/>
          <w:sz w:val="24"/>
          <w:szCs w:val="24"/>
        </w:rPr>
      </w:pPr>
    </w:p>
    <w:p>
      <w:pPr>
        <w:pStyle w:val="Heading2"/>
        <w:spacing w:line="240" w:lineRule="auto"/>
        <w:ind w:right="855"/>
        <w:jc w:val="left"/>
        <w:rPr>
          <w:b w:val="0"/>
          <w:bCs w:val="0"/>
        </w:rPr>
      </w:pPr>
      <w:r>
        <w:rPr/>
        <w:t>四、董事、监事、高级管理人员报酬情况</w:t>
      </w:r>
      <w:r>
        <w:rPr>
          <w:b w:val="0"/>
          <w:bCs w:val="0"/>
        </w:rPr>
      </w:r>
    </w:p>
    <w:p>
      <w:pPr>
        <w:spacing w:line="240" w:lineRule="auto" w:before="6"/>
        <w:rPr>
          <w:rFonts w:ascii="宋体" w:hAnsi="宋体" w:cs="宋体" w:eastAsia="宋体" w:hint="default"/>
          <w:b/>
          <w:bCs/>
          <w:sz w:val="26"/>
          <w:szCs w:val="26"/>
        </w:rPr>
      </w:pPr>
    </w:p>
    <w:p>
      <w:pPr>
        <w:pStyle w:val="BodyText"/>
        <w:spacing w:line="357" w:lineRule="auto"/>
        <w:ind w:left="513" w:right="855" w:hanging="360"/>
        <w:jc w:val="left"/>
      </w:pPr>
      <w:r>
        <w:rPr>
          <w:spacing w:val="-3"/>
        </w:rPr>
        <w:t>董事、监事、高级管理人员报酬的决策程序、确定依据、实际支付情况</w:t>
      </w:r>
      <w:r>
        <w:rPr>
          <w:spacing w:val="2"/>
        </w:rPr>
        <w:t> </w:t>
      </w:r>
      <w:r>
        <w:rPr>
          <w:spacing w:val="2"/>
        </w:rPr>
      </w:r>
      <w:r>
        <w:rPr>
          <w:spacing w:val="-5"/>
        </w:rPr>
        <w:t>根据《公司章程》《南天信息董事、监事及高级管理人员薪酬管理办法》等相关规定，公司董事、监事报酬由公司股东</w:t>
      </w:r>
    </w:p>
    <w:p>
      <w:pPr>
        <w:pStyle w:val="BodyText"/>
        <w:spacing w:line="340" w:lineRule="auto"/>
        <w:ind w:right="855"/>
        <w:jc w:val="left"/>
      </w:pPr>
      <w:r>
        <w:rPr>
          <w:spacing w:val="-4"/>
        </w:rPr>
        <w:t>大会批准，高级管理人员报酬由董事会批准。独立董事津贴由公司股东大会予以批准。董事、监事、高级管理人员的报酬根</w:t>
      </w:r>
      <w:r>
        <w:rPr>
          <w:spacing w:val="40"/>
        </w:rPr>
        <w:t> </w:t>
      </w:r>
      <w:r>
        <w:rPr>
          <w:spacing w:val="40"/>
        </w:rPr>
      </w:r>
      <w:r>
        <w:rPr>
          <w:spacing w:val="-3"/>
        </w:rPr>
        <w:t>据公司盈利情况及董事、监事、高级管理人员的履职情况，由董事会薪酬与考核委员会结合公司绩效考核情况综合确定。</w:t>
      </w:r>
      <w:r>
        <w:rPr>
          <w:spacing w:val="66"/>
        </w:rPr>
        <w:t> </w:t>
      </w:r>
      <w:r>
        <w:rPr>
          <w:spacing w:val="66"/>
        </w:rPr>
      </w:r>
      <w:r>
        <w:rPr>
          <w:spacing w:val="-3"/>
        </w:rPr>
        <w:t>公司报告期内董事、监事和高级管理人员报酬情况</w:t>
      </w:r>
    </w:p>
    <w:p>
      <w:pPr>
        <w:pStyle w:val="BodyText"/>
        <w:spacing w:line="240" w:lineRule="auto" w:before="39"/>
        <w:ind w:left="0" w:right="1121"/>
        <w:jc w:val="right"/>
      </w:pPr>
      <w:r>
        <w:rPr>
          <w:spacing w:val="-2"/>
        </w:rPr>
        <w:t>单位：万元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9"/>
        <w:gridCol w:w="1368"/>
        <w:gridCol w:w="1369"/>
        <w:gridCol w:w="1368"/>
        <w:gridCol w:w="1364"/>
        <w:gridCol w:w="1368"/>
        <w:gridCol w:w="1369"/>
      </w:tblGrid>
      <w:tr>
        <w:trPr>
          <w:trHeight w:val="716"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30" w:right="46" w:hanging="183"/>
              <w:jc w:val="left"/>
              <w:rPr>
                <w:rFonts w:ascii="宋体" w:hAnsi="宋体" w:cs="宋体" w:eastAsia="宋体" w:hint="default"/>
                <w:sz w:val="18"/>
                <w:szCs w:val="18"/>
              </w:rPr>
            </w:pPr>
            <w:r>
              <w:rPr>
                <w:rFonts w:ascii="宋体" w:hAnsi="宋体" w:cs="宋体" w:eastAsia="宋体" w:hint="default"/>
                <w:spacing w:val="-3"/>
                <w:sz w:val="18"/>
                <w:szCs w:val="18"/>
              </w:rPr>
              <w:t>从公司获得的税</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前报酬总额</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30" w:right="46" w:hanging="183"/>
              <w:jc w:val="left"/>
              <w:rPr>
                <w:rFonts w:ascii="宋体" w:hAnsi="宋体" w:cs="宋体" w:eastAsia="宋体" w:hint="default"/>
                <w:sz w:val="18"/>
                <w:szCs w:val="18"/>
              </w:rPr>
            </w:pPr>
            <w:r>
              <w:rPr>
                <w:rFonts w:ascii="宋体" w:hAnsi="宋体" w:cs="宋体" w:eastAsia="宋体" w:hint="default"/>
                <w:spacing w:val="-3"/>
                <w:sz w:val="18"/>
                <w:szCs w:val="18"/>
              </w:rPr>
              <w:t>是否在公司关联</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方获取报酬</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徐宏灿</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董事长、总裁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47</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115.6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98"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陈宇峰</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48</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90.19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陈宇峰</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高级副总裁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48</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熊辉</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董事、副总裁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47</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113.97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丁加毅</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55</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398"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段珺楠</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32</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王海荣</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49</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周子学</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63</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王建新</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46</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98"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李小军</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46</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李云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51</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70.26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唐绯</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46</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45.13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吴育</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35</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398"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陈烈</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52</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35.74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刘伟</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35</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18.69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宋卫权</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48</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88.2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倪佳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48</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97.3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98"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周建华</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50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107.28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10" w:h="16840"/>
          <w:pgMar w:header="746" w:footer="974"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9"/>
        <w:gridCol w:w="1368"/>
        <w:gridCol w:w="1369"/>
        <w:gridCol w:w="1368"/>
        <w:gridCol w:w="1364"/>
        <w:gridCol w:w="1368"/>
        <w:gridCol w:w="1369"/>
      </w:tblGrid>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何立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45</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113.97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98"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刘涓</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44</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70.1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赵起高</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3"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z w:val="18"/>
              </w:rPr>
              <w:t>51</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z w:val="18"/>
              </w:rPr>
              <w:t>88.2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5" w:right="0"/>
              <w:jc w:val="center"/>
              <w:rPr>
                <w:rFonts w:ascii="Times New Roman" w:hAnsi="Times New Roman" w:cs="Times New Roman" w:eastAsia="Times New Roman" w:hint="default"/>
                <w:sz w:val="18"/>
                <w:szCs w:val="18"/>
              </w:rPr>
            </w:pPr>
            <w:r>
              <w:rPr>
                <w:rFonts w:ascii="Times New Roman"/>
                <w:sz w:val="18"/>
              </w:rPr>
              <w:t>--</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sz w:val="18"/>
              </w:rPr>
              <w:t>--</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8"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1,082.63</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5"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3"/>
        <w:ind w:right="855"/>
        <w:jc w:val="left"/>
      </w:pPr>
      <w:r>
        <w:rPr>
          <w:spacing w:val="-3"/>
        </w:rPr>
        <w:t>公司董事、高级管理人员报告期内被授予的股权激励情况</w:t>
      </w:r>
    </w:p>
    <w:p>
      <w:pPr>
        <w:pStyle w:val="BodyText"/>
        <w:spacing w:line="240" w:lineRule="auto" w:before="115"/>
        <w:ind w:right="855"/>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1"/>
        <w:rPr>
          <w:rFonts w:ascii="宋体" w:hAnsi="宋体" w:cs="宋体" w:eastAsia="宋体" w:hint="default"/>
          <w:sz w:val="24"/>
          <w:szCs w:val="24"/>
        </w:rPr>
      </w:pPr>
    </w:p>
    <w:p>
      <w:pPr>
        <w:pStyle w:val="Heading2"/>
        <w:spacing w:line="240" w:lineRule="auto"/>
        <w:ind w:right="855"/>
        <w:jc w:val="left"/>
        <w:rPr>
          <w:b w:val="0"/>
          <w:bCs w:val="0"/>
        </w:rPr>
      </w:pPr>
      <w:r>
        <w:rPr/>
        <w:t>五、公司员工情况</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855"/>
        <w:jc w:val="left"/>
        <w:rPr>
          <w:b w:val="0"/>
          <w:bCs w:val="0"/>
        </w:rPr>
      </w:pPr>
      <w:r>
        <w:rPr>
          <w:rFonts w:ascii="Times New Roman" w:hAnsi="Times New Roman" w:cs="Times New Roman" w:eastAsia="Times New Roman" w:hint="default"/>
        </w:rPr>
        <w:t>1</w:t>
      </w:r>
      <w:r>
        <w:rPr/>
        <w:t>、员工数量、专业构成及教育程度</w:t>
      </w:r>
      <w:r>
        <w:rPr>
          <w:b w:val="0"/>
          <w:bCs w:val="0"/>
        </w:rPr>
      </w:r>
    </w:p>
    <w:p>
      <w:pPr>
        <w:spacing w:line="240" w:lineRule="auto" w:before="11"/>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4788"/>
        <w:gridCol w:w="4783"/>
      </w:tblGrid>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母公司在职员工的数量（人）</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562</w:t>
            </w:r>
          </w:p>
        </w:tc>
      </w:tr>
      <w:tr>
        <w:trPr>
          <w:trHeight w:val="399"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主要子公司在职员工的数量（人）</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5,354</w:t>
            </w:r>
          </w:p>
        </w:tc>
      </w:tr>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在职员工的数量合计（人）</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5,916</w:t>
            </w:r>
          </w:p>
        </w:tc>
      </w:tr>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当期领取薪酬员工总人数（人）</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5,916</w:t>
            </w:r>
          </w:p>
        </w:tc>
      </w:tr>
      <w:tr>
        <w:trPr>
          <w:trHeight w:val="408"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母公司及主要子公司需承担费用的离退休职工人数（人）</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394" w:hRule="exact"/>
        </w:trPr>
        <w:tc>
          <w:tcPr>
            <w:tcW w:w="957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398"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580" w:right="0"/>
              <w:jc w:val="left"/>
              <w:rPr>
                <w:rFonts w:ascii="宋体" w:hAnsi="宋体" w:cs="宋体" w:eastAsia="宋体" w:hint="default"/>
                <w:sz w:val="18"/>
                <w:szCs w:val="18"/>
              </w:rPr>
            </w:pPr>
            <w:r>
              <w:rPr>
                <w:rFonts w:ascii="宋体" w:hAnsi="宋体" w:cs="宋体" w:eastAsia="宋体" w:hint="default"/>
                <w:spacing w:val="-3"/>
                <w:sz w:val="18"/>
                <w:szCs w:val="18"/>
              </w:rPr>
              <w:t>专业构成人数（人）</w:t>
            </w:r>
          </w:p>
        </w:tc>
      </w:tr>
      <w:tr>
        <w:trPr>
          <w:trHeight w:val="408"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z w:val="18"/>
              </w:rPr>
              <w:t>170</w:t>
            </w:r>
          </w:p>
        </w:tc>
      </w:tr>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345</w:t>
            </w:r>
          </w:p>
        </w:tc>
      </w:tr>
      <w:tr>
        <w:trPr>
          <w:trHeight w:val="399"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4,355</w:t>
            </w:r>
          </w:p>
        </w:tc>
      </w:tr>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95</w:t>
            </w:r>
          </w:p>
        </w:tc>
      </w:tr>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386</w:t>
            </w:r>
          </w:p>
        </w:tc>
      </w:tr>
      <w:tr>
        <w:trPr>
          <w:trHeight w:val="403" w:hRule="exact"/>
        </w:trPr>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售后服务人员（含维修）</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565</w:t>
            </w:r>
          </w:p>
        </w:tc>
      </w:tr>
      <w:tr>
        <w:trPr>
          <w:trHeight w:val="404"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5,916</w:t>
            </w:r>
          </w:p>
        </w:tc>
      </w:tr>
      <w:tr>
        <w:trPr>
          <w:trHeight w:val="398" w:hRule="exact"/>
        </w:trPr>
        <w:tc>
          <w:tcPr>
            <w:tcW w:w="957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3" w:hRule="exact"/>
        </w:trPr>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研究生及以上学历</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152</w:t>
            </w:r>
          </w:p>
        </w:tc>
      </w:tr>
      <w:tr>
        <w:trPr>
          <w:trHeight w:val="399" w:hRule="exact"/>
        </w:trPr>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大学本科</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4,158</w:t>
            </w:r>
          </w:p>
        </w:tc>
      </w:tr>
      <w:tr>
        <w:trPr>
          <w:trHeight w:val="403" w:hRule="exact"/>
        </w:trPr>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大学专科</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1,287</w:t>
            </w:r>
          </w:p>
        </w:tc>
      </w:tr>
      <w:tr>
        <w:trPr>
          <w:trHeight w:val="403" w:hRule="exact"/>
        </w:trPr>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中专技校</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169</w:t>
            </w:r>
          </w:p>
        </w:tc>
      </w:tr>
      <w:tr>
        <w:trPr>
          <w:trHeight w:val="403" w:hRule="exact"/>
        </w:trPr>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高中及以下</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150</w:t>
            </w:r>
          </w:p>
        </w:tc>
      </w:tr>
      <w:tr>
        <w:trPr>
          <w:trHeight w:val="399"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5,916</w:t>
            </w:r>
          </w:p>
        </w:tc>
      </w:tr>
    </w:tbl>
    <w:p>
      <w:pPr>
        <w:spacing w:line="240" w:lineRule="auto" w:before="3"/>
        <w:rPr>
          <w:rFonts w:ascii="宋体" w:hAnsi="宋体" w:cs="宋体" w:eastAsia="宋体" w:hint="default"/>
          <w:b/>
          <w:bCs/>
          <w:sz w:val="19"/>
          <w:szCs w:val="19"/>
        </w:rPr>
      </w:pPr>
    </w:p>
    <w:p>
      <w:pPr>
        <w:spacing w:before="36"/>
        <w:ind w:left="153" w:right="85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、薪酬政策</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pStyle w:val="BodyText"/>
        <w:spacing w:line="240" w:lineRule="auto"/>
        <w:ind w:left="513" w:right="855"/>
        <w:jc w:val="left"/>
      </w:pPr>
      <w:r>
        <w:rPr>
          <w:spacing w:val="-4"/>
        </w:rPr>
        <w:t>根据公司总体发展战略规划，结合行业发展特点，公司持续优化现行的薪酬管理体系，使员工的收入与其所在的岗位价</w:t>
      </w:r>
    </w:p>
    <w:p>
      <w:pPr>
        <w:spacing w:after="0" w:line="240" w:lineRule="auto"/>
        <w:jc w:val="left"/>
        <w:sectPr>
          <w:pgSz w:w="11910" w:h="16840"/>
          <w:pgMar w:header="746" w:footer="974" w:top="1060" w:bottom="1160" w:left="980" w:right="0"/>
        </w:sectPr>
      </w:pPr>
    </w:p>
    <w:p>
      <w:pPr>
        <w:spacing w:line="240" w:lineRule="auto" w:before="9"/>
        <w:rPr>
          <w:rFonts w:ascii="宋体" w:hAnsi="宋体" w:cs="宋体" w:eastAsia="宋体" w:hint="default"/>
          <w:sz w:val="25"/>
          <w:szCs w:val="25"/>
        </w:rPr>
      </w:pPr>
    </w:p>
    <w:p>
      <w:pPr>
        <w:pStyle w:val="BodyText"/>
        <w:spacing w:line="340" w:lineRule="auto" w:before="46"/>
        <w:ind w:right="855"/>
        <w:jc w:val="left"/>
      </w:pPr>
      <w:r>
        <w:rPr>
          <w:spacing w:val="-4"/>
        </w:rPr>
        <w:t>值、个人能力及员工绩效紧密联系；坚持以外部公平、内部公平和个人公平为价值导向，更好地吸引人才、稳定人才、激励</w:t>
      </w:r>
      <w:r>
        <w:rPr>
          <w:spacing w:val="41"/>
        </w:rPr>
        <w:t> </w:t>
      </w:r>
      <w:r>
        <w:rPr>
          <w:spacing w:val="41"/>
        </w:rPr>
      </w:r>
      <w:r>
        <w:rPr>
          <w:spacing w:val="-3"/>
        </w:rPr>
        <w:t>人才；完善中长期激励机制，充分调动公司各级管理人员及骨干员工的主观能动性和积极性。</w:t>
      </w:r>
      <w:r>
        <w:rPr>
          <w:spacing w:val="31"/>
        </w:rPr>
        <w:t> </w:t>
      </w:r>
      <w:r>
        <w:rPr>
          <w:spacing w:val="31"/>
        </w:rPr>
      </w:r>
      <w:r>
        <w:rPr>
          <w:spacing w:val="-3"/>
        </w:rPr>
        <w:t>公司需遵守《深圳证券交易所行业信息披露指引第 </w:t>
      </w:r>
      <w:r>
        <w:rPr>
          <w:rFonts w:ascii="Times New Roman" w:hAnsi="Times New Roman" w:cs="Times New Roman" w:eastAsia="Times New Roman" w:hint="default"/>
        </w:rPr>
        <w:t>12  </w:t>
      </w:r>
      <w:r>
        <w:rPr>
          <w:rFonts w:ascii="Times New Roman" w:hAnsi="Times New Roman" w:cs="Times New Roman" w:eastAsia="Times New Roman" w:hint="default"/>
          <w:spacing w:val="11"/>
        </w:rPr>
        <w:t> </w:t>
      </w:r>
      <w:r>
        <w:rPr>
          <w:spacing w:val="-3"/>
        </w:rPr>
        <w:t>号</w:t>
      </w:r>
      <w:r>
        <w:rPr>
          <w:rFonts w:ascii="Times New Roman" w:hAnsi="Times New Roman" w:cs="Times New Roman" w:eastAsia="Times New Roman" w:hint="default"/>
          <w:spacing w:val="-3"/>
        </w:rPr>
        <w:t>——</w:t>
      </w:r>
      <w:r>
        <w:rPr>
          <w:spacing w:val="-3"/>
        </w:rPr>
        <w:t>上市公司从事软件与信息技术服务业务》的披露要求</w:t>
      </w:r>
    </w:p>
    <w:p>
      <w:pPr>
        <w:spacing w:line="240" w:lineRule="auto" w:before="3"/>
        <w:rPr>
          <w:rFonts w:ascii="宋体" w:hAnsi="宋体" w:cs="宋体" w:eastAsia="宋体" w:hint="default"/>
          <w:sz w:val="19"/>
          <w:szCs w:val="19"/>
        </w:rPr>
      </w:pPr>
    </w:p>
    <w:p>
      <w:pPr>
        <w:pStyle w:val="Heading4"/>
        <w:spacing w:line="240" w:lineRule="auto"/>
        <w:ind w:right="855"/>
        <w:jc w:val="left"/>
        <w:rPr>
          <w:b w:val="0"/>
          <w:bCs w:val="0"/>
        </w:rPr>
      </w:pPr>
      <w:r>
        <w:rPr>
          <w:rFonts w:ascii="Times New Roman" w:hAnsi="Times New Roman" w:cs="Times New Roman" w:eastAsia="Times New Roman" w:hint="default"/>
        </w:rPr>
        <w:t>3</w:t>
      </w:r>
      <w:r>
        <w:rPr/>
        <w:t>、培训计划</w:t>
      </w:r>
      <w:r>
        <w:rPr>
          <w:b w:val="0"/>
          <w:bCs w:val="0"/>
        </w:rPr>
      </w:r>
    </w:p>
    <w:p>
      <w:pPr>
        <w:spacing w:line="240" w:lineRule="auto" w:before="9"/>
        <w:rPr>
          <w:rFonts w:ascii="宋体" w:hAnsi="宋体" w:cs="宋体" w:eastAsia="宋体" w:hint="default"/>
          <w:b/>
          <w:bCs/>
          <w:sz w:val="26"/>
          <w:szCs w:val="26"/>
        </w:rPr>
      </w:pPr>
    </w:p>
    <w:p>
      <w:pPr>
        <w:pStyle w:val="BodyText"/>
        <w:spacing w:line="309" w:lineRule="auto"/>
        <w:ind w:right="855" w:firstLine="360"/>
        <w:jc w:val="left"/>
      </w:pPr>
      <w:r>
        <w:rPr>
          <w:spacing w:val="-4"/>
        </w:rPr>
        <w:t>围绕公司</w:t>
      </w:r>
      <w:r>
        <w:rPr>
          <w:rFonts w:ascii="Times New Roman" w:hAnsi="Times New Roman" w:cs="Times New Roman" w:eastAsia="Times New Roman" w:hint="default"/>
          <w:spacing w:val="-4"/>
        </w:rPr>
        <w:t>“</w:t>
      </w:r>
      <w:r>
        <w:rPr>
          <w:spacing w:val="-4"/>
        </w:rPr>
        <w:t>以人为本，人尽其才</w:t>
      </w:r>
      <w:r>
        <w:rPr>
          <w:rFonts w:ascii="Times New Roman" w:hAnsi="Times New Roman" w:cs="Times New Roman" w:eastAsia="Times New Roman" w:hint="default"/>
          <w:spacing w:val="-4"/>
        </w:rPr>
        <w:t>”</w:t>
      </w:r>
      <w:r>
        <w:rPr>
          <w:spacing w:val="-4"/>
        </w:rPr>
        <w:t>的人才发展战略，推进专业化人才队伍的建设，将提升各类员工专业技术、管理水平作</w:t>
      </w:r>
      <w:r>
        <w:rPr>
          <w:w w:val="101"/>
        </w:rPr>
        <w:t> </w:t>
      </w:r>
      <w:r>
        <w:rPr>
          <w:spacing w:val="-3"/>
        </w:rPr>
        <w:t>为培训的工作重点，建立分层分类、多形式、多渠道的人才培养机制，完善培训管理制度，构建系统健全的培训组织体系，</w:t>
      </w:r>
      <w:r>
        <w:rPr>
          <w:spacing w:val="66"/>
        </w:rPr>
        <w:t> </w:t>
      </w:r>
      <w:r>
        <w:rPr>
          <w:spacing w:val="66"/>
        </w:rPr>
      </w:r>
      <w:r>
        <w:rPr>
          <w:spacing w:val="-3"/>
        </w:rPr>
        <w:t>培养能够顺应公司发展需求、支持公司组织战略目标实现的人才。</w:t>
      </w:r>
    </w:p>
    <w:p>
      <w:pPr>
        <w:spacing w:line="240" w:lineRule="auto" w:before="0"/>
        <w:rPr>
          <w:rFonts w:ascii="宋体" w:hAnsi="宋体" w:cs="宋体" w:eastAsia="宋体" w:hint="default"/>
          <w:sz w:val="23"/>
          <w:szCs w:val="23"/>
        </w:rPr>
      </w:pPr>
    </w:p>
    <w:p>
      <w:pPr>
        <w:pStyle w:val="Heading4"/>
        <w:spacing w:line="240" w:lineRule="auto"/>
        <w:ind w:right="855"/>
        <w:jc w:val="left"/>
        <w:rPr>
          <w:b w:val="0"/>
          <w:bCs w:val="0"/>
        </w:rPr>
      </w:pPr>
      <w:r>
        <w:rPr>
          <w:rFonts w:ascii="Times New Roman" w:hAnsi="Times New Roman" w:cs="Times New Roman" w:eastAsia="Times New Roman" w:hint="default"/>
        </w:rPr>
        <w:t>4</w:t>
      </w:r>
      <w:r>
        <w:rPr/>
        <w:t>、劳务外包情况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855"/>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after="0" w:line="240" w:lineRule="auto"/>
        <w:jc w:val="left"/>
        <w:sectPr>
          <w:pgSz w:w="11910" w:h="16840"/>
          <w:pgMar w:header="746" w:footer="974"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1513"/>
        <w:jc w:val="center"/>
        <w:rPr>
          <w:b w:val="0"/>
          <w:bCs w:val="0"/>
        </w:rPr>
      </w:pPr>
      <w:bookmarkStart w:name="_bookmark9" w:id="10"/>
      <w:bookmarkEnd w:id="10"/>
      <w:r>
        <w:rPr>
          <w:b w:val="0"/>
          <w:bCs w:val="0"/>
        </w:rPr>
      </w:r>
      <w:r>
        <w:rPr/>
        <w:t>第十节</w:t>
      </w:r>
      <w:r>
        <w:rPr>
          <w:spacing w:val="-1"/>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7"/>
          <w:szCs w:val="17"/>
        </w:rPr>
      </w:pPr>
    </w:p>
    <w:p>
      <w:pPr>
        <w:pStyle w:val="Heading2"/>
        <w:spacing w:line="240" w:lineRule="auto" w:before="26"/>
        <w:ind w:right="0"/>
        <w:jc w:val="both"/>
        <w:rPr>
          <w:b w:val="0"/>
          <w:bCs w:val="0"/>
        </w:rPr>
      </w:pPr>
      <w:r>
        <w:rPr/>
        <w:t>一、公司治理的基本状况</w:t>
      </w:r>
      <w:r>
        <w:rPr>
          <w:b w:val="0"/>
          <w:bCs w:val="0"/>
        </w:rPr>
      </w:r>
    </w:p>
    <w:p>
      <w:pPr>
        <w:spacing w:line="240" w:lineRule="auto" w:before="6"/>
        <w:rPr>
          <w:rFonts w:ascii="宋体" w:hAnsi="宋体" w:cs="宋体" w:eastAsia="宋体" w:hint="default"/>
          <w:b/>
          <w:bCs/>
          <w:sz w:val="26"/>
          <w:szCs w:val="26"/>
        </w:rPr>
      </w:pPr>
    </w:p>
    <w:p>
      <w:pPr>
        <w:pStyle w:val="BodyText"/>
        <w:spacing w:line="319" w:lineRule="auto"/>
        <w:ind w:right="1124" w:firstLine="360"/>
        <w:jc w:val="both"/>
      </w:pPr>
      <w:r>
        <w:rPr>
          <w:spacing w:val="-5"/>
        </w:rPr>
        <w:t>报告期内，公司董事会严格按照《公司法》《证券法》《上市公司治理准则》《深圳证券交易所股票上市规则》《深圳</w:t>
      </w:r>
      <w:r>
        <w:rPr>
          <w:w w:val="101"/>
        </w:rPr>
        <w:t> </w:t>
      </w:r>
      <w:r>
        <w:rPr>
          <w:spacing w:val="-4"/>
        </w:rPr>
        <w:t>证券交易所上市公司规范运作指引》及《公司章程》等法律、法规、规范性文件及公司内部制度的有关规定和要求，从维护</w:t>
      </w:r>
      <w:r>
        <w:rPr>
          <w:spacing w:val="40"/>
        </w:rPr>
        <w:t> </w:t>
      </w:r>
      <w:r>
        <w:rPr>
          <w:spacing w:val="40"/>
        </w:rPr>
      </w:r>
      <w:r>
        <w:rPr>
          <w:spacing w:val="-4"/>
        </w:rPr>
        <w:t>公司和全体股东的利益出发，持续强化内部管理及规范运作，不断完善公司法人治理结构和内控体系，建立健全公司内部控</w:t>
      </w:r>
      <w:r>
        <w:rPr>
          <w:spacing w:val="43"/>
        </w:rPr>
        <w:t> </w:t>
      </w:r>
      <w:r>
        <w:rPr>
          <w:spacing w:val="43"/>
        </w:rPr>
      </w:r>
      <w:r>
        <w:rPr>
          <w:spacing w:val="-4"/>
        </w:rPr>
        <w:t>制制度，加强信息披露工作，积极开展投资者关系管理工作，进一步提高了公司科学决策能力和风险防范能力，促进公司持</w:t>
      </w:r>
      <w:r>
        <w:rPr>
          <w:spacing w:val="41"/>
        </w:rPr>
        <w:t> </w:t>
      </w:r>
      <w:r>
        <w:rPr>
          <w:spacing w:val="41"/>
        </w:rPr>
      </w:r>
      <w:r>
        <w:rPr>
          <w:spacing w:val="-3"/>
        </w:rPr>
        <w:t>续、健康、稳定发展。公司治理的实际情况与《上市公司治理准则》等规范性文件的规定和要求基本相符。</w:t>
      </w:r>
    </w:p>
    <w:p>
      <w:pPr>
        <w:pStyle w:val="BodyText"/>
        <w:spacing w:line="300" w:lineRule="auto" w:before="17"/>
        <w:ind w:left="513" w:right="855"/>
        <w:jc w:val="left"/>
      </w:pPr>
      <w:r>
        <w:rPr>
          <w:rFonts w:ascii="Times New Roman" w:hAnsi="Times New Roman" w:cs="Times New Roman" w:eastAsia="Times New Roman" w:hint="default"/>
        </w:rPr>
        <w:t>1</w:t>
      </w:r>
      <w:r>
        <w:rPr/>
        <w:t>、关于股东与股东大会</w:t>
      </w:r>
      <w:r>
        <w:rPr>
          <w:spacing w:val="-85"/>
        </w:rPr>
        <w:t> </w:t>
      </w:r>
      <w:r>
        <w:rPr>
          <w:spacing w:val="-85"/>
        </w:rPr>
      </w:r>
      <w:r>
        <w:rPr>
          <w:spacing w:val="-3"/>
        </w:rPr>
        <w:t>报告期内，公司严格按照《公司法》《上市公司股东大会规则》《公司章程》和《股东大会议事规则》等规定和要求，</w:t>
      </w:r>
    </w:p>
    <w:p>
      <w:pPr>
        <w:pStyle w:val="BodyText"/>
        <w:spacing w:line="314" w:lineRule="auto" w:before="32"/>
        <w:ind w:right="1070"/>
        <w:jc w:val="both"/>
      </w:pPr>
      <w:r>
        <w:rPr>
          <w:spacing w:val="-4"/>
        </w:rPr>
        <w:t>召集、召开股东大会，规范股东大会的议事程序，提供股东大会网络投票形式，在审议重大事项时，对中小投资者表决单独</w:t>
      </w:r>
      <w:r>
        <w:rPr>
          <w:spacing w:val="40"/>
        </w:rPr>
        <w:t> </w:t>
      </w:r>
      <w:r>
        <w:rPr>
          <w:spacing w:val="40"/>
        </w:rPr>
      </w:r>
      <w:r>
        <w:rPr>
          <w:spacing w:val="-4"/>
        </w:rPr>
        <w:t>计票，切实维护了全体股东尤其是中小股东的合法权益。同时，公司还聘请了律师出席股东大会，对会议的召开程序、审议</w:t>
      </w:r>
      <w:r>
        <w:rPr>
          <w:spacing w:val="41"/>
        </w:rPr>
        <w:t> </w:t>
      </w:r>
      <w:r>
        <w:rPr>
          <w:spacing w:val="41"/>
        </w:rPr>
      </w:r>
      <w:r>
        <w:rPr>
          <w:spacing w:val="-4"/>
        </w:rPr>
        <w:t>事项、出席人身份进行确认与见证，并出具了法律意见书。公司召开的股东大会不存在违反监管规则的情形，公司未发生单</w:t>
      </w:r>
      <w:r>
        <w:rPr>
          <w:spacing w:val="40"/>
        </w:rPr>
        <w:t> </w:t>
      </w:r>
      <w:r>
        <w:rPr>
          <w:spacing w:val="40"/>
        </w:rPr>
      </w:r>
      <w:r>
        <w:rPr>
          <w:spacing w:val="-3"/>
        </w:rPr>
        <w:t>独或合并持有本公司有表决权股份总数</w:t>
      </w:r>
      <w:r>
        <w:rPr>
          <w:rFonts w:ascii="Times New Roman" w:hAnsi="Times New Roman" w:cs="Times New Roman" w:eastAsia="Times New Roman" w:hint="default"/>
          <w:spacing w:val="-3"/>
        </w:rPr>
        <w:t>10%</w:t>
      </w:r>
      <w:r>
        <w:rPr>
          <w:spacing w:val="-3"/>
        </w:rPr>
        <w:t>以上的股东请求召开临时股东大会的情形，也无因监事会提议召开的股东大会。</w:t>
      </w:r>
      <w:r>
        <w:rPr>
          <w:spacing w:val="76"/>
        </w:rPr>
        <w:t> </w:t>
      </w:r>
      <w:r>
        <w:rPr>
          <w:spacing w:val="76"/>
        </w:rPr>
      </w:r>
      <w:r>
        <w:rPr>
          <w:spacing w:val="-3"/>
        </w:rPr>
        <w:t>按照《公司法》《公司章程》的规定应由股东大会审议的重大事项，本公司均通过了股东大会审议。</w:t>
      </w:r>
    </w:p>
    <w:p>
      <w:pPr>
        <w:pStyle w:val="BodyText"/>
        <w:spacing w:line="300" w:lineRule="auto" w:before="20"/>
        <w:ind w:left="513" w:right="855"/>
        <w:jc w:val="left"/>
      </w:pPr>
      <w:r>
        <w:rPr>
          <w:rFonts w:ascii="Times New Roman" w:hAnsi="Times New Roman" w:cs="Times New Roman" w:eastAsia="Times New Roman" w:hint="default"/>
          <w:spacing w:val="-3"/>
        </w:rPr>
        <w:t>2</w:t>
      </w:r>
      <w:r>
        <w:rPr>
          <w:spacing w:val="-3"/>
        </w:rPr>
        <w:t>、关于控股股东与上市公司的关系</w:t>
      </w:r>
      <w:r>
        <w:rPr>
          <w:spacing w:val="-40"/>
        </w:rPr>
        <w:t> </w:t>
      </w:r>
      <w:r>
        <w:rPr>
          <w:spacing w:val="-40"/>
        </w:rPr>
      </w:r>
      <w:r>
        <w:rPr>
          <w:spacing w:val="-5"/>
        </w:rPr>
        <w:t>报告期内，公司具有独立的业务经营能力及完备的运营体系，在业务、人员、资产、机构、财务等方面均独立于控股股</w:t>
      </w:r>
    </w:p>
    <w:p>
      <w:pPr>
        <w:pStyle w:val="BodyText"/>
        <w:spacing w:line="312" w:lineRule="auto" w:before="31"/>
        <w:ind w:right="1123"/>
        <w:jc w:val="both"/>
      </w:pPr>
      <w:r>
        <w:rPr>
          <w:spacing w:val="-4"/>
        </w:rPr>
        <w:t>东，公司董事会、监事会和内部机构独立运作；公司控股股东按照相关法律、法规及《公司章程》的规定行使其职责，不存</w:t>
      </w:r>
      <w:r>
        <w:rPr>
          <w:spacing w:val="41"/>
        </w:rPr>
        <w:t> </w:t>
      </w:r>
      <w:r>
        <w:rPr>
          <w:spacing w:val="41"/>
        </w:rPr>
      </w:r>
      <w:r>
        <w:rPr>
          <w:spacing w:val="-4"/>
        </w:rPr>
        <w:t>在超越股东大会直接或间接干预公司决策和经营活动的情形，也不存在控股股东及关联方非经营性占用公司资金、公司违规</w:t>
      </w:r>
      <w:r>
        <w:rPr>
          <w:spacing w:val="44"/>
        </w:rPr>
        <w:t> </w:t>
      </w:r>
      <w:r>
        <w:rPr>
          <w:spacing w:val="44"/>
        </w:rPr>
      </w:r>
      <w:r>
        <w:rPr>
          <w:spacing w:val="-4"/>
        </w:rPr>
        <w:t>担保的情形；公司与控股股东及其他关联方的交易，均遵循</w:t>
      </w:r>
      <w:r>
        <w:rPr>
          <w:rFonts w:ascii="Times New Roman" w:hAnsi="Times New Roman" w:cs="Times New Roman" w:eastAsia="Times New Roman" w:hint="default"/>
          <w:spacing w:val="-4"/>
        </w:rPr>
        <w:t>“</w:t>
      </w:r>
      <w:r>
        <w:rPr>
          <w:spacing w:val="-4"/>
        </w:rPr>
        <w:t>公平、公开、公允</w:t>
      </w:r>
      <w:r>
        <w:rPr>
          <w:rFonts w:ascii="Times New Roman" w:hAnsi="Times New Roman" w:cs="Times New Roman" w:eastAsia="Times New Roman" w:hint="default"/>
          <w:spacing w:val="-4"/>
        </w:rPr>
        <w:t>”</w:t>
      </w:r>
      <w:r>
        <w:rPr>
          <w:spacing w:val="-4"/>
        </w:rPr>
        <w:t>的原则，决策程序符合规定，充分保障公司</w:t>
      </w:r>
      <w:r>
        <w:rPr>
          <w:spacing w:val="60"/>
        </w:rPr>
        <w:t> </w:t>
      </w:r>
      <w:r>
        <w:rPr>
          <w:spacing w:val="60"/>
        </w:rPr>
      </w:r>
      <w:r>
        <w:rPr>
          <w:spacing w:val="-3"/>
        </w:rPr>
        <w:t>和广大中小投资者的合法权益。</w:t>
      </w:r>
    </w:p>
    <w:p>
      <w:pPr>
        <w:pStyle w:val="BodyText"/>
        <w:spacing w:line="300" w:lineRule="auto" w:before="23"/>
        <w:ind w:left="513" w:right="855"/>
        <w:jc w:val="left"/>
      </w:pPr>
      <w:r>
        <w:rPr>
          <w:rFonts w:ascii="Times New Roman" w:hAnsi="Times New Roman" w:cs="Times New Roman" w:eastAsia="Times New Roman" w:hint="default"/>
        </w:rPr>
        <w:t>3</w:t>
      </w:r>
      <w:r>
        <w:rPr/>
        <w:t>、关于董事和董事会</w:t>
      </w:r>
      <w:r>
        <w:rPr>
          <w:spacing w:val="-88"/>
        </w:rPr>
        <w:t> </w:t>
      </w:r>
      <w:r>
        <w:rPr>
          <w:spacing w:val="-88"/>
        </w:rPr>
      </w:r>
      <w:r>
        <w:rPr>
          <w:spacing w:val="-5"/>
        </w:rPr>
        <w:t>报告期内，公司董事会严格按照《公司法》《公司章程》和《董事会工作细则》等有关规定召集、召开会议，严格执行</w:t>
      </w:r>
    </w:p>
    <w:p>
      <w:pPr>
        <w:pStyle w:val="BodyText"/>
        <w:spacing w:line="314" w:lineRule="auto" w:before="31"/>
        <w:ind w:right="855"/>
        <w:jc w:val="left"/>
      </w:pPr>
      <w:r>
        <w:rPr>
          <w:spacing w:val="-4"/>
        </w:rPr>
        <w:t>股东大会决议，在股东大会授权范围内依法行使董事会职责；董事会人数和人员构成符合法律、法规的要求；独立董事严格</w:t>
      </w:r>
      <w:r>
        <w:rPr>
          <w:spacing w:val="41"/>
        </w:rPr>
        <w:t> </w:t>
      </w:r>
      <w:r>
        <w:rPr>
          <w:spacing w:val="41"/>
        </w:rPr>
      </w:r>
      <w:r>
        <w:rPr>
          <w:spacing w:val="-6"/>
        </w:rPr>
        <w:t>遵守《独立董事会管理办法》，认真负责、勤勉诚信地履行各自的职责；各位董事以认真负责的态度出席董事会和股东大会，</w:t>
      </w:r>
      <w:r>
        <w:rPr>
          <w:spacing w:val="62"/>
        </w:rPr>
        <w:t> </w:t>
      </w:r>
      <w:r>
        <w:rPr>
          <w:spacing w:val="62"/>
        </w:rPr>
      </w:r>
      <w:r>
        <w:rPr>
          <w:spacing w:val="-6"/>
        </w:rPr>
        <w:t>积极参加相关培训，熟悉有关法律、法规，了解董事的权利、义务和责任，认真履行忠实义务和勤勉义务，确保董事会规范、</w:t>
      </w:r>
      <w:r>
        <w:rPr>
          <w:spacing w:val="63"/>
        </w:rPr>
        <w:t> </w:t>
      </w:r>
      <w:r>
        <w:rPr>
          <w:spacing w:val="63"/>
        </w:rPr>
      </w:r>
      <w:r>
        <w:rPr>
          <w:spacing w:val="-3"/>
        </w:rPr>
        <w:t>高效运作和审慎、科学决策；董事会下设审计委员会、战略委员会、提名委员会、薪酬与考核委员会、风险管理委员会</w:t>
      </w:r>
      <w:r>
        <w:rPr>
          <w:rFonts w:ascii="Times New Roman" w:hAnsi="Times New Roman" w:cs="Times New Roman" w:eastAsia="Times New Roman" w:hint="default"/>
          <w:spacing w:val="-3"/>
        </w:rPr>
        <w:t>5</w:t>
      </w:r>
      <w:r>
        <w:rPr>
          <w:spacing w:val="-3"/>
        </w:rPr>
        <w:t>个</w:t>
      </w:r>
      <w:r>
        <w:rPr>
          <w:spacing w:val="72"/>
        </w:rPr>
        <w:t> </w:t>
      </w:r>
      <w:r>
        <w:rPr>
          <w:spacing w:val="-3"/>
        </w:rPr>
        <w:t>专门委员会，其成员组成结构合理，各委员会职责明确，确保董事会高效运作和科学决策。</w:t>
      </w:r>
    </w:p>
    <w:p>
      <w:pPr>
        <w:pStyle w:val="BodyText"/>
        <w:spacing w:line="300" w:lineRule="auto" w:before="20"/>
        <w:ind w:left="513" w:right="855"/>
        <w:jc w:val="left"/>
      </w:pPr>
      <w:r>
        <w:rPr>
          <w:rFonts w:ascii="Times New Roman" w:hAnsi="Times New Roman" w:cs="Times New Roman" w:eastAsia="Times New Roman" w:hint="default"/>
        </w:rPr>
        <w:t>4</w:t>
      </w:r>
      <w:r>
        <w:rPr/>
        <w:t>、关于监事和监事会</w:t>
      </w:r>
      <w:r>
        <w:rPr>
          <w:spacing w:val="-88"/>
        </w:rPr>
        <w:t> </w:t>
      </w:r>
      <w:r>
        <w:rPr>
          <w:spacing w:val="-88"/>
        </w:rPr>
      </w:r>
      <w:r>
        <w:rPr>
          <w:spacing w:val="-4"/>
        </w:rPr>
        <w:t>报告期内，公司监事会严格按照《公司法》《公司章程》和《监事会工作细则》等有关规定，召集、召开会议，运作高</w:t>
      </w:r>
    </w:p>
    <w:p>
      <w:pPr>
        <w:pStyle w:val="BodyText"/>
        <w:spacing w:line="319" w:lineRule="auto" w:before="31"/>
        <w:ind w:right="855"/>
        <w:jc w:val="left"/>
      </w:pPr>
      <w:r>
        <w:rPr>
          <w:spacing w:val="-4"/>
        </w:rPr>
        <w:t>效规范；监事会的人数和人员构成符合相关法律、法规的要求；各位监事认真履行职责，勤勉尽责，按时出席会议，本着对</w:t>
      </w:r>
      <w:r>
        <w:rPr>
          <w:spacing w:val="40"/>
        </w:rPr>
        <w:t> </w:t>
      </w:r>
      <w:r>
        <w:rPr>
          <w:spacing w:val="40"/>
        </w:rPr>
      </w:r>
      <w:r>
        <w:rPr>
          <w:spacing w:val="-3"/>
        </w:rPr>
        <w:t>股东负责的态度，对公司重大事项、关联交易、财务状况以及董事、高级管理人员履行职责的合法合规性等进行有效监督，</w:t>
      </w:r>
      <w:r>
        <w:rPr>
          <w:spacing w:val="66"/>
        </w:rPr>
        <w:t> </w:t>
      </w:r>
      <w:r>
        <w:rPr>
          <w:spacing w:val="66"/>
        </w:rPr>
      </w:r>
      <w:r>
        <w:rPr>
          <w:spacing w:val="-3"/>
        </w:rPr>
        <w:t>并按规定对相关事项发表独立核查意见，切实维护了公司及股东的合法权益。</w:t>
      </w:r>
    </w:p>
    <w:p>
      <w:pPr>
        <w:pStyle w:val="BodyText"/>
        <w:spacing w:line="300" w:lineRule="auto" w:before="17"/>
        <w:ind w:left="513" w:right="855"/>
        <w:jc w:val="left"/>
      </w:pPr>
      <w:r>
        <w:rPr>
          <w:rFonts w:ascii="Times New Roman" w:hAnsi="Times New Roman" w:cs="Times New Roman" w:eastAsia="Times New Roman" w:hint="default"/>
          <w:spacing w:val="-3"/>
        </w:rPr>
        <w:t>5</w:t>
      </w:r>
      <w:r>
        <w:rPr>
          <w:spacing w:val="-3"/>
        </w:rPr>
        <w:t>、关于信息披露与透明度</w:t>
      </w:r>
      <w:r>
        <w:rPr>
          <w:spacing w:val="-52"/>
        </w:rPr>
        <w:t> </w:t>
      </w:r>
      <w:r>
        <w:rPr>
          <w:spacing w:val="-52"/>
        </w:rPr>
      </w:r>
      <w:r>
        <w:rPr>
          <w:spacing w:val="-5"/>
        </w:rPr>
        <w:t>报告期内，公司持续完善信息披露管理并提升信息披露质量是上市公司的义务和责任，报告期内，公司严格按照《深圳</w:t>
      </w:r>
    </w:p>
    <w:p>
      <w:pPr>
        <w:pStyle w:val="BodyText"/>
        <w:spacing w:line="314" w:lineRule="auto" w:before="31"/>
        <w:ind w:right="1123"/>
        <w:jc w:val="both"/>
      </w:pPr>
      <w:r>
        <w:rPr>
          <w:spacing w:val="-4"/>
        </w:rPr>
        <w:t>证券交易所股票上市规则》《公司章程》和《信息披露管理制度》等规定和要求，加强信息披露事务管理，真实、准确、完</w:t>
      </w:r>
      <w:r>
        <w:rPr>
          <w:spacing w:val="40"/>
        </w:rPr>
        <w:t> </w:t>
      </w:r>
      <w:r>
        <w:rPr>
          <w:spacing w:val="40"/>
        </w:rPr>
      </w:r>
      <w:r>
        <w:rPr>
          <w:spacing w:val="-4"/>
        </w:rPr>
        <w:t>整、及时、公平地履行信息披露义务，确保所有投资者公平获取公司信息，增加了公司透明度；公司不断加强与监管机构的</w:t>
      </w:r>
      <w:r>
        <w:rPr>
          <w:spacing w:val="40"/>
        </w:rPr>
        <w:t> </w:t>
      </w:r>
      <w:r>
        <w:rPr>
          <w:spacing w:val="40"/>
        </w:rPr>
      </w:r>
      <w:r>
        <w:rPr>
          <w:spacing w:val="-4"/>
        </w:rPr>
        <w:t>经常性联系和主动沟通，积极向监管机构报告公司相关事项，确保公司信息披露更加规范；公司积极接待各类投资者，通过</w:t>
      </w:r>
      <w:r>
        <w:rPr>
          <w:spacing w:val="40"/>
        </w:rPr>
        <w:t> </w:t>
      </w:r>
      <w:r>
        <w:rPr>
          <w:spacing w:val="40"/>
        </w:rPr>
      </w:r>
      <w:r>
        <w:rPr>
          <w:spacing w:val="-4"/>
        </w:rPr>
        <w:t>电话、投资者互动平台等方式加强与投资者的沟通，进一步加强了投资者对公司的了解和认同，促进了公司与投资者之间的</w:t>
      </w:r>
      <w:r>
        <w:rPr>
          <w:spacing w:val="43"/>
        </w:rPr>
        <w:t> </w:t>
      </w:r>
      <w:r>
        <w:rPr>
          <w:spacing w:val="43"/>
        </w:rPr>
      </w:r>
      <w:r>
        <w:rPr>
          <w:spacing w:val="-8"/>
          <w:w w:val="101"/>
        </w:rPr>
        <w:t>良性互动，切实维护全体股东的合法权益。公司指定《证券时报》等中国证监会指定报纸及巨潮资讯网</w:t>
      </w:r>
      <w:hyperlink r:id="rId9">
        <w:r>
          <w:rPr>
            <w:rFonts w:ascii="Times New Roman" w:hAnsi="Times New Roman" w:cs="Times New Roman" w:eastAsia="Times New Roman" w:hint="default"/>
            <w:spacing w:val="-8"/>
            <w:w w:val="101"/>
          </w:rPr>
          <w:t>http://www.cninfo.com.cn</w:t>
        </w:r>
      </w:hyperlink>
      <w:r>
        <w:rPr>
          <w:rFonts w:ascii="Times New Roman" w:hAnsi="Times New Roman" w:cs="Times New Roman" w:eastAsia="Times New Roman" w:hint="default"/>
          <w:spacing w:val="9"/>
          <w:w w:val="101"/>
        </w:rPr>
        <w:t> </w:t>
      </w:r>
      <w:r>
        <w:rPr>
          <w:rFonts w:ascii="Times New Roman" w:hAnsi="Times New Roman" w:cs="Times New Roman" w:eastAsia="Times New Roman" w:hint="default"/>
          <w:spacing w:val="9"/>
          <w:w w:val="101"/>
        </w:rPr>
      </w:r>
      <w:r>
        <w:rPr>
          <w:spacing w:val="-3"/>
        </w:rPr>
        <w:t>为刊登公司公告和其他需要披露信息的媒体。</w:t>
      </w:r>
    </w:p>
    <w:p>
      <w:pPr>
        <w:spacing w:after="0" w:line="314" w:lineRule="auto"/>
        <w:jc w:val="both"/>
        <w:sectPr>
          <w:pgSz w:w="11910" w:h="16840"/>
          <w:pgMar w:header="746" w:footer="974" w:top="1060" w:bottom="1160" w:left="980" w:right="0"/>
        </w:sectPr>
      </w:pPr>
    </w:p>
    <w:p>
      <w:pPr>
        <w:spacing w:line="240" w:lineRule="auto" w:before="9"/>
        <w:rPr>
          <w:rFonts w:ascii="宋体" w:hAnsi="宋体" w:cs="宋体" w:eastAsia="宋体" w:hint="default"/>
          <w:sz w:val="25"/>
          <w:szCs w:val="25"/>
        </w:rPr>
      </w:pPr>
    </w:p>
    <w:p>
      <w:pPr>
        <w:pStyle w:val="BodyText"/>
        <w:spacing w:line="300" w:lineRule="auto" w:before="46"/>
        <w:ind w:left="513" w:right="855"/>
        <w:jc w:val="left"/>
      </w:pPr>
      <w:r>
        <w:rPr>
          <w:rFonts w:ascii="Times New Roman" w:hAnsi="Times New Roman" w:cs="Times New Roman" w:eastAsia="Times New Roman" w:hint="default"/>
        </w:rPr>
        <w:t>6</w:t>
      </w:r>
      <w:r>
        <w:rPr/>
        <w:t>、关于绩效评价与激励约束机制</w:t>
      </w:r>
      <w:r>
        <w:rPr>
          <w:spacing w:val="-86"/>
        </w:rPr>
        <w:t> </w:t>
      </w:r>
      <w:r>
        <w:rPr>
          <w:spacing w:val="-86"/>
        </w:rPr>
      </w:r>
      <w:r>
        <w:rPr>
          <w:spacing w:val="-5"/>
        </w:rPr>
        <w:t>报告期内，公司进一步建立健全公正、透明的绩效评价激励体系，报告期内，公司积极发挥董事会薪酬与考核委员会职</w:t>
      </w:r>
    </w:p>
    <w:p>
      <w:pPr>
        <w:pStyle w:val="BodyText"/>
        <w:spacing w:line="319" w:lineRule="auto" w:before="31"/>
        <w:ind w:right="1124"/>
        <w:jc w:val="both"/>
      </w:pPr>
      <w:r>
        <w:rPr>
          <w:spacing w:val="-4"/>
        </w:rPr>
        <w:t>责，董事会薪酬与考核委员会严格按照相关规定，公正、客观地进行绩效考核；董事、监事的选举，高级管理人员的聘任公</w:t>
      </w:r>
      <w:r>
        <w:rPr>
          <w:spacing w:val="40"/>
        </w:rPr>
        <w:t> </w:t>
      </w:r>
      <w:r>
        <w:rPr>
          <w:spacing w:val="40"/>
        </w:rPr>
      </w:r>
      <w:r>
        <w:rPr>
          <w:spacing w:val="-3"/>
        </w:rPr>
        <w:t>开、透明，符合相关法律、法规的规定，有效地实现了对公司经营管理团队的激励，维护了公司及全体股东利益。</w:t>
      </w:r>
    </w:p>
    <w:p>
      <w:pPr>
        <w:pStyle w:val="BodyText"/>
        <w:spacing w:line="300" w:lineRule="auto" w:before="17"/>
        <w:ind w:left="513" w:right="855"/>
        <w:jc w:val="left"/>
      </w:pPr>
      <w:r>
        <w:rPr>
          <w:rFonts w:ascii="Times New Roman" w:hAnsi="Times New Roman" w:cs="Times New Roman" w:eastAsia="Times New Roman" w:hint="default"/>
        </w:rPr>
        <w:t>7</w:t>
      </w:r>
      <w:r>
        <w:rPr/>
        <w:t>、关于利益相关者</w:t>
      </w:r>
      <w:r>
        <w:rPr>
          <w:spacing w:val="-85"/>
        </w:rPr>
        <w:t> </w:t>
      </w:r>
      <w:r>
        <w:rPr>
          <w:spacing w:val="-85"/>
        </w:rPr>
      </w:r>
      <w:r>
        <w:rPr>
          <w:spacing w:val="-4"/>
        </w:rPr>
        <w:t>报告期内，公司始终坚持诚信经营，能够充分尊重和维护利益相关者的合法权益，实现股东、员工、社会等各方利益的</w:t>
      </w:r>
    </w:p>
    <w:p>
      <w:pPr>
        <w:pStyle w:val="BodyText"/>
        <w:spacing w:line="309" w:lineRule="auto" w:before="31"/>
        <w:ind w:left="513" w:right="855" w:hanging="360"/>
        <w:jc w:val="left"/>
      </w:pPr>
      <w:r>
        <w:rPr>
          <w:spacing w:val="-3"/>
        </w:rPr>
        <w:t>协调平衡，重视公司的社会责任，积极加强与利益相关者的沟通与合作，共同推动公司健康、可持续发展。</w:t>
      </w:r>
      <w:r>
        <w:rPr>
          <w:spacing w:val="48"/>
        </w:rPr>
        <w:t> </w:t>
      </w:r>
      <w:r>
        <w:rPr>
          <w:spacing w:val="48"/>
        </w:rPr>
      </w:r>
      <w:r>
        <w:rPr>
          <w:rFonts w:ascii="Times New Roman" w:hAnsi="Times New Roman" w:cs="Times New Roman" w:eastAsia="Times New Roman" w:hint="default"/>
          <w:spacing w:val="-3"/>
        </w:rPr>
        <w:t>8</w:t>
      </w:r>
      <w:r>
        <w:rPr>
          <w:spacing w:val="-3"/>
        </w:rPr>
        <w:t>、以总裁为首的经营团队</w:t>
      </w:r>
      <w:r>
        <w:rPr>
          <w:w w:val="101"/>
        </w:rPr>
        <w:t> </w:t>
      </w:r>
      <w:r>
        <w:rPr>
          <w:spacing w:val="-3"/>
        </w:rPr>
        <w:t>报告期内，公司经营层严格按照相关法律、法规、规范性文件及公司相关制度的要求和规定，认真贯彻实施股东大会、</w:t>
      </w:r>
    </w:p>
    <w:p>
      <w:pPr>
        <w:pStyle w:val="BodyText"/>
        <w:spacing w:line="316" w:lineRule="auto" w:before="24"/>
        <w:ind w:right="1123"/>
        <w:jc w:val="both"/>
      </w:pPr>
      <w:r>
        <w:rPr>
          <w:spacing w:val="-4"/>
        </w:rPr>
        <w:t>董事会决议事项，不断提高履职能力，增强规范运作和防范风险意识，兢兢业业，依法合规经营，确保公司各项经营计划的</w:t>
      </w:r>
      <w:r>
        <w:rPr>
          <w:spacing w:val="40"/>
        </w:rPr>
        <w:t> </w:t>
      </w:r>
      <w:r>
        <w:rPr>
          <w:spacing w:val="40"/>
        </w:rPr>
      </w:r>
      <w:r>
        <w:rPr>
          <w:spacing w:val="-3"/>
        </w:rPr>
        <w:t>平稳实施、有序推进，努力实现股东利益和社会效益的最大化，不存在未能忠实履行职务、违背诚信义务的情形。</w:t>
      </w:r>
    </w:p>
    <w:p>
      <w:pPr>
        <w:pStyle w:val="BodyText"/>
        <w:spacing w:line="300" w:lineRule="auto" w:before="19"/>
        <w:ind w:left="513" w:right="855"/>
        <w:jc w:val="left"/>
      </w:pPr>
      <w:r>
        <w:rPr>
          <w:rFonts w:ascii="Times New Roman" w:hAnsi="Times New Roman" w:cs="Times New Roman" w:eastAsia="Times New Roman" w:hint="default"/>
        </w:rPr>
        <w:t>9</w:t>
      </w:r>
      <w:r>
        <w:rPr/>
        <w:t>、公司冶理相关制度</w:t>
      </w:r>
      <w:r>
        <w:rPr>
          <w:spacing w:val="-88"/>
        </w:rPr>
        <w:t> </w:t>
      </w:r>
      <w:r>
        <w:rPr>
          <w:spacing w:val="-88"/>
        </w:rPr>
      </w:r>
      <w:r>
        <w:rPr>
          <w:spacing w:val="-5"/>
        </w:rPr>
        <w:t>报告期内，公司内部治理结构完整、清晰，同时严格按照《公司法》《证券法》《上市公司治理准则》等规定不断建立</w:t>
      </w:r>
    </w:p>
    <w:p>
      <w:pPr>
        <w:pStyle w:val="BodyText"/>
        <w:spacing w:line="309" w:lineRule="auto" w:before="31"/>
        <w:ind w:right="1123"/>
        <w:jc w:val="both"/>
      </w:pPr>
      <w:r>
        <w:rPr>
          <w:spacing w:val="-4"/>
        </w:rPr>
        <w:t>健全各项治理制度体系，根据业务发展需要及监管部门相关要求，持续完善涵盖公司经营管理各环节的各项冶理制度，继续</w:t>
      </w:r>
      <w:r>
        <w:rPr>
          <w:spacing w:val="43"/>
        </w:rPr>
        <w:t> </w:t>
      </w:r>
      <w:r>
        <w:rPr>
          <w:spacing w:val="43"/>
        </w:rPr>
      </w:r>
      <w:r>
        <w:rPr>
          <w:spacing w:val="-4"/>
        </w:rPr>
        <w:t>规范</w:t>
      </w:r>
      <w:r>
        <w:rPr>
          <w:rFonts w:ascii="Times New Roman" w:hAnsi="Times New Roman" w:cs="Times New Roman" w:eastAsia="Times New Roman" w:hint="default"/>
          <w:spacing w:val="-4"/>
        </w:rPr>
        <w:t>“</w:t>
      </w:r>
      <w:r>
        <w:rPr>
          <w:spacing w:val="-4"/>
        </w:rPr>
        <w:t>三会</w:t>
      </w:r>
      <w:r>
        <w:rPr>
          <w:rFonts w:ascii="Times New Roman" w:hAnsi="Times New Roman" w:cs="Times New Roman" w:eastAsia="Times New Roman" w:hint="default"/>
          <w:spacing w:val="-4"/>
        </w:rPr>
        <w:t>”</w:t>
      </w:r>
      <w:r>
        <w:rPr>
          <w:spacing w:val="-4"/>
        </w:rPr>
        <w:t>运作，强化公司董事、监事及高级管理人员的勤勉尽责意识，进一步提高公司规范运作水平，增强内部控制效力</w:t>
      </w:r>
      <w:r>
        <w:rPr>
          <w:spacing w:val="64"/>
        </w:rPr>
        <w:t> </w:t>
      </w:r>
      <w:r>
        <w:rPr>
          <w:spacing w:val="64"/>
        </w:rPr>
      </w:r>
      <w:r>
        <w:rPr>
          <w:spacing w:val="-3"/>
        </w:rPr>
        <w:t>及防范风险的能力，确保公司治理科学、规范、透明、有效。</w:t>
      </w:r>
    </w:p>
    <w:p>
      <w:pPr>
        <w:pStyle w:val="BodyText"/>
        <w:spacing w:line="240" w:lineRule="auto" w:before="67"/>
        <w:ind w:right="0"/>
        <w:jc w:val="both"/>
      </w:pPr>
      <w:r>
        <w:rPr>
          <w:spacing w:val="-3"/>
        </w:rPr>
        <w:t>公司治理的实际状况与中国证监会发布的有关上市公司治理的规范性文件是否存在重大差异</w:t>
      </w:r>
    </w:p>
    <w:p>
      <w:pPr>
        <w:pStyle w:val="BodyText"/>
        <w:spacing w:line="338" w:lineRule="auto" w:before="115"/>
        <w:ind w:right="2924"/>
        <w:jc w:val="left"/>
      </w:pP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是</w:t>
      </w:r>
      <w:r>
        <w:rPr>
          <w:spacing w:val="-4"/>
        </w:rPr>
        <w:t>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否</w:t>
      </w:r>
      <w:r>
        <w:rPr>
          <w:spacing w:val="-83"/>
        </w:rPr>
        <w:t> </w:t>
      </w:r>
      <w:r>
        <w:rPr>
          <w:spacing w:val="-3"/>
        </w:rPr>
        <w:t>公司治理的实际状况与中国证监会发布的有关上市公司治理的规范性文件不存在重大差异。</w:t>
      </w:r>
    </w:p>
    <w:p>
      <w:pPr>
        <w:spacing w:line="240" w:lineRule="auto" w:before="6"/>
        <w:rPr>
          <w:rFonts w:ascii="宋体" w:hAnsi="宋体" w:cs="宋体" w:eastAsia="宋体" w:hint="default"/>
          <w:sz w:val="19"/>
          <w:szCs w:val="19"/>
        </w:rPr>
      </w:pPr>
    </w:p>
    <w:p>
      <w:pPr>
        <w:pStyle w:val="Heading2"/>
        <w:spacing w:line="240" w:lineRule="auto"/>
        <w:ind w:right="0"/>
        <w:jc w:val="both"/>
        <w:rPr>
          <w:b w:val="0"/>
          <w:bCs w:val="0"/>
        </w:rPr>
      </w:pPr>
      <w:r>
        <w:rPr/>
        <w:t>二、公司相对于控股股东在业务、人员、资产、机构、财务等方面的独立情况</w:t>
      </w:r>
      <w:r>
        <w:rPr>
          <w:b w:val="0"/>
          <w:bCs w:val="0"/>
        </w:rPr>
      </w:r>
    </w:p>
    <w:p>
      <w:pPr>
        <w:spacing w:line="240" w:lineRule="auto" w:before="6"/>
        <w:rPr>
          <w:rFonts w:ascii="宋体" w:hAnsi="宋体" w:cs="宋体" w:eastAsia="宋体" w:hint="default"/>
          <w:b/>
          <w:bCs/>
          <w:sz w:val="26"/>
          <w:szCs w:val="26"/>
        </w:rPr>
      </w:pPr>
    </w:p>
    <w:p>
      <w:pPr>
        <w:pStyle w:val="BodyText"/>
        <w:spacing w:line="319" w:lineRule="auto"/>
        <w:ind w:right="1124" w:firstLine="360"/>
        <w:jc w:val="both"/>
      </w:pPr>
      <w:r>
        <w:rPr>
          <w:spacing w:val="-5"/>
        </w:rPr>
        <w:t>报告期内，公司严格按照《公司法》《证券法》等有关法律法规、规范性文件和《公司章程》的要求规范运作，与控股</w:t>
      </w:r>
      <w:r>
        <w:rPr>
          <w:w w:val="101"/>
        </w:rPr>
        <w:t> </w:t>
      </w:r>
      <w:r>
        <w:rPr>
          <w:spacing w:val="-5"/>
        </w:rPr>
        <w:t>股东在业务、人员、资产、机构、财务等方面均完全分开，相互独立，享有独立法人地位和市场竞争主体地位，具有独立完</w:t>
      </w:r>
      <w:r>
        <w:rPr>
          <w:spacing w:val="4"/>
        </w:rPr>
        <w:t> </w:t>
      </w:r>
      <w:r>
        <w:rPr>
          <w:spacing w:val="4"/>
        </w:rPr>
      </w:r>
      <w:r>
        <w:rPr>
          <w:spacing w:val="-3"/>
        </w:rPr>
        <w:t>整的业务体系及面向市场自主经营的能力。具体情况如下：</w:t>
      </w:r>
    </w:p>
    <w:p>
      <w:pPr>
        <w:pStyle w:val="BodyText"/>
        <w:spacing w:line="300" w:lineRule="auto" w:before="17"/>
        <w:ind w:left="513" w:right="855"/>
        <w:jc w:val="left"/>
      </w:pPr>
      <w:r>
        <w:rPr>
          <w:rFonts w:ascii="Times New Roman" w:hAnsi="Times New Roman" w:cs="Times New Roman" w:eastAsia="Times New Roman" w:hint="default"/>
        </w:rPr>
        <w:t>1</w:t>
      </w:r>
      <w:r>
        <w:rPr/>
        <w:t>、业务独立性</w:t>
      </w:r>
      <w:r>
        <w:rPr>
          <w:spacing w:val="-85"/>
        </w:rPr>
        <w:t> </w:t>
      </w:r>
      <w:r>
        <w:rPr>
          <w:spacing w:val="-85"/>
        </w:rPr>
      </w:r>
      <w:r>
        <w:rPr>
          <w:spacing w:val="-5"/>
        </w:rPr>
        <w:t>公司在业务方面独立于控股股东及其他关联方，拥有独立管理的研发、采购、销售系统和生产经营场所，具有独立完整</w:t>
      </w:r>
    </w:p>
    <w:p>
      <w:pPr>
        <w:pStyle w:val="BodyText"/>
        <w:spacing w:line="316" w:lineRule="auto" w:before="31"/>
        <w:ind w:right="1123"/>
        <w:jc w:val="both"/>
      </w:pPr>
      <w:r>
        <w:rPr>
          <w:spacing w:val="-4"/>
        </w:rPr>
        <w:t>的业务体系和自主经营能力，具备自主决策经营活动能力。公司在业务上与控股股东之间不存在竞争关系，也不存在对控股</w:t>
      </w:r>
      <w:r>
        <w:rPr>
          <w:spacing w:val="44"/>
        </w:rPr>
        <w:t> </w:t>
      </w:r>
      <w:r>
        <w:rPr>
          <w:spacing w:val="44"/>
        </w:rPr>
      </w:r>
      <w:r>
        <w:rPr>
          <w:spacing w:val="-3"/>
        </w:rPr>
        <w:t>股东及其关联方的依赖关系。</w:t>
      </w:r>
    </w:p>
    <w:p>
      <w:pPr>
        <w:pStyle w:val="BodyText"/>
        <w:spacing w:line="300" w:lineRule="auto" w:before="19"/>
        <w:ind w:left="513" w:right="855"/>
        <w:jc w:val="left"/>
      </w:pPr>
      <w:r>
        <w:rPr>
          <w:rFonts w:ascii="Times New Roman" w:hAnsi="Times New Roman" w:cs="Times New Roman" w:eastAsia="Times New Roman" w:hint="default"/>
        </w:rPr>
        <w:t>2</w:t>
      </w:r>
      <w:r>
        <w:rPr/>
        <w:t>、人员独立性</w:t>
      </w:r>
      <w:r>
        <w:rPr>
          <w:spacing w:val="-85"/>
        </w:rPr>
        <w:t> </w:t>
      </w:r>
      <w:r>
        <w:rPr>
          <w:spacing w:val="-85"/>
        </w:rPr>
      </w:r>
      <w:r>
        <w:rPr>
          <w:spacing w:val="-5"/>
        </w:rPr>
        <w:t>除董事长、总裁徐宏灿在公司股东南天集团担任董事外，公司副总裁、财务总监、董事会秘书等高级管理人员均未在公</w:t>
      </w:r>
    </w:p>
    <w:p>
      <w:pPr>
        <w:pStyle w:val="BodyText"/>
        <w:spacing w:line="316" w:lineRule="auto" w:before="31"/>
        <w:ind w:right="1124"/>
        <w:jc w:val="both"/>
      </w:pPr>
      <w:r>
        <w:rPr>
          <w:spacing w:val="-4"/>
        </w:rPr>
        <w:t>司控股股东、实际控制人及其控制的其它企业中担任职务，公司及其子公司的财务人员未在控股股东、实际控制人及其控制</w:t>
      </w:r>
      <w:r>
        <w:rPr>
          <w:spacing w:val="43"/>
        </w:rPr>
        <w:t> </w:t>
      </w:r>
      <w:r>
        <w:rPr>
          <w:spacing w:val="43"/>
        </w:rPr>
      </w:r>
      <w:r>
        <w:rPr>
          <w:spacing w:val="-4"/>
        </w:rPr>
        <w:t>的其它企业中兼职。公司的高级管理人员在公司领取薪酬，未在控股股东、实际控制人及其控制的其它企业领取薪酬。公司</w:t>
      </w:r>
      <w:r>
        <w:rPr>
          <w:spacing w:val="40"/>
        </w:rPr>
        <w:t> </w:t>
      </w:r>
      <w:r>
        <w:rPr>
          <w:spacing w:val="40"/>
        </w:rPr>
      </w:r>
      <w:r>
        <w:rPr>
          <w:spacing w:val="-3"/>
        </w:rPr>
        <w:t>的劳动、人事、工资报酬以及相应的社会保障独立管理，人员独立。</w:t>
      </w:r>
    </w:p>
    <w:p>
      <w:pPr>
        <w:pStyle w:val="BodyText"/>
        <w:spacing w:line="300" w:lineRule="auto" w:before="19"/>
        <w:ind w:left="513" w:right="855"/>
        <w:jc w:val="left"/>
      </w:pPr>
      <w:r>
        <w:rPr>
          <w:rFonts w:ascii="Times New Roman" w:hAnsi="Times New Roman" w:cs="Times New Roman" w:eastAsia="Times New Roman" w:hint="default"/>
        </w:rPr>
        <w:t>3</w:t>
      </w:r>
      <w:r>
        <w:rPr/>
        <w:t>、资产独立性</w:t>
      </w:r>
      <w:r>
        <w:rPr>
          <w:spacing w:val="-85"/>
        </w:rPr>
        <w:t> </w:t>
      </w:r>
      <w:r>
        <w:rPr>
          <w:spacing w:val="-85"/>
        </w:rPr>
      </w:r>
      <w:r>
        <w:rPr>
          <w:spacing w:val="-5"/>
        </w:rPr>
        <w:t>公司与控股股东及其关联方产权关系明晰，双方资产完全分开，公司资产均产权完整、明确，公司拥有独立完整的土地</w:t>
      </w:r>
    </w:p>
    <w:p>
      <w:pPr>
        <w:pStyle w:val="BodyText"/>
        <w:spacing w:line="316" w:lineRule="auto" w:before="31"/>
        <w:ind w:right="1123"/>
        <w:jc w:val="both"/>
      </w:pPr>
      <w:r>
        <w:rPr>
          <w:spacing w:val="-4"/>
        </w:rPr>
        <w:t>使用权、房产，独立完整的采购、生产和销售系统及配套设施，独立完整的专利技术等无形资产；不存在控股股东或实际控</w:t>
      </w:r>
      <w:r>
        <w:rPr>
          <w:spacing w:val="40"/>
        </w:rPr>
        <w:t> </w:t>
      </w:r>
      <w:r>
        <w:rPr>
          <w:spacing w:val="40"/>
        </w:rPr>
      </w:r>
      <w:r>
        <w:rPr>
          <w:spacing w:val="-3"/>
        </w:rPr>
        <w:t>制人违规占用公司资金、资产及其它资源的情况。</w:t>
      </w:r>
    </w:p>
    <w:p>
      <w:pPr>
        <w:pStyle w:val="BodyText"/>
        <w:spacing w:line="300" w:lineRule="auto" w:before="19"/>
        <w:ind w:left="513" w:right="855"/>
        <w:jc w:val="left"/>
      </w:pPr>
      <w:r>
        <w:rPr>
          <w:rFonts w:ascii="Times New Roman" w:hAnsi="Times New Roman" w:cs="Times New Roman" w:eastAsia="Times New Roman" w:hint="default"/>
        </w:rPr>
        <w:t>4</w:t>
      </w:r>
      <w:r>
        <w:rPr/>
        <w:t>、机构独立性</w:t>
      </w:r>
      <w:r>
        <w:rPr>
          <w:spacing w:val="-85"/>
        </w:rPr>
        <w:t> </w:t>
      </w:r>
      <w:r>
        <w:rPr>
          <w:spacing w:val="-85"/>
        </w:rPr>
      </w:r>
      <w:r>
        <w:rPr>
          <w:spacing w:val="-8"/>
        </w:rPr>
        <w:t>公司设有健全的组织机构体系，股东大会、董事会、监事会等机构制定了相应的议事规则，各机构依照《公司法》及《公</w:t>
      </w:r>
    </w:p>
    <w:p>
      <w:pPr>
        <w:pStyle w:val="BodyText"/>
        <w:spacing w:line="316" w:lineRule="auto" w:before="32"/>
        <w:ind w:right="1037"/>
        <w:jc w:val="both"/>
      </w:pPr>
      <w:r>
        <w:rPr>
          <w:spacing w:val="-4"/>
        </w:rPr>
        <w:t>司章程》规定在各自职责范围内独立决策，具有决策和经营管理的独立性，公司控股股东按照《公司法》《深圳证券交易所</w:t>
      </w:r>
      <w:r>
        <w:rPr>
          <w:spacing w:val="41"/>
        </w:rPr>
        <w:t> </w:t>
      </w:r>
      <w:r>
        <w:rPr>
          <w:spacing w:val="41"/>
        </w:rPr>
      </w:r>
      <w:r>
        <w:rPr>
          <w:spacing w:val="-4"/>
        </w:rPr>
        <w:t>股票上市规则》等国家相关法律法规及规范性文件规定的法定程序参与公司决策；公司决策管理机构、生产单位及各职能部</w:t>
      </w:r>
      <w:r>
        <w:rPr>
          <w:spacing w:val="43"/>
        </w:rPr>
        <w:t> </w:t>
      </w:r>
      <w:r>
        <w:rPr>
          <w:spacing w:val="43"/>
        </w:rPr>
      </w:r>
      <w:r>
        <w:rPr>
          <w:spacing w:val="-4"/>
        </w:rPr>
        <w:t>门与控股股东完全分开，独立运行，独立开展生产经营活动；公司及其职能部门与控股股东（包括其它关联方）及其职能部</w:t>
      </w:r>
      <w:r>
        <w:rPr>
          <w:spacing w:val="40"/>
        </w:rPr>
        <w:t> </w:t>
      </w:r>
      <w:r>
        <w:rPr>
          <w:spacing w:val="40"/>
        </w:rPr>
      </w:r>
      <w:r>
        <w:rPr>
          <w:spacing w:val="-6"/>
        </w:rPr>
        <w:t>门之间不存在从属关系；公司拥有独立的生产经营和办公场所，不存在与控股股东及其它关联方混合经营、合署办公的情形。</w:t>
      </w:r>
    </w:p>
    <w:p>
      <w:pPr>
        <w:spacing w:after="0" w:line="316" w:lineRule="auto"/>
        <w:jc w:val="both"/>
        <w:sectPr>
          <w:pgSz w:w="11910" w:h="16840"/>
          <w:pgMar w:header="746" w:footer="974" w:top="1060" w:bottom="1160" w:left="980" w:right="0"/>
        </w:sectPr>
      </w:pPr>
    </w:p>
    <w:p>
      <w:pPr>
        <w:spacing w:line="240" w:lineRule="auto" w:before="9"/>
        <w:rPr>
          <w:rFonts w:ascii="宋体" w:hAnsi="宋体" w:cs="宋体" w:eastAsia="宋体" w:hint="default"/>
          <w:sz w:val="25"/>
          <w:szCs w:val="25"/>
        </w:rPr>
      </w:pPr>
    </w:p>
    <w:p>
      <w:pPr>
        <w:pStyle w:val="BodyText"/>
        <w:spacing w:line="300" w:lineRule="auto" w:before="46"/>
        <w:ind w:left="513" w:right="855"/>
        <w:jc w:val="left"/>
      </w:pPr>
      <w:r>
        <w:rPr>
          <w:rFonts w:ascii="Times New Roman" w:hAnsi="Times New Roman" w:cs="Times New Roman" w:eastAsia="Times New Roman" w:hint="default"/>
        </w:rPr>
        <w:t>5</w:t>
      </w:r>
      <w:r>
        <w:rPr/>
        <w:t>、财务独立性</w:t>
      </w:r>
      <w:r>
        <w:rPr>
          <w:spacing w:val="-85"/>
        </w:rPr>
        <w:t> </w:t>
      </w:r>
      <w:r>
        <w:rPr>
          <w:spacing w:val="-85"/>
        </w:rPr>
      </w:r>
      <w:r>
        <w:rPr>
          <w:spacing w:val="-5"/>
        </w:rPr>
        <w:t>公司设立了独立的财务部门，配置了专职财务人员，并按照《企业会计制度》等有关法规的要求，建立了独立的财务核</w:t>
      </w:r>
    </w:p>
    <w:p>
      <w:pPr>
        <w:pStyle w:val="BodyText"/>
        <w:spacing w:line="319" w:lineRule="auto" w:before="31"/>
        <w:ind w:right="1122"/>
        <w:jc w:val="both"/>
      </w:pPr>
      <w:r>
        <w:rPr>
          <w:spacing w:val="-4"/>
        </w:rPr>
        <w:t>算体系，制定了规范的财务会计制度和财务管理制度，独立开展财务工作和进行财务决策，独立管理公司财务档案。公司与</w:t>
      </w:r>
      <w:r>
        <w:rPr>
          <w:spacing w:val="42"/>
        </w:rPr>
        <w:t> </w:t>
      </w:r>
      <w:r>
        <w:rPr>
          <w:spacing w:val="42"/>
        </w:rPr>
      </w:r>
      <w:r>
        <w:rPr>
          <w:spacing w:val="-4"/>
        </w:rPr>
        <w:t>控股股东在财务方面分账独立管理，财务人员未在股东单位兼职。公司开设了独立的银行账户，不存在与控股股东及其关联</w:t>
      </w:r>
      <w:r>
        <w:rPr>
          <w:spacing w:val="43"/>
        </w:rPr>
        <w:t> </w:t>
      </w:r>
      <w:r>
        <w:rPr>
          <w:spacing w:val="43"/>
        </w:rPr>
      </w:r>
      <w:r>
        <w:rPr>
          <w:spacing w:val="-3"/>
        </w:rPr>
        <w:t>方共用银行账户，亦不存在控股股东干预本公司资金使用的情况；公司依法独立纳税。</w:t>
      </w:r>
    </w:p>
    <w:p>
      <w:pPr>
        <w:spacing w:line="240" w:lineRule="auto" w:before="7"/>
        <w:rPr>
          <w:rFonts w:ascii="宋体" w:hAnsi="宋体" w:cs="宋体" w:eastAsia="宋体" w:hint="default"/>
          <w:sz w:val="20"/>
          <w:szCs w:val="20"/>
        </w:rPr>
      </w:pPr>
    </w:p>
    <w:p>
      <w:pPr>
        <w:pStyle w:val="Heading2"/>
        <w:spacing w:line="240" w:lineRule="auto"/>
        <w:ind w:right="0"/>
        <w:jc w:val="both"/>
        <w:rPr>
          <w:b w:val="0"/>
          <w:bCs w:val="0"/>
        </w:rPr>
      </w:pPr>
      <w:r>
        <w:rPr/>
        <w:t>三、同业竞争情况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5"/>
        <w:rPr>
          <w:rFonts w:ascii="宋体" w:hAnsi="宋体" w:cs="宋体" w:eastAsia="宋体" w:hint="default"/>
          <w:sz w:val="24"/>
          <w:szCs w:val="24"/>
        </w:rPr>
      </w:pPr>
    </w:p>
    <w:p>
      <w:pPr>
        <w:pStyle w:val="Heading2"/>
        <w:spacing w:line="240" w:lineRule="auto"/>
        <w:ind w:right="0"/>
        <w:jc w:val="both"/>
        <w:rPr>
          <w:b w:val="0"/>
          <w:bCs w:val="0"/>
        </w:rPr>
      </w:pPr>
      <w:r>
        <w:rPr/>
        <w:t>四、报告期内召开的年度股东大会和临时股东大会的有关情况</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both"/>
        <w:rPr>
          <w:b w:val="0"/>
          <w:bCs w:val="0"/>
        </w:rPr>
      </w:pPr>
      <w:r>
        <w:rPr>
          <w:rFonts w:ascii="Times New Roman" w:hAnsi="Times New Roman" w:cs="Times New Roman" w:eastAsia="Times New Roman" w:hint="default"/>
        </w:rPr>
        <w:t>1</w:t>
      </w:r>
      <w:r>
        <w:rPr/>
        <w:t>、本报告期股东大会情况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277"/>
        <w:gridCol w:w="1277"/>
        <w:gridCol w:w="1417"/>
        <w:gridCol w:w="1700"/>
        <w:gridCol w:w="1561"/>
        <w:gridCol w:w="2339"/>
      </w:tblGrid>
      <w:tr>
        <w:trPr>
          <w:trHeight w:val="404" w:hRule="exact"/>
        </w:trPr>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73"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73"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76" w:right="0"/>
              <w:jc w:val="left"/>
              <w:rPr>
                <w:rFonts w:ascii="宋体" w:hAnsi="宋体" w:cs="宋体" w:eastAsia="宋体" w:hint="default"/>
                <w:sz w:val="18"/>
                <w:szCs w:val="18"/>
              </w:rPr>
            </w:pPr>
            <w:r>
              <w:rPr>
                <w:rFonts w:ascii="宋体" w:hAnsi="宋体" w:cs="宋体" w:eastAsia="宋体" w:hint="default"/>
                <w:spacing w:val="-3"/>
                <w:sz w:val="18"/>
                <w:szCs w:val="18"/>
              </w:rPr>
              <w:t>投资者参与比例</w:t>
            </w:r>
          </w:p>
        </w:tc>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85" w:right="0"/>
              <w:jc w:val="left"/>
              <w:rPr>
                <w:rFonts w:ascii="宋体" w:hAnsi="宋体" w:cs="宋体" w:eastAsia="宋体" w:hint="default"/>
                <w:sz w:val="18"/>
                <w:szCs w:val="18"/>
              </w:rPr>
            </w:pPr>
            <w:r>
              <w:rPr>
                <w:rFonts w:ascii="宋体" w:hAnsi="宋体" w:cs="宋体" w:eastAsia="宋体" w:hint="default"/>
                <w:sz w:val="18"/>
                <w:szCs w:val="18"/>
              </w:rPr>
              <w:t>召开日期</w:t>
            </w: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23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715"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95" w:lineRule="auto" w:before="53"/>
              <w:ind w:left="24" w:right="113"/>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0"/>
                <w:sz w:val="18"/>
                <w:szCs w:val="18"/>
              </w:rPr>
              <w:t> </w:t>
            </w:r>
            <w:r>
              <w:rPr>
                <w:rFonts w:ascii="宋体" w:hAnsi="宋体" w:cs="宋体" w:eastAsia="宋体" w:hint="default"/>
                <w:spacing w:val="-3"/>
                <w:sz w:val="18"/>
                <w:szCs w:val="18"/>
              </w:rPr>
              <w:t>年度股东</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大会</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36.22%</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详见巨潮资讯网</w:t>
            </w:r>
          </w:p>
          <w:p>
            <w:pPr>
              <w:pStyle w:val="TableParagraph"/>
              <w:spacing w:line="240" w:lineRule="auto" w:before="71"/>
              <w:ind w:left="23" w:right="0"/>
              <w:jc w:val="left"/>
              <w:rPr>
                <w:rFonts w:ascii="宋体" w:hAnsi="宋体" w:cs="宋体" w:eastAsia="宋体" w:hint="default"/>
                <w:sz w:val="18"/>
                <w:szCs w:val="18"/>
              </w:rPr>
            </w:pPr>
            <w:r>
              <w:rPr>
                <w:rFonts w:ascii="宋体" w:hAnsi="宋体" w:cs="宋体" w:eastAsia="宋体" w:hint="default"/>
                <w:sz w:val="18"/>
                <w:szCs w:val="18"/>
              </w:rPr>
              <w:t>（</w:t>
            </w:r>
            <w:hyperlink r:id="rId9">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716"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95" w:lineRule="auto" w:before="53"/>
              <w:ind w:left="24" w:right="113"/>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0"/>
                <w:sz w:val="18"/>
                <w:szCs w:val="18"/>
              </w:rPr>
              <w:t> </w:t>
            </w:r>
            <w:r>
              <w:rPr>
                <w:rFonts w:ascii="宋体" w:hAnsi="宋体" w:cs="宋体" w:eastAsia="宋体" w:hint="default"/>
                <w:spacing w:val="-3"/>
                <w:sz w:val="18"/>
                <w:szCs w:val="18"/>
              </w:rPr>
              <w:t>年第一次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临时股东大会</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41.84%</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详见巨潮资讯网</w:t>
            </w:r>
          </w:p>
          <w:p>
            <w:pPr>
              <w:pStyle w:val="TableParagraph"/>
              <w:spacing w:line="240" w:lineRule="auto" w:before="72"/>
              <w:ind w:left="23" w:right="0"/>
              <w:jc w:val="left"/>
              <w:rPr>
                <w:rFonts w:ascii="宋体" w:hAnsi="宋体" w:cs="宋体" w:eastAsia="宋体" w:hint="default"/>
                <w:sz w:val="18"/>
                <w:szCs w:val="18"/>
              </w:rPr>
            </w:pPr>
            <w:r>
              <w:rPr>
                <w:rFonts w:ascii="宋体" w:hAnsi="宋体" w:cs="宋体" w:eastAsia="宋体" w:hint="default"/>
                <w:sz w:val="18"/>
                <w:szCs w:val="18"/>
              </w:rPr>
              <w:t>（</w:t>
            </w:r>
            <w:hyperlink r:id="rId9">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710"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95" w:lineRule="auto" w:before="53"/>
              <w:ind w:left="24" w:right="113"/>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0"/>
                <w:sz w:val="18"/>
                <w:szCs w:val="18"/>
              </w:rPr>
              <w:t> </w:t>
            </w:r>
            <w:r>
              <w:rPr>
                <w:rFonts w:ascii="宋体" w:hAnsi="宋体" w:cs="宋体" w:eastAsia="宋体" w:hint="default"/>
                <w:spacing w:val="-3"/>
                <w:sz w:val="18"/>
                <w:szCs w:val="18"/>
              </w:rPr>
              <w:t>年第二次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临时股东大会</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36.39%</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详见巨潮资讯网</w:t>
            </w:r>
          </w:p>
          <w:p>
            <w:pPr>
              <w:pStyle w:val="TableParagraph"/>
              <w:spacing w:line="240" w:lineRule="auto" w:before="71"/>
              <w:ind w:left="23" w:right="0"/>
              <w:jc w:val="left"/>
              <w:rPr>
                <w:rFonts w:ascii="宋体" w:hAnsi="宋体" w:cs="宋体" w:eastAsia="宋体" w:hint="default"/>
                <w:sz w:val="18"/>
                <w:szCs w:val="18"/>
              </w:rPr>
            </w:pPr>
            <w:r>
              <w:rPr>
                <w:rFonts w:ascii="宋体" w:hAnsi="宋体" w:cs="宋体" w:eastAsia="宋体" w:hint="default"/>
                <w:sz w:val="18"/>
                <w:szCs w:val="18"/>
              </w:rPr>
              <w:t>（</w:t>
            </w:r>
            <w:hyperlink r:id="rId9">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bl>
    <w:p>
      <w:pPr>
        <w:spacing w:line="240" w:lineRule="auto" w:before="3"/>
        <w:rPr>
          <w:rFonts w:ascii="宋体" w:hAnsi="宋体" w:cs="宋体" w:eastAsia="宋体" w:hint="default"/>
          <w:b/>
          <w:bCs/>
          <w:sz w:val="19"/>
          <w:szCs w:val="19"/>
        </w:rPr>
      </w:pPr>
    </w:p>
    <w:p>
      <w:pPr>
        <w:spacing w:before="36"/>
        <w:ind w:left="153" w:right="85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、表决权恢复的优先股股东请求召开临时股东大会</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pStyle w:val="BodyText"/>
        <w:spacing w:line="240" w:lineRule="auto"/>
        <w:ind w:right="855"/>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0"/>
        <w:rPr>
          <w:rFonts w:ascii="宋体" w:hAnsi="宋体" w:cs="宋体" w:eastAsia="宋体" w:hint="default"/>
          <w:sz w:val="24"/>
          <w:szCs w:val="24"/>
        </w:rPr>
      </w:pPr>
    </w:p>
    <w:p>
      <w:pPr>
        <w:pStyle w:val="Heading2"/>
        <w:spacing w:line="240" w:lineRule="auto"/>
        <w:ind w:right="855"/>
        <w:jc w:val="left"/>
        <w:rPr>
          <w:b w:val="0"/>
          <w:bCs w:val="0"/>
        </w:rPr>
      </w:pPr>
      <w:r>
        <w:rPr/>
        <w:t>五、报告期内独立董事履行职责的情况</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855"/>
        <w:jc w:val="left"/>
        <w:rPr>
          <w:b w:val="0"/>
          <w:bCs w:val="0"/>
        </w:rPr>
      </w:pP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12"/>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426"/>
        <w:gridCol w:w="1167"/>
        <w:gridCol w:w="1162"/>
        <w:gridCol w:w="1167"/>
        <w:gridCol w:w="1162"/>
        <w:gridCol w:w="1162"/>
        <w:gridCol w:w="1162"/>
        <w:gridCol w:w="1167"/>
      </w:tblGrid>
      <w:tr>
        <w:trPr>
          <w:trHeight w:val="401" w:hRule="exact"/>
        </w:trPr>
        <w:tc>
          <w:tcPr>
            <w:tcW w:w="9575"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pacing w:val="-3"/>
                <w:sz w:val="18"/>
                <w:szCs w:val="18"/>
              </w:rPr>
              <w:t>独立董事出席董事会及股东大会的情况</w:t>
            </w:r>
          </w:p>
        </w:tc>
      </w:tr>
      <w:tr>
        <w:trPr>
          <w:trHeight w:val="1025"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2"/>
              <w:ind w:left="168"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312" w:lineRule="auto"/>
              <w:ind w:left="38" w:right="31"/>
              <w:jc w:val="left"/>
              <w:rPr>
                <w:rFonts w:ascii="宋体" w:hAnsi="宋体" w:cs="宋体" w:eastAsia="宋体" w:hint="default"/>
                <w:sz w:val="18"/>
                <w:szCs w:val="18"/>
              </w:rPr>
            </w:pPr>
            <w:r>
              <w:rPr>
                <w:rFonts w:ascii="宋体" w:hAnsi="宋体" w:cs="宋体" w:eastAsia="宋体" w:hint="default"/>
                <w:spacing w:val="-2"/>
                <w:sz w:val="18"/>
                <w:szCs w:val="18"/>
              </w:rPr>
              <w:t>本报告期应参</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加董事会次数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312" w:lineRule="auto"/>
              <w:ind w:left="307" w:right="27" w:hanging="270"/>
              <w:jc w:val="left"/>
              <w:rPr>
                <w:rFonts w:ascii="宋体" w:hAnsi="宋体" w:cs="宋体" w:eastAsia="宋体" w:hint="default"/>
                <w:sz w:val="18"/>
                <w:szCs w:val="18"/>
              </w:rPr>
            </w:pPr>
            <w:r>
              <w:rPr>
                <w:rFonts w:ascii="宋体" w:hAnsi="宋体" w:cs="宋体" w:eastAsia="宋体" w:hint="default"/>
                <w:spacing w:val="-2"/>
                <w:sz w:val="18"/>
                <w:szCs w:val="18"/>
              </w:rPr>
              <w:t>现场出席董事</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会次数</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312" w:lineRule="auto"/>
              <w:ind w:left="38" w:right="31"/>
              <w:jc w:val="left"/>
              <w:rPr>
                <w:rFonts w:ascii="宋体" w:hAnsi="宋体" w:cs="宋体" w:eastAsia="宋体" w:hint="default"/>
                <w:sz w:val="18"/>
                <w:szCs w:val="18"/>
              </w:rPr>
            </w:pPr>
            <w:r>
              <w:rPr>
                <w:rFonts w:ascii="宋体" w:hAnsi="宋体" w:cs="宋体" w:eastAsia="宋体" w:hint="default"/>
                <w:spacing w:val="-2"/>
                <w:sz w:val="18"/>
                <w:szCs w:val="18"/>
              </w:rPr>
              <w:t>以通讯方式参</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加董事会次数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312" w:lineRule="auto"/>
              <w:ind w:left="307" w:right="27" w:hanging="270"/>
              <w:jc w:val="left"/>
              <w:rPr>
                <w:rFonts w:ascii="宋体" w:hAnsi="宋体" w:cs="宋体" w:eastAsia="宋体" w:hint="default"/>
                <w:sz w:val="18"/>
                <w:szCs w:val="18"/>
              </w:rPr>
            </w:pPr>
            <w:r>
              <w:rPr>
                <w:rFonts w:ascii="宋体" w:hAnsi="宋体" w:cs="宋体" w:eastAsia="宋体" w:hint="default"/>
                <w:spacing w:val="-2"/>
                <w:sz w:val="18"/>
                <w:szCs w:val="18"/>
              </w:rPr>
              <w:t>委托出席董事</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312" w:lineRule="auto"/>
              <w:ind w:left="490" w:right="27" w:hanging="452"/>
              <w:jc w:val="left"/>
              <w:rPr>
                <w:rFonts w:ascii="宋体" w:hAnsi="宋体" w:cs="宋体" w:eastAsia="宋体" w:hint="default"/>
                <w:sz w:val="18"/>
                <w:szCs w:val="18"/>
              </w:rPr>
            </w:pPr>
            <w:r>
              <w:rPr>
                <w:rFonts w:ascii="宋体" w:hAnsi="宋体" w:cs="宋体" w:eastAsia="宋体" w:hint="default"/>
                <w:spacing w:val="-2"/>
                <w:sz w:val="18"/>
                <w:szCs w:val="18"/>
              </w:rPr>
              <w:t>缺席董事会次</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6"/>
              <w:ind w:left="38" w:right="27"/>
              <w:jc w:val="center"/>
              <w:rPr>
                <w:rFonts w:ascii="宋体" w:hAnsi="宋体" w:cs="宋体" w:eastAsia="宋体" w:hint="default"/>
                <w:sz w:val="18"/>
                <w:szCs w:val="18"/>
              </w:rPr>
            </w:pPr>
            <w:r>
              <w:rPr>
                <w:rFonts w:ascii="宋体" w:hAnsi="宋体" w:cs="宋体" w:eastAsia="宋体" w:hint="default"/>
                <w:spacing w:val="-2"/>
                <w:sz w:val="18"/>
                <w:szCs w:val="18"/>
              </w:rPr>
              <w:t>是否连续两次</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2"/>
                <w:sz w:val="18"/>
                <w:szCs w:val="18"/>
              </w:rPr>
              <w:t>未亲自参加董</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事会会议</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312" w:lineRule="auto"/>
              <w:ind w:left="403" w:right="27" w:hanging="361"/>
              <w:jc w:val="left"/>
              <w:rPr>
                <w:rFonts w:ascii="宋体" w:hAnsi="宋体" w:cs="宋体" w:eastAsia="宋体" w:hint="default"/>
                <w:sz w:val="18"/>
                <w:szCs w:val="18"/>
              </w:rPr>
            </w:pPr>
            <w:r>
              <w:rPr>
                <w:rFonts w:ascii="宋体" w:hAnsi="宋体" w:cs="宋体" w:eastAsia="宋体" w:hint="default"/>
                <w:spacing w:val="-2"/>
                <w:sz w:val="18"/>
                <w:szCs w:val="18"/>
              </w:rPr>
              <w:t>出席股东大会</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次数</w:t>
            </w:r>
          </w:p>
        </w:tc>
      </w:tr>
      <w:tr>
        <w:trPr>
          <w:trHeight w:val="403" w:hRule="exact"/>
        </w:trPr>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王海荣</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10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r>
      <w:tr>
        <w:trPr>
          <w:trHeight w:val="403" w:hRule="exact"/>
        </w:trPr>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周子学</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10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r>
      <w:tr>
        <w:trPr>
          <w:trHeight w:val="398" w:hRule="exact"/>
        </w:trPr>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李小军</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10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r>
      <w:tr>
        <w:trPr>
          <w:trHeight w:val="404" w:hRule="exact"/>
        </w:trPr>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王建新</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3"/>
              <w:jc w:val="righ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3"/>
              <w:jc w:val="righ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r>
    </w:tbl>
    <w:p>
      <w:pPr>
        <w:pStyle w:val="BodyText"/>
        <w:spacing w:line="357" w:lineRule="auto" w:before="53"/>
        <w:ind w:right="8070"/>
        <w:jc w:val="left"/>
      </w:pPr>
      <w:r>
        <w:rPr>
          <w:spacing w:val="-3"/>
        </w:rPr>
        <w:t>连续两次未亲自出席董事会的说明</w:t>
      </w:r>
      <w:r>
        <w:rPr>
          <w:spacing w:val="-44"/>
        </w:rPr>
        <w:t> </w:t>
      </w:r>
      <w:r>
        <w:rPr>
          <w:spacing w:val="-44"/>
        </w:rPr>
      </w:r>
      <w:r>
        <w:rPr/>
        <w:t>无</w:t>
      </w:r>
    </w:p>
    <w:p>
      <w:pPr>
        <w:spacing w:after="0" w:line="357" w:lineRule="auto"/>
        <w:jc w:val="left"/>
        <w:sectPr>
          <w:pgSz w:w="11910" w:h="16840"/>
          <w:pgMar w:header="746" w:footer="974" w:top="1060" w:bottom="1160" w:left="980" w:right="0"/>
        </w:sectPr>
      </w:pPr>
    </w:p>
    <w:p>
      <w:pPr>
        <w:spacing w:line="240" w:lineRule="auto" w:before="7"/>
        <w:rPr>
          <w:rFonts w:ascii="宋体" w:hAnsi="宋体" w:cs="宋体" w:eastAsia="宋体" w:hint="default"/>
          <w:sz w:val="24"/>
          <w:szCs w:val="24"/>
        </w:rPr>
      </w:pPr>
    </w:p>
    <w:p>
      <w:pPr>
        <w:pStyle w:val="Heading4"/>
        <w:spacing w:line="240" w:lineRule="auto" w:before="36"/>
        <w:ind w:right="855"/>
        <w:jc w:val="left"/>
        <w:rPr>
          <w:b w:val="0"/>
          <w:bCs w:val="0"/>
        </w:rPr>
      </w:pP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855"/>
        <w:jc w:val="left"/>
      </w:pPr>
      <w:r>
        <w:rPr>
          <w:spacing w:val="-3"/>
        </w:rPr>
        <w:t>独立董事对公司有关事项是否提出异议</w:t>
      </w:r>
    </w:p>
    <w:p>
      <w:pPr>
        <w:pStyle w:val="BodyText"/>
        <w:spacing w:line="338" w:lineRule="auto" w:before="115"/>
        <w:ind w:right="6680"/>
        <w:jc w:val="left"/>
      </w:pP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是</w:t>
      </w:r>
      <w:r>
        <w:rPr>
          <w:spacing w:val="-4"/>
        </w:rPr>
        <w:t>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否</w:t>
      </w:r>
      <w:r>
        <w:rPr>
          <w:spacing w:val="-84"/>
        </w:rPr>
        <w:t> </w:t>
      </w:r>
      <w:r>
        <w:rPr>
          <w:spacing w:val="-3"/>
        </w:rPr>
        <w:t>报告期内独立董事对公司有关事项未提出异议。</w:t>
      </w:r>
    </w:p>
    <w:p>
      <w:pPr>
        <w:spacing w:line="240" w:lineRule="auto" w:before="5"/>
        <w:rPr>
          <w:rFonts w:ascii="宋体" w:hAnsi="宋体" w:cs="宋体" w:eastAsia="宋体" w:hint="default"/>
          <w:sz w:val="21"/>
          <w:szCs w:val="21"/>
        </w:rPr>
      </w:pPr>
    </w:p>
    <w:p>
      <w:pPr>
        <w:pStyle w:val="Heading4"/>
        <w:spacing w:line="240" w:lineRule="auto"/>
        <w:ind w:right="855"/>
        <w:jc w:val="left"/>
        <w:rPr>
          <w:b w:val="0"/>
          <w:bCs w:val="0"/>
        </w:rPr>
      </w:pPr>
      <w:r>
        <w:rPr>
          <w:rFonts w:ascii="Times New Roman" w:hAnsi="Times New Roman" w:cs="Times New Roman" w:eastAsia="Times New Roman" w:hint="default"/>
        </w:rPr>
        <w:t>3</w:t>
      </w:r>
      <w:r>
        <w:rPr/>
        <w:t>、独立董事履行职责的其他说明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855"/>
        <w:jc w:val="left"/>
      </w:pPr>
      <w:r>
        <w:rPr>
          <w:spacing w:val="-3"/>
        </w:rPr>
        <w:t>独立董事对公司有关建议是否被采纳</w:t>
      </w:r>
    </w:p>
    <w:p>
      <w:pPr>
        <w:pStyle w:val="BodyText"/>
        <w:spacing w:line="338" w:lineRule="auto" w:before="115"/>
        <w:ind w:right="6110"/>
        <w:jc w:val="left"/>
      </w:pP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是</w:t>
      </w:r>
      <w:r>
        <w:rPr>
          <w:spacing w:val="-4"/>
        </w:rPr>
        <w:t>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否</w:t>
      </w:r>
      <w:r>
        <w:rPr>
          <w:spacing w:val="-83"/>
        </w:rPr>
        <w:t> </w:t>
      </w:r>
      <w:r>
        <w:rPr>
          <w:spacing w:val="-3"/>
        </w:rPr>
        <w:t>独立董事对公司有关建议被采纳或未被采纳的说明</w:t>
      </w:r>
    </w:p>
    <w:p>
      <w:pPr>
        <w:pStyle w:val="BodyText"/>
        <w:spacing w:line="314" w:lineRule="auto" w:before="46"/>
        <w:ind w:right="855" w:firstLine="360"/>
        <w:jc w:val="left"/>
      </w:pPr>
      <w:r>
        <w:rPr>
          <w:spacing w:val="-3"/>
        </w:rPr>
        <w:t>报告期内，公司独立董事严格按照《公司法》《证券法》《关于在上市公司建立独立董事的指导意见》等法律、法规、</w:t>
      </w:r>
      <w:r>
        <w:rPr>
          <w:w w:val="101"/>
        </w:rPr>
        <w:t> </w:t>
      </w:r>
      <w:r>
        <w:rPr>
          <w:spacing w:val="-6"/>
        </w:rPr>
        <w:t>规范性文件及《公司章程》等公司内部规章的有关规定和要求，本着认真、负责的态度，基于独立、专业的判断，诚实守信、</w:t>
      </w:r>
      <w:r>
        <w:rPr>
          <w:spacing w:val="63"/>
        </w:rPr>
        <w:t> </w:t>
      </w:r>
      <w:r>
        <w:rPr>
          <w:spacing w:val="63"/>
        </w:rPr>
      </w:r>
      <w:r>
        <w:rPr>
          <w:spacing w:val="-4"/>
        </w:rPr>
        <w:t>勤勉尽责地履行独立董事职责。公司独立董事积极参加股东大会、董事会等相关会议，及时了解公司生产经营信息，对公司</w:t>
      </w:r>
      <w:r>
        <w:rPr>
          <w:spacing w:val="43"/>
        </w:rPr>
        <w:t> </w:t>
      </w:r>
      <w:r>
        <w:rPr>
          <w:spacing w:val="43"/>
        </w:rPr>
      </w:r>
      <w:r>
        <w:rPr>
          <w:spacing w:val="-4"/>
        </w:rPr>
        <w:t>的重大事项进行了深入了解和研究，重点关注公司</w:t>
      </w:r>
      <w:r>
        <w:rPr>
          <w:rFonts w:ascii="Times New Roman" w:hAnsi="Times New Roman" w:cs="Times New Roman" w:eastAsia="Times New Roman" w:hint="default"/>
          <w:spacing w:val="-4"/>
        </w:rPr>
        <w:t>2019</w:t>
      </w:r>
      <w:r>
        <w:rPr>
          <w:spacing w:val="-4"/>
        </w:rPr>
        <w:t>年度非公开发行股票、关联交易、对外投资等重大事项。公司独立董</w:t>
      </w:r>
      <w:r>
        <w:rPr>
          <w:spacing w:val="49"/>
        </w:rPr>
        <w:t> </w:t>
      </w:r>
      <w:r>
        <w:rPr>
          <w:spacing w:val="49"/>
        </w:rPr>
      </w:r>
      <w:r>
        <w:rPr>
          <w:spacing w:val="-4"/>
        </w:rPr>
        <w:t>事还通过电话、微信和电子邮件等方式和公司其他董事、监事、高级管理人员和相关工作人员保持密切联系和沟通，及时了</w:t>
      </w:r>
      <w:r>
        <w:rPr>
          <w:spacing w:val="40"/>
        </w:rPr>
        <w:t> </w:t>
      </w:r>
      <w:r>
        <w:rPr>
          <w:spacing w:val="40"/>
        </w:rPr>
      </w:r>
      <w:r>
        <w:rPr>
          <w:spacing w:val="-3"/>
        </w:rPr>
        <w:t>解掌握公司经营与发展情况，获悉公司各重大事项的进展情况，利用自身在管理、财务等方面的专业知识，发挥专业特长，</w:t>
      </w:r>
      <w:r>
        <w:rPr>
          <w:spacing w:val="66"/>
        </w:rPr>
        <w:t> </w:t>
      </w:r>
      <w:r>
        <w:rPr>
          <w:spacing w:val="66"/>
        </w:rPr>
      </w:r>
      <w:r>
        <w:rPr>
          <w:spacing w:val="-4"/>
        </w:rPr>
        <w:t>对公司发展战略、投资并购、内控建设、薪酬体系完善等方面提出专业性意见和合理建议。同时，对报告期内公司</w:t>
      </w:r>
      <w:r>
        <w:rPr>
          <w:rFonts w:ascii="Times New Roman" w:hAnsi="Times New Roman" w:cs="Times New Roman" w:eastAsia="Times New Roman" w:hint="default"/>
          <w:spacing w:val="-4"/>
        </w:rPr>
        <w:t>2019</w:t>
      </w:r>
      <w:r>
        <w:rPr>
          <w:spacing w:val="-4"/>
        </w:rPr>
        <w:t>年度</w:t>
      </w:r>
      <w:r>
        <w:rPr>
          <w:spacing w:val="50"/>
        </w:rPr>
        <w:t> </w:t>
      </w:r>
      <w:r>
        <w:rPr>
          <w:spacing w:val="-3"/>
        </w:rPr>
        <w:t>非公开发行股票、内部控制评价、聘任财务审计机构、对外投资、关联交易等需要独立董事发表意见的事项，发表了独立、</w:t>
      </w:r>
      <w:r>
        <w:rPr>
          <w:spacing w:val="67"/>
        </w:rPr>
        <w:t> </w:t>
      </w:r>
      <w:r>
        <w:rPr>
          <w:spacing w:val="67"/>
        </w:rPr>
      </w:r>
      <w:r>
        <w:rPr>
          <w:spacing w:val="-3"/>
        </w:rPr>
        <w:t>客观、公正的意见，为公司规范运作及科学决策发挥了积极作用，切实维护了公司和股东尤其是中小股东的合法权益。</w:t>
      </w:r>
    </w:p>
    <w:p>
      <w:pPr>
        <w:pStyle w:val="BodyText"/>
        <w:spacing w:line="240" w:lineRule="auto" w:before="20"/>
        <w:ind w:left="513" w:right="855"/>
        <w:jc w:val="left"/>
      </w:pPr>
      <w:r>
        <w:rPr>
          <w:spacing w:val="-3"/>
        </w:rPr>
        <w:t>报告期内，公司独立董事对公司有关建议均被采纳，独立董事对公司本年度董事会各项议案及其他事项均表示同意。</w:t>
      </w:r>
    </w:p>
    <w:p>
      <w:pPr>
        <w:spacing w:line="240" w:lineRule="auto" w:before="1"/>
        <w:rPr>
          <w:rFonts w:ascii="宋体" w:hAnsi="宋体" w:cs="宋体" w:eastAsia="宋体" w:hint="default"/>
          <w:sz w:val="25"/>
          <w:szCs w:val="25"/>
        </w:rPr>
      </w:pPr>
    </w:p>
    <w:p>
      <w:pPr>
        <w:pStyle w:val="Heading2"/>
        <w:spacing w:line="240" w:lineRule="auto"/>
        <w:ind w:right="855"/>
        <w:jc w:val="left"/>
        <w:rPr>
          <w:b w:val="0"/>
          <w:bCs w:val="0"/>
        </w:rPr>
      </w:pPr>
      <w:r>
        <w:rPr/>
        <w:t>六、董事会下设专门委员会在报告期内履行职责情况</w:t>
      </w:r>
      <w:r>
        <w:rPr>
          <w:b w:val="0"/>
          <w:bCs w:val="0"/>
        </w:rPr>
      </w:r>
    </w:p>
    <w:p>
      <w:pPr>
        <w:spacing w:line="240" w:lineRule="auto" w:before="7"/>
        <w:rPr>
          <w:rFonts w:ascii="宋体" w:hAnsi="宋体" w:cs="宋体" w:eastAsia="宋体" w:hint="default"/>
          <w:b/>
          <w:bCs/>
          <w:sz w:val="26"/>
          <w:szCs w:val="26"/>
        </w:rPr>
      </w:pPr>
    </w:p>
    <w:p>
      <w:pPr>
        <w:pStyle w:val="BodyText"/>
        <w:spacing w:line="309" w:lineRule="auto"/>
        <w:ind w:right="1128" w:firstLine="360"/>
        <w:jc w:val="both"/>
      </w:pPr>
      <w:r>
        <w:rPr>
          <w:spacing w:val="-3"/>
        </w:rPr>
        <w:t>公司董事会下设战略委员会、审计委员会、薪酬与考核委员会、风险管理委员会、提名委员会</w:t>
      </w:r>
      <w:r>
        <w:rPr>
          <w:rFonts w:ascii="Times New Roman" w:hAnsi="Times New Roman" w:cs="Times New Roman" w:eastAsia="Times New Roman" w:hint="default"/>
          <w:spacing w:val="-3"/>
        </w:rPr>
        <w:t>5</w:t>
      </w:r>
      <w:r>
        <w:rPr>
          <w:spacing w:val="-3"/>
        </w:rPr>
        <w:t>个专门委员会。报告期</w:t>
      </w:r>
      <w:r>
        <w:rPr>
          <w:w w:val="101"/>
        </w:rPr>
        <w:t> </w:t>
      </w:r>
      <w:r>
        <w:rPr>
          <w:spacing w:val="-4"/>
        </w:rPr>
        <w:t>内，各专门委员会本着勤勉尽责的原则，按照有关法律法规、规范性文件及公司各专门委员会工作细则的有关规定开展相关</w:t>
      </w:r>
      <w:r>
        <w:rPr>
          <w:spacing w:val="39"/>
        </w:rPr>
        <w:t> </w:t>
      </w:r>
      <w:r>
        <w:rPr>
          <w:spacing w:val="39"/>
        </w:rPr>
      </w:r>
      <w:r>
        <w:rPr>
          <w:spacing w:val="-3"/>
        </w:rPr>
        <w:t>工作，为董事会的决策提供了科学、专业的意见。报告期内，各专门委员会履职情况如下：</w:t>
      </w:r>
    </w:p>
    <w:p>
      <w:pPr>
        <w:pStyle w:val="BodyText"/>
        <w:spacing w:line="240" w:lineRule="auto" w:before="24"/>
        <w:ind w:left="513" w:right="855"/>
        <w:jc w:val="left"/>
      </w:pPr>
      <w:r>
        <w:rPr>
          <w:rFonts w:ascii="Times New Roman" w:hAnsi="Times New Roman" w:cs="Times New Roman" w:eastAsia="Times New Roman" w:hint="default"/>
        </w:rPr>
        <w:t>1</w:t>
      </w:r>
      <w:r>
        <w:rPr/>
        <w:t>、审计委员会履职情况</w:t>
      </w:r>
    </w:p>
    <w:p>
      <w:pPr>
        <w:pStyle w:val="BodyText"/>
        <w:spacing w:line="240" w:lineRule="auto" w:before="63"/>
        <w:ind w:left="513" w:right="855"/>
        <w:jc w:val="left"/>
      </w:pP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1</w:t>
      </w:r>
      <w:r>
        <w:rPr>
          <w:spacing w:val="-3"/>
        </w:rPr>
        <w:t>月</w:t>
      </w:r>
      <w:r>
        <w:rPr>
          <w:rFonts w:ascii="Times New Roman" w:hAnsi="Times New Roman" w:cs="Times New Roman" w:eastAsia="Times New Roman" w:hint="default"/>
          <w:spacing w:val="-3"/>
        </w:rPr>
        <w:t>29</w:t>
      </w:r>
      <w:r>
        <w:rPr>
          <w:spacing w:val="-3"/>
        </w:rPr>
        <w:t>日，审计委员会成员听取公司年报审计会计师事务所中审众环会计师事务所（特殊普通合伙）对南天信息</w:t>
      </w:r>
    </w:p>
    <w:p>
      <w:pPr>
        <w:pStyle w:val="BodyText"/>
        <w:spacing w:line="240" w:lineRule="auto" w:before="63"/>
        <w:ind w:right="855"/>
        <w:jc w:val="left"/>
      </w:pPr>
      <w:r>
        <w:rPr>
          <w:rFonts w:ascii="Times New Roman" w:hAnsi="Times New Roman" w:cs="Times New Roman" w:eastAsia="Times New Roman" w:hint="default"/>
          <w:spacing w:val="-3"/>
        </w:rPr>
        <w:t>2018</w:t>
      </w:r>
      <w:r>
        <w:rPr>
          <w:spacing w:val="-3"/>
        </w:rPr>
        <w:t>年度财务报告的阶段性审计情况汇报。</w:t>
      </w:r>
    </w:p>
    <w:p>
      <w:pPr>
        <w:pStyle w:val="BodyText"/>
        <w:spacing w:line="300" w:lineRule="auto" w:before="63"/>
        <w:ind w:right="855" w:firstLine="360"/>
        <w:jc w:val="left"/>
      </w:pP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3</w:t>
      </w:r>
      <w:r>
        <w:rPr>
          <w:spacing w:val="-4"/>
        </w:rPr>
        <w:t>月</w:t>
      </w:r>
      <w:r>
        <w:rPr>
          <w:rFonts w:ascii="Times New Roman" w:hAnsi="Times New Roman" w:cs="Times New Roman" w:eastAsia="Times New Roman" w:hint="default"/>
          <w:spacing w:val="-4"/>
        </w:rPr>
        <w:t>1</w:t>
      </w:r>
      <w:r>
        <w:rPr>
          <w:spacing w:val="-4"/>
        </w:rPr>
        <w:t>日，召开董事会审计委员会</w:t>
      </w:r>
      <w:r>
        <w:rPr>
          <w:rFonts w:ascii="Times New Roman" w:hAnsi="Times New Roman" w:cs="Times New Roman" w:eastAsia="Times New Roman" w:hint="default"/>
          <w:spacing w:val="-4"/>
        </w:rPr>
        <w:t>2019</w:t>
      </w:r>
      <w:r>
        <w:rPr>
          <w:spacing w:val="-4"/>
        </w:rPr>
        <w:t>年第二次会议，会议审议同意《南天信息</w:t>
      </w:r>
      <w:r>
        <w:rPr>
          <w:rFonts w:ascii="Times New Roman" w:hAnsi="Times New Roman" w:cs="Times New Roman" w:eastAsia="Times New Roman" w:hint="default"/>
          <w:spacing w:val="-4"/>
        </w:rPr>
        <w:t>2018</w:t>
      </w:r>
      <w:r>
        <w:rPr>
          <w:spacing w:val="-4"/>
        </w:rPr>
        <w:t>年度财务报告》《中审众环会</w:t>
      </w:r>
      <w:r>
        <w:rPr>
          <w:w w:val="101"/>
        </w:rPr>
        <w:t> </w:t>
      </w:r>
      <w:r>
        <w:rPr>
          <w:spacing w:val="-3"/>
        </w:rPr>
        <w:t>计师事务所（特殊普通合伙）关于</w:t>
      </w:r>
      <w:r>
        <w:rPr>
          <w:rFonts w:ascii="Times New Roman" w:hAnsi="Times New Roman" w:cs="Times New Roman" w:eastAsia="Times New Roman" w:hint="default"/>
          <w:spacing w:val="-3"/>
        </w:rPr>
        <w:t>2018</w:t>
      </w:r>
      <w:r>
        <w:rPr>
          <w:spacing w:val="-3"/>
        </w:rPr>
        <w:t>年度南天信息审计工作的总结报告》《南天信息</w:t>
      </w:r>
      <w:r>
        <w:rPr>
          <w:rFonts w:ascii="Times New Roman" w:hAnsi="Times New Roman" w:cs="Times New Roman" w:eastAsia="Times New Roman" w:hint="default"/>
          <w:spacing w:val="-3"/>
        </w:rPr>
        <w:t>2019</w:t>
      </w:r>
      <w:r>
        <w:rPr>
          <w:spacing w:val="-3"/>
        </w:rPr>
        <w:t>年度内部审计工作计划》。</w:t>
      </w:r>
    </w:p>
    <w:p>
      <w:pPr>
        <w:pStyle w:val="BodyText"/>
        <w:spacing w:line="309" w:lineRule="auto" w:before="13"/>
        <w:ind w:right="1123" w:firstLine="360"/>
        <w:jc w:val="both"/>
      </w:pP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20</w:t>
      </w:r>
      <w:r>
        <w:rPr>
          <w:spacing w:val="-4"/>
        </w:rPr>
        <w:t>日，召开董事会审计委员会</w:t>
      </w:r>
      <w:r>
        <w:rPr>
          <w:rFonts w:ascii="Times New Roman" w:hAnsi="Times New Roman" w:cs="Times New Roman" w:eastAsia="Times New Roman" w:hint="default"/>
          <w:spacing w:val="-4"/>
        </w:rPr>
        <w:t>2019</w:t>
      </w:r>
      <w:r>
        <w:rPr>
          <w:spacing w:val="-4"/>
        </w:rPr>
        <w:t>年第三次会议，对信永中和会计师事务所（特殊普通合伙）的资质进行了</w:t>
      </w:r>
      <w:r>
        <w:rPr>
          <w:w w:val="101"/>
        </w:rPr>
        <w:t> </w:t>
      </w:r>
      <w:r>
        <w:rPr>
          <w:spacing w:val="-4"/>
        </w:rPr>
        <w:t>审查，认为其具有为公司提供审计服务的资质要求，具备多年为上市公司提供审计服务的经验与能力，同意将聘任会计师事</w:t>
      </w:r>
      <w:r>
        <w:rPr>
          <w:spacing w:val="43"/>
        </w:rPr>
        <w:t> </w:t>
      </w:r>
      <w:r>
        <w:rPr>
          <w:spacing w:val="43"/>
        </w:rPr>
      </w:r>
      <w:r>
        <w:rPr>
          <w:spacing w:val="-3"/>
        </w:rPr>
        <w:t>务所的议案提交公司董事会会议审议。</w:t>
      </w:r>
    </w:p>
    <w:p>
      <w:pPr>
        <w:pStyle w:val="BodyText"/>
        <w:spacing w:line="300" w:lineRule="auto" w:before="24"/>
        <w:ind w:left="513" w:right="1122"/>
        <w:jc w:val="left"/>
      </w:pPr>
      <w:r>
        <w:rPr>
          <w:rFonts w:ascii="Times New Roman" w:hAnsi="Times New Roman" w:cs="Times New Roman" w:eastAsia="Times New Roman" w:hint="default"/>
          <w:spacing w:val="-3"/>
        </w:rPr>
        <w:t>2</w:t>
      </w:r>
      <w:r>
        <w:rPr>
          <w:spacing w:val="-3"/>
        </w:rPr>
        <w:t>、薪酬与考核委员会履职情况</w:t>
      </w:r>
      <w:r>
        <w:rPr>
          <w:spacing w:val="-46"/>
        </w:rPr>
        <w:t> </w:t>
      </w:r>
      <w:r>
        <w:rPr>
          <w:spacing w:val="-46"/>
        </w:rPr>
      </w:r>
      <w:r>
        <w:rPr>
          <w:spacing w:val="-4"/>
          <w:w w:val="101"/>
        </w:rPr>
        <w:t>公司董事会薪酬与考核委员会授权公司董事长、总裁徐宏灿先生对公司内部董事及其他高级管理人员进行</w:t>
      </w:r>
      <w:r>
        <w:rPr>
          <w:rFonts w:ascii="Times New Roman" w:hAnsi="Times New Roman" w:cs="Times New Roman" w:eastAsia="Times New Roman" w:hint="default"/>
          <w:spacing w:val="-4"/>
          <w:w w:val="101"/>
        </w:rPr>
        <w:t>2018</w:t>
      </w:r>
      <w:r>
        <w:rPr>
          <w:spacing w:val="-4"/>
          <w:w w:val="101"/>
        </w:rPr>
        <w:t>年度绩效</w:t>
      </w:r>
      <w:r>
        <w:rPr>
          <w:spacing w:val="-4"/>
        </w:rPr>
      </w:r>
    </w:p>
    <w:p>
      <w:pPr>
        <w:pStyle w:val="BodyText"/>
        <w:spacing w:line="240" w:lineRule="auto" w:before="13"/>
        <w:ind w:right="855"/>
        <w:jc w:val="left"/>
      </w:pPr>
      <w:r>
        <w:rPr/>
        <w:t>考评。</w:t>
      </w:r>
    </w:p>
    <w:p>
      <w:pPr>
        <w:pStyle w:val="BodyText"/>
        <w:spacing w:line="240" w:lineRule="auto" w:before="76"/>
        <w:ind w:left="513" w:right="855"/>
        <w:jc w:val="left"/>
      </w:pP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2</w:t>
      </w:r>
      <w:r>
        <w:rPr>
          <w:spacing w:val="-3"/>
        </w:rPr>
        <w:t>月</w:t>
      </w:r>
      <w:r>
        <w:rPr>
          <w:rFonts w:ascii="Times New Roman" w:hAnsi="Times New Roman" w:cs="Times New Roman" w:eastAsia="Times New Roman" w:hint="default"/>
          <w:spacing w:val="-3"/>
        </w:rPr>
        <w:t>26</w:t>
      </w:r>
      <w:r>
        <w:rPr>
          <w:spacing w:val="-3"/>
        </w:rPr>
        <w:t>日，召开董事会薪酬与考核委员会</w:t>
      </w:r>
      <w:r>
        <w:rPr>
          <w:rFonts w:ascii="Times New Roman" w:hAnsi="Times New Roman" w:cs="Times New Roman" w:eastAsia="Times New Roman" w:hint="default"/>
          <w:spacing w:val="-3"/>
        </w:rPr>
        <w:t>2019</w:t>
      </w:r>
      <w:r>
        <w:rPr>
          <w:spacing w:val="-3"/>
        </w:rPr>
        <w:t>年第一次会议，会议审议同意《南天信息董事长、总裁徐宏灿先生</w:t>
      </w:r>
    </w:p>
    <w:p>
      <w:pPr>
        <w:pStyle w:val="BodyText"/>
        <w:spacing w:line="300" w:lineRule="auto" w:before="63"/>
        <w:ind w:right="855"/>
        <w:jc w:val="left"/>
      </w:pPr>
      <w:r>
        <w:rPr>
          <w:rFonts w:ascii="Times New Roman" w:hAnsi="Times New Roman" w:cs="Times New Roman" w:eastAsia="Times New Roman" w:hint="default"/>
          <w:spacing w:val="-4"/>
        </w:rPr>
        <w:t>2018</w:t>
      </w:r>
      <w:r>
        <w:rPr>
          <w:spacing w:val="-4"/>
        </w:rPr>
        <w:t>年度绩效合同》《南天信息董事</w:t>
      </w:r>
      <w:r>
        <w:rPr>
          <w:rFonts w:ascii="Times New Roman" w:hAnsi="Times New Roman" w:cs="Times New Roman" w:eastAsia="Times New Roman" w:hint="default"/>
          <w:spacing w:val="-4"/>
        </w:rPr>
        <w:t>2018</w:t>
      </w:r>
      <w:r>
        <w:rPr>
          <w:spacing w:val="-4"/>
        </w:rPr>
        <w:t>年度薪酬分配方案及</w:t>
      </w:r>
      <w:r>
        <w:rPr>
          <w:rFonts w:ascii="Times New Roman" w:hAnsi="Times New Roman" w:cs="Times New Roman" w:eastAsia="Times New Roman" w:hint="default"/>
          <w:spacing w:val="-4"/>
        </w:rPr>
        <w:t>2019</w:t>
      </w:r>
      <w:r>
        <w:rPr>
          <w:spacing w:val="-4"/>
        </w:rPr>
        <w:t>年薪酬计划》《南天信息高级管理人员</w:t>
      </w:r>
      <w:r>
        <w:rPr>
          <w:rFonts w:ascii="Times New Roman" w:hAnsi="Times New Roman" w:cs="Times New Roman" w:eastAsia="Times New Roman" w:hint="default"/>
          <w:spacing w:val="-4"/>
        </w:rPr>
        <w:t>2018</w:t>
      </w:r>
      <w:r>
        <w:rPr>
          <w:spacing w:val="-4"/>
        </w:rPr>
        <w:t>年度薪酬分配</w:t>
      </w:r>
      <w:r>
        <w:rPr>
          <w:spacing w:val="74"/>
        </w:rPr>
        <w:t> </w:t>
      </w:r>
      <w:r>
        <w:rPr>
          <w:spacing w:val="74"/>
        </w:rPr>
      </w:r>
      <w:r>
        <w:rPr/>
        <w:t>方案及</w:t>
      </w:r>
      <w:r>
        <w:rPr>
          <w:rFonts w:ascii="Times New Roman" w:hAnsi="Times New Roman" w:cs="Times New Roman" w:eastAsia="Times New Roman" w:hint="default"/>
        </w:rPr>
        <w:t>2019</w:t>
      </w:r>
      <w:r>
        <w:rPr/>
        <w:t>年薪酬计划》。</w:t>
      </w:r>
    </w:p>
    <w:p>
      <w:pPr>
        <w:pStyle w:val="BodyText"/>
        <w:spacing w:line="240" w:lineRule="auto" w:before="13"/>
        <w:ind w:left="513" w:right="855"/>
        <w:jc w:val="left"/>
      </w:pPr>
      <w:r>
        <w:rPr>
          <w:rFonts w:ascii="Times New Roman" w:hAnsi="Times New Roman" w:cs="Times New Roman" w:eastAsia="Times New Roman" w:hint="default"/>
        </w:rPr>
        <w:t>3</w:t>
      </w:r>
      <w:r>
        <w:rPr/>
        <w:t>、风险管理委员会履职情况</w:t>
      </w:r>
    </w:p>
    <w:p>
      <w:pPr>
        <w:pStyle w:val="BodyText"/>
        <w:spacing w:line="300" w:lineRule="auto" w:before="62"/>
        <w:ind w:right="855" w:firstLine="360"/>
        <w:jc w:val="left"/>
      </w:pP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2</w:t>
      </w:r>
      <w:r>
        <w:rPr>
          <w:spacing w:val="-3"/>
        </w:rPr>
        <w:t>月</w:t>
      </w:r>
      <w:r>
        <w:rPr>
          <w:rFonts w:ascii="Times New Roman" w:hAnsi="Times New Roman" w:cs="Times New Roman" w:eastAsia="Times New Roman" w:hint="default"/>
          <w:spacing w:val="-3"/>
        </w:rPr>
        <w:t>26</w:t>
      </w:r>
      <w:r>
        <w:rPr>
          <w:spacing w:val="-3"/>
        </w:rPr>
        <w:t>日，召开董事会风险管理委员会</w:t>
      </w:r>
      <w:r>
        <w:rPr>
          <w:rFonts w:ascii="Times New Roman" w:hAnsi="Times New Roman" w:cs="Times New Roman" w:eastAsia="Times New Roman" w:hint="default"/>
          <w:spacing w:val="-3"/>
        </w:rPr>
        <w:t>2019</w:t>
      </w:r>
      <w:r>
        <w:rPr>
          <w:spacing w:val="-3"/>
        </w:rPr>
        <w:t>年第一次会议，对《南天信息</w:t>
      </w:r>
      <w:r>
        <w:rPr>
          <w:rFonts w:ascii="Times New Roman" w:hAnsi="Times New Roman" w:cs="Times New Roman" w:eastAsia="Times New Roman" w:hint="default"/>
          <w:spacing w:val="-3"/>
        </w:rPr>
        <w:t>2018</w:t>
      </w:r>
      <w:r>
        <w:rPr>
          <w:spacing w:val="-3"/>
        </w:rPr>
        <w:t>年度内部控制评价报告》进行了审</w:t>
      </w:r>
      <w:r>
        <w:rPr>
          <w:w w:val="101"/>
        </w:rPr>
        <w:t> </w:t>
      </w:r>
      <w:r>
        <w:rPr>
          <w:spacing w:val="-3"/>
        </w:rPr>
        <w:t>阅，并出具无异议意见。</w:t>
      </w:r>
    </w:p>
    <w:p>
      <w:pPr>
        <w:spacing w:after="0" w:line="300" w:lineRule="auto"/>
        <w:jc w:val="left"/>
        <w:sectPr>
          <w:pgSz w:w="11910" w:h="16840"/>
          <w:pgMar w:header="746" w:footer="974" w:top="1060" w:bottom="1160" w:left="980" w:right="0"/>
        </w:sectPr>
      </w:pPr>
    </w:p>
    <w:p>
      <w:pPr>
        <w:spacing w:line="240" w:lineRule="auto" w:before="10"/>
        <w:rPr>
          <w:rFonts w:ascii="宋体" w:hAnsi="宋体" w:cs="宋体" w:eastAsia="宋体" w:hint="default"/>
          <w:sz w:val="23"/>
          <w:szCs w:val="23"/>
        </w:rPr>
      </w:pPr>
    </w:p>
    <w:p>
      <w:pPr>
        <w:pStyle w:val="Heading2"/>
        <w:spacing w:line="240" w:lineRule="auto" w:before="26"/>
        <w:ind w:right="855"/>
        <w:jc w:val="left"/>
        <w:rPr>
          <w:b w:val="0"/>
          <w:bCs w:val="0"/>
        </w:rPr>
      </w:pPr>
      <w:r>
        <w:rPr/>
        <w:t>七、监事会工作情况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855"/>
        <w:jc w:val="left"/>
      </w:pPr>
      <w:r>
        <w:rPr>
          <w:spacing w:val="-3"/>
        </w:rPr>
        <w:t>监事会在报告期内的监督活动中发现公司是否存在风险</w:t>
      </w:r>
    </w:p>
    <w:p>
      <w:pPr>
        <w:pStyle w:val="BodyText"/>
        <w:spacing w:line="338" w:lineRule="auto" w:before="115"/>
        <w:ind w:right="7349"/>
        <w:jc w:val="left"/>
      </w:pP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是</w:t>
      </w:r>
      <w:r>
        <w:rPr>
          <w:spacing w:val="-4"/>
        </w:rPr>
        <w:t>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否</w:t>
      </w:r>
      <w:r>
        <w:rPr>
          <w:spacing w:val="-84"/>
        </w:rPr>
        <w:t> </w:t>
      </w:r>
      <w:r>
        <w:rPr>
          <w:spacing w:val="-3"/>
        </w:rPr>
        <w:t>监事会对报告期内的监督事项无异议。</w:t>
      </w:r>
    </w:p>
    <w:p>
      <w:pPr>
        <w:spacing w:line="240" w:lineRule="auto" w:before="10"/>
        <w:rPr>
          <w:rFonts w:ascii="宋体" w:hAnsi="宋体" w:cs="宋体" w:eastAsia="宋体" w:hint="default"/>
          <w:sz w:val="19"/>
          <w:szCs w:val="19"/>
        </w:rPr>
      </w:pPr>
    </w:p>
    <w:p>
      <w:pPr>
        <w:pStyle w:val="Heading2"/>
        <w:spacing w:line="240" w:lineRule="auto"/>
        <w:ind w:right="855"/>
        <w:jc w:val="left"/>
        <w:rPr>
          <w:b w:val="0"/>
          <w:bCs w:val="0"/>
        </w:rPr>
      </w:pPr>
      <w:r>
        <w:rPr/>
        <w:t>八、高级管理人员的考评及激励情况</w:t>
      </w:r>
      <w:r>
        <w:rPr>
          <w:b w:val="0"/>
          <w:bCs w:val="0"/>
        </w:rPr>
      </w:r>
    </w:p>
    <w:p>
      <w:pPr>
        <w:spacing w:line="240" w:lineRule="auto" w:before="7"/>
        <w:rPr>
          <w:rFonts w:ascii="宋体" w:hAnsi="宋体" w:cs="宋体" w:eastAsia="宋体" w:hint="default"/>
          <w:b/>
          <w:bCs/>
          <w:sz w:val="26"/>
          <w:szCs w:val="26"/>
        </w:rPr>
      </w:pPr>
    </w:p>
    <w:p>
      <w:pPr>
        <w:pStyle w:val="BodyText"/>
        <w:spacing w:line="314" w:lineRule="auto"/>
        <w:ind w:right="1121" w:firstLine="360"/>
        <w:jc w:val="both"/>
      </w:pPr>
      <w:r>
        <w:rPr>
          <w:spacing w:val="-4"/>
        </w:rPr>
        <w:t>公司建立了公正、合理、有效的高级管理人员绩效考核评价体系，公司董事会根据公司</w:t>
      </w:r>
      <w:r>
        <w:rPr>
          <w:rFonts w:ascii="Times New Roman" w:hAnsi="Times New Roman" w:cs="Times New Roman" w:eastAsia="Times New Roman" w:hint="default"/>
          <w:spacing w:val="-4"/>
        </w:rPr>
        <w:t>2019</w:t>
      </w:r>
      <w:r>
        <w:rPr>
          <w:spacing w:val="-4"/>
        </w:rPr>
        <w:t>年度经营指标和经营目标完</w:t>
      </w:r>
      <w:r>
        <w:rPr>
          <w:w w:val="101"/>
        </w:rPr>
        <w:t> </w:t>
      </w:r>
      <w:r>
        <w:rPr>
          <w:spacing w:val="-4"/>
        </w:rPr>
        <w:t>成情况，结合高级管理人员分管工作范围及主要职责，对公司高级管理人员的工作能力、履职情况、责任目标完成情况进行</w:t>
      </w:r>
      <w:r>
        <w:rPr>
          <w:spacing w:val="40"/>
        </w:rPr>
        <w:t> </w:t>
      </w:r>
      <w:r>
        <w:rPr>
          <w:spacing w:val="40"/>
        </w:rPr>
      </w:r>
      <w:r>
        <w:rPr>
          <w:spacing w:val="-4"/>
        </w:rPr>
        <w:t>绩效考核。董事会下设薪酬与考核委员会，薪酬委以《南天信息董事、监事及高级管理人员薪酬管理办法》为考核规范，根</w:t>
      </w:r>
      <w:r>
        <w:rPr>
          <w:spacing w:val="40"/>
        </w:rPr>
        <w:t> </w:t>
      </w:r>
      <w:r>
        <w:rPr>
          <w:spacing w:val="40"/>
        </w:rPr>
      </w:r>
      <w:r>
        <w:rPr>
          <w:spacing w:val="-4"/>
          <w:w w:val="101"/>
        </w:rPr>
        <w:t>据公司年度财务报告的各项考核指标和年度经营计划目标，对公司高级管理人员及其所负责的单位进行经营业绩和管理指标</w:t>
      </w:r>
      <w:r>
        <w:rPr>
          <w:w w:val="101"/>
        </w:rPr>
        <w:t> </w:t>
      </w:r>
      <w:r>
        <w:rPr>
          <w:spacing w:val="-4"/>
        </w:rPr>
        <w:t>的考核，以此作为奖惩依据。公司将按照市场化原则进一步完善高级管理人员的激励和约束机制，以充分调动和激发高级管</w:t>
      </w:r>
      <w:r>
        <w:rPr>
          <w:spacing w:val="45"/>
        </w:rPr>
        <w:t> </w:t>
      </w:r>
      <w:r>
        <w:rPr>
          <w:spacing w:val="45"/>
        </w:rPr>
      </w:r>
      <w:r>
        <w:rPr>
          <w:spacing w:val="-4"/>
        </w:rPr>
        <w:t>理人员的积极性和创造力，确保公司各项业务的顺利开展，提升公司法人治理水平，实现股东利益和公司利益最大化，促进</w:t>
      </w:r>
      <w:r>
        <w:rPr>
          <w:spacing w:val="40"/>
        </w:rPr>
        <w:t> </w:t>
      </w:r>
      <w:r>
        <w:rPr>
          <w:spacing w:val="40"/>
        </w:rPr>
      </w:r>
      <w:r>
        <w:rPr>
          <w:spacing w:val="-3"/>
        </w:rPr>
        <w:t>公司长期、稳定、健康发展。</w:t>
      </w:r>
    </w:p>
    <w:p>
      <w:pPr>
        <w:spacing w:line="240" w:lineRule="auto" w:before="10"/>
        <w:rPr>
          <w:rFonts w:ascii="宋体" w:hAnsi="宋体" w:cs="宋体" w:eastAsia="宋体" w:hint="default"/>
          <w:sz w:val="20"/>
          <w:szCs w:val="20"/>
        </w:rPr>
      </w:pPr>
    </w:p>
    <w:p>
      <w:pPr>
        <w:pStyle w:val="Heading2"/>
        <w:spacing w:line="240" w:lineRule="auto"/>
        <w:ind w:right="855"/>
        <w:jc w:val="left"/>
        <w:rPr>
          <w:b w:val="0"/>
          <w:bCs w:val="0"/>
        </w:rPr>
      </w:pPr>
      <w:r>
        <w:rPr/>
        <w:t>九、内部控制情况</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855"/>
        <w:jc w:val="left"/>
        <w:rPr>
          <w:b w:val="0"/>
          <w:bCs w:val="0"/>
        </w:rPr>
      </w:pP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855"/>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8"/>
        <w:rPr>
          <w:rFonts w:ascii="宋体" w:hAnsi="宋体" w:cs="宋体" w:eastAsia="宋体" w:hint="default"/>
          <w:sz w:val="25"/>
          <w:szCs w:val="25"/>
        </w:rPr>
      </w:pPr>
    </w:p>
    <w:p>
      <w:pPr>
        <w:pStyle w:val="Heading4"/>
        <w:spacing w:line="240" w:lineRule="auto"/>
        <w:ind w:right="855"/>
        <w:jc w:val="left"/>
        <w:rPr>
          <w:b w:val="0"/>
          <w:bCs w:val="0"/>
        </w:rPr>
      </w:pPr>
      <w:r>
        <w:rPr>
          <w:rFonts w:ascii="Times New Roman" w:hAnsi="Times New Roman" w:cs="Times New Roman" w:eastAsia="Times New Roman" w:hint="default"/>
        </w:rPr>
        <w:t>2</w:t>
      </w:r>
      <w:r>
        <w:rPr/>
        <w:t>、内控自我评价报告</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4"/>
          <w:szCs w:val="14"/>
        </w:rPr>
      </w:pPr>
    </w:p>
    <w:p>
      <w:pPr>
        <w:pStyle w:val="BodyText"/>
        <w:spacing w:line="240" w:lineRule="auto"/>
        <w:ind w:left="0" w:right="1131"/>
        <w:jc w:val="right"/>
      </w:pPr>
      <w:r>
        <w:rPr/>
        <w:pict>
          <v:shape style="position:absolute;margin-left:56.424pt;margin-top:-201.718262pt;width:479.25pt;height:310.9pt;mso-position-horizontal-relative:page;mso-position-vertical-relative:paragraph;z-index:18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689"/>
                    <w:gridCol w:w="2699"/>
                    <w:gridCol w:w="4182"/>
                  </w:tblGrid>
                  <w:tr>
                    <w:trPr>
                      <w:trHeight w:val="404" w:hRule="exact"/>
                    </w:trPr>
                    <w:tc>
                      <w:tcPr>
                        <w:tcW w:w="26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内部控制评价报告全文披露日期</w:t>
                        </w:r>
                      </w:p>
                    </w:tc>
                    <w:tc>
                      <w:tcPr>
                        <w:tcW w:w="6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r>
                  <w:tr>
                    <w:trPr>
                      <w:trHeight w:val="403" w:hRule="exact"/>
                    </w:trPr>
                    <w:tc>
                      <w:tcPr>
                        <w:tcW w:w="26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内部控制评价报告全文披露索引</w:t>
                        </w:r>
                      </w:p>
                    </w:tc>
                    <w:tc>
                      <w:tcPr>
                        <w:tcW w:w="6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详见巨潮资讯网（</w:t>
                        </w:r>
                        <w:r>
                          <w:rPr>
                            <w:rFonts w:ascii="Times New Roman" w:hAnsi="Times New Roman" w:cs="Times New Roman" w:eastAsia="Times New Roman" w:hint="default"/>
                            <w:sz w:val="18"/>
                            <w:szCs w:val="18"/>
                          </w:rPr>
                          <w:t>http://www.cninfo.com.cn)</w:t>
                        </w:r>
                      </w:p>
                    </w:tc>
                  </w:tr>
                  <w:tr>
                    <w:trPr>
                      <w:trHeight w:val="710" w:hRule="exact"/>
                    </w:trPr>
                    <w:tc>
                      <w:tcPr>
                        <w:tcW w:w="26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24" w:right="128"/>
                          <w:jc w:val="left"/>
                          <w:rPr>
                            <w:rFonts w:ascii="宋体" w:hAnsi="宋体" w:cs="宋体" w:eastAsia="宋体" w:hint="default"/>
                            <w:sz w:val="18"/>
                            <w:szCs w:val="18"/>
                          </w:rPr>
                        </w:pPr>
                        <w:r>
                          <w:rPr>
                            <w:rFonts w:ascii="宋体" w:hAnsi="宋体" w:cs="宋体" w:eastAsia="宋体" w:hint="default"/>
                            <w:spacing w:val="-3"/>
                            <w:sz w:val="18"/>
                            <w:szCs w:val="18"/>
                          </w:rPr>
                          <w:t>纳入评价范围单位资产总额占公</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3"/>
                            <w:sz w:val="18"/>
                            <w:szCs w:val="18"/>
                          </w:rPr>
                          <w:t>司合并财务报表资产总额的比例</w:t>
                        </w:r>
                      </w:p>
                    </w:tc>
                    <w:tc>
                      <w:tcPr>
                        <w:tcW w:w="6881" w:type="dxa"/>
                        <w:gridSpan w:val="2"/>
                        <w:tcBorders>
                          <w:top w:val="single" w:sz="4" w:space="0" w:color="000000"/>
                          <w:left w:val="single" w:sz="8"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90.59%</w:t>
                        </w:r>
                      </w:p>
                    </w:tc>
                  </w:tr>
                  <w:tr>
                    <w:trPr>
                      <w:trHeight w:val="716" w:hRule="exact"/>
                    </w:trPr>
                    <w:tc>
                      <w:tcPr>
                        <w:tcW w:w="26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4" w:right="127"/>
                          <w:jc w:val="left"/>
                          <w:rPr>
                            <w:rFonts w:ascii="宋体" w:hAnsi="宋体" w:cs="宋体" w:eastAsia="宋体" w:hint="default"/>
                            <w:sz w:val="18"/>
                            <w:szCs w:val="18"/>
                          </w:rPr>
                        </w:pPr>
                        <w:r>
                          <w:rPr>
                            <w:rFonts w:ascii="宋体" w:hAnsi="宋体" w:cs="宋体" w:eastAsia="宋体" w:hint="default"/>
                            <w:spacing w:val="-3"/>
                            <w:sz w:val="18"/>
                            <w:szCs w:val="18"/>
                          </w:rPr>
                          <w:t>纳入评价范围单位营业收入占公</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3"/>
                            <w:sz w:val="18"/>
                            <w:szCs w:val="18"/>
                          </w:rPr>
                          <w:t>司合并财务报表营业收入的比例</w:t>
                        </w:r>
                      </w:p>
                    </w:tc>
                    <w:tc>
                      <w:tcPr>
                        <w:tcW w:w="6881" w:type="dxa"/>
                        <w:gridSpan w:val="2"/>
                        <w:tcBorders>
                          <w:top w:val="single" w:sz="4" w:space="0" w:color="000000"/>
                          <w:left w:val="single" w:sz="8"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97.43%</w:t>
                        </w:r>
                      </w:p>
                    </w:tc>
                  </w:tr>
                  <w:tr>
                    <w:trPr>
                      <w:trHeight w:val="398" w:hRule="exact"/>
                    </w:trPr>
                    <w:tc>
                      <w:tcPr>
                        <w:tcW w:w="957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8" w:hRule="exact"/>
                    </w:trPr>
                    <w:tc>
                      <w:tcPr>
                        <w:tcW w:w="26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26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41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1388" w:hRule="exact"/>
                    </w:trPr>
                    <w:tc>
                      <w:tcPr>
                        <w:tcW w:w="2689" w:type="dxa"/>
                        <w:tcBorders>
                          <w:top w:val="single" w:sz="4" w:space="0" w:color="000000"/>
                          <w:left w:val="single" w:sz="4" w:space="0" w:color="000000"/>
                          <w:bottom w:val="nil" w:sz="6" w:space="0" w:color="auto"/>
                          <w:right w:val="single" w:sz="4" w:space="0" w:color="000000"/>
                        </w:tcBorders>
                        <w:shd w:val="clear" w:color="auto" w:fill="D2D2D2"/>
                      </w:tcPr>
                      <w:p>
                        <w:pPr/>
                      </w:p>
                    </w:tc>
                    <w:tc>
                      <w:tcPr>
                        <w:tcW w:w="2699" w:type="dxa"/>
                        <w:vMerge w:val="restart"/>
                        <w:tcBorders>
                          <w:top w:val="single" w:sz="4" w:space="0" w:color="000000"/>
                          <w:left w:val="single" w:sz="4" w:space="0" w:color="000000"/>
                          <w:right w:val="single" w:sz="4" w:space="0" w:color="000000"/>
                        </w:tcBorders>
                      </w:tcPr>
                      <w:p>
                        <w:pPr>
                          <w:pStyle w:val="TableParagraph"/>
                          <w:spacing w:line="304" w:lineRule="auto" w:before="53"/>
                          <w:ind w:left="28" w:right="18"/>
                          <w:jc w:val="left"/>
                          <w:rPr>
                            <w:rFonts w:ascii="宋体" w:hAnsi="宋体" w:cs="宋体" w:eastAsia="宋体" w:hint="default"/>
                            <w:sz w:val="18"/>
                            <w:szCs w:val="18"/>
                          </w:rPr>
                        </w:pPr>
                        <w:r>
                          <w:rPr>
                            <w:rFonts w:ascii="宋体" w:hAnsi="宋体" w:cs="宋体" w:eastAsia="宋体" w:hint="default"/>
                            <w:spacing w:val="-3"/>
                            <w:sz w:val="18"/>
                            <w:szCs w:val="18"/>
                          </w:rPr>
                          <w:t>财务报告重大缺陷的迹象包括：</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Times New Roman" w:hAnsi="Times New Roman" w:cs="Times New Roman" w:eastAsia="Times New Roman" w:hint="default"/>
                            <w:sz w:val="18"/>
                            <w:szCs w:val="18"/>
                          </w:rPr>
                          <w:t>(1)</w:t>
                        </w:r>
                        <w:r>
                          <w:rPr>
                            <w:rFonts w:ascii="宋体" w:hAnsi="宋体" w:cs="宋体" w:eastAsia="宋体" w:hint="default"/>
                            <w:sz w:val="18"/>
                            <w:szCs w:val="18"/>
                          </w:rPr>
                          <w:t>董事、监事和高级管理人员舞</w:t>
                        </w:r>
                        <w:r>
                          <w:rPr>
                            <w:rFonts w:ascii="宋体" w:hAnsi="宋体" w:cs="宋体" w:eastAsia="宋体" w:hint="default"/>
                            <w:w w:val="101"/>
                            <w:sz w:val="18"/>
                            <w:szCs w:val="18"/>
                          </w:rPr>
                          <w:t> </w:t>
                        </w:r>
                        <w:r>
                          <w:rPr>
                            <w:rFonts w:ascii="宋体" w:hAnsi="宋体" w:cs="宋体" w:eastAsia="宋体" w:hint="default"/>
                            <w:sz w:val="18"/>
                            <w:szCs w:val="18"/>
                          </w:rPr>
                          <w:t>弊；</w:t>
                        </w:r>
                        <w:r>
                          <w:rPr>
                            <w:rFonts w:ascii="Times New Roman" w:hAnsi="Times New Roman" w:cs="Times New Roman" w:eastAsia="Times New Roman" w:hint="default"/>
                            <w:sz w:val="18"/>
                            <w:szCs w:val="18"/>
                          </w:rPr>
                          <w:t>(2)</w:t>
                        </w:r>
                        <w:r>
                          <w:rPr>
                            <w:rFonts w:ascii="宋体" w:hAnsi="宋体" w:cs="宋体" w:eastAsia="宋体" w:hint="default"/>
                            <w:sz w:val="18"/>
                            <w:szCs w:val="18"/>
                          </w:rPr>
                          <w:t>公司更正已公布的财务报</w:t>
                        </w:r>
                        <w:r>
                          <w:rPr>
                            <w:rFonts w:ascii="宋体" w:hAnsi="宋体" w:cs="宋体" w:eastAsia="宋体" w:hint="default"/>
                            <w:w w:val="101"/>
                            <w:sz w:val="18"/>
                            <w:szCs w:val="18"/>
                          </w:rPr>
                          <w:t> </w:t>
                        </w:r>
                        <w:r>
                          <w:rPr>
                            <w:rFonts w:ascii="宋体" w:hAnsi="宋体" w:cs="宋体" w:eastAsia="宋体" w:hint="default"/>
                            <w:sz w:val="18"/>
                            <w:szCs w:val="18"/>
                          </w:rPr>
                          <w:t>告；</w:t>
                        </w:r>
                        <w:r>
                          <w:rPr>
                            <w:rFonts w:ascii="Times New Roman" w:hAnsi="Times New Roman" w:cs="Times New Roman" w:eastAsia="Times New Roman" w:hint="default"/>
                            <w:sz w:val="18"/>
                            <w:szCs w:val="18"/>
                          </w:rPr>
                          <w:t>(3)</w:t>
                        </w:r>
                        <w:r>
                          <w:rPr>
                            <w:rFonts w:ascii="宋体" w:hAnsi="宋体" w:cs="宋体" w:eastAsia="宋体" w:hint="default"/>
                            <w:sz w:val="18"/>
                            <w:szCs w:val="18"/>
                          </w:rPr>
                          <w:t>注册会计师发现当期财务</w:t>
                        </w:r>
                        <w:r>
                          <w:rPr>
                            <w:rFonts w:ascii="宋体" w:hAnsi="宋体" w:cs="宋体" w:eastAsia="宋体" w:hint="default"/>
                            <w:w w:val="101"/>
                            <w:sz w:val="18"/>
                            <w:szCs w:val="18"/>
                          </w:rPr>
                          <w:t> </w:t>
                        </w:r>
                        <w:r>
                          <w:rPr>
                            <w:rFonts w:ascii="宋体" w:hAnsi="宋体" w:cs="宋体" w:eastAsia="宋体" w:hint="default"/>
                            <w:spacing w:val="-3"/>
                            <w:sz w:val="18"/>
                            <w:szCs w:val="18"/>
                          </w:rPr>
                          <w:t>报告存在重大错报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而内部控制在</w:t>
                        </w:r>
                        <w:r>
                          <w:rPr>
                            <w:rFonts w:ascii="宋体" w:hAnsi="宋体" w:cs="宋体" w:eastAsia="宋体" w:hint="default"/>
                            <w:spacing w:val="-43"/>
                            <w:sz w:val="18"/>
                            <w:szCs w:val="18"/>
                          </w:rPr>
                          <w:t> </w:t>
                        </w:r>
                        <w:r>
                          <w:rPr>
                            <w:rFonts w:ascii="宋体" w:hAnsi="宋体" w:cs="宋体" w:eastAsia="宋体" w:hint="default"/>
                            <w:spacing w:val="-43"/>
                            <w:sz w:val="18"/>
                            <w:szCs w:val="18"/>
                          </w:rPr>
                        </w:r>
                        <w:r>
                          <w:rPr>
                            <w:rFonts w:ascii="宋体" w:hAnsi="宋体" w:cs="宋体" w:eastAsia="宋体" w:hint="default"/>
                            <w:spacing w:val="-3"/>
                            <w:sz w:val="18"/>
                            <w:szCs w:val="18"/>
                          </w:rPr>
                          <w:t>运行过程中未能发现该错报；</w:t>
                        </w:r>
                        <w:r>
                          <w:rPr>
                            <w:rFonts w:ascii="Times New Roman" w:hAnsi="Times New Roman" w:cs="Times New Roman" w:eastAsia="Times New Roman" w:hint="default"/>
                            <w:spacing w:val="-3"/>
                            <w:sz w:val="18"/>
                            <w:szCs w:val="18"/>
                          </w:rPr>
                          <w:t>(4)</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pacing w:val="3"/>
                            <w:sz w:val="18"/>
                            <w:szCs w:val="18"/>
                          </w:rPr>
                        </w:r>
                        <w:r>
                          <w:rPr>
                            <w:rFonts w:ascii="宋体" w:hAnsi="宋体" w:cs="宋体" w:eastAsia="宋体" w:hint="default"/>
                            <w:spacing w:val="-3"/>
                            <w:sz w:val="18"/>
                            <w:szCs w:val="18"/>
                          </w:rPr>
                          <w:t>董事会及审计部对内部控制的监</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7"/>
                            <w:sz w:val="18"/>
                            <w:szCs w:val="18"/>
                          </w:rPr>
                          <w:t>督无效。财务报告重要缺陷的迹象</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pacing w:val="-3"/>
                            <w:sz w:val="18"/>
                            <w:szCs w:val="18"/>
                          </w:rPr>
                          <w:t>包括：</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未依照公认会计准则选</w:t>
                        </w:r>
                        <w:r>
                          <w:rPr>
                            <w:rFonts w:ascii="宋体" w:hAnsi="宋体" w:cs="宋体" w:eastAsia="宋体" w:hint="default"/>
                            <w:spacing w:val="-41"/>
                            <w:sz w:val="18"/>
                            <w:szCs w:val="18"/>
                          </w:rPr>
                          <w:t> </w:t>
                        </w:r>
                        <w:r>
                          <w:rPr>
                            <w:rFonts w:ascii="宋体" w:hAnsi="宋体" w:cs="宋体" w:eastAsia="宋体" w:hint="default"/>
                            <w:spacing w:val="-41"/>
                            <w:sz w:val="18"/>
                            <w:szCs w:val="18"/>
                          </w:rPr>
                        </w:r>
                        <w:r>
                          <w:rPr>
                            <w:rFonts w:ascii="宋体" w:hAnsi="宋体" w:cs="宋体" w:eastAsia="宋体" w:hint="default"/>
                            <w:spacing w:val="-7"/>
                            <w:sz w:val="18"/>
                            <w:szCs w:val="18"/>
                          </w:rPr>
                          <w:t>择和应用会计政策、未建立反舞弊</w:t>
                        </w:r>
                      </w:p>
                    </w:tc>
                    <w:tc>
                      <w:tcPr>
                        <w:tcW w:w="4182" w:type="dxa"/>
                        <w:vMerge w:val="restart"/>
                        <w:tcBorders>
                          <w:top w:val="single" w:sz="4" w:space="0" w:color="000000"/>
                          <w:left w:val="single" w:sz="4" w:space="0" w:color="000000"/>
                          <w:right w:val="single" w:sz="4" w:space="0" w:color="000000"/>
                        </w:tcBorders>
                      </w:tcPr>
                      <w:p>
                        <w:pPr>
                          <w:pStyle w:val="TableParagraph"/>
                          <w:spacing w:line="302" w:lineRule="auto" w:before="53"/>
                          <w:ind w:left="23" w:right="-24"/>
                          <w:jc w:val="left"/>
                          <w:rPr>
                            <w:rFonts w:ascii="宋体" w:hAnsi="宋体" w:cs="宋体" w:eastAsia="宋体" w:hint="default"/>
                            <w:sz w:val="18"/>
                            <w:szCs w:val="18"/>
                          </w:rPr>
                        </w:pPr>
                        <w:r>
                          <w:rPr>
                            <w:rFonts w:ascii="宋体" w:hAnsi="宋体" w:cs="宋体" w:eastAsia="宋体" w:hint="default"/>
                            <w:spacing w:val="-5"/>
                            <w:sz w:val="18"/>
                            <w:szCs w:val="18"/>
                          </w:rPr>
                          <w:t>非财务报告重大缺陷的迹象包括：</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缺乏长远发展战</w:t>
                        </w:r>
                        <w:r>
                          <w:rPr>
                            <w:rFonts w:ascii="宋体" w:hAnsi="宋体" w:cs="宋体" w:eastAsia="宋体" w:hint="default"/>
                            <w:spacing w:val="-11"/>
                            <w:sz w:val="18"/>
                            <w:szCs w:val="18"/>
                          </w:rPr>
                          <w:t> </w:t>
                        </w:r>
                        <w:r>
                          <w:rPr>
                            <w:rFonts w:ascii="宋体" w:hAnsi="宋体" w:cs="宋体" w:eastAsia="宋体" w:hint="default"/>
                            <w:spacing w:val="-11"/>
                            <w:sz w:val="18"/>
                            <w:szCs w:val="18"/>
                          </w:rPr>
                        </w:r>
                        <w:r>
                          <w:rPr>
                            <w:rFonts w:ascii="宋体" w:hAnsi="宋体" w:cs="宋体" w:eastAsia="宋体" w:hint="default"/>
                            <w:spacing w:val="-5"/>
                            <w:sz w:val="18"/>
                            <w:szCs w:val="18"/>
                          </w:rPr>
                          <w:t>略规划，没有切实可行的战略目标；</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公司决策程序</w:t>
                        </w:r>
                        <w:r>
                          <w:rPr>
                            <w:rFonts w:ascii="宋体" w:hAnsi="宋体" w:cs="宋体" w:eastAsia="宋体" w:hint="default"/>
                            <w:spacing w:val="-12"/>
                            <w:sz w:val="18"/>
                            <w:szCs w:val="18"/>
                          </w:rPr>
                          <w:t> </w:t>
                        </w:r>
                        <w:r>
                          <w:rPr>
                            <w:rFonts w:ascii="宋体" w:hAnsi="宋体" w:cs="宋体" w:eastAsia="宋体" w:hint="default"/>
                            <w:spacing w:val="-12"/>
                            <w:sz w:val="18"/>
                            <w:szCs w:val="18"/>
                          </w:rPr>
                        </w:r>
                        <w:r>
                          <w:rPr>
                            <w:rFonts w:ascii="宋体" w:hAnsi="宋体" w:cs="宋体" w:eastAsia="宋体" w:hint="default"/>
                            <w:spacing w:val="-4"/>
                            <w:sz w:val="18"/>
                            <w:szCs w:val="18"/>
                          </w:rPr>
                          <w:t>不科学</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未有效执行</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三重一大</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决策程序，导致决策失</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8"/>
                            <w:sz w:val="18"/>
                            <w:szCs w:val="18"/>
                          </w:rPr>
                          <w:t>误，造成损失；</w:t>
                        </w:r>
                        <w:r>
                          <w:rPr>
                            <w:rFonts w:ascii="Times New Roman" w:hAnsi="Times New Roman" w:cs="Times New Roman" w:eastAsia="Times New Roman" w:hint="default"/>
                            <w:spacing w:val="-8"/>
                            <w:sz w:val="18"/>
                            <w:szCs w:val="18"/>
                          </w:rPr>
                          <w:t>(3)</w:t>
                        </w:r>
                        <w:r>
                          <w:rPr>
                            <w:rFonts w:ascii="宋体" w:hAnsi="宋体" w:cs="宋体" w:eastAsia="宋体" w:hint="default"/>
                            <w:spacing w:val="-8"/>
                            <w:sz w:val="18"/>
                            <w:szCs w:val="18"/>
                          </w:rPr>
                          <w:t>违犯国家法律、法规，并受到处罚</w:t>
                        </w:r>
                        <w:r>
                          <w:rPr>
                            <w:rFonts w:ascii="宋体" w:hAnsi="宋体" w:cs="宋体" w:eastAsia="宋体" w:hint="default"/>
                            <w:spacing w:val="-29"/>
                            <w:sz w:val="18"/>
                            <w:szCs w:val="18"/>
                          </w:rPr>
                          <w:t> </w:t>
                        </w:r>
                        <w:r>
                          <w:rPr>
                            <w:rFonts w:ascii="宋体" w:hAnsi="宋体" w:cs="宋体" w:eastAsia="宋体" w:hint="default"/>
                            <w:spacing w:val="-29"/>
                            <w:sz w:val="18"/>
                            <w:szCs w:val="18"/>
                          </w:rPr>
                        </w:r>
                        <w:r>
                          <w:rPr>
                            <w:rFonts w:ascii="Times New Roman" w:hAnsi="Times New Roman" w:cs="Times New Roman" w:eastAsia="Times New Roman" w:hint="default"/>
                            <w:spacing w:val="-5"/>
                            <w:w w:val="101"/>
                            <w:sz w:val="18"/>
                            <w:szCs w:val="18"/>
                          </w:rPr>
                          <w:t>(4)</w:t>
                        </w:r>
                        <w:r>
                          <w:rPr>
                            <w:rFonts w:ascii="宋体" w:hAnsi="宋体" w:cs="宋体" w:eastAsia="宋体" w:hint="default"/>
                            <w:spacing w:val="-5"/>
                            <w:w w:val="101"/>
                            <w:sz w:val="18"/>
                            <w:szCs w:val="18"/>
                          </w:rPr>
                          <w:t>中高级管理人员和高级技术人员流失严重；</w:t>
                        </w:r>
                        <w:r>
                          <w:rPr>
                            <w:rFonts w:ascii="Times New Roman" w:hAnsi="Times New Roman" w:cs="Times New Roman" w:eastAsia="Times New Roman" w:hint="default"/>
                            <w:spacing w:val="-5"/>
                            <w:w w:val="101"/>
                            <w:sz w:val="18"/>
                            <w:szCs w:val="18"/>
                          </w:rPr>
                          <w:t>(5)</w:t>
                        </w:r>
                        <w:r>
                          <w:rPr>
                            <w:rFonts w:ascii="宋体" w:hAnsi="宋体" w:cs="宋体" w:eastAsia="宋体" w:hint="default"/>
                            <w:spacing w:val="-5"/>
                            <w:w w:val="101"/>
                            <w:sz w:val="18"/>
                            <w:szCs w:val="18"/>
                          </w:rPr>
                          <w:t>内部 </w:t>
                        </w:r>
                        <w:r>
                          <w:rPr>
                            <w:rFonts w:ascii="宋体" w:hAnsi="宋体" w:cs="宋体" w:eastAsia="宋体" w:hint="default"/>
                            <w:spacing w:val="-3"/>
                            <w:sz w:val="18"/>
                            <w:szCs w:val="18"/>
                          </w:rPr>
                          <w:t>控制评价的结果特别是重大或重要缺陷未得到整改；</w:t>
                        </w:r>
                        <w:r>
                          <w:rPr>
                            <w:rFonts w:ascii="宋体" w:hAnsi="宋体" w:cs="宋体" w:eastAsia="宋体" w:hint="default"/>
                            <w:spacing w:val="-21"/>
                            <w:sz w:val="18"/>
                            <w:szCs w:val="18"/>
                          </w:rPr>
                          <w:t> </w:t>
                        </w:r>
                        <w:r>
                          <w:rPr>
                            <w:rFonts w:ascii="宋体" w:hAnsi="宋体" w:cs="宋体" w:eastAsia="宋体" w:hint="default"/>
                            <w:spacing w:val="-21"/>
                            <w:sz w:val="18"/>
                            <w:szCs w:val="18"/>
                          </w:rPr>
                        </w:r>
                        <w:r>
                          <w:rPr>
                            <w:rFonts w:ascii="Times New Roman" w:hAnsi="Times New Roman" w:cs="Times New Roman" w:eastAsia="Times New Roman" w:hint="default"/>
                            <w:spacing w:val="-4"/>
                            <w:sz w:val="18"/>
                            <w:szCs w:val="18"/>
                          </w:rPr>
                          <w:t>(6)</w:t>
                        </w:r>
                        <w:r>
                          <w:rPr>
                            <w:rFonts w:ascii="宋体" w:hAnsi="宋体" w:cs="宋体" w:eastAsia="宋体" w:hint="default"/>
                            <w:spacing w:val="-4"/>
                            <w:sz w:val="18"/>
                            <w:szCs w:val="18"/>
                          </w:rPr>
                          <w:t>重要业务缺乏制度控制或制度系统性失效。非财务</w:t>
                        </w:r>
                        <w:r>
                          <w:rPr>
                            <w:rFonts w:ascii="宋体" w:hAnsi="宋体" w:cs="宋体" w:eastAsia="宋体" w:hint="default"/>
                            <w:spacing w:val="-35"/>
                            <w:sz w:val="18"/>
                            <w:szCs w:val="18"/>
                          </w:rPr>
                          <w:t> </w:t>
                        </w:r>
                        <w:r>
                          <w:rPr>
                            <w:rFonts w:ascii="宋体" w:hAnsi="宋体" w:cs="宋体" w:eastAsia="宋体" w:hint="default"/>
                            <w:spacing w:val="-35"/>
                            <w:sz w:val="18"/>
                            <w:szCs w:val="18"/>
                          </w:rPr>
                        </w:r>
                        <w:r>
                          <w:rPr>
                            <w:rFonts w:ascii="宋体" w:hAnsi="宋体" w:cs="宋体" w:eastAsia="宋体" w:hint="default"/>
                            <w:spacing w:val="-3"/>
                            <w:sz w:val="18"/>
                            <w:szCs w:val="18"/>
                          </w:rPr>
                          <w:t>报告重要缺陷的迹象包括：</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战略的制定较为简单、</w:t>
                        </w:r>
                        <w:r>
                          <w:rPr>
                            <w:rFonts w:ascii="宋体" w:hAnsi="宋体" w:cs="宋体" w:eastAsia="宋体" w:hint="default"/>
                            <w:spacing w:val="-17"/>
                            <w:sz w:val="18"/>
                            <w:szCs w:val="18"/>
                          </w:rPr>
                          <w:t> </w:t>
                        </w:r>
                        <w:r>
                          <w:rPr>
                            <w:rFonts w:ascii="宋体" w:hAnsi="宋体" w:cs="宋体" w:eastAsia="宋体" w:hint="default"/>
                            <w:spacing w:val="-17"/>
                            <w:sz w:val="18"/>
                            <w:szCs w:val="18"/>
                          </w:rPr>
                        </w:r>
                        <w:r>
                          <w:rPr>
                            <w:rFonts w:ascii="宋体" w:hAnsi="宋体" w:cs="宋体" w:eastAsia="宋体" w:hint="default"/>
                            <w:spacing w:val="-4"/>
                            <w:sz w:val="18"/>
                            <w:szCs w:val="18"/>
                          </w:rPr>
                          <w:t>粗略；制定的公司总体战略目标不明确；</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未有效执</w:t>
                        </w:r>
                        <w:r>
                          <w:rPr>
                            <w:rFonts w:ascii="宋体" w:hAnsi="宋体" w:cs="宋体" w:eastAsia="宋体" w:hint="default"/>
                            <w:spacing w:val="-35"/>
                            <w:sz w:val="18"/>
                            <w:szCs w:val="18"/>
                          </w:rPr>
                          <w:t> </w:t>
                        </w:r>
                        <w:r>
                          <w:rPr>
                            <w:rFonts w:ascii="宋体" w:hAnsi="宋体" w:cs="宋体" w:eastAsia="宋体" w:hint="default"/>
                            <w:spacing w:val="-35"/>
                            <w:sz w:val="18"/>
                            <w:szCs w:val="18"/>
                          </w:rPr>
                        </w:r>
                        <w:r>
                          <w:rPr>
                            <w:rFonts w:ascii="宋体" w:hAnsi="宋体" w:cs="宋体" w:eastAsia="宋体" w:hint="default"/>
                            <w:spacing w:val="-3"/>
                            <w:sz w:val="18"/>
                            <w:szCs w:val="18"/>
                          </w:rPr>
                          <w:t>行</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三重一大</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决策程序，导致决策失误，但尚未造成</w:t>
                        </w:r>
                      </w:p>
                    </w:tc>
                  </w:tr>
                  <w:tr>
                    <w:trPr>
                      <w:trHeight w:val="394" w:hRule="exact"/>
                    </w:trPr>
                    <w:tc>
                      <w:tcPr>
                        <w:tcW w:w="268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2699" w:type="dxa"/>
                        <w:vMerge/>
                        <w:tcBorders>
                          <w:left w:val="single" w:sz="4" w:space="0" w:color="000000"/>
                          <w:right w:val="single" w:sz="4" w:space="0" w:color="000000"/>
                        </w:tcBorders>
                      </w:tcPr>
                      <w:p>
                        <w:pPr/>
                      </w:p>
                    </w:tc>
                    <w:tc>
                      <w:tcPr>
                        <w:tcW w:w="4182" w:type="dxa"/>
                        <w:vMerge/>
                        <w:tcBorders>
                          <w:left w:val="single" w:sz="4" w:space="0" w:color="000000"/>
                          <w:right w:val="single" w:sz="4" w:space="0" w:color="000000"/>
                        </w:tcBorders>
                      </w:tcPr>
                      <w:p>
                        <w:pPr/>
                      </w:p>
                    </w:tc>
                  </w:tr>
                  <w:tr>
                    <w:trPr>
                      <w:trHeight w:val="1388" w:hRule="exact"/>
                    </w:trPr>
                    <w:tc>
                      <w:tcPr>
                        <w:tcW w:w="2689" w:type="dxa"/>
                        <w:tcBorders>
                          <w:top w:val="nil" w:sz="6" w:space="0" w:color="auto"/>
                          <w:left w:val="single" w:sz="4" w:space="0" w:color="000000"/>
                          <w:bottom w:val="single" w:sz="4" w:space="0" w:color="000000"/>
                          <w:right w:val="single" w:sz="4" w:space="0" w:color="000000"/>
                        </w:tcBorders>
                        <w:shd w:val="clear" w:color="auto" w:fill="D2D2D2"/>
                      </w:tcPr>
                      <w:p>
                        <w:pPr/>
                      </w:p>
                    </w:tc>
                    <w:tc>
                      <w:tcPr>
                        <w:tcW w:w="2699" w:type="dxa"/>
                        <w:vMerge/>
                        <w:tcBorders>
                          <w:left w:val="single" w:sz="4" w:space="0" w:color="000000"/>
                          <w:bottom w:val="single" w:sz="4" w:space="0" w:color="000000"/>
                          <w:right w:val="single" w:sz="4" w:space="0" w:color="000000"/>
                        </w:tcBorders>
                      </w:tcPr>
                      <w:p>
                        <w:pPr/>
                      </w:p>
                    </w:tc>
                    <w:tc>
                      <w:tcPr>
                        <w:tcW w:w="4182" w:type="dxa"/>
                        <w:vMerge/>
                        <w:tcBorders>
                          <w:left w:val="single" w:sz="4" w:space="0" w:color="000000"/>
                          <w:bottom w:val="single" w:sz="4" w:space="0" w:color="000000"/>
                          <w:right w:val="single" w:sz="4" w:space="0" w:color="000000"/>
                        </w:tcBorders>
                      </w:tcPr>
                      <w:p>
                        <w:pPr/>
                      </w:p>
                    </w:tc>
                  </w:tr>
                </w:tbl>
                <w:p>
                  <w:pPr/>
                </w:p>
              </w:txbxContent>
            </v:textbox>
            <w10:wrap type="none"/>
          </v:shape>
        </w:pict>
      </w:r>
      <w:r>
        <w:rPr>
          <w:w w:val="101"/>
        </w:rPr>
        <w:t>；</w:t>
      </w:r>
      <w:r>
        <w:rPr/>
      </w:r>
    </w:p>
    <w:p>
      <w:pPr>
        <w:spacing w:after="0" w:line="240" w:lineRule="auto"/>
        <w:jc w:val="right"/>
        <w:sectPr>
          <w:pgSz w:w="11910" w:h="16840"/>
          <w:pgMar w:header="746" w:footer="974"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3"/>
          <w:szCs w:val="23"/>
        </w:rPr>
      </w:pPr>
    </w:p>
    <w:p>
      <w:pPr>
        <w:pStyle w:val="BodyText"/>
        <w:spacing w:line="240" w:lineRule="auto" w:before="46"/>
        <w:ind w:left="0" w:right="1132"/>
        <w:jc w:val="right"/>
      </w:pPr>
      <w:r>
        <w:rPr/>
        <w:pict>
          <v:shape style="position:absolute;margin-left:56.424pt;margin-top:-206.148285pt;width:479.25pt;height:446.8pt;mso-position-horizontal-relative:page;mso-position-vertical-relative:paragraph;z-index:19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694"/>
                    <w:gridCol w:w="2694"/>
                    <w:gridCol w:w="4182"/>
                  </w:tblGrid>
                  <w:tr>
                    <w:trPr>
                      <w:trHeight w:val="3169"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
                          <w:ind w:left="23" w:right="18"/>
                          <w:jc w:val="left"/>
                          <w:rPr>
                            <w:rFonts w:ascii="宋体" w:hAnsi="宋体" w:cs="宋体" w:eastAsia="宋体" w:hint="default"/>
                            <w:sz w:val="18"/>
                            <w:szCs w:val="18"/>
                          </w:rPr>
                        </w:pPr>
                        <w:r>
                          <w:rPr>
                            <w:rFonts w:ascii="宋体" w:hAnsi="宋体" w:cs="宋体" w:eastAsia="宋体" w:hint="default"/>
                            <w:sz w:val="18"/>
                            <w:szCs w:val="18"/>
                          </w:rPr>
                          <w:t>程序和控制措施；</w:t>
                        </w:r>
                        <w:r>
                          <w:rPr>
                            <w:rFonts w:ascii="Times New Roman" w:hAnsi="Times New Roman" w:cs="Times New Roman" w:eastAsia="Times New Roman" w:hint="default"/>
                            <w:sz w:val="18"/>
                            <w:szCs w:val="18"/>
                          </w:rPr>
                          <w:t>(2)</w:t>
                        </w:r>
                        <w:r>
                          <w:rPr>
                            <w:rFonts w:ascii="宋体" w:hAnsi="宋体" w:cs="宋体" w:eastAsia="宋体" w:hint="default"/>
                            <w:sz w:val="18"/>
                            <w:szCs w:val="18"/>
                          </w:rPr>
                          <w:t>对于非常规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
                            <w:sz w:val="18"/>
                            <w:szCs w:val="18"/>
                          </w:rPr>
                          <w:t>或特殊交易的账务处理没有建立</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3"/>
                            <w:sz w:val="18"/>
                            <w:szCs w:val="18"/>
                          </w:rPr>
                          <w:t>相应的控制机制或没有实施且没</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有相应的补偿性控制；</w:t>
                        </w:r>
                        <w:r>
                          <w:rPr>
                            <w:rFonts w:ascii="Times New Roman" w:hAnsi="Times New Roman" w:cs="Times New Roman" w:eastAsia="Times New Roman" w:hint="default"/>
                            <w:sz w:val="18"/>
                            <w:szCs w:val="18"/>
                          </w:rPr>
                          <w:t>(3)</w:t>
                        </w:r>
                        <w:r>
                          <w:rPr>
                            <w:rFonts w:ascii="宋体" w:hAnsi="宋体" w:cs="宋体" w:eastAsia="宋体" w:hint="default"/>
                            <w:sz w:val="18"/>
                            <w:szCs w:val="18"/>
                          </w:rPr>
                          <w:t>对于期</w:t>
                        </w:r>
                        <w:r>
                          <w:rPr>
                            <w:rFonts w:ascii="宋体" w:hAnsi="宋体" w:cs="宋体" w:eastAsia="宋体" w:hint="default"/>
                            <w:w w:val="101"/>
                            <w:sz w:val="18"/>
                            <w:szCs w:val="18"/>
                          </w:rPr>
                          <w:t> </w:t>
                        </w:r>
                        <w:r>
                          <w:rPr>
                            <w:rFonts w:ascii="宋体" w:hAnsi="宋体" w:cs="宋体" w:eastAsia="宋体" w:hint="default"/>
                            <w:spacing w:val="-3"/>
                            <w:sz w:val="18"/>
                            <w:szCs w:val="18"/>
                          </w:rPr>
                          <w:t>末财务报告过程的控制存在一项</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3"/>
                            <w:sz w:val="18"/>
                            <w:szCs w:val="18"/>
                          </w:rPr>
                          <w:t>或多项缺陷且不能合理保证编制</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3"/>
                            <w:sz w:val="18"/>
                            <w:szCs w:val="18"/>
                          </w:rPr>
                          <w:t>的财务报表达到真实、准确的目</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3"/>
                            <w:sz w:val="18"/>
                            <w:szCs w:val="18"/>
                          </w:rPr>
                          <w:t>标。财务报告一般缺陷的迹象包</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7"/>
                            <w:sz w:val="18"/>
                            <w:szCs w:val="18"/>
                          </w:rPr>
                          <w:t>括：不构成重大缺陷或重要缺陷的</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pacing w:val="-3"/>
                            <w:sz w:val="18"/>
                            <w:szCs w:val="18"/>
                          </w:rPr>
                          <w:t>其他内部控制缺陷。</w:t>
                        </w:r>
                      </w:p>
                    </w:tc>
                    <w:tc>
                      <w:tcPr>
                        <w:tcW w:w="4182"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10"/>
                          <w:ind w:left="23" w:right="17"/>
                          <w:jc w:val="left"/>
                          <w:rPr>
                            <w:rFonts w:ascii="宋体" w:hAnsi="宋体" w:cs="宋体" w:eastAsia="宋体" w:hint="default"/>
                            <w:sz w:val="18"/>
                            <w:szCs w:val="18"/>
                          </w:rPr>
                        </w:pPr>
                        <w:r>
                          <w:rPr>
                            <w:rFonts w:ascii="宋体" w:hAnsi="宋体" w:cs="宋体" w:eastAsia="宋体" w:hint="default"/>
                            <w:sz w:val="18"/>
                            <w:szCs w:val="18"/>
                          </w:rPr>
                          <w:t>重大损失；</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违反企业内部规章，形成损失；</w:t>
                        </w: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关</w:t>
                        </w:r>
                        <w:r>
                          <w:rPr>
                            <w:rFonts w:ascii="宋体" w:hAnsi="宋体" w:cs="宋体" w:eastAsia="宋体" w:hint="default"/>
                            <w:spacing w:val="-74"/>
                            <w:sz w:val="18"/>
                            <w:szCs w:val="18"/>
                          </w:rPr>
                          <w:t> </w:t>
                        </w:r>
                        <w:r>
                          <w:rPr>
                            <w:rFonts w:ascii="宋体" w:hAnsi="宋体" w:cs="宋体" w:eastAsia="宋体" w:hint="default"/>
                            <w:spacing w:val="-5"/>
                            <w:sz w:val="18"/>
                            <w:szCs w:val="18"/>
                          </w:rPr>
                          <w:t>键岗位业务人员流失严重；</w:t>
                        </w:r>
                        <w:r>
                          <w:rPr>
                            <w:rFonts w:ascii="Times New Roman" w:hAnsi="Times New Roman" w:cs="Times New Roman" w:eastAsia="Times New Roman" w:hint="default"/>
                            <w:spacing w:val="-5"/>
                            <w:sz w:val="18"/>
                            <w:szCs w:val="18"/>
                          </w:rPr>
                          <w:t>(5)</w:t>
                        </w:r>
                        <w:r>
                          <w:rPr>
                            <w:rFonts w:ascii="宋体" w:hAnsi="宋体" w:cs="宋体" w:eastAsia="宋体" w:hint="default"/>
                            <w:spacing w:val="-5"/>
                            <w:sz w:val="18"/>
                            <w:szCs w:val="18"/>
                          </w:rPr>
                          <w:t>重要业务制度或系统存</w:t>
                        </w:r>
                        <w:r>
                          <w:rPr>
                            <w:rFonts w:ascii="宋体" w:hAnsi="宋体" w:cs="宋体" w:eastAsia="宋体" w:hint="default"/>
                            <w:spacing w:val="-11"/>
                            <w:sz w:val="18"/>
                            <w:szCs w:val="18"/>
                          </w:rPr>
                          <w:t> </w:t>
                        </w:r>
                        <w:r>
                          <w:rPr>
                            <w:rFonts w:ascii="宋体" w:hAnsi="宋体" w:cs="宋体" w:eastAsia="宋体" w:hint="default"/>
                            <w:spacing w:val="-11"/>
                            <w:sz w:val="18"/>
                            <w:szCs w:val="18"/>
                          </w:rPr>
                        </w:r>
                        <w:r>
                          <w:rPr>
                            <w:rFonts w:ascii="宋体" w:hAnsi="宋体" w:cs="宋体" w:eastAsia="宋体" w:hint="default"/>
                            <w:spacing w:val="-5"/>
                            <w:sz w:val="18"/>
                            <w:szCs w:val="18"/>
                          </w:rPr>
                          <w:t>在缺陷；</w:t>
                        </w:r>
                        <w:r>
                          <w:rPr>
                            <w:rFonts w:ascii="Times New Roman" w:hAnsi="Times New Roman" w:cs="Times New Roman" w:eastAsia="Times New Roman" w:hint="default"/>
                            <w:spacing w:val="-5"/>
                            <w:sz w:val="18"/>
                            <w:szCs w:val="18"/>
                          </w:rPr>
                          <w:t>(6)</w:t>
                        </w:r>
                        <w:r>
                          <w:rPr>
                            <w:rFonts w:ascii="宋体" w:hAnsi="宋体" w:cs="宋体" w:eastAsia="宋体" w:hint="default"/>
                            <w:spacing w:val="-5"/>
                            <w:sz w:val="18"/>
                            <w:szCs w:val="18"/>
                          </w:rPr>
                          <w:t>内部控制重要或一般缺陷未得到整改。非</w:t>
                        </w:r>
                        <w:r>
                          <w:rPr>
                            <w:rFonts w:ascii="宋体" w:hAnsi="宋体" w:cs="宋体" w:eastAsia="宋体" w:hint="default"/>
                            <w:spacing w:val="-11"/>
                            <w:sz w:val="18"/>
                            <w:szCs w:val="18"/>
                          </w:rPr>
                          <w:t> </w:t>
                        </w:r>
                        <w:r>
                          <w:rPr>
                            <w:rFonts w:ascii="宋体" w:hAnsi="宋体" w:cs="宋体" w:eastAsia="宋体" w:hint="default"/>
                            <w:spacing w:val="-11"/>
                            <w:sz w:val="18"/>
                            <w:szCs w:val="18"/>
                          </w:rPr>
                        </w:r>
                        <w:r>
                          <w:rPr>
                            <w:rFonts w:ascii="宋体" w:hAnsi="宋体" w:cs="宋体" w:eastAsia="宋体" w:hint="default"/>
                            <w:spacing w:val="-5"/>
                            <w:sz w:val="18"/>
                            <w:szCs w:val="18"/>
                          </w:rPr>
                          <w:t>财务报告一般缺陷的迹象包括：</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战略分析、战略制</w:t>
                        </w:r>
                        <w:r>
                          <w:rPr>
                            <w:rFonts w:ascii="宋体" w:hAnsi="宋体" w:cs="宋体" w:eastAsia="宋体" w:hint="default"/>
                            <w:spacing w:val="-11"/>
                            <w:sz w:val="18"/>
                            <w:szCs w:val="18"/>
                          </w:rPr>
                          <w:t> </w:t>
                        </w:r>
                        <w:r>
                          <w:rPr>
                            <w:rFonts w:ascii="宋体" w:hAnsi="宋体" w:cs="宋体" w:eastAsia="宋体" w:hint="default"/>
                            <w:spacing w:val="-11"/>
                            <w:sz w:val="18"/>
                            <w:szCs w:val="18"/>
                          </w:rPr>
                        </w:r>
                        <w:r>
                          <w:rPr>
                            <w:rFonts w:ascii="宋体" w:hAnsi="宋体" w:cs="宋体" w:eastAsia="宋体" w:hint="default"/>
                            <w:spacing w:val="-3"/>
                            <w:sz w:val="18"/>
                            <w:szCs w:val="18"/>
                          </w:rPr>
                          <w:t>定及战略实施方面存在其他的影响实现战略目标的</w:t>
                        </w:r>
                        <w:r>
                          <w:rPr>
                            <w:rFonts w:ascii="宋体" w:hAnsi="宋体" w:cs="宋体" w:eastAsia="宋体" w:hint="default"/>
                            <w:spacing w:val="-22"/>
                            <w:sz w:val="18"/>
                            <w:szCs w:val="18"/>
                          </w:rPr>
                          <w:t> </w:t>
                        </w:r>
                        <w:r>
                          <w:rPr>
                            <w:rFonts w:ascii="宋体" w:hAnsi="宋体" w:cs="宋体" w:eastAsia="宋体" w:hint="default"/>
                            <w:spacing w:val="-22"/>
                            <w:sz w:val="18"/>
                            <w:szCs w:val="18"/>
                          </w:rPr>
                        </w:r>
                        <w:r>
                          <w:rPr>
                            <w:rFonts w:ascii="宋体" w:hAnsi="宋体" w:cs="宋体" w:eastAsia="宋体" w:hint="default"/>
                            <w:sz w:val="18"/>
                            <w:szCs w:val="18"/>
                          </w:rPr>
                          <w:t>缺陷；</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决策程序不规范，决策效率较低；</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违反</w:t>
                        </w:r>
                        <w:r>
                          <w:rPr>
                            <w:rFonts w:ascii="宋体" w:hAnsi="宋体" w:cs="宋体" w:eastAsia="宋体" w:hint="default"/>
                            <w:spacing w:val="-72"/>
                            <w:sz w:val="18"/>
                            <w:szCs w:val="18"/>
                          </w:rPr>
                          <w:t> </w:t>
                        </w:r>
                        <w:r>
                          <w:rPr>
                            <w:rFonts w:ascii="宋体" w:hAnsi="宋体" w:cs="宋体" w:eastAsia="宋体" w:hint="default"/>
                            <w:spacing w:val="-4"/>
                            <w:sz w:val="18"/>
                            <w:szCs w:val="18"/>
                          </w:rPr>
                          <w:t>公司内部规章，但未形成损失；</w:t>
                        </w:r>
                        <w:r>
                          <w:rPr>
                            <w:rFonts w:ascii="Times New Roman" w:hAnsi="Times New Roman" w:cs="Times New Roman" w:eastAsia="Times New Roman" w:hint="default"/>
                            <w:spacing w:val="-4"/>
                            <w:sz w:val="18"/>
                            <w:szCs w:val="18"/>
                          </w:rPr>
                          <w:t>(4)</w:t>
                        </w:r>
                        <w:r>
                          <w:rPr>
                            <w:rFonts w:ascii="宋体" w:hAnsi="宋体" w:cs="宋体" w:eastAsia="宋体" w:hint="default"/>
                            <w:spacing w:val="-4"/>
                            <w:sz w:val="18"/>
                            <w:szCs w:val="18"/>
                          </w:rPr>
                          <w:t>一般岗位业务人员</w:t>
                        </w:r>
                        <w:r>
                          <w:rPr>
                            <w:rFonts w:ascii="宋体" w:hAnsi="宋体" w:cs="宋体" w:eastAsia="宋体" w:hint="default"/>
                            <w:spacing w:val="-35"/>
                            <w:sz w:val="18"/>
                            <w:szCs w:val="18"/>
                          </w:rPr>
                          <w:t> </w:t>
                        </w:r>
                        <w:r>
                          <w:rPr>
                            <w:rFonts w:ascii="宋体" w:hAnsi="宋体" w:cs="宋体" w:eastAsia="宋体" w:hint="default"/>
                            <w:spacing w:val="-35"/>
                            <w:sz w:val="18"/>
                            <w:szCs w:val="18"/>
                          </w:rPr>
                        </w:r>
                        <w:r>
                          <w:rPr>
                            <w:rFonts w:ascii="宋体" w:hAnsi="宋体" w:cs="宋体" w:eastAsia="宋体" w:hint="default"/>
                            <w:sz w:val="18"/>
                            <w:szCs w:val="18"/>
                          </w:rPr>
                          <w:t>流失严重；</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一般业务制度或系统存在缺陷；</w:t>
                        </w:r>
                        <w:r>
                          <w:rPr>
                            <w:rFonts w:ascii="Times New Roman" w:hAnsi="Times New Roman" w:cs="Times New Roman" w:eastAsia="Times New Roman" w:hint="default"/>
                            <w:spacing w:val="-3"/>
                            <w:sz w:val="18"/>
                            <w:szCs w:val="18"/>
                          </w:rPr>
                          <w:t>(6)</w:t>
                        </w:r>
                        <w:r>
                          <w:rPr>
                            <w:rFonts w:ascii="宋体" w:hAnsi="宋体" w:cs="宋体" w:eastAsia="宋体" w:hint="default"/>
                            <w:spacing w:val="-3"/>
                            <w:sz w:val="18"/>
                            <w:szCs w:val="18"/>
                          </w:rPr>
                          <w:t>一</w:t>
                        </w:r>
                        <w:r>
                          <w:rPr>
                            <w:rFonts w:ascii="宋体" w:hAnsi="宋体" w:cs="宋体" w:eastAsia="宋体" w:hint="default"/>
                            <w:spacing w:val="-74"/>
                            <w:sz w:val="18"/>
                            <w:szCs w:val="18"/>
                          </w:rPr>
                          <w:t> </w:t>
                        </w:r>
                        <w:r>
                          <w:rPr>
                            <w:rFonts w:ascii="宋体" w:hAnsi="宋体" w:cs="宋体" w:eastAsia="宋体" w:hint="default"/>
                            <w:spacing w:val="-3"/>
                            <w:sz w:val="18"/>
                            <w:szCs w:val="18"/>
                          </w:rPr>
                          <w:t>般缺陷未得到整改；</w:t>
                        </w:r>
                        <w:r>
                          <w:rPr>
                            <w:rFonts w:ascii="Times New Roman" w:hAnsi="Times New Roman" w:cs="Times New Roman" w:eastAsia="Times New Roman" w:hint="default"/>
                            <w:spacing w:val="-3"/>
                            <w:sz w:val="18"/>
                            <w:szCs w:val="18"/>
                          </w:rPr>
                          <w:t>(7)</w:t>
                        </w:r>
                        <w:r>
                          <w:rPr>
                            <w:rFonts w:ascii="宋体" w:hAnsi="宋体" w:cs="宋体" w:eastAsia="宋体" w:hint="default"/>
                            <w:spacing w:val="-3"/>
                            <w:sz w:val="18"/>
                            <w:szCs w:val="18"/>
                          </w:rPr>
                          <w:t>存在的其他缺陷。</w:t>
                        </w:r>
                      </w:p>
                    </w:tc>
                  </w:tr>
                  <w:tr>
                    <w:trPr>
                      <w:trHeight w:val="4148"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09" w:lineRule="auto"/>
                          <w:ind w:left="23" w:right="18"/>
                          <w:jc w:val="left"/>
                          <w:rPr>
                            <w:rFonts w:ascii="宋体" w:hAnsi="宋体" w:cs="宋体" w:eastAsia="宋体" w:hint="default"/>
                            <w:sz w:val="18"/>
                            <w:szCs w:val="18"/>
                          </w:rPr>
                        </w:pPr>
                        <w:r>
                          <w:rPr>
                            <w:rFonts w:ascii="宋体" w:hAnsi="宋体" w:cs="宋体" w:eastAsia="宋体" w:hint="default"/>
                            <w:spacing w:val="-7"/>
                            <w:sz w:val="18"/>
                            <w:szCs w:val="18"/>
                          </w:rPr>
                          <w:t>根据错报、漏报造成的偏差，将财</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pacing w:val="-3"/>
                            <w:sz w:val="18"/>
                            <w:szCs w:val="18"/>
                          </w:rPr>
                          <w:t>务报告内部控制缺陷划分为重大</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7"/>
                            <w:sz w:val="18"/>
                            <w:szCs w:val="18"/>
                          </w:rPr>
                          <w:t>缺陷、重要缺陷和一般缺陷。公司</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pacing w:val="-3"/>
                            <w:sz w:val="18"/>
                            <w:szCs w:val="18"/>
                          </w:rPr>
                          <w:t>以当年资产总额或当年营业收入</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7"/>
                            <w:sz w:val="18"/>
                            <w:szCs w:val="18"/>
                          </w:rPr>
                          <w:t>为基数进行定量判断，错报金额大</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z w:val="18"/>
                            <w:szCs w:val="18"/>
                          </w:rPr>
                          <w:t>于资产总额的</w:t>
                        </w:r>
                        <w:r>
                          <w:rPr>
                            <w:rFonts w:ascii="宋体" w:hAnsi="宋体" w:cs="宋体" w:eastAsia="宋体" w:hint="default"/>
                            <w:spacing w:val="-35"/>
                            <w:sz w:val="18"/>
                            <w:szCs w:val="18"/>
                          </w:rPr>
                          <w:t> </w:t>
                        </w:r>
                        <w:r>
                          <w:rPr>
                            <w:rFonts w:ascii="Times New Roman" w:hAnsi="Times New Roman" w:cs="Times New Roman" w:eastAsia="Times New Roman" w:hint="default"/>
                            <w:spacing w:val="-3"/>
                            <w:sz w:val="18"/>
                            <w:szCs w:val="18"/>
                          </w:rPr>
                          <w:t>1.5%</w:t>
                        </w:r>
                        <w:r>
                          <w:rPr>
                            <w:rFonts w:ascii="宋体" w:hAnsi="宋体" w:cs="宋体" w:eastAsia="宋体" w:hint="default"/>
                            <w:spacing w:val="-3"/>
                            <w:sz w:val="18"/>
                            <w:szCs w:val="18"/>
                          </w:rPr>
                          <w:t>或大于营业收</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入的</w:t>
                        </w:r>
                        <w:r>
                          <w:rPr>
                            <w:rFonts w:ascii="宋体" w:hAnsi="宋体" w:cs="宋体" w:eastAsia="宋体" w:hint="default"/>
                            <w:spacing w:val="-19"/>
                            <w:sz w:val="18"/>
                            <w:szCs w:val="18"/>
                          </w:rPr>
                          <w:t> </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认定为重大缺陷；错报金</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额在资产总额的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至</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1.5%</w:t>
                        </w:r>
                        <w:r>
                          <w:rPr>
                            <w:rFonts w:ascii="宋体" w:hAnsi="宋体" w:cs="宋体" w:eastAsia="宋体" w:hint="default"/>
                            <w:sz w:val="18"/>
                            <w:szCs w:val="18"/>
                          </w:rPr>
                          <w:t>之间</w:t>
                        </w:r>
                        <w:r>
                          <w:rPr>
                            <w:rFonts w:ascii="宋体" w:hAnsi="宋体" w:cs="宋体" w:eastAsia="宋体" w:hint="default"/>
                            <w:spacing w:val="-83"/>
                            <w:sz w:val="18"/>
                            <w:szCs w:val="18"/>
                          </w:rPr>
                          <w:t> </w:t>
                        </w:r>
                        <w:r>
                          <w:rPr>
                            <w:rFonts w:ascii="宋体" w:hAnsi="宋体" w:cs="宋体" w:eastAsia="宋体" w:hint="default"/>
                            <w:sz w:val="18"/>
                            <w:szCs w:val="18"/>
                          </w:rPr>
                          <w:t>或在营业收入的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至</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之间认</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7"/>
                            <w:sz w:val="18"/>
                            <w:szCs w:val="18"/>
                          </w:rPr>
                          <w:t>定为重要缺陷；错报金额小于资产</w:t>
                        </w:r>
                        <w:r>
                          <w:rPr>
                            <w:rFonts w:ascii="宋体" w:hAnsi="宋体" w:cs="宋体" w:eastAsia="宋体" w:hint="default"/>
                            <w:spacing w:val="-48"/>
                            <w:sz w:val="18"/>
                            <w:szCs w:val="18"/>
                          </w:rPr>
                          <w:t> </w:t>
                        </w:r>
                        <w:r>
                          <w:rPr>
                            <w:rFonts w:ascii="宋体" w:hAnsi="宋体" w:cs="宋体" w:eastAsia="宋体" w:hint="default"/>
                            <w:spacing w:val="-48"/>
                            <w:sz w:val="18"/>
                            <w:szCs w:val="18"/>
                          </w:rPr>
                        </w:r>
                        <w:r>
                          <w:rPr>
                            <w:rFonts w:ascii="宋体" w:hAnsi="宋体" w:cs="宋体" w:eastAsia="宋体" w:hint="default"/>
                            <w:sz w:val="18"/>
                            <w:szCs w:val="18"/>
                          </w:rPr>
                          <w:t>总额的</w:t>
                        </w:r>
                        <w:r>
                          <w:rPr>
                            <w:rFonts w:ascii="宋体" w:hAnsi="宋体" w:cs="宋体" w:eastAsia="宋体" w:hint="default"/>
                            <w:spacing w:val="-39"/>
                            <w:sz w:val="18"/>
                            <w:szCs w:val="18"/>
                          </w:rPr>
                          <w:t> </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或小于营业收入的</w:t>
                        </w:r>
                        <w:r>
                          <w:rPr>
                            <w:rFonts w:ascii="宋体" w:hAnsi="宋体" w:cs="宋体" w:eastAsia="宋体" w:hint="default"/>
                            <w:spacing w:val="-39"/>
                            <w:sz w:val="18"/>
                            <w:szCs w:val="18"/>
                          </w:rPr>
                          <w:t> </w:t>
                        </w:r>
                        <w:r>
                          <w:rPr>
                            <w:rFonts w:ascii="Times New Roman" w:hAnsi="Times New Roman" w:cs="Times New Roman" w:eastAsia="Times New Roman" w:hint="default"/>
                            <w:spacing w:val="-5"/>
                            <w:sz w:val="18"/>
                            <w:szCs w:val="18"/>
                          </w:rPr>
                          <w:t>1%</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认定为一般缺陷。</w:t>
                        </w:r>
                      </w:p>
                    </w:tc>
                    <w:tc>
                      <w:tcPr>
                        <w:tcW w:w="418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3"/>
                          <w:ind w:left="23" w:right="17"/>
                          <w:jc w:val="left"/>
                          <w:rPr>
                            <w:rFonts w:ascii="宋体" w:hAnsi="宋体" w:cs="宋体" w:eastAsia="宋体" w:hint="default"/>
                            <w:sz w:val="18"/>
                            <w:szCs w:val="18"/>
                          </w:rPr>
                        </w:pPr>
                        <w:r>
                          <w:rPr>
                            <w:rFonts w:ascii="宋体" w:hAnsi="宋体" w:cs="宋体" w:eastAsia="宋体" w:hint="default"/>
                            <w:spacing w:val="-3"/>
                            <w:sz w:val="18"/>
                            <w:szCs w:val="18"/>
                          </w:rPr>
                          <w:t>根据重大事故事件（未经授权、舞弊或产品质量控制</w:t>
                        </w:r>
                        <w:r>
                          <w:rPr>
                            <w:rFonts w:ascii="宋体" w:hAnsi="宋体" w:cs="宋体" w:eastAsia="宋体" w:hint="default"/>
                            <w:spacing w:val="-35"/>
                            <w:sz w:val="18"/>
                            <w:szCs w:val="18"/>
                          </w:rPr>
                          <w:t> </w:t>
                        </w:r>
                        <w:r>
                          <w:rPr>
                            <w:rFonts w:ascii="宋体" w:hAnsi="宋体" w:cs="宋体" w:eastAsia="宋体" w:hint="default"/>
                            <w:spacing w:val="-35"/>
                            <w:sz w:val="18"/>
                            <w:szCs w:val="18"/>
                          </w:rPr>
                        </w:r>
                        <w:r>
                          <w:rPr>
                            <w:rFonts w:ascii="宋体" w:hAnsi="宋体" w:cs="宋体" w:eastAsia="宋体" w:hint="default"/>
                            <w:spacing w:val="-7"/>
                            <w:w w:val="101"/>
                            <w:sz w:val="18"/>
                            <w:szCs w:val="18"/>
                          </w:rPr>
                          <w:t>不善等）、对外投资失误、对外担保失误造成的直接</w:t>
                        </w:r>
                        <w:r>
                          <w:rPr>
                            <w:rFonts w:ascii="宋体" w:hAnsi="宋体" w:cs="宋体" w:eastAsia="宋体" w:hint="default"/>
                            <w:spacing w:val="-73"/>
                            <w:w w:val="101"/>
                            <w:sz w:val="18"/>
                            <w:szCs w:val="18"/>
                          </w:rPr>
                          <w:t> </w:t>
                        </w:r>
                        <w:r>
                          <w:rPr>
                            <w:rFonts w:ascii="宋体" w:hAnsi="宋体" w:cs="宋体" w:eastAsia="宋体" w:hint="default"/>
                            <w:spacing w:val="-73"/>
                            <w:w w:val="101"/>
                            <w:sz w:val="18"/>
                            <w:szCs w:val="18"/>
                          </w:rPr>
                        </w:r>
                        <w:r>
                          <w:rPr>
                            <w:rFonts w:ascii="宋体" w:hAnsi="宋体" w:cs="宋体" w:eastAsia="宋体" w:hint="default"/>
                            <w:spacing w:val="-3"/>
                            <w:sz w:val="18"/>
                            <w:szCs w:val="18"/>
                          </w:rPr>
                          <w:t>财产损失</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将非财务报告内部控制缺陷划分为重大缺</w:t>
                        </w:r>
                        <w:r>
                          <w:rPr>
                            <w:rFonts w:ascii="宋体" w:hAnsi="宋体" w:cs="宋体" w:eastAsia="宋体" w:hint="default"/>
                            <w:spacing w:val="-21"/>
                            <w:sz w:val="18"/>
                            <w:szCs w:val="18"/>
                          </w:rPr>
                          <w:t> </w:t>
                        </w:r>
                        <w:r>
                          <w:rPr>
                            <w:rFonts w:ascii="宋体" w:hAnsi="宋体" w:cs="宋体" w:eastAsia="宋体" w:hint="default"/>
                            <w:spacing w:val="-21"/>
                            <w:sz w:val="18"/>
                            <w:szCs w:val="18"/>
                          </w:rPr>
                        </w:r>
                        <w:r>
                          <w:rPr>
                            <w:rFonts w:ascii="宋体" w:hAnsi="宋体" w:cs="宋体" w:eastAsia="宋体" w:hint="default"/>
                            <w:spacing w:val="-8"/>
                            <w:sz w:val="18"/>
                            <w:szCs w:val="18"/>
                          </w:rPr>
                          <w:t>陷、重要缺陷和一般缺陷。重大事故事件（未经授权</w:t>
                        </w:r>
                        <w:r>
                          <w:rPr>
                            <w:rFonts w:ascii="宋体" w:hAnsi="宋体" w:cs="宋体" w:eastAsia="宋体" w:hint="default"/>
                            <w:spacing w:val="-13"/>
                            <w:sz w:val="18"/>
                            <w:szCs w:val="18"/>
                          </w:rPr>
                          <w:t> </w:t>
                        </w:r>
                        <w:r>
                          <w:rPr>
                            <w:rFonts w:ascii="宋体" w:hAnsi="宋体" w:cs="宋体" w:eastAsia="宋体" w:hint="default"/>
                            <w:spacing w:val="-13"/>
                            <w:sz w:val="18"/>
                            <w:szCs w:val="18"/>
                          </w:rPr>
                        </w:r>
                        <w:r>
                          <w:rPr>
                            <w:rFonts w:ascii="宋体" w:hAnsi="宋体" w:cs="宋体" w:eastAsia="宋体" w:hint="default"/>
                            <w:spacing w:val="-4"/>
                            <w:sz w:val="18"/>
                            <w:szCs w:val="18"/>
                          </w:rPr>
                          <w:t>舞弊或产品质量控制不善等）造成直接财产损失的重</w:t>
                        </w:r>
                        <w:r>
                          <w:rPr>
                            <w:rFonts w:ascii="宋体" w:hAnsi="宋体" w:cs="宋体" w:eastAsia="宋体" w:hint="default"/>
                            <w:spacing w:val="-13"/>
                            <w:sz w:val="18"/>
                            <w:szCs w:val="18"/>
                          </w:rPr>
                          <w:t> </w:t>
                        </w:r>
                        <w:r>
                          <w:rPr>
                            <w:rFonts w:ascii="宋体" w:hAnsi="宋体" w:cs="宋体" w:eastAsia="宋体" w:hint="default"/>
                            <w:spacing w:val="-13"/>
                            <w:sz w:val="18"/>
                            <w:szCs w:val="18"/>
                          </w:rPr>
                        </w:r>
                        <w:r>
                          <w:rPr>
                            <w:rFonts w:ascii="宋体" w:hAnsi="宋体" w:cs="宋体" w:eastAsia="宋体" w:hint="default"/>
                            <w:sz w:val="18"/>
                            <w:szCs w:val="18"/>
                          </w:rPr>
                          <w:t>大缺陷标准</w:t>
                        </w:r>
                        <w:r>
                          <w:rPr>
                            <w:rFonts w:ascii="Times New Roman" w:hAnsi="Times New Roman" w:cs="Times New Roman" w:eastAsia="Times New Roman" w:hint="default"/>
                            <w:sz w:val="18"/>
                            <w:szCs w:val="18"/>
                          </w:rPr>
                          <w:t>--</w:t>
                        </w:r>
                        <w:r>
                          <w:rPr>
                            <w:rFonts w:ascii="宋体" w:hAnsi="宋体" w:cs="宋体" w:eastAsia="宋体" w:hint="default"/>
                            <w:sz w:val="18"/>
                            <w:szCs w:val="18"/>
                          </w:rPr>
                          <w:t>大于</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8"/>
                            <w:sz w:val="18"/>
                            <w:szCs w:val="18"/>
                          </w:rPr>
                          <w:t> </w:t>
                        </w:r>
                        <w:r>
                          <w:rPr>
                            <w:rFonts w:ascii="宋体" w:hAnsi="宋体" w:cs="宋体" w:eastAsia="宋体" w:hint="default"/>
                            <w:spacing w:val="-4"/>
                            <w:sz w:val="18"/>
                            <w:szCs w:val="18"/>
                          </w:rPr>
                          <w:t>万元，重要缺陷标准</w:t>
                        </w:r>
                        <w:r>
                          <w:rPr>
                            <w:rFonts w:ascii="Times New Roman" w:hAnsi="Times New Roman" w:cs="Times New Roman" w:eastAsia="Times New Roman" w:hint="default"/>
                            <w:spacing w:val="-4"/>
                            <w:sz w:val="18"/>
                            <w:szCs w:val="18"/>
                          </w:rPr>
                          <w:t>--200</w:t>
                        </w:r>
                        <w:r>
                          <w:rPr>
                            <w:rFonts w:ascii="Times New Roman" w:hAnsi="Times New Roman" w:cs="Times New Roman" w:eastAsia="Times New Roman" w:hint="default"/>
                            <w:spacing w:val="8"/>
                            <w:sz w:val="18"/>
                            <w:szCs w:val="18"/>
                          </w:rPr>
                          <w:t> </w:t>
                        </w:r>
                        <w:r>
                          <w:rPr>
                            <w:rFonts w:ascii="宋体" w:hAnsi="宋体" w:cs="宋体" w:eastAsia="宋体" w:hint="default"/>
                            <w:spacing w:val="-5"/>
                            <w:sz w:val="18"/>
                            <w:szCs w:val="18"/>
                          </w:rPr>
                          <w:t>万元</w:t>
                        </w:r>
                        <w:r>
                          <w:rPr>
                            <w:rFonts w:ascii="宋体" w:hAnsi="宋体" w:cs="宋体" w:eastAsia="宋体" w:hint="default"/>
                            <w:spacing w:val="-85"/>
                            <w:sz w:val="18"/>
                            <w:szCs w:val="18"/>
                          </w:rPr>
                          <w:t> </w:t>
                        </w:r>
                        <w:r>
                          <w:rPr>
                            <w:rFonts w:ascii="宋体" w:hAnsi="宋体" w:cs="宋体" w:eastAsia="宋体" w:hint="default"/>
                            <w:sz w:val="18"/>
                            <w:szCs w:val="18"/>
                          </w:rPr>
                          <w:t>至</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万元之间，一般缺陷标准</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200</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万元</w:t>
                        </w:r>
                        <w:r>
                          <w:rPr>
                            <w:rFonts w:ascii="宋体" w:hAnsi="宋体" w:cs="宋体" w:eastAsia="宋体" w:hint="default"/>
                            <w:spacing w:val="-88"/>
                            <w:sz w:val="18"/>
                            <w:szCs w:val="18"/>
                          </w:rPr>
                          <w:t> </w:t>
                        </w:r>
                        <w:r>
                          <w:rPr>
                            <w:rFonts w:ascii="宋体" w:hAnsi="宋体" w:cs="宋体" w:eastAsia="宋体" w:hint="default"/>
                            <w:spacing w:val="-3"/>
                            <w:sz w:val="18"/>
                            <w:szCs w:val="18"/>
                          </w:rPr>
                          <w:t>之间；对外投资失误造成损失的重大缺陷标准</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大于</w:t>
                        </w:r>
                        <w:r>
                          <w:rPr>
                            <w:rFonts w:ascii="宋体" w:hAnsi="宋体" w:cs="宋体" w:eastAsia="宋体" w:hint="default"/>
                            <w:spacing w:val="-16"/>
                            <w:sz w:val="18"/>
                            <w:szCs w:val="18"/>
                          </w:rPr>
                          <w:t> </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万元，重要缺陷标准</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万元之</w:t>
                        </w:r>
                      </w:p>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间，一般缺陷标准</w:t>
                        </w:r>
                        <w:r>
                          <w:rPr>
                            <w:rFonts w:ascii="Times New Roman" w:hAnsi="Times New Roman" w:cs="Times New Roman" w:eastAsia="Times New Roman" w:hint="default"/>
                            <w:sz w:val="18"/>
                            <w:szCs w:val="18"/>
                          </w:rPr>
                          <w:t>--</w:t>
                        </w:r>
                        <w:r>
                          <w:rPr>
                            <w:rFonts w:ascii="宋体" w:hAnsi="宋体" w:cs="宋体" w:eastAsia="宋体" w:hint="default"/>
                            <w:sz w:val="18"/>
                            <w:szCs w:val="18"/>
                          </w:rPr>
                          <w:t>小于</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万元；对外担保失误造</w:t>
                        </w:r>
                      </w:p>
                      <w:p>
                        <w:pPr>
                          <w:pStyle w:val="TableParagraph"/>
                          <w:spacing w:line="300" w:lineRule="auto" w:before="63"/>
                          <w:ind w:left="23" w:right="23"/>
                          <w:jc w:val="both"/>
                          <w:rPr>
                            <w:rFonts w:ascii="宋体" w:hAnsi="宋体" w:cs="宋体" w:eastAsia="宋体" w:hint="default"/>
                            <w:sz w:val="18"/>
                            <w:szCs w:val="18"/>
                          </w:rPr>
                        </w:pPr>
                        <w:r>
                          <w:rPr>
                            <w:rFonts w:ascii="宋体" w:hAnsi="宋体" w:cs="宋体" w:eastAsia="宋体" w:hint="default"/>
                            <w:sz w:val="18"/>
                            <w:szCs w:val="18"/>
                          </w:rPr>
                          <w:t>成损失的重大缺陷标准</w:t>
                        </w:r>
                        <w:r>
                          <w:rPr>
                            <w:rFonts w:ascii="Times New Roman" w:hAnsi="Times New Roman" w:cs="Times New Roman" w:eastAsia="Times New Roman" w:hint="default"/>
                            <w:sz w:val="18"/>
                            <w:szCs w:val="18"/>
                          </w:rPr>
                          <w:t>--</w:t>
                        </w:r>
                        <w:r>
                          <w:rPr>
                            <w:rFonts w:ascii="宋体" w:hAnsi="宋体" w:cs="宋体" w:eastAsia="宋体" w:hint="default"/>
                            <w:sz w:val="18"/>
                            <w:szCs w:val="18"/>
                          </w:rPr>
                          <w:t>大于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万元，重要缺陷标</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
                            <w:w w:val="101"/>
                            <w:sz w:val="18"/>
                            <w:szCs w:val="18"/>
                          </w:rPr>
                          <w:t>准</w:t>
                        </w:r>
                        <w:r>
                          <w:rPr>
                            <w:rFonts w:ascii="Times New Roman" w:hAnsi="Times New Roman" w:cs="Times New Roman" w:eastAsia="Times New Roman" w:hint="default"/>
                            <w:spacing w:val="-1"/>
                            <w:w w:val="101"/>
                            <w:sz w:val="18"/>
                            <w:szCs w:val="18"/>
                          </w:rPr>
                          <w:t>--100</w:t>
                        </w:r>
                        <w:r>
                          <w:rPr>
                            <w:rFonts w:ascii="Times New Roman" w:hAnsi="Times New Roman" w:cs="Times New Roman" w:eastAsia="Times New Roman" w:hint="default"/>
                            <w:spacing w:val="-2"/>
                            <w:w w:val="101"/>
                            <w:sz w:val="18"/>
                            <w:szCs w:val="18"/>
                          </w:rPr>
                          <w:t> </w:t>
                        </w:r>
                        <w:r>
                          <w:rPr>
                            <w:rFonts w:ascii="宋体" w:hAnsi="宋体" w:cs="宋体" w:eastAsia="宋体" w:hint="default"/>
                            <w:spacing w:val="-2"/>
                            <w:w w:val="101"/>
                            <w:sz w:val="18"/>
                            <w:szCs w:val="18"/>
                          </w:rPr>
                          <w:t>万元至</w:t>
                        </w:r>
                        <w:r>
                          <w:rPr>
                            <w:rFonts w:ascii="宋体" w:hAnsi="宋体" w:cs="宋体" w:eastAsia="宋体" w:hint="default"/>
                            <w:spacing w:val="-48"/>
                            <w:w w:val="101"/>
                            <w:sz w:val="18"/>
                            <w:szCs w:val="18"/>
                          </w:rPr>
                          <w:t> </w:t>
                        </w:r>
                        <w:r>
                          <w:rPr>
                            <w:rFonts w:ascii="Times New Roman" w:hAnsi="Times New Roman" w:cs="Times New Roman" w:eastAsia="Times New Roman" w:hint="default"/>
                            <w:spacing w:val="-2"/>
                            <w:w w:val="101"/>
                            <w:sz w:val="18"/>
                            <w:szCs w:val="18"/>
                          </w:rPr>
                          <w:t>500 </w:t>
                        </w:r>
                        <w:r>
                          <w:rPr>
                            <w:rFonts w:ascii="宋体" w:hAnsi="宋体" w:cs="宋体" w:eastAsia="宋体" w:hint="default"/>
                            <w:spacing w:val="-7"/>
                            <w:w w:val="101"/>
                            <w:sz w:val="18"/>
                            <w:szCs w:val="18"/>
                          </w:rPr>
                          <w:t>万元之间，一般缺陷标准</w:t>
                        </w:r>
                        <w:r>
                          <w:rPr>
                            <w:rFonts w:ascii="Times New Roman" w:hAnsi="Times New Roman" w:cs="Times New Roman" w:eastAsia="Times New Roman" w:hint="default"/>
                            <w:spacing w:val="-7"/>
                            <w:w w:val="101"/>
                            <w:sz w:val="18"/>
                            <w:szCs w:val="18"/>
                          </w:rPr>
                          <w:t>--50</w:t>
                        </w:r>
                        <w:r>
                          <w:rPr>
                            <w:rFonts w:ascii="Times New Roman" w:hAnsi="Times New Roman" w:cs="Times New Roman" w:eastAsia="Times New Roman" w:hint="default"/>
                            <w:spacing w:val="-2"/>
                            <w:w w:val="101"/>
                            <w:sz w:val="18"/>
                            <w:szCs w:val="18"/>
                          </w:rPr>
                          <w:t> </w:t>
                        </w:r>
                        <w:r>
                          <w:rPr>
                            <w:rFonts w:ascii="宋体" w:hAnsi="宋体" w:cs="宋体" w:eastAsia="宋体" w:hint="default"/>
                            <w:spacing w:val="-5"/>
                            <w:w w:val="101"/>
                            <w:sz w:val="18"/>
                            <w:szCs w:val="18"/>
                          </w:rPr>
                          <w:t>万元 </w:t>
                        </w:r>
                        <w:r>
                          <w:rPr>
                            <w:rFonts w:ascii="宋体" w:hAnsi="宋体" w:cs="宋体" w:eastAsia="宋体" w:hint="default"/>
                            <w:sz w:val="18"/>
                            <w:szCs w:val="18"/>
                          </w:rPr>
                          <w:t>至</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万元之间。</w:t>
                        </w:r>
                      </w:p>
                    </w:tc>
                  </w:tr>
                  <w:tr>
                    <w:trPr>
                      <w:trHeight w:val="404"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财务报告重大缺陷数量（个）</w:t>
                        </w:r>
                      </w:p>
                    </w:tc>
                    <w:tc>
                      <w:tcPr>
                        <w:tcW w:w="68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403"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非财务报告重大缺陷数量（个）</w:t>
                        </w:r>
                      </w:p>
                    </w:tc>
                    <w:tc>
                      <w:tcPr>
                        <w:tcW w:w="68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398"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财务报告重要缺陷数量（个）</w:t>
                        </w:r>
                      </w:p>
                    </w:tc>
                    <w:tc>
                      <w:tcPr>
                        <w:tcW w:w="68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403"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非财务报告重要缺陷数量（个）</w:t>
                        </w:r>
                      </w:p>
                    </w:tc>
                    <w:tc>
                      <w:tcPr>
                        <w:tcW w:w="68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bl>
                <w:p>
                  <w:pPr/>
                </w:p>
              </w:txbxContent>
            </v:textbox>
            <w10:wrap type="none"/>
          </v:shape>
        </w:pict>
      </w:r>
      <w:r>
        <w:rPr>
          <w:w w:val="101"/>
        </w:rPr>
        <w:t>、</w:t>
      </w:r>
      <w:r>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4"/>
          <w:szCs w:val="24"/>
        </w:rPr>
      </w:pPr>
    </w:p>
    <w:p>
      <w:pPr>
        <w:pStyle w:val="Heading2"/>
        <w:spacing w:line="240" w:lineRule="auto" w:before="26"/>
        <w:ind w:right="855"/>
        <w:jc w:val="left"/>
        <w:rPr>
          <w:b w:val="0"/>
          <w:bCs w:val="0"/>
        </w:rPr>
      </w:pPr>
      <w:r>
        <w:rPr/>
        <w:t>十、内部控制审计报告</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right="855"/>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1"/>
        </w:rPr>
        <w:t> </w:t>
      </w:r>
      <w:r>
        <w:rPr/>
        <w:t>不适用</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9570"/>
      </w:tblGrid>
      <w:tr>
        <w:trPr>
          <w:trHeight w:val="403" w:hRule="exact"/>
        </w:trPr>
        <w:tc>
          <w:tcPr>
            <w:tcW w:w="9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pacing w:val="-3"/>
                <w:sz w:val="18"/>
                <w:szCs w:val="18"/>
              </w:rPr>
              <w:t>内部控制审计报告中的审议意见段</w:t>
            </w:r>
          </w:p>
        </w:tc>
      </w:tr>
      <w:tr>
        <w:trPr>
          <w:trHeight w:val="3097" w:hRule="exact"/>
        </w:trPr>
        <w:tc>
          <w:tcPr>
            <w:tcW w:w="9570" w:type="dxa"/>
            <w:tcBorders>
              <w:top w:val="single" w:sz="4" w:space="0" w:color="000000"/>
              <w:left w:val="single" w:sz="4" w:space="0" w:color="000000"/>
              <w:bottom w:val="single" w:sz="4" w:space="0" w:color="000000"/>
              <w:right w:val="single" w:sz="4" w:space="0" w:color="000000"/>
            </w:tcBorders>
          </w:tcPr>
          <w:p>
            <w:pPr>
              <w:pStyle w:val="TableParagraph"/>
              <w:spacing w:line="352" w:lineRule="auto" w:before="53"/>
              <w:ind w:left="566" w:right="19" w:hanging="543"/>
              <w:jc w:val="left"/>
              <w:rPr>
                <w:rFonts w:ascii="宋体" w:hAnsi="宋体" w:cs="宋体" w:eastAsia="宋体" w:hint="default"/>
                <w:sz w:val="18"/>
                <w:szCs w:val="18"/>
              </w:rPr>
            </w:pPr>
            <w:r>
              <w:rPr>
                <w:rFonts w:ascii="宋体" w:hAnsi="宋体" w:cs="宋体" w:eastAsia="宋体" w:hint="default"/>
                <w:spacing w:val="-3"/>
                <w:sz w:val="18"/>
                <w:szCs w:val="18"/>
              </w:rPr>
              <w:t>云南南天电子信息产业股份有限公司全体股东：</w:t>
            </w:r>
            <w:r>
              <w:rPr>
                <w:rFonts w:ascii="宋体" w:hAnsi="宋体" w:cs="宋体" w:eastAsia="宋体" w:hint="default"/>
                <w:spacing w:val="-27"/>
                <w:sz w:val="18"/>
                <w:szCs w:val="18"/>
              </w:rPr>
              <w:t> </w:t>
            </w:r>
            <w:r>
              <w:rPr>
                <w:rFonts w:ascii="宋体" w:hAnsi="宋体" w:cs="宋体" w:eastAsia="宋体" w:hint="default"/>
                <w:spacing w:val="-27"/>
                <w:sz w:val="18"/>
                <w:szCs w:val="18"/>
              </w:rPr>
            </w:r>
            <w:r>
              <w:rPr>
                <w:rFonts w:ascii="宋体" w:hAnsi="宋体" w:cs="宋体" w:eastAsia="宋体" w:hint="default"/>
                <w:spacing w:val="-4"/>
                <w:sz w:val="18"/>
                <w:szCs w:val="18"/>
              </w:rPr>
              <w:t>按照《企业内部控制审计指引》及中国注册会计师执业准则的相关要求，我们审计了云南南天电子信息产业股份有</w:t>
            </w:r>
          </w:p>
          <w:p>
            <w:pPr>
              <w:pStyle w:val="TableParagraph"/>
              <w:spacing w:line="343" w:lineRule="auto"/>
              <w:ind w:left="566" w:right="3004" w:hanging="543"/>
              <w:jc w:val="left"/>
              <w:rPr>
                <w:rFonts w:ascii="宋体" w:hAnsi="宋体" w:cs="宋体" w:eastAsia="宋体" w:hint="default"/>
                <w:sz w:val="18"/>
                <w:szCs w:val="18"/>
              </w:rPr>
            </w:pPr>
            <w:r>
              <w:rPr>
                <w:rFonts w:ascii="宋体" w:hAnsi="宋体" w:cs="宋体" w:eastAsia="宋体" w:hint="default"/>
                <w:sz w:val="18"/>
                <w:szCs w:val="18"/>
              </w:rPr>
              <w:t>限公司（以下简称南天信息公司）</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8"/>
                <w:sz w:val="18"/>
                <w:szCs w:val="18"/>
              </w:rPr>
              <w:t> </w:t>
            </w:r>
            <w:r>
              <w:rPr>
                <w:rFonts w:ascii="宋体" w:hAnsi="宋体" w:cs="宋体" w:eastAsia="宋体" w:hint="default"/>
                <w:spacing w:val="-3"/>
                <w:sz w:val="18"/>
                <w:szCs w:val="18"/>
              </w:rPr>
              <w:t>日财务报告内部控制的有效性。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
                <w:sz w:val="18"/>
                <w:szCs w:val="18"/>
              </w:rPr>
              <w:t>一、企业对内部控制的责任</w:t>
            </w:r>
          </w:p>
          <w:p>
            <w:pPr>
              <w:pStyle w:val="TableParagraph"/>
              <w:spacing w:line="316" w:lineRule="auto" w:before="37"/>
              <w:ind w:left="24" w:right="75" w:firstLine="451"/>
              <w:jc w:val="left"/>
              <w:rPr>
                <w:rFonts w:ascii="宋体" w:hAnsi="宋体" w:cs="宋体" w:eastAsia="宋体" w:hint="default"/>
                <w:sz w:val="18"/>
                <w:szCs w:val="18"/>
              </w:rPr>
            </w:pPr>
            <w:r>
              <w:rPr>
                <w:rFonts w:ascii="宋体" w:hAnsi="宋体" w:cs="宋体" w:eastAsia="宋体" w:hint="default"/>
                <w:spacing w:val="-3"/>
                <w:w w:val="101"/>
                <w:sz w:val="18"/>
                <w:szCs w:val="18"/>
              </w:rPr>
              <w:t>按照《企业内部控制基本规范》</w:t>
            </w:r>
            <w:r>
              <w:rPr>
                <w:rFonts w:ascii="宋体" w:hAnsi="宋体" w:cs="宋体" w:eastAsia="宋体" w:hint="default"/>
                <w:w w:val="101"/>
                <w:sz w:val="18"/>
                <w:szCs w:val="18"/>
              </w:rPr>
              <w:t> </w:t>
            </w:r>
            <w:r>
              <w:rPr>
                <w:rFonts w:ascii="宋体" w:hAnsi="宋体" w:cs="宋体" w:eastAsia="宋体" w:hint="default"/>
                <w:spacing w:val="-10"/>
                <w:w w:val="101"/>
                <w:sz w:val="18"/>
                <w:szCs w:val="18"/>
              </w:rPr>
              <w:t>、《企业内部控制应用指引》</w:t>
            </w:r>
            <w:r>
              <w:rPr>
                <w:rFonts w:ascii="宋体" w:hAnsi="宋体" w:cs="宋体" w:eastAsia="宋体" w:hint="default"/>
                <w:spacing w:val="27"/>
                <w:w w:val="101"/>
                <w:sz w:val="18"/>
                <w:szCs w:val="18"/>
              </w:rPr>
              <w:t> </w:t>
            </w:r>
            <w:r>
              <w:rPr>
                <w:rFonts w:ascii="宋体" w:hAnsi="宋体" w:cs="宋体" w:eastAsia="宋体" w:hint="default"/>
                <w:spacing w:val="-7"/>
                <w:w w:val="101"/>
                <w:sz w:val="18"/>
                <w:szCs w:val="18"/>
              </w:rPr>
              <w:t>、《企业内部控制评价指引》的规定，建立健全和有</w:t>
            </w:r>
            <w:r>
              <w:rPr>
                <w:rFonts w:ascii="宋体" w:hAnsi="宋体" w:cs="宋体" w:eastAsia="宋体" w:hint="default"/>
                <w:w w:val="101"/>
                <w:sz w:val="18"/>
                <w:szCs w:val="18"/>
              </w:rPr>
              <w:t> </w:t>
            </w:r>
            <w:r>
              <w:rPr>
                <w:rFonts w:ascii="宋体" w:hAnsi="宋体" w:cs="宋体" w:eastAsia="宋体" w:hint="default"/>
                <w:spacing w:val="-3"/>
                <w:sz w:val="18"/>
                <w:szCs w:val="18"/>
              </w:rPr>
              <w:t>效实施内部控制，并评价其有效性是南天信息公司董事会的责任。</w:t>
            </w:r>
          </w:p>
          <w:p>
            <w:pPr>
              <w:pStyle w:val="TableParagraph"/>
              <w:spacing w:line="362" w:lineRule="auto" w:before="58"/>
              <w:ind w:left="475" w:right="77"/>
              <w:jc w:val="left"/>
              <w:rPr>
                <w:rFonts w:ascii="宋体" w:hAnsi="宋体" w:cs="宋体" w:eastAsia="宋体" w:hint="default"/>
                <w:sz w:val="18"/>
                <w:szCs w:val="18"/>
              </w:rPr>
            </w:pPr>
            <w:r>
              <w:rPr>
                <w:rFonts w:ascii="宋体" w:hAnsi="宋体" w:cs="宋体" w:eastAsia="宋体" w:hint="default"/>
                <w:sz w:val="18"/>
                <w:szCs w:val="18"/>
              </w:rPr>
              <w:t>二、注册会计师的责任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
                <w:sz w:val="18"/>
                <w:szCs w:val="18"/>
              </w:rPr>
              <w:t>我们的责任是在实施审计工作的基础上，对财务报告内部控制的有效性发表审计意见，并对注意到的非财务报告内</w:t>
            </w:r>
          </w:p>
          <w:p>
            <w:pPr>
              <w:pStyle w:val="TableParagraph"/>
              <w:spacing w:line="220" w:lineRule="exact"/>
              <w:ind w:left="24" w:right="0"/>
              <w:jc w:val="left"/>
              <w:rPr>
                <w:rFonts w:ascii="宋体" w:hAnsi="宋体" w:cs="宋体" w:eastAsia="宋体" w:hint="default"/>
                <w:sz w:val="18"/>
                <w:szCs w:val="18"/>
              </w:rPr>
            </w:pPr>
            <w:r>
              <w:rPr>
                <w:rFonts w:ascii="宋体" w:hAnsi="宋体" w:cs="宋体" w:eastAsia="宋体" w:hint="default"/>
                <w:spacing w:val="-3"/>
                <w:sz w:val="18"/>
                <w:szCs w:val="18"/>
              </w:rPr>
              <w:t>部控制的重大缺陷进行披露。</w:t>
            </w:r>
          </w:p>
        </w:tc>
      </w:tr>
    </w:tbl>
    <w:p>
      <w:pPr>
        <w:spacing w:after="0" w:line="220" w:lineRule="exact"/>
        <w:jc w:val="left"/>
        <w:rPr>
          <w:rFonts w:ascii="宋体" w:hAnsi="宋体" w:cs="宋体" w:eastAsia="宋体" w:hint="default"/>
          <w:sz w:val="18"/>
          <w:szCs w:val="18"/>
        </w:rPr>
        <w:sectPr>
          <w:pgSz w:w="11910" w:h="16840"/>
          <w:pgMar w:header="746" w:footer="974"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665"/>
        <w:gridCol w:w="6905"/>
      </w:tblGrid>
      <w:tr>
        <w:trPr>
          <w:trHeight w:val="4509" w:hRule="exact"/>
        </w:trPr>
        <w:tc>
          <w:tcPr>
            <w:tcW w:w="9570" w:type="dxa"/>
            <w:gridSpan w:val="2"/>
            <w:tcBorders>
              <w:top w:val="single" w:sz="4" w:space="0" w:color="000000"/>
              <w:left w:val="single" w:sz="4" w:space="0" w:color="000000"/>
              <w:bottom w:val="single" w:sz="4" w:space="0" w:color="000000"/>
              <w:right w:val="single" w:sz="4" w:space="0" w:color="000000"/>
            </w:tcBorders>
          </w:tcPr>
          <w:p>
            <w:pPr>
              <w:pStyle w:val="TableParagraph"/>
              <w:spacing w:line="357" w:lineRule="auto" w:before="10"/>
              <w:ind w:left="475" w:right="76"/>
              <w:jc w:val="left"/>
              <w:rPr>
                <w:rFonts w:ascii="宋体" w:hAnsi="宋体" w:cs="宋体" w:eastAsia="宋体" w:hint="default"/>
                <w:sz w:val="18"/>
                <w:szCs w:val="18"/>
              </w:rPr>
            </w:pPr>
            <w:r>
              <w:rPr>
                <w:rFonts w:ascii="宋体" w:hAnsi="宋体" w:cs="宋体" w:eastAsia="宋体" w:hint="default"/>
                <w:spacing w:val="-3"/>
                <w:sz w:val="18"/>
                <w:szCs w:val="18"/>
              </w:rPr>
              <w:t>三、内部控制的固有局限性</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内部控制具有固有局限性，存在不能防止和发现错报的可能性。此外，由于情况的变化可能导致内部控制变得不恰</w:t>
            </w:r>
          </w:p>
          <w:p>
            <w:pPr>
              <w:pStyle w:val="TableParagraph"/>
              <w:spacing w:line="224" w:lineRule="exact"/>
              <w:ind w:left="24" w:right="0"/>
              <w:jc w:val="left"/>
              <w:rPr>
                <w:rFonts w:ascii="宋体" w:hAnsi="宋体" w:cs="宋体" w:eastAsia="宋体" w:hint="default"/>
                <w:sz w:val="18"/>
                <w:szCs w:val="18"/>
              </w:rPr>
            </w:pPr>
            <w:r>
              <w:rPr>
                <w:rFonts w:ascii="宋体" w:hAnsi="宋体" w:cs="宋体" w:eastAsia="宋体" w:hint="default"/>
                <w:spacing w:val="-3"/>
                <w:sz w:val="18"/>
                <w:szCs w:val="18"/>
              </w:rPr>
              <w:t>当，或对控制政策和程序遵循的程度降低，根据内部控制审计结果推测未来内部控制的有效性具有一定风险。</w:t>
            </w:r>
          </w:p>
          <w:p>
            <w:pPr>
              <w:pStyle w:val="TableParagraph"/>
              <w:spacing w:line="240" w:lineRule="auto" w:before="120"/>
              <w:ind w:left="475" w:right="0"/>
              <w:jc w:val="left"/>
              <w:rPr>
                <w:rFonts w:ascii="宋体" w:hAnsi="宋体" w:cs="宋体" w:eastAsia="宋体" w:hint="default"/>
                <w:sz w:val="18"/>
                <w:szCs w:val="18"/>
              </w:rPr>
            </w:pPr>
            <w:r>
              <w:rPr>
                <w:rFonts w:ascii="宋体" w:hAnsi="宋体" w:cs="宋体" w:eastAsia="宋体" w:hint="default"/>
                <w:spacing w:val="-3"/>
                <w:sz w:val="18"/>
                <w:szCs w:val="18"/>
              </w:rPr>
              <w:t>四、财务报告内部控制审计意见</w:t>
            </w:r>
          </w:p>
          <w:p>
            <w:pPr>
              <w:pStyle w:val="TableParagraph"/>
              <w:spacing w:line="300" w:lineRule="auto" w:before="115"/>
              <w:ind w:left="24" w:right="18" w:firstLine="451"/>
              <w:jc w:val="left"/>
              <w:rPr>
                <w:rFonts w:ascii="宋体" w:hAnsi="宋体" w:cs="宋体" w:eastAsia="宋体" w:hint="default"/>
                <w:sz w:val="18"/>
                <w:szCs w:val="18"/>
              </w:rPr>
            </w:pPr>
            <w:r>
              <w:rPr>
                <w:rFonts w:ascii="宋体" w:hAnsi="宋体" w:cs="宋体" w:eastAsia="宋体" w:hint="default"/>
                <w:spacing w:val="-3"/>
                <w:sz w:val="18"/>
                <w:szCs w:val="18"/>
              </w:rPr>
              <w:t>我们认为，南天信息公司于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 </w:t>
            </w:r>
            <w:r>
              <w:rPr>
                <w:rFonts w:ascii="Times New Roman" w:hAnsi="Times New Roman" w:cs="Times New Roman" w:eastAsia="Times New Roman" w:hint="default"/>
                <w:sz w:val="18"/>
                <w:szCs w:val="18"/>
              </w:rPr>
              <w:t>12 </w:t>
            </w:r>
            <w:r>
              <w:rPr>
                <w:rFonts w:ascii="宋体" w:hAnsi="宋体" w:cs="宋体" w:eastAsia="宋体" w:hint="default"/>
                <w:sz w:val="18"/>
                <w:szCs w:val="18"/>
              </w:rPr>
              <w:t>月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8"/>
                <w:sz w:val="18"/>
                <w:szCs w:val="18"/>
              </w:rPr>
              <w:t> </w:t>
            </w:r>
            <w:r>
              <w:rPr>
                <w:rFonts w:ascii="宋体" w:hAnsi="宋体" w:cs="宋体" w:eastAsia="宋体" w:hint="default"/>
                <w:spacing w:val="-4"/>
                <w:sz w:val="18"/>
                <w:szCs w:val="18"/>
              </w:rPr>
              <w:t>日按照《企业内部控制基本规范》和相关规定在所有重大方面保持了有</w:t>
            </w:r>
            <w:r>
              <w:rPr>
                <w:rFonts w:ascii="宋体" w:hAnsi="宋体" w:cs="宋体" w:eastAsia="宋体" w:hint="default"/>
                <w:w w:val="101"/>
                <w:sz w:val="18"/>
                <w:szCs w:val="18"/>
              </w:rPr>
              <w:t> </w:t>
            </w:r>
            <w:r>
              <w:rPr>
                <w:rFonts w:ascii="宋体" w:hAnsi="宋体" w:cs="宋体" w:eastAsia="宋体" w:hint="default"/>
                <w:spacing w:val="-3"/>
                <w:sz w:val="18"/>
                <w:szCs w:val="18"/>
              </w:rPr>
              <w:t>效的财务报告内部控制。</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3"/>
                <w:szCs w:val="23"/>
              </w:rPr>
            </w:pPr>
          </w:p>
          <w:p>
            <w:pPr>
              <w:pStyle w:val="TableParagraph"/>
              <w:tabs>
                <w:tab w:pos="3807" w:val="left" w:leader="none"/>
              </w:tabs>
              <w:spacing w:line="240" w:lineRule="auto"/>
              <w:ind w:left="24" w:right="0"/>
              <w:jc w:val="left"/>
              <w:rPr>
                <w:rFonts w:ascii="宋体" w:hAnsi="宋体" w:cs="宋体" w:eastAsia="宋体" w:hint="default"/>
                <w:sz w:val="18"/>
                <w:szCs w:val="18"/>
              </w:rPr>
            </w:pPr>
            <w:r>
              <w:rPr>
                <w:rFonts w:ascii="宋体" w:hAnsi="宋体" w:cs="宋体" w:eastAsia="宋体" w:hint="default"/>
                <w:spacing w:val="-3"/>
                <w:sz w:val="18"/>
                <w:szCs w:val="18"/>
              </w:rPr>
              <w:t>信永中和会计师事务所</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特殊普通合伙</w:t>
            </w:r>
            <w:r>
              <w:rPr>
                <w:rFonts w:ascii="Times New Roman" w:hAnsi="Times New Roman" w:cs="Times New Roman" w:eastAsia="Times New Roman" w:hint="default"/>
                <w:spacing w:val="-3"/>
                <w:sz w:val="18"/>
                <w:szCs w:val="18"/>
              </w:rPr>
              <w:t>)</w:t>
              <w:tab/>
            </w:r>
            <w:r>
              <w:rPr>
                <w:rFonts w:ascii="宋体" w:hAnsi="宋体" w:cs="宋体" w:eastAsia="宋体" w:hint="default"/>
                <w:sz w:val="18"/>
                <w:szCs w:val="18"/>
              </w:rPr>
              <w:t>中国注册会计师：张为</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80"/>
              <w:jc w:val="center"/>
              <w:rPr>
                <w:rFonts w:ascii="宋体" w:hAnsi="宋体" w:cs="宋体" w:eastAsia="宋体" w:hint="default"/>
                <w:sz w:val="18"/>
                <w:szCs w:val="18"/>
              </w:rPr>
            </w:pPr>
            <w:r>
              <w:rPr>
                <w:rFonts w:ascii="宋体" w:hAnsi="宋体" w:cs="宋体" w:eastAsia="宋体" w:hint="default"/>
                <w:sz w:val="18"/>
                <w:szCs w:val="18"/>
              </w:rPr>
              <w:t>中国注册会计师：何诚</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7"/>
                <w:szCs w:val="17"/>
              </w:rPr>
            </w:pPr>
          </w:p>
          <w:p>
            <w:pPr>
              <w:pStyle w:val="TableParagraph"/>
              <w:tabs>
                <w:tab w:pos="3807" w:val="left" w:leader="none"/>
              </w:tabs>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宋体" w:hAnsi="宋体" w:cs="宋体" w:eastAsia="宋体" w:hint="default"/>
                <w:spacing w:val="-24"/>
                <w:sz w:val="18"/>
                <w:szCs w:val="18"/>
              </w:rPr>
              <w:t> </w:t>
            </w:r>
            <w:r>
              <w:rPr>
                <w:rFonts w:ascii="宋体" w:hAnsi="宋体" w:cs="宋体" w:eastAsia="宋体" w:hint="default"/>
                <w:sz w:val="18"/>
                <w:szCs w:val="18"/>
              </w:rPr>
              <w:t>北京</w:t>
              <w:tab/>
              <w:t>二</w:t>
            </w:r>
            <w:r>
              <w:rPr>
                <w:rFonts w:ascii="Times New Roman" w:hAnsi="Times New Roman" w:cs="Times New Roman" w:eastAsia="Times New Roman" w:hint="default"/>
                <w:sz w:val="18"/>
                <w:szCs w:val="18"/>
              </w:rPr>
              <w:t>○</w:t>
            </w:r>
            <w:r>
              <w:rPr>
                <w:rFonts w:ascii="宋体" w:hAnsi="宋体" w:cs="宋体" w:eastAsia="宋体" w:hint="default"/>
                <w:sz w:val="18"/>
                <w:szCs w:val="18"/>
              </w:rPr>
              <w:t>二</w:t>
            </w:r>
            <w:r>
              <w:rPr>
                <w:rFonts w:ascii="Times New Roman" w:hAnsi="Times New Roman" w:cs="Times New Roman" w:eastAsia="Times New Roman" w:hint="default"/>
                <w:sz w:val="18"/>
                <w:szCs w:val="18"/>
              </w:rPr>
              <w:t>○</w:t>
            </w:r>
            <w:r>
              <w:rPr>
                <w:rFonts w:ascii="宋体" w:hAnsi="宋体" w:cs="宋体" w:eastAsia="宋体" w:hint="default"/>
                <w:sz w:val="18"/>
                <w:szCs w:val="18"/>
              </w:rPr>
              <w:t>年四月二十三日</w:t>
            </w:r>
          </w:p>
        </w:tc>
      </w:tr>
      <w:tr>
        <w:trPr>
          <w:trHeight w:val="398" w:hRule="exact"/>
        </w:trPr>
        <w:tc>
          <w:tcPr>
            <w:tcW w:w="2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内控审计报告披露情况</w:t>
            </w:r>
          </w:p>
        </w:tc>
        <w:tc>
          <w:tcPr>
            <w:tcW w:w="6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403" w:hRule="exact"/>
        </w:trPr>
        <w:tc>
          <w:tcPr>
            <w:tcW w:w="2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内部控制审计报告全文披露日期</w:t>
            </w:r>
          </w:p>
        </w:tc>
        <w:tc>
          <w:tcPr>
            <w:tcW w:w="6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r>
      <w:tr>
        <w:trPr>
          <w:trHeight w:val="403" w:hRule="exact"/>
        </w:trPr>
        <w:tc>
          <w:tcPr>
            <w:tcW w:w="2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内部控制审计报告全文披露索引</w:t>
            </w:r>
          </w:p>
        </w:tc>
        <w:tc>
          <w:tcPr>
            <w:tcW w:w="6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详见巨潮资讯网（</w:t>
            </w:r>
            <w:hyperlink r:id="rId9">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404" w:hRule="exact"/>
        </w:trPr>
        <w:tc>
          <w:tcPr>
            <w:tcW w:w="2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内控审计报告意见类型</w:t>
            </w:r>
          </w:p>
        </w:tc>
        <w:tc>
          <w:tcPr>
            <w:tcW w:w="6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标准无保留意见</w:t>
            </w:r>
          </w:p>
        </w:tc>
      </w:tr>
      <w:tr>
        <w:trPr>
          <w:trHeight w:val="403" w:hRule="exact"/>
        </w:trPr>
        <w:tc>
          <w:tcPr>
            <w:tcW w:w="2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非财务报告是否存在重大缺陷</w:t>
            </w:r>
          </w:p>
        </w:tc>
        <w:tc>
          <w:tcPr>
            <w:tcW w:w="6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bl>
    <w:p>
      <w:pPr>
        <w:pStyle w:val="BodyText"/>
        <w:spacing w:line="240" w:lineRule="auto" w:before="53"/>
        <w:ind w:right="855"/>
        <w:jc w:val="left"/>
      </w:pPr>
      <w:r>
        <w:rPr>
          <w:spacing w:val="-3"/>
        </w:rPr>
        <w:t>会计师事务所是否出具非标准意见的内部控制审计报告</w:t>
      </w:r>
    </w:p>
    <w:p>
      <w:pPr>
        <w:pStyle w:val="BodyText"/>
        <w:spacing w:line="343" w:lineRule="auto" w:before="110"/>
        <w:ind w:right="4481"/>
        <w:jc w:val="left"/>
      </w:pP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是</w:t>
      </w:r>
      <w:r>
        <w:rPr>
          <w:spacing w:val="-4"/>
        </w:rPr>
        <w:t>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否</w:t>
      </w:r>
      <w:r>
        <w:rPr>
          <w:spacing w:val="-83"/>
        </w:rPr>
        <w:t> </w:t>
      </w:r>
      <w:r>
        <w:rPr>
          <w:spacing w:val="-3"/>
        </w:rPr>
        <w:t>会计师事务所出具的内部控制审计报告与董事会的自我评价报告意见是否一致</w:t>
      </w:r>
    </w:p>
    <w:p>
      <w:pPr>
        <w:pStyle w:val="BodyText"/>
        <w:spacing w:line="240" w:lineRule="auto" w:before="38"/>
        <w:ind w:right="855"/>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after="0" w:line="240" w:lineRule="auto"/>
        <w:jc w:val="left"/>
        <w:sectPr>
          <w:pgSz w:w="11910" w:h="16840"/>
          <w:pgMar w:header="746" w:footer="974"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2967" w:right="855"/>
        <w:jc w:val="left"/>
        <w:rPr>
          <w:b w:val="0"/>
          <w:bCs w:val="0"/>
        </w:rPr>
      </w:pPr>
      <w:bookmarkStart w:name="_bookmark10" w:id="11"/>
      <w:bookmarkEnd w:id="11"/>
      <w:r>
        <w:rPr>
          <w:b w:val="0"/>
          <w:bCs w:val="0"/>
        </w:rPr>
      </w:r>
      <w:r>
        <w:rPr/>
        <w:t>第十一节</w:t>
      </w:r>
      <w:r>
        <w:rPr>
          <w:spacing w:val="2"/>
        </w:rPr>
        <w:t> </w:t>
      </w:r>
      <w:r>
        <w:rPr/>
        <w:t>公司债券相关情况</w:t>
      </w:r>
      <w:r>
        <w:rPr>
          <w:b w:val="0"/>
          <w:bCs w:val="0"/>
        </w:rPr>
      </w:r>
    </w:p>
    <w:p>
      <w:pPr>
        <w:spacing w:line="240" w:lineRule="auto" w:before="7"/>
        <w:rPr>
          <w:rFonts w:ascii="宋体" w:hAnsi="宋体" w:cs="宋体" w:eastAsia="宋体" w:hint="default"/>
          <w:b/>
          <w:bCs/>
          <w:sz w:val="42"/>
          <w:szCs w:val="42"/>
        </w:rPr>
      </w:pPr>
    </w:p>
    <w:p>
      <w:pPr>
        <w:pStyle w:val="BodyText"/>
        <w:spacing w:line="357" w:lineRule="auto"/>
        <w:ind w:right="2115"/>
        <w:jc w:val="left"/>
      </w:pPr>
      <w:r>
        <w:rPr>
          <w:spacing w:val="-3"/>
        </w:rPr>
        <w:t>公司是否存在公开发行并在证券交易所上市，且在年度报告批准报出日未到期或到期未能全额兑付的公司债券</w:t>
      </w:r>
      <w:r>
        <w:rPr>
          <w:spacing w:val="49"/>
        </w:rPr>
        <w:t> </w:t>
      </w:r>
      <w:r>
        <w:rPr>
          <w:spacing w:val="49"/>
        </w:rPr>
      </w:r>
      <w:r>
        <w:rPr/>
        <w:t>否</w:t>
      </w:r>
    </w:p>
    <w:p>
      <w:pPr>
        <w:spacing w:after="0" w:line="357" w:lineRule="auto"/>
        <w:jc w:val="left"/>
        <w:sectPr>
          <w:pgSz w:w="11910" w:h="16840"/>
          <w:pgMar w:header="746" w:footer="974"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606" w:right="855"/>
        <w:jc w:val="left"/>
        <w:rPr>
          <w:b w:val="0"/>
          <w:bCs w:val="0"/>
        </w:rPr>
      </w:pPr>
      <w:bookmarkStart w:name="_bookmark11" w:id="12"/>
      <w:bookmarkEnd w:id="12"/>
      <w:r>
        <w:rPr>
          <w:b w:val="0"/>
          <w:bCs w:val="0"/>
        </w:rPr>
      </w:r>
      <w:r>
        <w:rPr/>
        <w:t>第十二节</w:t>
      </w:r>
      <w:r>
        <w:rPr>
          <w:spacing w:val="-1"/>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7"/>
          <w:szCs w:val="17"/>
        </w:rPr>
      </w:pPr>
    </w:p>
    <w:p>
      <w:pPr>
        <w:pStyle w:val="Heading2"/>
        <w:spacing w:line="240" w:lineRule="auto" w:before="26"/>
        <w:ind w:right="855"/>
        <w:jc w:val="left"/>
        <w:rPr>
          <w:b w:val="0"/>
          <w:bCs w:val="0"/>
        </w:rPr>
      </w:pP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4783"/>
        <w:gridCol w:w="4788"/>
      </w:tblGrid>
      <w:tr>
        <w:trPr>
          <w:trHeight w:val="398"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4"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pacing w:val="-3"/>
                <w:sz w:val="18"/>
                <w:szCs w:val="18"/>
              </w:rPr>
              <w:t>信永中和会计师事务所（特殊普通合伙）</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XYZH/2020KMA30323</w:t>
            </w:r>
          </w:p>
        </w:tc>
      </w:tr>
      <w:tr>
        <w:trPr>
          <w:trHeight w:val="398"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注册会计师姓名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张为、何诚</w:t>
            </w:r>
          </w:p>
        </w:tc>
      </w:tr>
    </w:tbl>
    <w:p>
      <w:pPr>
        <w:spacing w:after="0" w:line="240" w:lineRule="auto"/>
        <w:jc w:val="left"/>
        <w:rPr>
          <w:rFonts w:ascii="宋体" w:hAnsi="宋体" w:cs="宋体" w:eastAsia="宋体" w:hint="default"/>
          <w:sz w:val="18"/>
          <w:szCs w:val="18"/>
        </w:rPr>
        <w:sectPr>
          <w:pgSz w:w="11910" w:h="16840"/>
          <w:pgMar w:header="746" w:footer="974" w:top="1060" w:bottom="1160" w:left="980" w:right="0"/>
        </w:sect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357" w:lineRule="auto" w:before="129"/>
        <w:ind w:left="513" w:right="0" w:hanging="360"/>
        <w:jc w:val="left"/>
        <w:rPr>
          <w:rFonts w:ascii="宋体" w:hAnsi="宋体" w:cs="宋体" w:eastAsia="宋体" w:hint="default"/>
          <w:sz w:val="18"/>
          <w:szCs w:val="18"/>
        </w:rPr>
      </w:pPr>
      <w:r>
        <w:rPr>
          <w:rFonts w:ascii="宋体" w:hAnsi="宋体" w:cs="宋体" w:eastAsia="宋体" w:hint="default"/>
          <w:spacing w:val="-3"/>
          <w:sz w:val="18"/>
          <w:szCs w:val="18"/>
        </w:rPr>
        <w:t>云南南天电子信息产业股份有限公司全体股东：</w:t>
      </w:r>
      <w:r>
        <w:rPr>
          <w:rFonts w:ascii="宋体" w:hAnsi="宋体" w:cs="宋体" w:eastAsia="宋体" w:hint="default"/>
          <w:spacing w:val="-27"/>
          <w:sz w:val="18"/>
          <w:szCs w:val="18"/>
        </w:rPr>
        <w:t> </w:t>
      </w:r>
      <w:r>
        <w:rPr>
          <w:rFonts w:ascii="宋体" w:hAnsi="宋体" w:cs="宋体" w:eastAsia="宋体" w:hint="default"/>
          <w:spacing w:val="-27"/>
          <w:sz w:val="18"/>
          <w:szCs w:val="18"/>
        </w:rPr>
      </w:r>
      <w:r>
        <w:rPr>
          <w:rFonts w:ascii="宋体" w:hAnsi="宋体" w:cs="宋体" w:eastAsia="宋体" w:hint="default"/>
          <w:b/>
          <w:bCs/>
          <w:sz w:val="18"/>
          <w:szCs w:val="18"/>
        </w:rPr>
        <w:t>一、审计意见</w:t>
      </w:r>
      <w:r>
        <w:rPr>
          <w:rFonts w:ascii="宋体" w:hAnsi="宋体" w:cs="宋体" w:eastAsia="宋体" w:hint="default"/>
          <w:sz w:val="18"/>
          <w:szCs w:val="18"/>
        </w:rPr>
      </w:r>
    </w:p>
    <w:p>
      <w:pPr>
        <w:spacing w:line="357" w:lineRule="auto" w:before="53"/>
        <w:ind w:left="330" w:right="-2" w:hanging="178"/>
        <w:jc w:val="left"/>
        <w:rPr>
          <w:rFonts w:ascii="宋体" w:hAnsi="宋体" w:cs="宋体" w:eastAsia="宋体" w:hint="default"/>
          <w:sz w:val="18"/>
          <w:szCs w:val="18"/>
        </w:rPr>
      </w:pPr>
      <w:r>
        <w:rPr>
          <w:spacing w:val="-2"/>
        </w:rPr>
        <w:br w:type="column"/>
      </w:r>
      <w:r>
        <w:rPr>
          <w:rFonts w:ascii="宋体" w:hAnsi="宋体" w:cs="宋体" w:eastAsia="宋体" w:hint="default"/>
          <w:spacing w:val="-2"/>
          <w:sz w:val="18"/>
          <w:szCs w:val="18"/>
        </w:rPr>
        <w:t>审计报告正文</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b/>
          <w:bCs/>
          <w:sz w:val="18"/>
          <w:szCs w:val="18"/>
        </w:rPr>
        <w:t>审计报告</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0"/>
        <w:rPr>
          <w:rFonts w:ascii="宋体" w:hAnsi="宋体" w:cs="宋体" w:eastAsia="宋体" w:hint="default"/>
          <w:b/>
          <w:bCs/>
          <w:sz w:val="18"/>
          <w:szCs w:val="18"/>
        </w:rPr>
      </w:pPr>
    </w:p>
    <w:p>
      <w:pPr>
        <w:spacing w:line="240" w:lineRule="auto" w:before="13"/>
        <w:rPr>
          <w:rFonts w:ascii="宋体" w:hAnsi="宋体" w:cs="宋体" w:eastAsia="宋体" w:hint="default"/>
          <w:b/>
          <w:bCs/>
          <w:sz w:val="21"/>
          <w:szCs w:val="21"/>
        </w:rPr>
      </w:pPr>
    </w:p>
    <w:p>
      <w:pPr>
        <w:pStyle w:val="BodyText"/>
        <w:spacing w:line="240" w:lineRule="auto"/>
        <w:ind w:right="0"/>
        <w:jc w:val="left"/>
        <w:rPr>
          <w:rFonts w:ascii="Times New Roman" w:hAnsi="Times New Roman" w:cs="Times New Roman" w:eastAsia="Times New Roman" w:hint="default"/>
        </w:rPr>
      </w:pPr>
      <w:r>
        <w:rPr>
          <w:rFonts w:ascii="Times New Roman"/>
        </w:rPr>
        <w:t>XYZH/2020KMA30323</w:t>
      </w:r>
    </w:p>
    <w:p>
      <w:pPr>
        <w:spacing w:after="0" w:line="240" w:lineRule="auto"/>
        <w:jc w:val="left"/>
        <w:rPr>
          <w:rFonts w:ascii="Times New Roman" w:hAnsi="Times New Roman" w:cs="Times New Roman" w:eastAsia="Times New Roman" w:hint="default"/>
        </w:rPr>
        <w:sectPr>
          <w:type w:val="continuous"/>
          <w:pgSz w:w="11910" w:h="16840"/>
          <w:pgMar w:top="1060" w:bottom="1160" w:left="980" w:right="0"/>
          <w:cols w:num="3" w:equalWidth="0">
            <w:col w:w="3937" w:space="342"/>
            <w:col w:w="1239" w:space="2348"/>
            <w:col w:w="3064"/>
          </w:cols>
        </w:sectPr>
      </w:pPr>
    </w:p>
    <w:p>
      <w:pPr>
        <w:pStyle w:val="BodyText"/>
        <w:spacing w:line="300" w:lineRule="auto" w:before="27"/>
        <w:ind w:right="1121" w:firstLine="360"/>
        <w:jc w:val="both"/>
      </w:pPr>
      <w:r>
        <w:rPr>
          <w:spacing w:val="-4"/>
        </w:rPr>
        <w:t>我们审计了云南南天电子信息产业股份有限公司（以下简称南天信息公司）财务报表，包括</w:t>
      </w: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31</w:t>
      </w:r>
      <w:r>
        <w:rPr>
          <w:spacing w:val="-4"/>
        </w:rPr>
        <w:t>日的合并及母</w:t>
      </w:r>
      <w:r>
        <w:rPr>
          <w:w w:val="101"/>
        </w:rPr>
        <w:t> </w:t>
      </w:r>
      <w:r>
        <w:rPr>
          <w:spacing w:val="-4"/>
        </w:rPr>
        <w:t>公司资产负债表，</w:t>
      </w:r>
      <w:r>
        <w:rPr>
          <w:rFonts w:ascii="Times New Roman" w:hAnsi="Times New Roman" w:cs="Times New Roman" w:eastAsia="Times New Roman" w:hint="default"/>
          <w:spacing w:val="-4"/>
        </w:rPr>
        <w:t>2019</w:t>
      </w:r>
      <w:r>
        <w:rPr>
          <w:spacing w:val="-4"/>
        </w:rPr>
        <w:t>年度的合并及母公司利润表、合并及母公司现金流量表、合并及母公司股东权益变动表，以及相关财</w:t>
      </w:r>
      <w:r>
        <w:rPr>
          <w:spacing w:val="49"/>
        </w:rPr>
        <w:t> </w:t>
      </w:r>
      <w:r>
        <w:rPr>
          <w:spacing w:val="49"/>
        </w:rPr>
      </w:r>
      <w:r>
        <w:rPr/>
        <w:t>务报表附注。</w:t>
      </w:r>
    </w:p>
    <w:p>
      <w:pPr>
        <w:pStyle w:val="BodyText"/>
        <w:spacing w:line="300" w:lineRule="auto" w:before="70"/>
        <w:ind w:right="1121" w:firstLine="360"/>
        <w:jc w:val="both"/>
      </w:pPr>
      <w:r>
        <w:rPr>
          <w:spacing w:val="-4"/>
        </w:rPr>
        <w:t>我们认为，后附的财务报表在所有重大方面按照企业会计准则的规定编制，公允反映了南天信息公司</w:t>
      </w: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31</w:t>
      </w:r>
      <w:r>
        <w:rPr>
          <w:spacing w:val="-4"/>
        </w:rPr>
        <w:t>日的</w:t>
      </w:r>
      <w:r>
        <w:rPr>
          <w:w w:val="101"/>
        </w:rPr>
        <w:t> </w:t>
      </w:r>
      <w:r>
        <w:rPr>
          <w:spacing w:val="-3"/>
        </w:rPr>
        <w:t>合并及母公司财务状况以及</w:t>
      </w:r>
      <w:r>
        <w:rPr>
          <w:rFonts w:ascii="Times New Roman" w:hAnsi="Times New Roman" w:cs="Times New Roman" w:eastAsia="Times New Roman" w:hint="default"/>
          <w:spacing w:val="-3"/>
        </w:rPr>
        <w:t>2019</w:t>
      </w:r>
      <w:r>
        <w:rPr>
          <w:spacing w:val="-3"/>
        </w:rPr>
        <w:t>年度的合并及母公司经营成果和现金流量。</w:t>
      </w:r>
    </w:p>
    <w:p>
      <w:pPr>
        <w:pStyle w:val="BodyText"/>
        <w:spacing w:line="357" w:lineRule="auto" w:before="56"/>
        <w:ind w:left="513" w:right="855"/>
        <w:jc w:val="left"/>
      </w:pPr>
      <w:r>
        <w:rPr>
          <w:rFonts w:ascii="宋体" w:hAnsi="宋体" w:cs="宋体" w:eastAsia="宋体" w:hint="default"/>
          <w:b/>
          <w:bCs/>
        </w:rPr>
        <w:t>二、形成审计意见的基础</w:t>
      </w:r>
      <w:r>
        <w:rPr>
          <w:rFonts w:ascii="宋体" w:hAnsi="宋体" w:cs="宋体" w:eastAsia="宋体" w:hint="default"/>
          <w:b/>
          <w:bCs/>
          <w:spacing w:val="-88"/>
        </w:rPr>
        <w:t> </w:t>
      </w:r>
      <w:r>
        <w:rPr>
          <w:rFonts w:ascii="宋体" w:hAnsi="宋体" w:cs="宋体" w:eastAsia="宋体" w:hint="default"/>
          <w:b/>
          <w:bCs/>
          <w:spacing w:val="-88"/>
        </w:rPr>
      </w:r>
      <w:r>
        <w:rPr>
          <w:spacing w:val="-4"/>
        </w:rPr>
        <w:t>我们按照中国注册会计师审计准则的规定执行了审计工作。审计报告的</w:t>
      </w:r>
      <w:r>
        <w:rPr>
          <w:rFonts w:ascii="Times New Roman" w:hAnsi="Times New Roman" w:cs="Times New Roman" w:eastAsia="Times New Roman" w:hint="default"/>
          <w:spacing w:val="-4"/>
        </w:rPr>
        <w:t>“</w:t>
      </w:r>
      <w:r>
        <w:rPr>
          <w:spacing w:val="-4"/>
        </w:rPr>
        <w:t>注册会计师对财务报表审计的责任</w:t>
      </w:r>
      <w:r>
        <w:rPr>
          <w:rFonts w:ascii="Times New Roman" w:hAnsi="Times New Roman" w:cs="Times New Roman" w:eastAsia="Times New Roman" w:hint="default"/>
          <w:spacing w:val="-4"/>
        </w:rPr>
        <w:t>”</w:t>
      </w:r>
      <w:r>
        <w:rPr>
          <w:spacing w:val="-4"/>
        </w:rPr>
        <w:t>部分进一步</w:t>
      </w:r>
    </w:p>
    <w:p>
      <w:pPr>
        <w:pStyle w:val="BodyText"/>
        <w:spacing w:line="201" w:lineRule="exact"/>
        <w:ind w:right="855"/>
        <w:jc w:val="left"/>
      </w:pPr>
      <w:r>
        <w:rPr>
          <w:spacing w:val="-4"/>
        </w:rPr>
        <w:t>阐述了我们在这些准则下的责任。按照中国注册会计师职业道德守则，我们独立于南天信息公司，并履行了职业道德方面的</w:t>
      </w:r>
    </w:p>
    <w:p>
      <w:pPr>
        <w:pStyle w:val="BodyText"/>
        <w:spacing w:line="357" w:lineRule="auto" w:before="76"/>
        <w:ind w:left="513" w:right="2924" w:hanging="360"/>
        <w:jc w:val="left"/>
        <w:rPr>
          <w:rFonts w:ascii="宋体" w:hAnsi="宋体" w:cs="宋体" w:eastAsia="宋体" w:hint="default"/>
        </w:rPr>
      </w:pPr>
      <w:r>
        <w:rPr>
          <w:spacing w:val="-3"/>
        </w:rPr>
        <w:t>其他责任。我们相信，我们获取的审计证据是充分、适当的，为发表审计意见提供了基础。</w:t>
      </w:r>
      <w:r>
        <w:rPr>
          <w:spacing w:val="25"/>
        </w:rPr>
        <w:t> </w:t>
      </w:r>
      <w:r>
        <w:rPr>
          <w:spacing w:val="25"/>
        </w:rPr>
      </w:r>
      <w:r>
        <w:rPr>
          <w:rFonts w:ascii="宋体" w:hAnsi="宋体" w:cs="宋体" w:eastAsia="宋体" w:hint="default"/>
          <w:b/>
          <w:bCs/>
        </w:rPr>
        <w:t>三、关键审计事项</w:t>
      </w:r>
      <w:r>
        <w:rPr>
          <w:rFonts w:ascii="宋体" w:hAnsi="宋体" w:cs="宋体" w:eastAsia="宋体" w:hint="default"/>
        </w:rPr>
      </w:r>
    </w:p>
    <w:p>
      <w:pPr>
        <w:pStyle w:val="BodyText"/>
        <w:spacing w:line="316" w:lineRule="auto" w:before="32"/>
        <w:ind w:right="1122" w:firstLine="360"/>
        <w:jc w:val="both"/>
      </w:pPr>
      <w:r>
        <w:rPr>
          <w:spacing w:val="-4"/>
        </w:rPr>
        <w:t>关键审计事项是我们根据职业判断，认为对本期财务报表审计最为重要的事项。这些事项的应对以对财务报表整体进行</w:t>
      </w:r>
      <w:r>
        <w:rPr>
          <w:w w:val="101"/>
        </w:rPr>
        <w:t> </w:t>
      </w:r>
      <w:r>
        <w:rPr>
          <w:spacing w:val="-3"/>
        </w:rPr>
        <w:t>审计并形成审计意见为背景，我们不对这些事项单独发表意见。</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spacing w:line="240" w:lineRule="auto" w:before="46"/>
        <w:ind w:left="0" w:right="1041"/>
        <w:jc w:val="right"/>
      </w:pPr>
      <w:r>
        <w:rPr/>
        <w:pict>
          <v:shape style="position:absolute;margin-left:56.183998pt;margin-top:-112.248245pt;width:483.2pt;height:208.85pt;mso-position-horizontal-relative:page;mso-position-vertical-relative:paragraph;z-index:19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399"/>
                    <w:gridCol w:w="5244"/>
                  </w:tblGrid>
                  <w:tr>
                    <w:trPr>
                      <w:trHeight w:val="346" w:hRule="exact"/>
                    </w:trPr>
                    <w:tc>
                      <w:tcPr>
                        <w:tcW w:w="964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收入确认时点</w:t>
                        </w:r>
                        <w:r>
                          <w:rPr>
                            <w:rFonts w:ascii="宋体" w:hAnsi="宋体" w:cs="宋体" w:eastAsia="宋体" w:hint="default"/>
                            <w:sz w:val="18"/>
                            <w:szCs w:val="18"/>
                          </w:rPr>
                        </w:r>
                      </w:p>
                    </w:tc>
                  </w:tr>
                  <w:tr>
                    <w:trPr>
                      <w:trHeight w:val="350" w:hRule="exact"/>
                    </w:trPr>
                    <w:tc>
                      <w:tcPr>
                        <w:tcW w:w="43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b/>
                            <w:bCs/>
                            <w:sz w:val="18"/>
                            <w:szCs w:val="18"/>
                          </w:rPr>
                          <w:t>关键审计事项</w:t>
                        </w:r>
                        <w:r>
                          <w:rPr>
                            <w:rFonts w:ascii="宋体" w:hAnsi="宋体" w:cs="宋体" w:eastAsia="宋体" w:hint="default"/>
                            <w:sz w:val="18"/>
                            <w:szCs w:val="18"/>
                          </w:rPr>
                        </w:r>
                      </w:p>
                    </w:tc>
                    <w:tc>
                      <w:tcPr>
                        <w:tcW w:w="5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9" w:right="0"/>
                          <w:jc w:val="center"/>
                          <w:rPr>
                            <w:rFonts w:ascii="宋体" w:hAnsi="宋体" w:cs="宋体" w:eastAsia="宋体" w:hint="default"/>
                            <w:sz w:val="18"/>
                            <w:szCs w:val="18"/>
                          </w:rPr>
                        </w:pPr>
                        <w:r>
                          <w:rPr>
                            <w:rFonts w:ascii="宋体" w:hAnsi="宋体" w:cs="宋体" w:eastAsia="宋体" w:hint="default"/>
                            <w:b/>
                            <w:bCs/>
                            <w:sz w:val="18"/>
                            <w:szCs w:val="18"/>
                          </w:rPr>
                          <w:t>审计中的应对</w:t>
                        </w:r>
                        <w:r>
                          <w:rPr>
                            <w:rFonts w:ascii="宋体" w:hAnsi="宋体" w:cs="宋体" w:eastAsia="宋体" w:hint="default"/>
                            <w:sz w:val="18"/>
                            <w:szCs w:val="18"/>
                          </w:rPr>
                        </w:r>
                      </w:p>
                    </w:tc>
                  </w:tr>
                  <w:tr>
                    <w:trPr>
                      <w:trHeight w:val="3467" w:hRule="exact"/>
                    </w:trPr>
                    <w:tc>
                      <w:tcPr>
                        <w:tcW w:w="439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20" w:firstLine="292"/>
                          <w:jc w:val="both"/>
                          <w:rPr>
                            <w:rFonts w:ascii="宋体" w:hAnsi="宋体" w:cs="宋体" w:eastAsia="宋体" w:hint="default"/>
                            <w:sz w:val="18"/>
                            <w:szCs w:val="18"/>
                          </w:rPr>
                        </w:pPr>
                        <w:r>
                          <w:rPr>
                            <w:rFonts w:ascii="宋体" w:hAnsi="宋体" w:cs="宋体" w:eastAsia="宋体" w:hint="default"/>
                            <w:spacing w:val="-5"/>
                            <w:sz w:val="18"/>
                            <w:szCs w:val="18"/>
                          </w:rPr>
                          <w:t>南天信息的主营业务主要分为三类：集成解决方案、</w:t>
                        </w:r>
                        <w:r>
                          <w:rPr>
                            <w:rFonts w:ascii="宋体" w:hAnsi="宋体" w:cs="宋体" w:eastAsia="宋体" w:hint="default"/>
                            <w:spacing w:val="-33"/>
                            <w:w w:val="101"/>
                            <w:sz w:val="18"/>
                            <w:szCs w:val="18"/>
                          </w:rPr>
                          <w:t> </w:t>
                        </w:r>
                        <w:r>
                          <w:rPr>
                            <w:rFonts w:ascii="宋体" w:hAnsi="宋体" w:cs="宋体" w:eastAsia="宋体" w:hint="default"/>
                            <w:sz w:val="18"/>
                            <w:szCs w:val="18"/>
                          </w:rPr>
                          <w:t>软件开发及服务和智能渠道解决方案，各类业务的收入</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4"/>
                            <w:sz w:val="18"/>
                            <w:szCs w:val="18"/>
                          </w:rPr>
                          <w:t>确认标准分别为：（</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）集成解决方案是指根据客户的需</w:t>
                        </w:r>
                        <w:r>
                          <w:rPr>
                            <w:rFonts w:ascii="宋体" w:hAnsi="宋体" w:cs="宋体" w:eastAsia="宋体" w:hint="default"/>
                            <w:spacing w:val="-27"/>
                            <w:sz w:val="18"/>
                            <w:szCs w:val="18"/>
                          </w:rPr>
                          <w:t> </w:t>
                        </w:r>
                        <w:r>
                          <w:rPr>
                            <w:rFonts w:ascii="宋体" w:hAnsi="宋体" w:cs="宋体" w:eastAsia="宋体" w:hint="default"/>
                            <w:spacing w:val="-27"/>
                            <w:sz w:val="18"/>
                            <w:szCs w:val="18"/>
                          </w:rPr>
                        </w:r>
                        <w:r>
                          <w:rPr>
                            <w:rFonts w:ascii="宋体" w:hAnsi="宋体" w:cs="宋体" w:eastAsia="宋体" w:hint="default"/>
                            <w:sz w:val="18"/>
                            <w:szCs w:val="18"/>
                          </w:rPr>
                          <w:t>求，为其数据平台建设和升级提供规划设计、软硬件选</w:t>
                        </w:r>
                        <w:r>
                          <w:rPr>
                            <w:rFonts w:ascii="宋体" w:hAnsi="宋体" w:cs="宋体" w:eastAsia="宋体" w:hint="default"/>
                            <w:spacing w:val="-33"/>
                            <w:sz w:val="18"/>
                            <w:szCs w:val="18"/>
                          </w:rPr>
                          <w:t> </w:t>
                        </w:r>
                        <w:r>
                          <w:rPr>
                            <w:rFonts w:ascii="宋体" w:hAnsi="宋体" w:cs="宋体" w:eastAsia="宋体" w:hint="default"/>
                            <w:sz w:val="18"/>
                            <w:szCs w:val="18"/>
                          </w:rPr>
                          <w:t>型、开发实施以及安装调试等工作的过程。集成解决方</w:t>
                        </w:r>
                        <w:r>
                          <w:rPr>
                            <w:rFonts w:ascii="宋体" w:hAnsi="宋体" w:cs="宋体" w:eastAsia="宋体" w:hint="default"/>
                            <w:spacing w:val="-33"/>
                            <w:sz w:val="18"/>
                            <w:szCs w:val="18"/>
                          </w:rPr>
                          <w:t> </w:t>
                        </w:r>
                        <w:r>
                          <w:rPr>
                            <w:rFonts w:ascii="宋体" w:hAnsi="宋体" w:cs="宋体" w:eastAsia="宋体" w:hint="default"/>
                            <w:sz w:val="18"/>
                            <w:szCs w:val="18"/>
                          </w:rPr>
                          <w:t>案主要分为两类，一类是在按照合同约定内容向购买方</w:t>
                        </w:r>
                        <w:r>
                          <w:rPr>
                            <w:rFonts w:ascii="宋体" w:hAnsi="宋体" w:cs="宋体" w:eastAsia="宋体" w:hint="default"/>
                            <w:spacing w:val="-33"/>
                            <w:sz w:val="18"/>
                            <w:szCs w:val="18"/>
                          </w:rPr>
                          <w:t> </w:t>
                        </w:r>
                        <w:r>
                          <w:rPr>
                            <w:rFonts w:ascii="宋体" w:hAnsi="宋体" w:cs="宋体" w:eastAsia="宋体" w:hint="default"/>
                            <w:sz w:val="18"/>
                            <w:szCs w:val="18"/>
                          </w:rPr>
                          <w:t>移交了所提供的软硬件产品、并完成安装调试，取得了</w:t>
                        </w:r>
                        <w:r>
                          <w:rPr>
                            <w:rFonts w:ascii="宋体" w:hAnsi="宋体" w:cs="宋体" w:eastAsia="宋体" w:hint="default"/>
                            <w:spacing w:val="-33"/>
                            <w:sz w:val="18"/>
                            <w:szCs w:val="18"/>
                          </w:rPr>
                          <w:t> </w:t>
                        </w:r>
                        <w:r>
                          <w:rPr>
                            <w:rFonts w:ascii="宋体" w:hAnsi="宋体" w:cs="宋体" w:eastAsia="宋体" w:hint="default"/>
                            <w:sz w:val="18"/>
                            <w:szCs w:val="18"/>
                          </w:rPr>
                          <w:t>购买方的验收报告后确认收入；对于需要跨年度完成的</w:t>
                        </w:r>
                        <w:r>
                          <w:rPr>
                            <w:rFonts w:ascii="宋体" w:hAnsi="宋体" w:cs="宋体" w:eastAsia="宋体" w:hint="default"/>
                            <w:spacing w:val="-33"/>
                            <w:sz w:val="18"/>
                            <w:szCs w:val="18"/>
                          </w:rPr>
                          <w:t> </w:t>
                        </w:r>
                        <w:r>
                          <w:rPr>
                            <w:rFonts w:ascii="宋体" w:hAnsi="宋体" w:cs="宋体" w:eastAsia="宋体" w:hint="default"/>
                            <w:sz w:val="18"/>
                            <w:szCs w:val="18"/>
                          </w:rPr>
                          <w:t>项目，年末由业务部门结合完工情况出具进度单经客户</w:t>
                        </w:r>
                        <w:r>
                          <w:rPr>
                            <w:rFonts w:ascii="宋体" w:hAnsi="宋体" w:cs="宋体" w:eastAsia="宋体" w:hint="default"/>
                            <w:spacing w:val="-33"/>
                            <w:sz w:val="18"/>
                            <w:szCs w:val="18"/>
                          </w:rPr>
                          <w:t> </w:t>
                        </w:r>
                        <w:r>
                          <w:rPr>
                            <w:rFonts w:ascii="宋体" w:hAnsi="宋体" w:cs="宋体" w:eastAsia="宋体" w:hint="default"/>
                            <w:sz w:val="18"/>
                            <w:szCs w:val="18"/>
                          </w:rPr>
                          <w:t>确认后确认收入。一类是系统集成维保服务业务，以合</w:t>
                        </w:r>
                        <w:r>
                          <w:rPr>
                            <w:rFonts w:ascii="宋体" w:hAnsi="宋体" w:cs="宋体" w:eastAsia="宋体" w:hint="default"/>
                            <w:spacing w:val="-33"/>
                            <w:sz w:val="18"/>
                            <w:szCs w:val="18"/>
                          </w:rPr>
                          <w:t> </w:t>
                        </w:r>
                        <w:r>
                          <w:rPr>
                            <w:rFonts w:ascii="宋体" w:hAnsi="宋体" w:cs="宋体" w:eastAsia="宋体" w:hint="default"/>
                            <w:spacing w:val="-4"/>
                            <w:sz w:val="18"/>
                            <w:szCs w:val="18"/>
                          </w:rPr>
                          <w:t>同约定的服务期限内经客户验收确认收入。（</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）软件开</w:t>
                        </w:r>
                      </w:p>
                    </w:tc>
                    <w:tc>
                      <w:tcPr>
                        <w:tcW w:w="5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我们针对营业收入确认时点执行的审计程序主要包括：</w:t>
                        </w:r>
                      </w:p>
                      <w:p>
                        <w:pPr>
                          <w:pStyle w:val="TableParagraph"/>
                          <w:spacing w:line="312" w:lineRule="auto" w:before="77"/>
                          <w:ind w:left="4" w:right="-5"/>
                          <w:jc w:val="left"/>
                          <w:rPr>
                            <w:rFonts w:ascii="宋体" w:hAnsi="宋体" w:cs="宋体" w:eastAsia="宋体" w:hint="default"/>
                            <w:sz w:val="18"/>
                            <w:szCs w:val="18"/>
                          </w:rPr>
                        </w:pPr>
                        <w:r>
                          <w:rPr>
                            <w:rFonts w:ascii="宋体" w:hAnsi="宋体" w:cs="宋体" w:eastAsia="宋体" w:hint="default"/>
                            <w:spacing w:val="-6"/>
                            <w:w w:val="101"/>
                            <w:sz w:val="18"/>
                            <w:szCs w:val="18"/>
                          </w:rPr>
                          <w:t>（</w:t>
                        </w:r>
                        <w:r>
                          <w:rPr>
                            <w:rFonts w:ascii="Times New Roman" w:hAnsi="Times New Roman" w:cs="Times New Roman" w:eastAsia="Times New Roman" w:hint="default"/>
                            <w:spacing w:val="-6"/>
                            <w:w w:val="101"/>
                            <w:sz w:val="18"/>
                            <w:szCs w:val="18"/>
                          </w:rPr>
                          <w:t>1</w:t>
                        </w:r>
                        <w:r>
                          <w:rPr>
                            <w:rFonts w:ascii="宋体" w:hAnsi="宋体" w:cs="宋体" w:eastAsia="宋体" w:hint="default"/>
                            <w:spacing w:val="-6"/>
                            <w:w w:val="101"/>
                            <w:sz w:val="18"/>
                            <w:szCs w:val="18"/>
                          </w:rPr>
                          <w:t>）测试与营业收入确认环节相关的内部控制的设计与运行的有效</w:t>
                        </w:r>
                        <w:r>
                          <w:rPr>
                            <w:rFonts w:ascii="宋体" w:hAnsi="宋体" w:cs="宋体" w:eastAsia="宋体" w:hint="default"/>
                            <w:spacing w:val="-69"/>
                            <w:w w:val="101"/>
                            <w:sz w:val="18"/>
                            <w:szCs w:val="18"/>
                          </w:rPr>
                          <w:t> </w:t>
                        </w:r>
                        <w:r>
                          <w:rPr>
                            <w:rFonts w:ascii="宋体" w:hAnsi="宋体" w:cs="宋体" w:eastAsia="宋体" w:hint="default"/>
                            <w:spacing w:val="-69"/>
                            <w:w w:val="101"/>
                            <w:sz w:val="18"/>
                            <w:szCs w:val="18"/>
                          </w:rPr>
                        </w:r>
                        <w:r>
                          <w:rPr>
                            <w:rFonts w:ascii="宋体" w:hAnsi="宋体" w:cs="宋体" w:eastAsia="宋体" w:hint="default"/>
                            <w:spacing w:val="-6"/>
                            <w:sz w:val="18"/>
                            <w:szCs w:val="18"/>
                          </w:rPr>
                          <w:t>性；（</w:t>
                        </w: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）选取样本检查销售合同，识别与商品所有权上的风险和报</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pacing w:val="-3"/>
                            <w:sz w:val="18"/>
                            <w:szCs w:val="18"/>
                          </w:rPr>
                          <w:t>酬转移相关的合同条款与条件，并与同行业同类业务收入确认时点</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pacing w:val="-3"/>
                            <w:sz w:val="18"/>
                            <w:szCs w:val="18"/>
                          </w:rPr>
                          <w:t>比较，评价南天信息公司的收入确认时点是否符企业合企业会计准</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pacing w:val="-3"/>
                            <w:sz w:val="18"/>
                            <w:szCs w:val="18"/>
                          </w:rPr>
                          <w:t>则的要求；（</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）对本年记录的收入交易选取样本，检查相关资料</w:t>
                        </w:r>
                        <w:r>
                          <w:rPr>
                            <w:rFonts w:ascii="宋体" w:hAnsi="宋体" w:cs="宋体" w:eastAsia="宋体" w:hint="default"/>
                            <w:sz w:val="18"/>
                            <w:szCs w:val="18"/>
                          </w:rPr>
                          <w:t> </w:t>
                        </w:r>
                        <w:r>
                          <w:rPr>
                            <w:rFonts w:ascii="宋体" w:hAnsi="宋体" w:cs="宋体" w:eastAsia="宋体" w:hint="default"/>
                            <w:sz w:val="18"/>
                            <w:szCs w:val="18"/>
                          </w:rPr>
                        </w:r>
                        <w:r>
                          <w:rPr>
                            <w:rFonts w:ascii="宋体" w:hAnsi="宋体" w:cs="宋体" w:eastAsia="宋体" w:hint="default"/>
                            <w:spacing w:val="-3"/>
                            <w:sz w:val="18"/>
                            <w:szCs w:val="18"/>
                          </w:rPr>
                          <w:t>评价相关收入确认是否符合南天信息公司收入确认的会计政策，并</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pacing w:val="-3"/>
                            <w:sz w:val="18"/>
                            <w:szCs w:val="18"/>
                          </w:rPr>
                          <w:t>检查相关会计处理是否正确。针对集成解决方案业务，我们检查了</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pacing w:val="-3"/>
                            <w:sz w:val="18"/>
                            <w:szCs w:val="18"/>
                          </w:rPr>
                          <w:t>销售合同和验收报告，对于需要在跨年度期限内提供的集成解决方</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pacing w:val="-3"/>
                            <w:sz w:val="18"/>
                            <w:szCs w:val="18"/>
                          </w:rPr>
                          <w:t>案业务，我们与管理层讨论完工进度确认方法的合理性，并与账面</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pacing w:val="-3"/>
                            <w:sz w:val="18"/>
                            <w:szCs w:val="18"/>
                          </w:rPr>
                          <w:t>记录进行比较；针对软件开发及服务业务我们检查了销售合同和验</w:t>
                        </w:r>
                      </w:p>
                    </w:tc>
                  </w:tr>
                </w:tbl>
                <w:p>
                  <w:pPr/>
                </w:p>
              </w:txbxContent>
            </v:textbox>
            <w10:wrap type="none"/>
          </v:shape>
        </w:pict>
      </w:r>
      <w:r>
        <w:rPr>
          <w:w w:val="101"/>
        </w:rPr>
        <w:t>，</w:t>
      </w:r>
      <w:r>
        <w:rPr/>
      </w:r>
    </w:p>
    <w:p>
      <w:pPr>
        <w:spacing w:after="0" w:line="240" w:lineRule="auto"/>
        <w:jc w:val="right"/>
        <w:sectPr>
          <w:type w:val="continuous"/>
          <w:pgSz w:w="11910" w:h="16840"/>
          <w:pgMar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pStyle w:val="BodyText"/>
        <w:spacing w:line="240" w:lineRule="auto" w:before="46"/>
        <w:ind w:left="0" w:right="1041"/>
        <w:jc w:val="right"/>
      </w:pPr>
      <w:r>
        <w:rPr/>
        <w:pict>
          <v:shape style="position:absolute;margin-left:56.183998pt;margin-top:-254.388275pt;width:483.2pt;height:637.2pt;mso-position-horizontal-relative:page;mso-position-vertical-relative:paragraph;z-index:19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399"/>
                    <w:gridCol w:w="5244"/>
                  </w:tblGrid>
                  <w:tr>
                    <w:trPr>
                      <w:trHeight w:val="4091" w:hRule="exact"/>
                    </w:trPr>
                    <w:tc>
                      <w:tcPr>
                        <w:tcW w:w="439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0"/>
                          <w:jc w:val="both"/>
                          <w:rPr>
                            <w:rFonts w:ascii="宋体" w:hAnsi="宋体" w:cs="宋体" w:eastAsia="宋体" w:hint="default"/>
                            <w:sz w:val="18"/>
                            <w:szCs w:val="18"/>
                          </w:rPr>
                        </w:pPr>
                        <w:r>
                          <w:rPr>
                            <w:rFonts w:ascii="宋体" w:hAnsi="宋体" w:cs="宋体" w:eastAsia="宋体" w:hint="default"/>
                            <w:sz w:val="18"/>
                            <w:szCs w:val="18"/>
                          </w:rPr>
                          <w:t>发及服务主要是针对数据平台所涉及的操作系统、虚拟</w:t>
                        </w:r>
                        <w:r>
                          <w:rPr>
                            <w:rFonts w:ascii="宋体" w:hAnsi="宋体" w:cs="宋体" w:eastAsia="宋体" w:hint="default"/>
                            <w:spacing w:val="-33"/>
                            <w:sz w:val="18"/>
                            <w:szCs w:val="18"/>
                          </w:rPr>
                          <w:t> </w:t>
                        </w:r>
                        <w:r>
                          <w:rPr>
                            <w:rFonts w:ascii="宋体" w:hAnsi="宋体" w:cs="宋体" w:eastAsia="宋体" w:hint="default"/>
                            <w:sz w:val="18"/>
                            <w:szCs w:val="18"/>
                          </w:rPr>
                          <w:t>化、服务器、中间件、数据库、存储设备、备份软件等</w:t>
                        </w:r>
                        <w:r>
                          <w:rPr>
                            <w:rFonts w:ascii="宋体" w:hAnsi="宋体" w:cs="宋体" w:eastAsia="宋体" w:hint="default"/>
                            <w:spacing w:val="-33"/>
                            <w:sz w:val="18"/>
                            <w:szCs w:val="18"/>
                          </w:rPr>
                          <w:t> </w:t>
                        </w:r>
                        <w:r>
                          <w:rPr>
                            <w:rFonts w:ascii="宋体" w:hAnsi="宋体" w:cs="宋体" w:eastAsia="宋体" w:hint="default"/>
                            <w:sz w:val="18"/>
                            <w:szCs w:val="18"/>
                          </w:rPr>
                          <w:t>多品牌产品，提供从咨询、运维、优化和提升等各阶段</w:t>
                        </w:r>
                        <w:r>
                          <w:rPr>
                            <w:rFonts w:ascii="宋体" w:hAnsi="宋体" w:cs="宋体" w:eastAsia="宋体" w:hint="default"/>
                            <w:spacing w:val="-33"/>
                            <w:sz w:val="18"/>
                            <w:szCs w:val="18"/>
                          </w:rPr>
                          <w:t> </w:t>
                        </w:r>
                        <w:r>
                          <w:rPr>
                            <w:rFonts w:ascii="宋体" w:hAnsi="宋体" w:cs="宋体" w:eastAsia="宋体" w:hint="default"/>
                            <w:sz w:val="18"/>
                            <w:szCs w:val="18"/>
                          </w:rPr>
                          <w:t>专业服务。对于一次性提供的专业服务，在服务已经完</w:t>
                        </w:r>
                        <w:r>
                          <w:rPr>
                            <w:rFonts w:ascii="宋体" w:hAnsi="宋体" w:cs="宋体" w:eastAsia="宋体" w:hint="default"/>
                            <w:spacing w:val="-33"/>
                            <w:sz w:val="18"/>
                            <w:szCs w:val="18"/>
                          </w:rPr>
                          <w:t> </w:t>
                        </w:r>
                        <w:r>
                          <w:rPr>
                            <w:rFonts w:ascii="宋体" w:hAnsi="宋体" w:cs="宋体" w:eastAsia="宋体" w:hint="default"/>
                            <w:sz w:val="18"/>
                            <w:szCs w:val="18"/>
                          </w:rPr>
                          <w:t>成，取得客户对相关服务的验收单后确认收入；对于需</w:t>
                        </w:r>
                        <w:r>
                          <w:rPr>
                            <w:rFonts w:ascii="宋体" w:hAnsi="宋体" w:cs="宋体" w:eastAsia="宋体" w:hint="default"/>
                            <w:spacing w:val="-33"/>
                            <w:sz w:val="18"/>
                            <w:szCs w:val="18"/>
                          </w:rPr>
                          <w:t> </w:t>
                        </w:r>
                        <w:r>
                          <w:rPr>
                            <w:rFonts w:ascii="宋体" w:hAnsi="宋体" w:cs="宋体" w:eastAsia="宋体" w:hint="default"/>
                            <w:sz w:val="18"/>
                            <w:szCs w:val="18"/>
                          </w:rPr>
                          <w:t>要在跨年度期限内提供的专业服务，由业务部门结合完</w:t>
                        </w:r>
                        <w:r>
                          <w:rPr>
                            <w:rFonts w:ascii="宋体" w:hAnsi="宋体" w:cs="宋体" w:eastAsia="宋体" w:hint="default"/>
                            <w:spacing w:val="-33"/>
                            <w:sz w:val="18"/>
                            <w:szCs w:val="18"/>
                          </w:rPr>
                          <w:t> </w:t>
                        </w:r>
                        <w:r>
                          <w:rPr>
                            <w:rFonts w:ascii="宋体" w:hAnsi="宋体" w:cs="宋体" w:eastAsia="宋体" w:hint="default"/>
                            <w:spacing w:val="-4"/>
                            <w:sz w:val="18"/>
                            <w:szCs w:val="18"/>
                          </w:rPr>
                          <w:t>工情况出具进度单经客户确认后确认收入。（</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）智能渠</w:t>
                        </w:r>
                        <w:r>
                          <w:rPr>
                            <w:rFonts w:ascii="宋体" w:hAnsi="宋体" w:cs="宋体" w:eastAsia="宋体" w:hint="default"/>
                            <w:spacing w:val="-26"/>
                            <w:sz w:val="18"/>
                            <w:szCs w:val="18"/>
                          </w:rPr>
                          <w:t> </w:t>
                        </w:r>
                        <w:r>
                          <w:rPr>
                            <w:rFonts w:ascii="宋体" w:hAnsi="宋体" w:cs="宋体" w:eastAsia="宋体" w:hint="default"/>
                            <w:spacing w:val="-26"/>
                            <w:sz w:val="18"/>
                            <w:szCs w:val="18"/>
                          </w:rPr>
                        </w:r>
                        <w:r>
                          <w:rPr>
                            <w:rFonts w:ascii="宋体" w:hAnsi="宋体" w:cs="宋体" w:eastAsia="宋体" w:hint="default"/>
                            <w:sz w:val="18"/>
                            <w:szCs w:val="18"/>
                          </w:rPr>
                          <w:t>道解决方案主要是自产信息产品的销售，产品销售在按</w:t>
                        </w:r>
                        <w:r>
                          <w:rPr>
                            <w:rFonts w:ascii="宋体" w:hAnsi="宋体" w:cs="宋体" w:eastAsia="宋体" w:hint="default"/>
                            <w:spacing w:val="-33"/>
                            <w:sz w:val="18"/>
                            <w:szCs w:val="18"/>
                          </w:rPr>
                          <w:t> </w:t>
                        </w:r>
                        <w:r>
                          <w:rPr>
                            <w:rFonts w:ascii="宋体" w:hAnsi="宋体" w:cs="宋体" w:eastAsia="宋体" w:hint="default"/>
                            <w:sz w:val="18"/>
                            <w:szCs w:val="18"/>
                          </w:rPr>
                          <w:t>照合同约定向购买方移交了产品并取得签收凭证时确认</w:t>
                        </w:r>
                        <w:r>
                          <w:rPr>
                            <w:rFonts w:ascii="宋体" w:hAnsi="宋体" w:cs="宋体" w:eastAsia="宋体" w:hint="default"/>
                            <w:spacing w:val="-33"/>
                            <w:sz w:val="18"/>
                            <w:szCs w:val="18"/>
                          </w:rPr>
                          <w:t> </w:t>
                        </w:r>
                        <w:r>
                          <w:rPr>
                            <w:rFonts w:ascii="宋体" w:hAnsi="宋体" w:cs="宋体" w:eastAsia="宋体" w:hint="default"/>
                            <w:sz w:val="18"/>
                            <w:szCs w:val="18"/>
                          </w:rPr>
                          <w:t>收入。由于收入是南天信息公司的关键业绩指标之一，</w:t>
                        </w:r>
                        <w:r>
                          <w:rPr>
                            <w:rFonts w:ascii="宋体" w:hAnsi="宋体" w:cs="宋体" w:eastAsia="宋体" w:hint="default"/>
                            <w:spacing w:val="-33"/>
                            <w:sz w:val="18"/>
                            <w:szCs w:val="18"/>
                          </w:rPr>
                          <w:t> </w:t>
                        </w:r>
                        <w:r>
                          <w:rPr>
                            <w:rFonts w:ascii="宋体" w:hAnsi="宋体" w:cs="宋体" w:eastAsia="宋体" w:hint="default"/>
                            <w:sz w:val="18"/>
                            <w:szCs w:val="18"/>
                          </w:rPr>
                          <w:t>从而存在管理层为了达到特定目标或期望而操纵收入确</w:t>
                        </w:r>
                        <w:r>
                          <w:rPr>
                            <w:rFonts w:ascii="宋体" w:hAnsi="宋体" w:cs="宋体" w:eastAsia="宋体" w:hint="default"/>
                            <w:spacing w:val="-33"/>
                            <w:sz w:val="18"/>
                            <w:szCs w:val="18"/>
                          </w:rPr>
                          <w:t> </w:t>
                        </w:r>
                        <w:r>
                          <w:rPr>
                            <w:rFonts w:ascii="宋体" w:hAnsi="宋体" w:cs="宋体" w:eastAsia="宋体" w:hint="default"/>
                            <w:sz w:val="18"/>
                            <w:szCs w:val="18"/>
                          </w:rPr>
                          <w:t>认时点的固有风险，我们将收入确认识别为关键审计事</w:t>
                        </w:r>
                        <w:r>
                          <w:rPr>
                            <w:rFonts w:ascii="宋体" w:hAnsi="宋体" w:cs="宋体" w:eastAsia="宋体" w:hint="default"/>
                            <w:spacing w:val="-33"/>
                            <w:sz w:val="18"/>
                            <w:szCs w:val="18"/>
                          </w:rPr>
                          <w:t> </w:t>
                        </w:r>
                        <w:r>
                          <w:rPr>
                            <w:rFonts w:ascii="宋体" w:hAnsi="宋体" w:cs="宋体" w:eastAsia="宋体" w:hint="default"/>
                            <w:sz w:val="18"/>
                            <w:szCs w:val="18"/>
                          </w:rPr>
                          <w:t>项。</w:t>
                        </w:r>
                      </w:p>
                    </w:tc>
                    <w:tc>
                      <w:tcPr>
                        <w:tcW w:w="5244" w:type="dxa"/>
                        <w:tcBorders>
                          <w:top w:val="single" w:sz="6" w:space="0" w:color="000000"/>
                          <w:left w:val="single" w:sz="6" w:space="0" w:color="000000"/>
                          <w:bottom w:val="single" w:sz="6" w:space="0" w:color="000000"/>
                          <w:right w:val="single" w:sz="6" w:space="0" w:color="000000"/>
                        </w:tcBorders>
                      </w:tcPr>
                      <w:p>
                        <w:pPr>
                          <w:pStyle w:val="TableParagraph"/>
                          <w:spacing w:line="312" w:lineRule="auto" w:before="20"/>
                          <w:ind w:left="4" w:right="-5"/>
                          <w:jc w:val="left"/>
                          <w:rPr>
                            <w:rFonts w:ascii="宋体" w:hAnsi="宋体" w:cs="宋体" w:eastAsia="宋体" w:hint="default"/>
                            <w:sz w:val="18"/>
                            <w:szCs w:val="18"/>
                          </w:rPr>
                        </w:pPr>
                        <w:r>
                          <w:rPr>
                            <w:rFonts w:ascii="宋体" w:hAnsi="宋体" w:cs="宋体" w:eastAsia="宋体" w:hint="default"/>
                            <w:spacing w:val="-3"/>
                            <w:sz w:val="18"/>
                            <w:szCs w:val="18"/>
                          </w:rPr>
                          <w:t>收报告，对于需要在跨年度期限内提供的专业服务，我们与管理层</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pacing w:val="-3"/>
                            <w:sz w:val="18"/>
                            <w:szCs w:val="18"/>
                          </w:rPr>
                          <w:t>讨论完工进度确认方法的合理性，并与账面记录进行比较。针对智</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pacing w:val="-6"/>
                            <w:sz w:val="18"/>
                            <w:szCs w:val="18"/>
                          </w:rPr>
                          <w:t>能渠道解决方案业务，我们检查了销售合同和签收凭证。（</w:t>
                        </w:r>
                        <w:r>
                          <w:rPr>
                            <w:rFonts w:ascii="Times New Roman" w:hAnsi="Times New Roman" w:cs="Times New Roman" w:eastAsia="Times New Roman" w:hint="default"/>
                            <w:spacing w:val="-6"/>
                            <w:sz w:val="18"/>
                            <w:szCs w:val="18"/>
                          </w:rPr>
                          <w:t>4</w:t>
                        </w:r>
                        <w:r>
                          <w:rPr>
                            <w:rFonts w:ascii="宋体" w:hAnsi="宋体" w:cs="宋体" w:eastAsia="宋体" w:hint="default"/>
                            <w:spacing w:val="-6"/>
                            <w:sz w:val="18"/>
                            <w:szCs w:val="18"/>
                          </w:rPr>
                          <w:t>）对资</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pacing w:val="-3"/>
                            <w:sz w:val="18"/>
                            <w:szCs w:val="18"/>
                          </w:rPr>
                          <w:t>产负债表日前后记录的收入交易，选取样本，核对销售合同、验收</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pacing w:val="-9"/>
                            <w:w w:val="101"/>
                            <w:sz w:val="18"/>
                            <w:szCs w:val="18"/>
                          </w:rPr>
                          <w:t>单等其他支持性档，以评价收入是否被记录于恰当的会计期间。（</w:t>
                        </w:r>
                        <w:r>
                          <w:rPr>
                            <w:rFonts w:ascii="Times New Roman" w:hAnsi="Times New Roman" w:cs="Times New Roman" w:eastAsia="Times New Roman" w:hint="default"/>
                            <w:spacing w:val="-9"/>
                            <w:w w:val="101"/>
                            <w:sz w:val="18"/>
                            <w:szCs w:val="18"/>
                          </w:rPr>
                          <w:t>5</w:t>
                        </w:r>
                        <w:r>
                          <w:rPr>
                            <w:rFonts w:ascii="Times New Roman" w:hAnsi="Times New Roman" w:cs="Times New Roman" w:eastAsia="Times New Roman" w:hint="default"/>
                            <w:spacing w:val="-24"/>
                            <w:w w:val="101"/>
                            <w:sz w:val="18"/>
                            <w:szCs w:val="18"/>
                          </w:rPr>
                          <w:t> </w:t>
                        </w:r>
                        <w:r>
                          <w:rPr>
                            <w:rFonts w:ascii="宋体" w:hAnsi="宋体" w:cs="宋体" w:eastAsia="宋体" w:hint="default"/>
                            <w:spacing w:val="-3"/>
                            <w:sz w:val="18"/>
                            <w:szCs w:val="18"/>
                          </w:rPr>
                          <w:t>对本年记录的客户选取样本，函证销售合同金额、交易金额及往来</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pacing w:val="-3"/>
                            <w:sz w:val="18"/>
                            <w:szCs w:val="18"/>
                          </w:rPr>
                          <w:t>款余额，以评价收入确认的准确性。</w:t>
                        </w:r>
                      </w:p>
                    </w:tc>
                  </w:tr>
                  <w:tr>
                    <w:trPr>
                      <w:trHeight w:val="351" w:hRule="exact"/>
                    </w:trPr>
                    <w:tc>
                      <w:tcPr>
                        <w:tcW w:w="964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存货的确认</w:t>
                        </w:r>
                        <w:r>
                          <w:rPr>
                            <w:rFonts w:ascii="宋体" w:hAnsi="宋体" w:cs="宋体" w:eastAsia="宋体" w:hint="default"/>
                            <w:sz w:val="18"/>
                            <w:szCs w:val="18"/>
                          </w:rPr>
                        </w:r>
                      </w:p>
                    </w:tc>
                  </w:tr>
                  <w:tr>
                    <w:trPr>
                      <w:trHeight w:val="346" w:hRule="exact"/>
                    </w:trPr>
                    <w:tc>
                      <w:tcPr>
                        <w:tcW w:w="43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b/>
                            <w:bCs/>
                            <w:sz w:val="18"/>
                            <w:szCs w:val="18"/>
                          </w:rPr>
                          <w:t>关键审计事项</w:t>
                        </w:r>
                        <w:r>
                          <w:rPr>
                            <w:rFonts w:ascii="宋体" w:hAnsi="宋体" w:cs="宋体" w:eastAsia="宋体" w:hint="default"/>
                            <w:sz w:val="18"/>
                            <w:szCs w:val="18"/>
                          </w:rPr>
                        </w:r>
                      </w:p>
                    </w:tc>
                    <w:tc>
                      <w:tcPr>
                        <w:tcW w:w="5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9" w:right="0"/>
                          <w:jc w:val="center"/>
                          <w:rPr>
                            <w:rFonts w:ascii="宋体" w:hAnsi="宋体" w:cs="宋体" w:eastAsia="宋体" w:hint="default"/>
                            <w:sz w:val="18"/>
                            <w:szCs w:val="18"/>
                          </w:rPr>
                        </w:pPr>
                        <w:r>
                          <w:rPr>
                            <w:rFonts w:ascii="宋体" w:hAnsi="宋体" w:cs="宋体" w:eastAsia="宋体" w:hint="default"/>
                            <w:b/>
                            <w:bCs/>
                            <w:sz w:val="18"/>
                            <w:szCs w:val="18"/>
                          </w:rPr>
                          <w:t>审计中的应对</w:t>
                        </w:r>
                        <w:r>
                          <w:rPr>
                            <w:rFonts w:ascii="宋体" w:hAnsi="宋体" w:cs="宋体" w:eastAsia="宋体" w:hint="default"/>
                            <w:sz w:val="18"/>
                            <w:szCs w:val="18"/>
                          </w:rPr>
                        </w:r>
                      </w:p>
                    </w:tc>
                  </w:tr>
                  <w:tr>
                    <w:trPr>
                      <w:trHeight w:val="3778" w:hRule="exact"/>
                    </w:trPr>
                    <w:tc>
                      <w:tcPr>
                        <w:tcW w:w="4399"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20"/>
                          <w:ind w:left="4" w:right="36" w:firstLine="360"/>
                          <w:jc w:val="both"/>
                          <w:rPr>
                            <w:rFonts w:ascii="宋体" w:hAnsi="宋体" w:cs="宋体" w:eastAsia="宋体" w:hint="default"/>
                            <w:sz w:val="18"/>
                            <w:szCs w:val="18"/>
                          </w:rPr>
                        </w:pPr>
                        <w:r>
                          <w:rPr>
                            <w:rFonts w:ascii="宋体" w:hAnsi="宋体" w:cs="宋体" w:eastAsia="宋体" w:hint="default"/>
                            <w:spacing w:val="-3"/>
                            <w:sz w:val="18"/>
                            <w:szCs w:val="18"/>
                          </w:rPr>
                          <w:t>南天信息公司存货包括原材料、库存商品以及在产</w:t>
                        </w:r>
                        <w:r>
                          <w:rPr>
                            <w:rFonts w:ascii="宋体" w:hAnsi="宋体" w:cs="宋体" w:eastAsia="宋体" w:hint="default"/>
                            <w:w w:val="101"/>
                            <w:sz w:val="18"/>
                            <w:szCs w:val="18"/>
                          </w:rPr>
                          <w:t> </w:t>
                        </w:r>
                        <w:r>
                          <w:rPr>
                            <w:rFonts w:ascii="宋体" w:hAnsi="宋体" w:cs="宋体" w:eastAsia="宋体" w:hint="default"/>
                            <w:spacing w:val="-2"/>
                            <w:sz w:val="18"/>
                            <w:szCs w:val="18"/>
                          </w:rPr>
                          <w:t>品，截止</w:t>
                        </w:r>
                        <w:r>
                          <w:rPr>
                            <w:rFonts w:ascii="Times New Roman" w:hAnsi="Times New Roman" w:cs="Times New Roman" w:eastAsia="Times New Roman" w:hint="default"/>
                            <w:spacing w:val="-2"/>
                            <w:sz w:val="18"/>
                            <w:szCs w:val="18"/>
                          </w:rPr>
                          <w:t>2019</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12</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31</w:t>
                        </w:r>
                        <w:r>
                          <w:rPr>
                            <w:rFonts w:ascii="宋体" w:hAnsi="宋体" w:cs="宋体" w:eastAsia="宋体" w:hint="default"/>
                            <w:spacing w:val="-2"/>
                            <w:sz w:val="18"/>
                            <w:szCs w:val="18"/>
                          </w:rPr>
                          <w:t>日，南天信息公司存货账面价值</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2"/>
                            <w:sz w:val="18"/>
                            <w:szCs w:val="18"/>
                          </w:rPr>
                          <w:t>为</w:t>
                        </w:r>
                        <w:r>
                          <w:rPr>
                            <w:rFonts w:ascii="Times New Roman" w:hAnsi="Times New Roman" w:cs="Times New Roman" w:eastAsia="Times New Roman" w:hint="default"/>
                            <w:spacing w:val="-2"/>
                            <w:sz w:val="18"/>
                            <w:szCs w:val="18"/>
                          </w:rPr>
                          <w:t>1,299,928,507.08</w:t>
                        </w:r>
                        <w:r>
                          <w:rPr>
                            <w:rFonts w:ascii="宋体" w:hAnsi="宋体" w:cs="宋体" w:eastAsia="宋体" w:hint="default"/>
                            <w:spacing w:val="-2"/>
                            <w:sz w:val="18"/>
                            <w:szCs w:val="18"/>
                          </w:rPr>
                          <w:t>元，占合并报表资产总额的</w:t>
                        </w:r>
                        <w:r>
                          <w:rPr>
                            <w:rFonts w:ascii="Times New Roman" w:hAnsi="Times New Roman" w:cs="Times New Roman" w:eastAsia="Times New Roman" w:hint="default"/>
                            <w:spacing w:val="-2"/>
                            <w:sz w:val="18"/>
                            <w:szCs w:val="18"/>
                          </w:rPr>
                          <w:t>32.21%</w:t>
                        </w:r>
                        <w:r>
                          <w:rPr>
                            <w:rFonts w:ascii="宋体" w:hAnsi="宋体" w:cs="宋体" w:eastAsia="宋体" w:hint="default"/>
                            <w:spacing w:val="-2"/>
                            <w:sz w:val="18"/>
                            <w:szCs w:val="18"/>
                          </w:rPr>
                          <w:t>；</w:t>
                        </w:r>
                        <w:r>
                          <w:rPr>
                            <w:rFonts w:ascii="宋体" w:hAnsi="宋体" w:cs="宋体" w:eastAsia="宋体" w:hint="default"/>
                            <w:spacing w:val="-19"/>
                            <w:sz w:val="18"/>
                            <w:szCs w:val="18"/>
                          </w:rPr>
                          <w:t> </w:t>
                        </w:r>
                        <w:r>
                          <w:rPr>
                            <w:rFonts w:ascii="宋体" w:hAnsi="宋体" w:cs="宋体" w:eastAsia="宋体" w:hint="default"/>
                            <w:spacing w:val="-2"/>
                            <w:sz w:val="18"/>
                            <w:szCs w:val="18"/>
                          </w:rPr>
                          <w:t>其中在产品金额约为</w:t>
                        </w:r>
                        <w:r>
                          <w:rPr>
                            <w:rFonts w:ascii="Times New Roman" w:hAnsi="Times New Roman" w:cs="Times New Roman" w:eastAsia="Times New Roman" w:hint="default"/>
                            <w:spacing w:val="-2"/>
                            <w:sz w:val="18"/>
                            <w:szCs w:val="18"/>
                          </w:rPr>
                          <w:t>1,078,050,397.88</w:t>
                        </w:r>
                        <w:r>
                          <w:rPr>
                            <w:rFonts w:ascii="宋体" w:hAnsi="宋体" w:cs="宋体" w:eastAsia="宋体" w:hint="default"/>
                            <w:spacing w:val="-2"/>
                            <w:sz w:val="18"/>
                            <w:szCs w:val="18"/>
                          </w:rPr>
                          <w:t>元，主要系集成解</w:t>
                        </w:r>
                        <w:r>
                          <w:rPr>
                            <w:rFonts w:ascii="宋体" w:hAnsi="宋体" w:cs="宋体" w:eastAsia="宋体" w:hint="default"/>
                            <w:spacing w:val="-23"/>
                            <w:sz w:val="18"/>
                            <w:szCs w:val="18"/>
                          </w:rPr>
                          <w:t> </w:t>
                        </w:r>
                        <w:r>
                          <w:rPr>
                            <w:rFonts w:ascii="宋体" w:hAnsi="宋体" w:cs="宋体" w:eastAsia="宋体" w:hint="default"/>
                            <w:spacing w:val="-23"/>
                            <w:sz w:val="18"/>
                            <w:szCs w:val="18"/>
                          </w:rPr>
                        </w:r>
                        <w:r>
                          <w:rPr>
                            <w:rFonts w:ascii="宋体" w:hAnsi="宋体" w:cs="宋体" w:eastAsia="宋体" w:hint="default"/>
                            <w:spacing w:val="-3"/>
                            <w:sz w:val="18"/>
                            <w:szCs w:val="18"/>
                          </w:rPr>
                          <w:t>决方案硬件设备成本以及归集的其他成本，占存货账面</w:t>
                        </w:r>
                        <w:r>
                          <w:rPr>
                            <w:rFonts w:ascii="宋体" w:hAnsi="宋体" w:cs="宋体" w:eastAsia="宋体" w:hint="default"/>
                            <w:spacing w:val="-16"/>
                            <w:sz w:val="18"/>
                            <w:szCs w:val="18"/>
                          </w:rPr>
                          <w:t> </w:t>
                        </w:r>
                        <w:r>
                          <w:rPr>
                            <w:rFonts w:ascii="宋体" w:hAnsi="宋体" w:cs="宋体" w:eastAsia="宋体" w:hint="default"/>
                            <w:spacing w:val="-16"/>
                            <w:sz w:val="18"/>
                            <w:szCs w:val="18"/>
                          </w:rPr>
                        </w:r>
                        <w:r>
                          <w:rPr>
                            <w:rFonts w:ascii="宋体" w:hAnsi="宋体" w:cs="宋体" w:eastAsia="宋体" w:hint="default"/>
                            <w:spacing w:val="-3"/>
                            <w:sz w:val="18"/>
                            <w:szCs w:val="18"/>
                          </w:rPr>
                          <w:t>价值的</w:t>
                        </w:r>
                        <w:r>
                          <w:rPr>
                            <w:rFonts w:ascii="Times New Roman" w:hAnsi="Times New Roman" w:cs="Times New Roman" w:eastAsia="Times New Roman" w:hint="default"/>
                            <w:spacing w:val="-3"/>
                            <w:sz w:val="18"/>
                            <w:szCs w:val="18"/>
                          </w:rPr>
                          <w:t>82.93%</w:t>
                        </w:r>
                        <w:r>
                          <w:rPr>
                            <w:rFonts w:ascii="宋体" w:hAnsi="宋体" w:cs="宋体" w:eastAsia="宋体" w:hint="default"/>
                            <w:spacing w:val="-3"/>
                            <w:sz w:val="18"/>
                            <w:szCs w:val="18"/>
                          </w:rPr>
                          <w:t>，由于大部分存货在项目现场，部分没有</w:t>
                        </w:r>
                        <w:r>
                          <w:rPr>
                            <w:rFonts w:ascii="宋体" w:hAnsi="宋体" w:cs="宋体" w:eastAsia="宋体" w:hint="default"/>
                            <w:spacing w:val="-9"/>
                            <w:sz w:val="18"/>
                            <w:szCs w:val="18"/>
                          </w:rPr>
                          <w:t> </w:t>
                        </w:r>
                        <w:r>
                          <w:rPr>
                            <w:rFonts w:ascii="宋体" w:hAnsi="宋体" w:cs="宋体" w:eastAsia="宋体" w:hint="default"/>
                            <w:spacing w:val="-9"/>
                            <w:sz w:val="18"/>
                            <w:szCs w:val="18"/>
                          </w:rPr>
                        </w:r>
                        <w:r>
                          <w:rPr>
                            <w:rFonts w:ascii="宋体" w:hAnsi="宋体" w:cs="宋体" w:eastAsia="宋体" w:hint="default"/>
                            <w:spacing w:val="-3"/>
                            <w:sz w:val="18"/>
                            <w:szCs w:val="18"/>
                          </w:rPr>
                          <w:t>实物形态，且金额较大，年末余额的真实性及准确性确</w:t>
                        </w:r>
                        <w:r>
                          <w:rPr>
                            <w:rFonts w:ascii="宋体" w:hAnsi="宋体" w:cs="宋体" w:eastAsia="宋体" w:hint="default"/>
                            <w:spacing w:val="-16"/>
                            <w:sz w:val="18"/>
                            <w:szCs w:val="18"/>
                          </w:rPr>
                          <w:t> </w:t>
                        </w:r>
                        <w:r>
                          <w:rPr>
                            <w:rFonts w:ascii="宋体" w:hAnsi="宋体" w:cs="宋体" w:eastAsia="宋体" w:hint="default"/>
                            <w:spacing w:val="-16"/>
                            <w:sz w:val="18"/>
                            <w:szCs w:val="18"/>
                          </w:rPr>
                        </w:r>
                        <w:r>
                          <w:rPr>
                            <w:rFonts w:ascii="宋体" w:hAnsi="宋体" w:cs="宋体" w:eastAsia="宋体" w:hint="default"/>
                            <w:spacing w:val="-3"/>
                            <w:sz w:val="18"/>
                            <w:szCs w:val="18"/>
                          </w:rPr>
                          <w:t>认对财务报表的影响非常大，因此将其作为关键审计事</w:t>
                        </w:r>
                        <w:r>
                          <w:rPr>
                            <w:rFonts w:ascii="宋体" w:hAnsi="宋体" w:cs="宋体" w:eastAsia="宋体" w:hint="default"/>
                            <w:spacing w:val="-16"/>
                            <w:sz w:val="18"/>
                            <w:szCs w:val="18"/>
                          </w:rPr>
                          <w:t> </w:t>
                        </w:r>
                        <w:r>
                          <w:rPr>
                            <w:rFonts w:ascii="宋体" w:hAnsi="宋体" w:cs="宋体" w:eastAsia="宋体" w:hint="default"/>
                            <w:spacing w:val="-16"/>
                            <w:sz w:val="18"/>
                            <w:szCs w:val="18"/>
                          </w:rPr>
                        </w:r>
                        <w:r>
                          <w:rPr>
                            <w:rFonts w:ascii="宋体" w:hAnsi="宋体" w:cs="宋体" w:eastAsia="宋体" w:hint="default"/>
                            <w:sz w:val="18"/>
                            <w:szCs w:val="18"/>
                          </w:rPr>
                          <w:t>项。</w:t>
                        </w:r>
                      </w:p>
                    </w:tc>
                    <w:tc>
                      <w:tcPr>
                        <w:tcW w:w="5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我们针对存货执行的审计程序主要包括：</w:t>
                        </w:r>
                      </w:p>
                      <w:p>
                        <w:pPr>
                          <w:pStyle w:val="TableParagraph"/>
                          <w:spacing w:line="240" w:lineRule="auto" w:before="76"/>
                          <w:ind w:left="4" w:right="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）测试与存货确认环节相关的内部控制的设计与运行的有效性</w:t>
                        </w:r>
                      </w:p>
                      <w:p>
                        <w:pPr>
                          <w:pStyle w:val="TableParagraph"/>
                          <w:spacing w:line="314" w:lineRule="auto" w:before="63"/>
                          <w:ind w:left="4" w:right="-5"/>
                          <w:jc w:val="left"/>
                          <w:rPr>
                            <w:rFonts w:ascii="宋体" w:hAnsi="宋体" w:cs="宋体" w:eastAsia="宋体" w:hint="default"/>
                            <w:sz w:val="18"/>
                            <w:szCs w:val="18"/>
                          </w:rPr>
                        </w:pP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）针对硬件设备成本：我们通过检查盘点表和执行抽盘程序证明</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pacing w:val="-3"/>
                            <w:sz w:val="18"/>
                            <w:szCs w:val="18"/>
                          </w:rPr>
                          <w:t>该存货的真实性；选取样本，检查采购合同、向供应商函证、检查</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pacing w:val="-3"/>
                            <w:sz w:val="18"/>
                            <w:szCs w:val="18"/>
                          </w:rPr>
                          <w:t>相关设备的到货验收单、付款凭证及发票以证明该设备材料的真实</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pacing w:val="-3"/>
                            <w:sz w:val="18"/>
                            <w:szCs w:val="18"/>
                          </w:rPr>
                          <w:t>性；选取样本，结合采购合同、收入确认进度等复核存货的计价与</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pacing w:val="-6"/>
                            <w:sz w:val="18"/>
                            <w:szCs w:val="18"/>
                          </w:rPr>
                          <w:t>分摊是否正确。（</w:t>
                        </w:r>
                        <w:r>
                          <w:rPr>
                            <w:rFonts w:ascii="Times New Roman" w:hAnsi="Times New Roman" w:cs="Times New Roman" w:eastAsia="Times New Roman" w:hint="default"/>
                            <w:spacing w:val="-6"/>
                            <w:sz w:val="18"/>
                            <w:szCs w:val="18"/>
                          </w:rPr>
                          <w:t>3</w:t>
                        </w:r>
                        <w:r>
                          <w:rPr>
                            <w:rFonts w:ascii="宋体" w:hAnsi="宋体" w:cs="宋体" w:eastAsia="宋体" w:hint="default"/>
                            <w:spacing w:val="-6"/>
                            <w:sz w:val="18"/>
                            <w:szCs w:val="18"/>
                          </w:rPr>
                          <w:t>）针对其他成本：我们通过与管理层的访谈，了</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pacing w:val="-3"/>
                            <w:sz w:val="18"/>
                            <w:szCs w:val="18"/>
                          </w:rPr>
                          <w:t>解南天信息的成本费用归集划分标准，并判断其是否合理；分析各</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pacing w:val="-6"/>
                            <w:w w:val="101"/>
                            <w:sz w:val="18"/>
                            <w:szCs w:val="18"/>
                          </w:rPr>
                          <w:t>项其他成本的性质以及波动情况，结合其他相关实质性科目的审计</w:t>
                        </w:r>
                        <w:r>
                          <w:rPr>
                            <w:rFonts w:ascii="宋体" w:hAnsi="宋体" w:cs="宋体" w:eastAsia="宋体" w:hint="default"/>
                            <w:spacing w:val="-75"/>
                            <w:w w:val="101"/>
                            <w:sz w:val="18"/>
                            <w:szCs w:val="18"/>
                          </w:rPr>
                          <w:t> </w:t>
                        </w:r>
                        <w:r>
                          <w:rPr>
                            <w:rFonts w:ascii="宋体" w:hAnsi="宋体" w:cs="宋体" w:eastAsia="宋体" w:hint="default"/>
                            <w:spacing w:val="-75"/>
                            <w:w w:val="101"/>
                            <w:sz w:val="18"/>
                            <w:szCs w:val="18"/>
                          </w:rPr>
                        </w:r>
                        <w:r>
                          <w:rPr>
                            <w:rFonts w:ascii="宋体" w:hAnsi="宋体" w:cs="宋体" w:eastAsia="宋体" w:hint="default"/>
                            <w:spacing w:val="-3"/>
                            <w:sz w:val="18"/>
                            <w:szCs w:val="18"/>
                          </w:rPr>
                          <w:t>确认是否合理；我们选取南天信息的相关业务的其他成本归集原始</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pacing w:val="-3"/>
                            <w:sz w:val="18"/>
                            <w:szCs w:val="18"/>
                          </w:rPr>
                          <w:t>凭证，检查其执行是否与企业标准一致，是否存在成本费用划分不</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pacing w:val="-3"/>
                            <w:sz w:val="18"/>
                            <w:szCs w:val="18"/>
                          </w:rPr>
                          <w:t>清楚的情况，证明该部分存货的真实性和准确性。</w:t>
                        </w:r>
                      </w:p>
                    </w:tc>
                  </w:tr>
                  <w:tr>
                    <w:trPr>
                      <w:trHeight w:val="346" w:hRule="exact"/>
                    </w:trPr>
                    <w:tc>
                      <w:tcPr>
                        <w:tcW w:w="964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商誉减值准备事项</w:t>
                        </w:r>
                        <w:r>
                          <w:rPr>
                            <w:rFonts w:ascii="宋体" w:hAnsi="宋体" w:cs="宋体" w:eastAsia="宋体" w:hint="default"/>
                            <w:sz w:val="18"/>
                            <w:szCs w:val="18"/>
                          </w:rPr>
                        </w:r>
                      </w:p>
                    </w:tc>
                  </w:tr>
                  <w:tr>
                    <w:trPr>
                      <w:trHeight w:val="350" w:hRule="exact"/>
                    </w:trPr>
                    <w:tc>
                      <w:tcPr>
                        <w:tcW w:w="43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b/>
                            <w:bCs/>
                            <w:sz w:val="18"/>
                            <w:szCs w:val="18"/>
                          </w:rPr>
                          <w:t>关键审计事项</w:t>
                        </w:r>
                        <w:r>
                          <w:rPr>
                            <w:rFonts w:ascii="宋体" w:hAnsi="宋体" w:cs="宋体" w:eastAsia="宋体" w:hint="default"/>
                            <w:sz w:val="18"/>
                            <w:szCs w:val="18"/>
                          </w:rPr>
                        </w:r>
                      </w:p>
                    </w:tc>
                    <w:tc>
                      <w:tcPr>
                        <w:tcW w:w="5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9" w:right="0"/>
                          <w:jc w:val="center"/>
                          <w:rPr>
                            <w:rFonts w:ascii="宋体" w:hAnsi="宋体" w:cs="宋体" w:eastAsia="宋体" w:hint="default"/>
                            <w:sz w:val="18"/>
                            <w:szCs w:val="18"/>
                          </w:rPr>
                        </w:pPr>
                        <w:r>
                          <w:rPr>
                            <w:rFonts w:ascii="宋体" w:hAnsi="宋体" w:cs="宋体" w:eastAsia="宋体" w:hint="default"/>
                            <w:b/>
                            <w:bCs/>
                            <w:sz w:val="18"/>
                            <w:szCs w:val="18"/>
                          </w:rPr>
                          <w:t>审计中的应对</w:t>
                        </w:r>
                        <w:r>
                          <w:rPr>
                            <w:rFonts w:ascii="宋体" w:hAnsi="宋体" w:cs="宋体" w:eastAsia="宋体" w:hint="default"/>
                            <w:sz w:val="18"/>
                            <w:szCs w:val="18"/>
                          </w:rPr>
                        </w:r>
                      </w:p>
                    </w:tc>
                  </w:tr>
                  <w:tr>
                    <w:trPr>
                      <w:trHeight w:val="3467" w:hRule="exact"/>
                    </w:trPr>
                    <w:tc>
                      <w:tcPr>
                        <w:tcW w:w="43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64" w:right="0"/>
                          <w:jc w:val="left"/>
                          <w:rPr>
                            <w:rFonts w:ascii="宋体" w:hAnsi="宋体" w:cs="宋体" w:eastAsia="宋体" w:hint="default"/>
                            <w:sz w:val="18"/>
                            <w:szCs w:val="18"/>
                          </w:rPr>
                        </w:pPr>
                        <w:r>
                          <w:rPr>
                            <w:rFonts w:ascii="宋体" w:hAnsi="宋体" w:cs="宋体" w:eastAsia="宋体" w:hint="default"/>
                            <w:spacing w:val="13"/>
                            <w:sz w:val="18"/>
                            <w:szCs w:val="18"/>
                          </w:rPr>
                          <w:t>截至</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pacing w:val="-3"/>
                            <w:sz w:val="18"/>
                            <w:szCs w:val="18"/>
                          </w:rPr>
                          <w:t>31</w:t>
                        </w:r>
                        <w:r>
                          <w:rPr>
                            <w:rFonts w:ascii="Times New Roman" w:hAnsi="Times New Roman" w:cs="Times New Roman" w:eastAsia="Times New Roman" w:hint="default"/>
                            <w:spacing w:val="-15"/>
                            <w:sz w:val="18"/>
                            <w:szCs w:val="18"/>
                          </w:rPr>
                          <w:t> </w:t>
                        </w:r>
                        <w:r>
                          <w:rPr>
                            <w:rFonts w:ascii="宋体" w:hAnsi="宋体" w:cs="宋体" w:eastAsia="宋体" w:hint="default"/>
                            <w:spacing w:val="11"/>
                            <w:sz w:val="18"/>
                            <w:szCs w:val="18"/>
                          </w:rPr>
                          <w:t>日，</w:t>
                        </w:r>
                        <w:r>
                          <w:rPr>
                            <w:rFonts w:ascii="宋体" w:hAnsi="宋体" w:cs="宋体" w:eastAsia="宋体" w:hint="default"/>
                            <w:spacing w:val="50"/>
                            <w:sz w:val="18"/>
                            <w:szCs w:val="18"/>
                          </w:rPr>
                          <w:t> </w:t>
                        </w:r>
                        <w:r>
                          <w:rPr>
                            <w:rFonts w:ascii="宋体" w:hAnsi="宋体" w:cs="宋体" w:eastAsia="宋体" w:hint="default"/>
                            <w:sz w:val="18"/>
                            <w:szCs w:val="18"/>
                          </w:rPr>
                          <w:t>商</w:t>
                        </w:r>
                        <w:r>
                          <w:rPr>
                            <w:rFonts w:ascii="宋体" w:hAnsi="宋体" w:cs="宋体" w:eastAsia="宋体" w:hint="default"/>
                            <w:spacing w:val="-60"/>
                            <w:sz w:val="18"/>
                            <w:szCs w:val="18"/>
                          </w:rPr>
                          <w:t> </w:t>
                        </w:r>
                        <w:r>
                          <w:rPr>
                            <w:rFonts w:ascii="宋体" w:hAnsi="宋体" w:cs="宋体" w:eastAsia="宋体" w:hint="default"/>
                            <w:sz w:val="18"/>
                            <w:szCs w:val="18"/>
                          </w:rPr>
                          <w:t>誉</w:t>
                        </w:r>
                        <w:r>
                          <w:rPr>
                            <w:rFonts w:ascii="宋体" w:hAnsi="宋体" w:cs="宋体" w:eastAsia="宋体" w:hint="default"/>
                            <w:spacing w:val="-65"/>
                            <w:sz w:val="18"/>
                            <w:szCs w:val="18"/>
                          </w:rPr>
                          <w:t> </w:t>
                        </w:r>
                        <w:r>
                          <w:rPr>
                            <w:rFonts w:ascii="宋体" w:hAnsi="宋体" w:cs="宋体" w:eastAsia="宋体" w:hint="default"/>
                            <w:sz w:val="18"/>
                            <w:szCs w:val="18"/>
                          </w:rPr>
                          <w:t>账</w:t>
                        </w:r>
                        <w:r>
                          <w:rPr>
                            <w:rFonts w:ascii="宋体" w:hAnsi="宋体" w:cs="宋体" w:eastAsia="宋体" w:hint="default"/>
                            <w:spacing w:val="-59"/>
                            <w:sz w:val="18"/>
                            <w:szCs w:val="18"/>
                          </w:rPr>
                          <w:t> </w:t>
                        </w:r>
                        <w:r>
                          <w:rPr>
                            <w:rFonts w:ascii="宋体" w:hAnsi="宋体" w:cs="宋体" w:eastAsia="宋体" w:hint="default"/>
                            <w:sz w:val="18"/>
                            <w:szCs w:val="18"/>
                          </w:rPr>
                          <w:t>面</w:t>
                        </w:r>
                        <w:r>
                          <w:rPr>
                            <w:rFonts w:ascii="宋体" w:hAnsi="宋体" w:cs="宋体" w:eastAsia="宋体" w:hint="default"/>
                            <w:spacing w:val="-65"/>
                            <w:sz w:val="18"/>
                            <w:szCs w:val="18"/>
                          </w:rPr>
                          <w:t> </w:t>
                        </w:r>
                        <w:r>
                          <w:rPr>
                            <w:rFonts w:ascii="宋体" w:hAnsi="宋体" w:cs="宋体" w:eastAsia="宋体" w:hint="default"/>
                            <w:sz w:val="18"/>
                            <w:szCs w:val="18"/>
                          </w:rPr>
                          <w:t>价</w:t>
                        </w:r>
                        <w:r>
                          <w:rPr>
                            <w:rFonts w:ascii="宋体" w:hAnsi="宋体" w:cs="宋体" w:eastAsia="宋体" w:hint="default"/>
                            <w:spacing w:val="-60"/>
                            <w:sz w:val="18"/>
                            <w:szCs w:val="18"/>
                          </w:rPr>
                          <w:t> </w:t>
                        </w:r>
                        <w:r>
                          <w:rPr>
                            <w:rFonts w:ascii="宋体" w:hAnsi="宋体" w:cs="宋体" w:eastAsia="宋体" w:hint="default"/>
                            <w:sz w:val="18"/>
                            <w:szCs w:val="18"/>
                          </w:rPr>
                          <w:t>值</w:t>
                        </w:r>
                        <w:r>
                          <w:rPr>
                            <w:rFonts w:ascii="宋体" w:hAnsi="宋体" w:cs="宋体" w:eastAsia="宋体" w:hint="default"/>
                            <w:spacing w:val="-65"/>
                            <w:sz w:val="18"/>
                            <w:szCs w:val="18"/>
                          </w:rPr>
                          <w:t> </w:t>
                        </w:r>
                        <w:r>
                          <w:rPr>
                            <w:rFonts w:ascii="宋体" w:hAnsi="宋体" w:cs="宋体" w:eastAsia="宋体" w:hint="default"/>
                            <w:sz w:val="18"/>
                            <w:szCs w:val="18"/>
                          </w:rPr>
                          <w:t>人</w:t>
                        </w:r>
                        <w:r>
                          <w:rPr>
                            <w:rFonts w:ascii="宋体" w:hAnsi="宋体" w:cs="宋体" w:eastAsia="宋体" w:hint="default"/>
                            <w:spacing w:val="-60"/>
                            <w:sz w:val="18"/>
                            <w:szCs w:val="18"/>
                          </w:rPr>
                          <w:t> </w:t>
                        </w:r>
                        <w:r>
                          <w:rPr>
                            <w:rFonts w:ascii="宋体" w:hAnsi="宋体" w:cs="宋体" w:eastAsia="宋体" w:hint="default"/>
                            <w:sz w:val="18"/>
                            <w:szCs w:val="18"/>
                          </w:rPr>
                          <w:t>民</w:t>
                        </w:r>
                        <w:r>
                          <w:rPr>
                            <w:rFonts w:ascii="宋体" w:hAnsi="宋体" w:cs="宋体" w:eastAsia="宋体" w:hint="default"/>
                            <w:spacing w:val="-65"/>
                            <w:sz w:val="18"/>
                            <w:szCs w:val="18"/>
                          </w:rPr>
                          <w:t> </w:t>
                        </w:r>
                        <w:r>
                          <w:rPr>
                            <w:rFonts w:ascii="宋体" w:hAnsi="宋体" w:cs="宋体" w:eastAsia="宋体" w:hint="default"/>
                            <w:sz w:val="18"/>
                            <w:szCs w:val="18"/>
                          </w:rPr>
                          <w:t>币</w:t>
                        </w:r>
                      </w:p>
                      <w:p>
                        <w:pPr>
                          <w:pStyle w:val="TableParagraph"/>
                          <w:spacing w:line="300" w:lineRule="auto" w:before="63"/>
                          <w:ind w:left="364" w:right="-20" w:hanging="360"/>
                          <w:jc w:val="left"/>
                          <w:rPr>
                            <w:rFonts w:ascii="宋体" w:hAnsi="宋体" w:cs="宋体" w:eastAsia="宋体" w:hint="default"/>
                            <w:sz w:val="18"/>
                            <w:szCs w:val="18"/>
                          </w:rPr>
                        </w:pPr>
                        <w:r>
                          <w:rPr>
                            <w:rFonts w:ascii="Times New Roman" w:hAnsi="Times New Roman" w:cs="Times New Roman" w:eastAsia="Times New Roman" w:hint="default"/>
                            <w:sz w:val="18"/>
                            <w:szCs w:val="18"/>
                          </w:rPr>
                          <w:t>34,940,742.05</w:t>
                        </w:r>
                        <w:r>
                          <w:rPr>
                            <w:rFonts w:ascii="宋体" w:hAnsi="宋体" w:cs="宋体" w:eastAsia="宋体" w:hint="default"/>
                            <w:sz w:val="18"/>
                            <w:szCs w:val="18"/>
                          </w:rPr>
                          <w:t>元，占合并财务报表资产总额的</w:t>
                        </w:r>
                        <w:r>
                          <w:rPr>
                            <w:rFonts w:ascii="Times New Roman" w:hAnsi="Times New Roman" w:cs="Times New Roman" w:eastAsia="Times New Roman" w:hint="default"/>
                            <w:sz w:val="18"/>
                            <w:szCs w:val="18"/>
                          </w:rPr>
                          <w:t>0.87%</w:t>
                        </w:r>
                        <w:r>
                          <w:rPr>
                            <w:rFonts w:ascii="宋体" w:hAnsi="宋体" w:cs="宋体" w:eastAsia="宋体" w:hint="default"/>
                            <w:sz w:val="18"/>
                            <w:szCs w:val="18"/>
                          </w:rPr>
                          <w:t>。</w:t>
                        </w:r>
                        <w:r>
                          <w:rPr>
                            <w:rFonts w:ascii="宋体" w:hAnsi="宋体" w:cs="宋体" w:eastAsia="宋体" w:hint="default"/>
                            <w:w w:val="101"/>
                            <w:sz w:val="18"/>
                            <w:szCs w:val="18"/>
                          </w:rPr>
                          <w:t> </w:t>
                        </w:r>
                        <w:r>
                          <w:rPr>
                            <w:rFonts w:ascii="宋体" w:hAnsi="宋体" w:cs="宋体" w:eastAsia="宋体" w:hint="default"/>
                            <w:spacing w:val="-7"/>
                            <w:sz w:val="18"/>
                            <w:szCs w:val="18"/>
                          </w:rPr>
                          <w:t>根据企业会计准则的规定，商誉无论有无减值迹象，</w:t>
                        </w:r>
                        <w:r>
                          <w:rPr>
                            <w:rFonts w:ascii="宋体" w:hAnsi="宋体" w:cs="宋体" w:eastAsia="宋体" w:hint="default"/>
                            <w:sz w:val="18"/>
                            <w:szCs w:val="18"/>
                          </w:rPr>
                        </w:r>
                      </w:p>
                      <w:p>
                        <w:pPr>
                          <w:pStyle w:val="TableParagraph"/>
                          <w:spacing w:line="319" w:lineRule="auto" w:before="31"/>
                          <w:ind w:left="4" w:right="1"/>
                          <w:jc w:val="both"/>
                          <w:rPr>
                            <w:rFonts w:ascii="宋体" w:hAnsi="宋体" w:cs="宋体" w:eastAsia="宋体" w:hint="default"/>
                            <w:sz w:val="18"/>
                            <w:szCs w:val="18"/>
                          </w:rPr>
                        </w:pPr>
                        <w:r>
                          <w:rPr>
                            <w:rFonts w:ascii="宋体" w:hAnsi="宋体" w:cs="宋体" w:eastAsia="宋体" w:hint="default"/>
                            <w:sz w:val="18"/>
                            <w:szCs w:val="18"/>
                          </w:rPr>
                          <w:t>公司至少应当在每年年度终了进行减值测试。管理层通</w:t>
                        </w:r>
                        <w:r>
                          <w:rPr>
                            <w:rFonts w:ascii="宋体" w:hAnsi="宋体" w:cs="宋体" w:eastAsia="宋体" w:hint="default"/>
                            <w:spacing w:val="-33"/>
                            <w:sz w:val="18"/>
                            <w:szCs w:val="18"/>
                          </w:rPr>
                          <w:t> </w:t>
                        </w:r>
                        <w:r>
                          <w:rPr>
                            <w:rFonts w:ascii="宋体" w:hAnsi="宋体" w:cs="宋体" w:eastAsia="宋体" w:hint="default"/>
                            <w:sz w:val="18"/>
                            <w:szCs w:val="18"/>
                          </w:rPr>
                          <w:t>过比较被分摊商誉的相关资产组的可收回金额与该资产</w:t>
                        </w:r>
                        <w:r>
                          <w:rPr>
                            <w:rFonts w:ascii="宋体" w:hAnsi="宋体" w:cs="宋体" w:eastAsia="宋体" w:hint="default"/>
                            <w:spacing w:val="-33"/>
                            <w:sz w:val="18"/>
                            <w:szCs w:val="18"/>
                          </w:rPr>
                          <w:t> </w:t>
                        </w:r>
                        <w:r>
                          <w:rPr>
                            <w:rFonts w:ascii="宋体" w:hAnsi="宋体" w:cs="宋体" w:eastAsia="宋体" w:hint="default"/>
                            <w:sz w:val="18"/>
                            <w:szCs w:val="18"/>
                          </w:rPr>
                          <w:t>组及商誉的账面价值，对商誉进行减值测试。预测可收</w:t>
                        </w:r>
                        <w:r>
                          <w:rPr>
                            <w:rFonts w:ascii="宋体" w:hAnsi="宋体" w:cs="宋体" w:eastAsia="宋体" w:hint="default"/>
                            <w:spacing w:val="-33"/>
                            <w:sz w:val="18"/>
                            <w:szCs w:val="18"/>
                          </w:rPr>
                          <w:t> </w:t>
                        </w:r>
                        <w:r>
                          <w:rPr>
                            <w:rFonts w:ascii="宋体" w:hAnsi="宋体" w:cs="宋体" w:eastAsia="宋体" w:hint="default"/>
                            <w:sz w:val="18"/>
                            <w:szCs w:val="18"/>
                          </w:rPr>
                          <w:t>回金额涉及对资产组未来现金流量现值的预测，管理层</w:t>
                        </w:r>
                        <w:r>
                          <w:rPr>
                            <w:rFonts w:ascii="宋体" w:hAnsi="宋体" w:cs="宋体" w:eastAsia="宋体" w:hint="default"/>
                            <w:spacing w:val="-33"/>
                            <w:sz w:val="18"/>
                            <w:szCs w:val="18"/>
                          </w:rPr>
                          <w:t> </w:t>
                        </w:r>
                        <w:r>
                          <w:rPr>
                            <w:rFonts w:ascii="宋体" w:hAnsi="宋体" w:cs="宋体" w:eastAsia="宋体" w:hint="default"/>
                            <w:sz w:val="18"/>
                            <w:szCs w:val="18"/>
                          </w:rPr>
                          <w:t>在预测中需要做出重大判断和假设，特别是对于未来收</w:t>
                        </w:r>
                        <w:r>
                          <w:rPr>
                            <w:rFonts w:ascii="宋体" w:hAnsi="宋体" w:cs="宋体" w:eastAsia="宋体" w:hint="default"/>
                            <w:spacing w:val="-33"/>
                            <w:sz w:val="18"/>
                            <w:szCs w:val="18"/>
                          </w:rPr>
                          <w:t> </w:t>
                        </w:r>
                        <w:r>
                          <w:rPr>
                            <w:rFonts w:ascii="宋体" w:hAnsi="宋体" w:cs="宋体" w:eastAsia="宋体" w:hint="default"/>
                            <w:sz w:val="18"/>
                            <w:szCs w:val="18"/>
                          </w:rPr>
                          <w:t>入增长率、毛利率、经营费用以及折现率等。由于减值</w:t>
                        </w:r>
                        <w:r>
                          <w:rPr>
                            <w:rFonts w:ascii="宋体" w:hAnsi="宋体" w:cs="宋体" w:eastAsia="宋体" w:hint="default"/>
                            <w:spacing w:val="-33"/>
                            <w:sz w:val="18"/>
                            <w:szCs w:val="18"/>
                          </w:rPr>
                          <w:t> </w:t>
                        </w:r>
                        <w:r>
                          <w:rPr>
                            <w:rFonts w:ascii="宋体" w:hAnsi="宋体" w:cs="宋体" w:eastAsia="宋体" w:hint="default"/>
                            <w:sz w:val="18"/>
                            <w:szCs w:val="18"/>
                          </w:rPr>
                          <w:t>测试过程较为复杂，同时涉及重大判断，因此我们将商</w:t>
                        </w:r>
                        <w:r>
                          <w:rPr>
                            <w:rFonts w:ascii="宋体" w:hAnsi="宋体" w:cs="宋体" w:eastAsia="宋体" w:hint="default"/>
                            <w:spacing w:val="-33"/>
                            <w:sz w:val="18"/>
                            <w:szCs w:val="18"/>
                          </w:rPr>
                          <w:t> </w:t>
                        </w:r>
                        <w:r>
                          <w:rPr>
                            <w:rFonts w:ascii="宋体" w:hAnsi="宋体" w:cs="宋体" w:eastAsia="宋体" w:hint="default"/>
                            <w:spacing w:val="-3"/>
                            <w:sz w:val="18"/>
                            <w:szCs w:val="18"/>
                          </w:rPr>
                          <w:t>誉减值准备事项作为关键审计事项。</w:t>
                        </w:r>
                      </w:p>
                    </w:tc>
                    <w:tc>
                      <w:tcPr>
                        <w:tcW w:w="5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我们针对商誉减值准备事项执行的审计程序主要包括：</w:t>
                        </w:r>
                      </w:p>
                      <w:p>
                        <w:pPr>
                          <w:pStyle w:val="TableParagraph"/>
                          <w:spacing w:line="240" w:lineRule="auto" w:before="76"/>
                          <w:ind w:left="4" w:right="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）测试公司与商誉评估相关的内部控制的设计及运行有效性；</w:t>
                        </w:r>
                      </w:p>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）复核管理层对资产组的认定和商誉的分摊方法；</w:t>
                        </w:r>
                      </w:p>
                      <w:p>
                        <w:pPr>
                          <w:pStyle w:val="TableParagraph"/>
                          <w:spacing w:line="300" w:lineRule="auto" w:before="63"/>
                          <w:ind w:left="4" w:right="-4"/>
                          <w:jc w:val="left"/>
                          <w:rPr>
                            <w:rFonts w:ascii="宋体" w:hAnsi="宋体" w:cs="宋体" w:eastAsia="宋体" w:hint="default"/>
                            <w:sz w:val="18"/>
                            <w:szCs w:val="18"/>
                          </w:rPr>
                        </w:pP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3</w:t>
                        </w:r>
                        <w:r>
                          <w:rPr>
                            <w:rFonts w:ascii="宋体" w:hAnsi="宋体" w:cs="宋体" w:eastAsia="宋体" w:hint="default"/>
                            <w:spacing w:val="-6"/>
                            <w:sz w:val="18"/>
                            <w:szCs w:val="18"/>
                          </w:rPr>
                          <w:t>）与公司管理层讨论商誉减值测试过程中所使用的方法、关键评</w:t>
                        </w:r>
                        <w:r>
                          <w:rPr>
                            <w:rFonts w:ascii="宋体" w:hAnsi="宋体" w:cs="宋体" w:eastAsia="宋体" w:hint="default"/>
                            <w:spacing w:val="4"/>
                            <w:sz w:val="18"/>
                            <w:szCs w:val="18"/>
                          </w:rPr>
                          <w:t> </w:t>
                        </w:r>
                        <w:r>
                          <w:rPr>
                            <w:rFonts w:ascii="宋体" w:hAnsi="宋体" w:cs="宋体" w:eastAsia="宋体" w:hint="default"/>
                            <w:spacing w:val="4"/>
                            <w:sz w:val="18"/>
                            <w:szCs w:val="18"/>
                          </w:rPr>
                        </w:r>
                        <w:r>
                          <w:rPr>
                            <w:rFonts w:ascii="宋体" w:hAnsi="宋体" w:cs="宋体" w:eastAsia="宋体" w:hint="default"/>
                            <w:spacing w:val="-6"/>
                            <w:sz w:val="18"/>
                            <w:szCs w:val="18"/>
                          </w:rPr>
                          <w:t>估的假设、参数的选择、预测未来收入及现金流折现率等的合理性</w:t>
                        </w:r>
                      </w:p>
                      <w:p>
                        <w:pPr>
                          <w:pStyle w:val="TableParagraph"/>
                          <w:spacing w:line="300" w:lineRule="auto" w:before="32"/>
                          <w:ind w:left="4" w:right="-4"/>
                          <w:jc w:val="left"/>
                          <w:rPr>
                            <w:rFonts w:ascii="宋体" w:hAnsi="宋体" w:cs="宋体" w:eastAsia="宋体" w:hint="default"/>
                            <w:sz w:val="18"/>
                            <w:szCs w:val="18"/>
                          </w:rPr>
                        </w:pP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4</w:t>
                        </w:r>
                        <w:r>
                          <w:rPr>
                            <w:rFonts w:ascii="宋体" w:hAnsi="宋体" w:cs="宋体" w:eastAsia="宋体" w:hint="default"/>
                            <w:spacing w:val="-6"/>
                            <w:sz w:val="18"/>
                            <w:szCs w:val="18"/>
                          </w:rPr>
                          <w:t>）与公司管理层讨论商誉减值测试过程中所使用的方法、关键评</w:t>
                        </w:r>
                        <w:r>
                          <w:rPr>
                            <w:rFonts w:ascii="宋体" w:hAnsi="宋体" w:cs="宋体" w:eastAsia="宋体" w:hint="default"/>
                            <w:spacing w:val="4"/>
                            <w:sz w:val="18"/>
                            <w:szCs w:val="18"/>
                          </w:rPr>
                          <w:t> </w:t>
                        </w:r>
                        <w:r>
                          <w:rPr>
                            <w:rFonts w:ascii="宋体" w:hAnsi="宋体" w:cs="宋体" w:eastAsia="宋体" w:hint="default"/>
                            <w:spacing w:val="4"/>
                            <w:sz w:val="18"/>
                            <w:szCs w:val="18"/>
                          </w:rPr>
                        </w:r>
                        <w:r>
                          <w:rPr>
                            <w:rFonts w:ascii="宋体" w:hAnsi="宋体" w:cs="宋体" w:eastAsia="宋体" w:hint="default"/>
                            <w:spacing w:val="-6"/>
                            <w:sz w:val="18"/>
                            <w:szCs w:val="18"/>
                          </w:rPr>
                          <w:t>估的假设、参数的选择、预测未来收入及现金流折现率等的合理性</w:t>
                        </w:r>
                      </w:p>
                      <w:p>
                        <w:pPr>
                          <w:pStyle w:val="TableParagraph"/>
                          <w:spacing w:line="240" w:lineRule="auto" w:before="31"/>
                          <w:ind w:left="4" w:right="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）测试未来现金流量净现值的计算是否准确；</w:t>
                        </w:r>
                      </w:p>
                      <w:p>
                        <w:pPr>
                          <w:pStyle w:val="TableParagraph"/>
                          <w:spacing w:line="300" w:lineRule="auto" w:before="63"/>
                          <w:ind w:left="4" w:right="-5"/>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6</w:t>
                        </w:r>
                        <w:r>
                          <w:rPr>
                            <w:rFonts w:ascii="宋体" w:hAnsi="宋体" w:cs="宋体" w:eastAsia="宋体" w:hint="default"/>
                            <w:spacing w:val="-5"/>
                            <w:sz w:val="18"/>
                            <w:szCs w:val="18"/>
                          </w:rPr>
                          <w:t>）评估管理层于</w:t>
                        </w:r>
                        <w:r>
                          <w:rPr>
                            <w:rFonts w:ascii="Times New Roman" w:hAnsi="Times New Roman" w:cs="Times New Roman" w:eastAsia="Times New Roman" w:hint="default"/>
                            <w:spacing w:val="-5"/>
                            <w:sz w:val="18"/>
                            <w:szCs w:val="18"/>
                          </w:rPr>
                          <w:t>2019</w:t>
                        </w:r>
                        <w:r>
                          <w:rPr>
                            <w:rFonts w:ascii="宋体" w:hAnsi="宋体" w:cs="宋体" w:eastAsia="宋体" w:hint="default"/>
                            <w:spacing w:val="-5"/>
                            <w:sz w:val="18"/>
                            <w:szCs w:val="18"/>
                          </w:rPr>
                          <w:t>年</w:t>
                        </w:r>
                        <w:r>
                          <w:rPr>
                            <w:rFonts w:ascii="Times New Roman" w:hAnsi="Times New Roman" w:cs="Times New Roman" w:eastAsia="Times New Roman" w:hint="default"/>
                            <w:spacing w:val="-5"/>
                            <w:sz w:val="18"/>
                            <w:szCs w:val="18"/>
                          </w:rPr>
                          <w:t>12</w:t>
                        </w:r>
                        <w:r>
                          <w:rPr>
                            <w:rFonts w:ascii="宋体" w:hAnsi="宋体" w:cs="宋体" w:eastAsia="宋体" w:hint="default"/>
                            <w:spacing w:val="-5"/>
                            <w:sz w:val="18"/>
                            <w:szCs w:val="18"/>
                          </w:rPr>
                          <w:t>月</w:t>
                        </w:r>
                        <w:r>
                          <w:rPr>
                            <w:rFonts w:ascii="Times New Roman" w:hAnsi="Times New Roman" w:cs="Times New Roman" w:eastAsia="Times New Roman" w:hint="default"/>
                            <w:spacing w:val="-5"/>
                            <w:sz w:val="18"/>
                            <w:szCs w:val="18"/>
                          </w:rPr>
                          <w:t>31</w:t>
                        </w:r>
                        <w:r>
                          <w:rPr>
                            <w:rFonts w:ascii="宋体" w:hAnsi="宋体" w:cs="宋体" w:eastAsia="宋体" w:hint="default"/>
                            <w:spacing w:val="-5"/>
                            <w:sz w:val="18"/>
                            <w:szCs w:val="18"/>
                          </w:rPr>
                          <w:t>日对商誉及其减值估计结果、财务</w:t>
                        </w:r>
                        <w:r>
                          <w:rPr>
                            <w:rFonts w:ascii="宋体" w:hAnsi="宋体" w:cs="宋体" w:eastAsia="宋体" w:hint="default"/>
                            <w:spacing w:val="-6"/>
                            <w:sz w:val="18"/>
                            <w:szCs w:val="18"/>
                          </w:rPr>
                          <w:t> </w:t>
                        </w:r>
                        <w:r>
                          <w:rPr>
                            <w:rFonts w:ascii="宋体" w:hAnsi="宋体" w:cs="宋体" w:eastAsia="宋体" w:hint="default"/>
                            <w:spacing w:val="-6"/>
                            <w:sz w:val="18"/>
                            <w:szCs w:val="18"/>
                          </w:rPr>
                        </w:r>
                        <w:r>
                          <w:rPr>
                            <w:rFonts w:ascii="宋体" w:hAnsi="宋体" w:cs="宋体" w:eastAsia="宋体" w:hint="default"/>
                            <w:sz w:val="18"/>
                            <w:szCs w:val="18"/>
                          </w:rPr>
                          <w:t>报表的披露是否恰当。</w:t>
                        </w:r>
                      </w:p>
                    </w:tc>
                  </w:tr>
                </w:tbl>
                <w:p>
                  <w:pPr/>
                </w:p>
              </w:txbxContent>
            </v:textbox>
            <w10:wrap type="none"/>
          </v:shape>
        </w:pict>
      </w:r>
      <w:r>
        <w:rPr>
          <w:w w:val="101"/>
        </w:rPr>
        <w:t>；</w:t>
      </w:r>
      <w:r>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5"/>
          <w:szCs w:val="25"/>
        </w:rPr>
      </w:pPr>
    </w:p>
    <w:p>
      <w:pPr>
        <w:pStyle w:val="BodyText"/>
        <w:spacing w:line="240" w:lineRule="auto" w:before="46"/>
        <w:ind w:left="0" w:right="1041"/>
        <w:jc w:val="right"/>
      </w:pPr>
      <w:r>
        <w:rPr>
          <w:w w:val="101"/>
        </w:rPr>
        <w:t>，</w:t>
      </w:r>
      <w:r>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5"/>
          <w:szCs w:val="25"/>
        </w:rPr>
      </w:pPr>
    </w:p>
    <w:p>
      <w:pPr>
        <w:pStyle w:val="BodyText"/>
        <w:spacing w:line="240" w:lineRule="auto" w:before="46"/>
        <w:ind w:left="0" w:right="1041"/>
        <w:jc w:val="right"/>
      </w:pPr>
      <w:r>
        <w:rPr>
          <w:w w:val="101"/>
        </w:rPr>
        <w:t>；</w:t>
      </w:r>
      <w:r>
        <w:rPr/>
      </w:r>
    </w:p>
    <w:p>
      <w:pPr>
        <w:spacing w:line="240" w:lineRule="auto" w:before="2"/>
        <w:rPr>
          <w:rFonts w:ascii="宋体" w:hAnsi="宋体" w:cs="宋体" w:eastAsia="宋体" w:hint="default"/>
          <w:sz w:val="26"/>
          <w:szCs w:val="26"/>
        </w:rPr>
      </w:pPr>
    </w:p>
    <w:p>
      <w:pPr>
        <w:pStyle w:val="BodyText"/>
        <w:spacing w:line="240" w:lineRule="auto" w:before="46"/>
        <w:ind w:left="0" w:right="1041"/>
        <w:jc w:val="right"/>
      </w:pPr>
      <w:r>
        <w:rPr>
          <w:w w:val="101"/>
        </w:rPr>
        <w:t>；</w:t>
      </w:r>
      <w:r>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2"/>
          <w:szCs w:val="22"/>
        </w:rPr>
      </w:pPr>
    </w:p>
    <w:p>
      <w:pPr>
        <w:pStyle w:val="BodyText"/>
        <w:spacing w:line="357" w:lineRule="auto" w:before="46"/>
        <w:ind w:left="513" w:right="855"/>
        <w:jc w:val="left"/>
      </w:pPr>
      <w:r>
        <w:rPr>
          <w:rFonts w:ascii="宋体" w:hAnsi="宋体" w:cs="宋体" w:eastAsia="宋体" w:hint="default"/>
          <w:b/>
          <w:bCs/>
        </w:rPr>
        <w:t>四、其他信息</w:t>
      </w:r>
      <w:r>
        <w:rPr>
          <w:rFonts w:ascii="宋体" w:hAnsi="宋体" w:cs="宋体" w:eastAsia="宋体" w:hint="default"/>
          <w:b/>
          <w:bCs/>
          <w:spacing w:val="-86"/>
        </w:rPr>
        <w:t> </w:t>
      </w:r>
      <w:r>
        <w:rPr>
          <w:rFonts w:ascii="宋体" w:hAnsi="宋体" w:cs="宋体" w:eastAsia="宋体" w:hint="default"/>
          <w:b/>
          <w:bCs/>
          <w:spacing w:val="-86"/>
        </w:rPr>
      </w:r>
      <w:r>
        <w:rPr>
          <w:spacing w:val="-3"/>
        </w:rPr>
        <w:t>南天信息公司管理层</w:t>
      </w:r>
      <w:r>
        <w:rPr>
          <w:rFonts w:ascii="Times New Roman" w:hAnsi="Times New Roman" w:cs="Times New Roman" w:eastAsia="Times New Roman" w:hint="default"/>
          <w:spacing w:val="-3"/>
        </w:rPr>
        <w:t>(</w:t>
      </w:r>
      <w:r>
        <w:rPr>
          <w:spacing w:val="-3"/>
        </w:rPr>
        <w:t>以下简称管理层</w:t>
      </w:r>
      <w:r>
        <w:rPr>
          <w:rFonts w:ascii="Times New Roman" w:hAnsi="Times New Roman" w:cs="Times New Roman" w:eastAsia="Times New Roman" w:hint="default"/>
          <w:spacing w:val="-3"/>
        </w:rPr>
        <w:t>)</w:t>
      </w:r>
      <w:r>
        <w:rPr>
          <w:spacing w:val="-3"/>
        </w:rPr>
        <w:t>对其他信息负责。其他信息包括南天信息公司</w:t>
      </w:r>
      <w:r>
        <w:rPr>
          <w:rFonts w:ascii="Times New Roman" w:hAnsi="Times New Roman" w:cs="Times New Roman" w:eastAsia="Times New Roman" w:hint="default"/>
          <w:spacing w:val="-3"/>
        </w:rPr>
        <w:t>2019</w:t>
      </w:r>
      <w:r>
        <w:rPr>
          <w:spacing w:val="-3"/>
        </w:rPr>
        <w:t>年年度报告中涵盖的信息，但</w:t>
      </w:r>
    </w:p>
    <w:p>
      <w:pPr>
        <w:pStyle w:val="BodyText"/>
        <w:spacing w:line="201" w:lineRule="exact"/>
        <w:ind w:right="855"/>
        <w:jc w:val="left"/>
      </w:pPr>
      <w:r>
        <w:rPr>
          <w:spacing w:val="-3"/>
        </w:rPr>
        <w:t>不包括财务报表和我们的审计报告。</w:t>
      </w:r>
    </w:p>
    <w:p>
      <w:pPr>
        <w:spacing w:after="0" w:line="201" w:lineRule="exact"/>
        <w:jc w:val="left"/>
        <w:sectPr>
          <w:pgSz w:w="11910" w:h="16840"/>
          <w:pgMar w:header="746" w:footer="974" w:top="1060" w:bottom="1160" w:left="980" w:right="0"/>
        </w:sectPr>
      </w:pPr>
    </w:p>
    <w:p>
      <w:pPr>
        <w:spacing w:line="240" w:lineRule="auto" w:before="9"/>
        <w:rPr>
          <w:rFonts w:ascii="宋体" w:hAnsi="宋体" w:cs="宋体" w:eastAsia="宋体" w:hint="default"/>
          <w:sz w:val="25"/>
          <w:szCs w:val="25"/>
        </w:rPr>
      </w:pPr>
    </w:p>
    <w:p>
      <w:pPr>
        <w:pStyle w:val="BodyText"/>
        <w:spacing w:line="357" w:lineRule="auto" w:before="46"/>
        <w:ind w:left="653" w:right="0"/>
        <w:jc w:val="left"/>
      </w:pPr>
      <w:r>
        <w:rPr>
          <w:spacing w:val="-3"/>
        </w:rPr>
        <w:t>我们对财务报表发表的审计意见不涵盖其他信息，我们也不对其他信息发表任何形式的鉴证结论。</w:t>
      </w:r>
      <w:r>
        <w:rPr>
          <w:spacing w:val="37"/>
        </w:rPr>
        <w:t> </w:t>
      </w:r>
      <w:r>
        <w:rPr>
          <w:spacing w:val="37"/>
        </w:rPr>
      </w:r>
      <w:r>
        <w:rPr>
          <w:spacing w:val="-4"/>
        </w:rPr>
        <w:t>结合我们对财务报表的审计，我们的责任是阅读其他信息，在此过程中，考虑其他信息是否与财务报表或我们在审计过</w:t>
      </w:r>
    </w:p>
    <w:p>
      <w:pPr>
        <w:pStyle w:val="BodyText"/>
        <w:spacing w:line="224" w:lineRule="exact"/>
        <w:ind w:left="293" w:right="0"/>
        <w:jc w:val="left"/>
      </w:pPr>
      <w:r>
        <w:rPr>
          <w:spacing w:val="-3"/>
        </w:rPr>
        <w:t>程中了解到的情况存在重大不一致或者似乎存在重大错报。</w:t>
      </w:r>
    </w:p>
    <w:p>
      <w:pPr>
        <w:pStyle w:val="BodyText"/>
        <w:spacing w:line="316" w:lineRule="auto" w:before="120"/>
        <w:ind w:left="293" w:right="1122" w:firstLine="360"/>
        <w:jc w:val="both"/>
      </w:pPr>
      <w:r>
        <w:rPr>
          <w:spacing w:val="-4"/>
        </w:rPr>
        <w:t>基于我们已执行的工作，如果我们确定其他信息存在重大错报，我们应当报告该事实。在这方面，我们无任何事项需要</w:t>
      </w:r>
      <w:r>
        <w:rPr>
          <w:w w:val="101"/>
        </w:rPr>
        <w:t> </w:t>
      </w:r>
      <w:r>
        <w:rPr/>
        <w:t>报告。</w:t>
      </w:r>
    </w:p>
    <w:p>
      <w:pPr>
        <w:spacing w:line="357" w:lineRule="auto" w:before="57"/>
        <w:ind w:left="653" w:right="0" w:firstLine="0"/>
        <w:jc w:val="left"/>
        <w:rPr>
          <w:rFonts w:ascii="宋体" w:hAnsi="宋体" w:cs="宋体" w:eastAsia="宋体" w:hint="default"/>
          <w:sz w:val="18"/>
          <w:szCs w:val="18"/>
        </w:rPr>
      </w:pPr>
      <w:r>
        <w:rPr>
          <w:rFonts w:ascii="宋体" w:hAnsi="宋体" w:cs="宋体" w:eastAsia="宋体" w:hint="default"/>
          <w:b/>
          <w:bCs/>
          <w:sz w:val="18"/>
          <w:szCs w:val="18"/>
        </w:rPr>
        <w:t>五、管理层和治理层对财务报表的责任</w:t>
      </w:r>
      <w:r>
        <w:rPr>
          <w:rFonts w:ascii="宋体" w:hAnsi="宋体" w:cs="宋体" w:eastAsia="宋体" w:hint="default"/>
          <w:b/>
          <w:bCs/>
          <w:spacing w:val="-87"/>
          <w:sz w:val="18"/>
          <w:szCs w:val="18"/>
        </w:rPr>
        <w:t> </w:t>
      </w:r>
      <w:r>
        <w:rPr>
          <w:rFonts w:ascii="宋体" w:hAnsi="宋体" w:cs="宋体" w:eastAsia="宋体" w:hint="default"/>
          <w:b/>
          <w:bCs/>
          <w:spacing w:val="-87"/>
          <w:sz w:val="18"/>
          <w:szCs w:val="18"/>
        </w:rPr>
      </w:r>
      <w:r>
        <w:rPr>
          <w:rFonts w:ascii="宋体" w:hAnsi="宋体" w:cs="宋体" w:eastAsia="宋体" w:hint="default"/>
          <w:spacing w:val="-5"/>
          <w:sz w:val="18"/>
          <w:szCs w:val="18"/>
        </w:rPr>
        <w:t>管理层负责按照企业会计准则的规定编制财务报表，使其实现公允反映，并设计、执行和维护必要的内部控制，以使财</w:t>
      </w:r>
    </w:p>
    <w:p>
      <w:pPr>
        <w:pStyle w:val="BodyText"/>
        <w:spacing w:line="224" w:lineRule="exact"/>
        <w:ind w:left="293" w:right="0"/>
        <w:jc w:val="left"/>
      </w:pPr>
      <w:r>
        <w:rPr>
          <w:spacing w:val="-3"/>
        </w:rPr>
        <w:t>务报表不存在由于舞弊或错误导致的重大错报。</w:t>
      </w:r>
    </w:p>
    <w:p>
      <w:pPr>
        <w:pStyle w:val="BodyText"/>
        <w:spacing w:line="316" w:lineRule="auto" w:before="120"/>
        <w:ind w:left="293" w:right="1124" w:firstLine="360"/>
        <w:jc w:val="both"/>
      </w:pPr>
      <w:r>
        <w:rPr>
          <w:spacing w:val="-5"/>
        </w:rPr>
        <w:t>在编制财务报表时，管理层负责评估南天信息公司的持续经营能力，披露与持续经营相关的事项（如适用），并运用持</w:t>
      </w:r>
      <w:r>
        <w:rPr>
          <w:w w:val="101"/>
        </w:rPr>
        <w:t> </w:t>
      </w:r>
      <w:r>
        <w:rPr>
          <w:spacing w:val="-3"/>
        </w:rPr>
        <w:t>续经营假设，除非管理层计划清算南天信息公司、终止运营或别无其他现实的选择。</w:t>
      </w:r>
    </w:p>
    <w:p>
      <w:pPr>
        <w:spacing w:line="357" w:lineRule="auto" w:before="57"/>
        <w:ind w:left="653" w:right="3642" w:firstLine="0"/>
        <w:jc w:val="left"/>
        <w:rPr>
          <w:rFonts w:ascii="宋体" w:hAnsi="宋体" w:cs="宋体" w:eastAsia="宋体" w:hint="default"/>
          <w:sz w:val="18"/>
          <w:szCs w:val="18"/>
        </w:rPr>
      </w:pPr>
      <w:r>
        <w:rPr>
          <w:rFonts w:ascii="宋体" w:hAnsi="宋体" w:cs="宋体" w:eastAsia="宋体" w:hint="default"/>
          <w:spacing w:val="-3"/>
          <w:sz w:val="18"/>
          <w:szCs w:val="18"/>
        </w:rPr>
        <w:t>治理层负责监督南天信息公司的财务报告过程。</w:t>
      </w:r>
      <w:r>
        <w:rPr>
          <w:rFonts w:ascii="宋体" w:hAnsi="宋体" w:cs="宋体" w:eastAsia="宋体" w:hint="default"/>
          <w:spacing w:val="-27"/>
          <w:sz w:val="18"/>
          <w:szCs w:val="18"/>
        </w:rPr>
        <w:t> </w:t>
      </w:r>
      <w:r>
        <w:rPr>
          <w:rFonts w:ascii="宋体" w:hAnsi="宋体" w:cs="宋体" w:eastAsia="宋体" w:hint="default"/>
          <w:spacing w:val="-27"/>
          <w:sz w:val="18"/>
          <w:szCs w:val="18"/>
        </w:rPr>
      </w:r>
      <w:r>
        <w:rPr>
          <w:rFonts w:ascii="宋体" w:hAnsi="宋体" w:cs="宋体" w:eastAsia="宋体" w:hint="default"/>
          <w:b/>
          <w:bCs/>
          <w:sz w:val="18"/>
          <w:szCs w:val="18"/>
        </w:rPr>
        <w:t>六、注册会计师对财务报表审计的责任</w:t>
      </w:r>
      <w:r>
        <w:rPr>
          <w:rFonts w:ascii="宋体" w:hAnsi="宋体" w:cs="宋体" w:eastAsia="宋体" w:hint="default"/>
          <w:sz w:val="18"/>
          <w:szCs w:val="18"/>
        </w:rPr>
      </w:r>
    </w:p>
    <w:p>
      <w:pPr>
        <w:pStyle w:val="BodyText"/>
        <w:spacing w:line="319" w:lineRule="auto" w:before="31"/>
        <w:ind w:left="293" w:right="1124" w:firstLine="360"/>
        <w:jc w:val="both"/>
      </w:pPr>
      <w:r>
        <w:rPr>
          <w:spacing w:val="-4"/>
          <w:w w:val="101"/>
        </w:rPr>
        <w:t>我们的目标是对财务报表整体是否不存在由于舞弊或错误导致的重大错报获取合理保证，并出具包含审计意见的审计报</w:t>
      </w:r>
      <w:r>
        <w:rPr>
          <w:w w:val="101"/>
        </w:rPr>
        <w:t> </w:t>
      </w:r>
      <w:r>
        <w:rPr>
          <w:spacing w:val="-4"/>
        </w:rPr>
        <w:t>告。合理保证是高水平的保证，但并不能保证按照审计准则执行的审计在某一重大错报存在时总能发现。错报可能由于舞弊</w:t>
      </w:r>
      <w:r>
        <w:rPr>
          <w:spacing w:val="43"/>
        </w:rPr>
        <w:t> </w:t>
      </w:r>
      <w:r>
        <w:rPr>
          <w:spacing w:val="43"/>
        </w:rPr>
      </w:r>
      <w:r>
        <w:rPr>
          <w:spacing w:val="-4"/>
        </w:rPr>
        <w:t>或错误导致，如果合理预期错报单独或汇总起来可能影响财务报表使用者依据财务报表作出的经济决策，则通常认为错报是</w:t>
      </w:r>
      <w:r>
        <w:rPr>
          <w:spacing w:val="43"/>
        </w:rPr>
        <w:t> </w:t>
      </w:r>
      <w:r>
        <w:rPr>
          <w:spacing w:val="43"/>
        </w:rPr>
      </w:r>
      <w:r>
        <w:rPr/>
        <w:t>重大的。</w:t>
      </w:r>
    </w:p>
    <w:p>
      <w:pPr>
        <w:pStyle w:val="BodyText"/>
        <w:spacing w:line="240" w:lineRule="auto" w:before="55"/>
        <w:ind w:left="653" w:right="0"/>
        <w:jc w:val="left"/>
      </w:pPr>
      <w:r>
        <w:rPr>
          <w:spacing w:val="-3"/>
        </w:rPr>
        <w:t>在按照审计准则执行审计工作的过程中，我们运用职业判断，并保持职业怀疑。同时，我们也执行以下工作：</w:t>
      </w:r>
    </w:p>
    <w:p>
      <w:pPr>
        <w:pStyle w:val="BodyText"/>
        <w:spacing w:line="309" w:lineRule="auto" w:before="115"/>
        <w:ind w:left="293" w:right="0" w:firstLine="360"/>
        <w:jc w:val="left"/>
      </w:pPr>
      <w:r>
        <w:rPr>
          <w:spacing w:val="-3"/>
        </w:rPr>
        <w:t>（</w:t>
      </w:r>
      <w:r>
        <w:rPr>
          <w:rFonts w:ascii="Times New Roman" w:hAnsi="Times New Roman" w:cs="Times New Roman" w:eastAsia="Times New Roman" w:hint="default"/>
          <w:spacing w:val="-3"/>
        </w:rPr>
        <w:t>1</w:t>
      </w:r>
      <w:r>
        <w:rPr>
          <w:spacing w:val="-3"/>
        </w:rPr>
        <w:t>）识别和评估由于舞弊或错误导致的财务报表重大错报风险，设计和实施审计程序以应对这些风险，并获取充分、</w:t>
      </w:r>
      <w:r>
        <w:rPr>
          <w:w w:val="101"/>
        </w:rPr>
        <w:t> </w:t>
      </w:r>
      <w:r>
        <w:rPr>
          <w:spacing w:val="-3"/>
        </w:rPr>
        <w:t>适当的审计证据，作为发表审计意见的基础。由于舞弊可能涉及串通、伪造、故意遗漏、虚假陈述或凌驾于内部控制之上，</w:t>
      </w:r>
      <w:r>
        <w:rPr>
          <w:spacing w:val="66"/>
        </w:rPr>
        <w:t> </w:t>
      </w:r>
      <w:r>
        <w:rPr>
          <w:spacing w:val="66"/>
        </w:rPr>
      </w:r>
      <w:r>
        <w:rPr>
          <w:spacing w:val="-3"/>
        </w:rPr>
        <w:t>未能发现由于舞弊导致的重大错报的风险高于未能发现由于错误导致的重大错报的风险。</w:t>
      </w:r>
    </w:p>
    <w:p>
      <w:pPr>
        <w:pStyle w:val="BodyText"/>
        <w:spacing w:line="240" w:lineRule="auto" w:before="67"/>
        <w:ind w:left="653" w:right="0"/>
        <w:jc w:val="left"/>
      </w:pPr>
      <w:r>
        <w:rPr>
          <w:spacing w:val="-3"/>
        </w:rPr>
        <w:t>（</w:t>
      </w:r>
      <w:r>
        <w:rPr>
          <w:rFonts w:ascii="Times New Roman" w:hAnsi="Times New Roman" w:cs="Times New Roman" w:eastAsia="Times New Roman" w:hint="default"/>
          <w:spacing w:val="-3"/>
        </w:rPr>
        <w:t>2</w:t>
      </w:r>
      <w:r>
        <w:rPr>
          <w:spacing w:val="-3"/>
        </w:rPr>
        <w:t>）了解与审计相关的内部控制，以设计恰当的审计程序。</w:t>
      </w:r>
    </w:p>
    <w:p>
      <w:pPr>
        <w:pStyle w:val="BodyText"/>
        <w:spacing w:line="240" w:lineRule="auto" w:before="101"/>
        <w:ind w:left="653" w:right="0"/>
        <w:jc w:val="left"/>
      </w:pPr>
      <w:r>
        <w:rPr>
          <w:spacing w:val="-3"/>
        </w:rPr>
        <w:t>（</w:t>
      </w:r>
      <w:r>
        <w:rPr>
          <w:rFonts w:ascii="Times New Roman" w:hAnsi="Times New Roman" w:cs="Times New Roman" w:eastAsia="Times New Roman" w:hint="default"/>
          <w:spacing w:val="-3"/>
        </w:rPr>
        <w:t>3</w:t>
      </w:r>
      <w:r>
        <w:rPr>
          <w:spacing w:val="-3"/>
        </w:rPr>
        <w:t>）评价管理层选用会计政策的恰当性和作出会计估计及相关披露的合理性。</w:t>
      </w:r>
    </w:p>
    <w:p>
      <w:pPr>
        <w:pStyle w:val="BodyText"/>
        <w:spacing w:line="312" w:lineRule="auto" w:before="101"/>
        <w:ind w:left="293" w:right="1128" w:firstLine="360"/>
        <w:jc w:val="both"/>
      </w:pPr>
      <w:r>
        <w:rPr>
          <w:spacing w:val="-3"/>
        </w:rPr>
        <w:t>（</w:t>
      </w:r>
      <w:r>
        <w:rPr>
          <w:rFonts w:ascii="Times New Roman" w:hAnsi="Times New Roman" w:cs="Times New Roman" w:eastAsia="Times New Roman" w:hint="default"/>
          <w:spacing w:val="-3"/>
        </w:rPr>
        <w:t>4</w:t>
      </w:r>
      <w:r>
        <w:rPr>
          <w:spacing w:val="-3"/>
        </w:rPr>
        <w:t>）对管理层使用持续经营假设的恰当性得出结论。同时，根据获取的审计证据，就可能导致对南天信息公司持续经</w:t>
      </w:r>
      <w:r>
        <w:rPr>
          <w:w w:val="101"/>
        </w:rPr>
        <w:t> </w:t>
      </w:r>
      <w:r>
        <w:rPr>
          <w:spacing w:val="-4"/>
        </w:rPr>
        <w:t>营能力产生重大疑虑的事项或情况是否存在重大不确定性得出结论。如果我们得出结论认为存在重大不确定性，审计准则要</w:t>
      </w:r>
      <w:r>
        <w:rPr>
          <w:spacing w:val="39"/>
        </w:rPr>
        <w:t> </w:t>
      </w:r>
      <w:r>
        <w:rPr>
          <w:spacing w:val="39"/>
        </w:rPr>
      </w:r>
      <w:r>
        <w:rPr>
          <w:spacing w:val="-5"/>
        </w:rPr>
        <w:t>求我们在审计报告中提请报表使用者注意财务报表中的相关披露；如果披露不充分，我们应当发表非无保留意见。我们的结</w:t>
      </w:r>
      <w:r>
        <w:rPr>
          <w:spacing w:val="6"/>
        </w:rPr>
        <w:t> </w:t>
      </w:r>
      <w:r>
        <w:rPr>
          <w:spacing w:val="6"/>
        </w:rPr>
      </w:r>
      <w:r>
        <w:rPr>
          <w:spacing w:val="-3"/>
        </w:rPr>
        <w:t>论基于截至审计报告日可获得的信息。然而，未来的事项或情况可能导致南天信息公司不能持续经营。</w:t>
      </w:r>
    </w:p>
    <w:p>
      <w:pPr>
        <w:pStyle w:val="BodyText"/>
        <w:spacing w:line="240" w:lineRule="auto" w:before="65"/>
        <w:ind w:left="653" w:right="0"/>
        <w:jc w:val="left"/>
      </w:pPr>
      <w:r>
        <w:rPr>
          <w:spacing w:val="-3"/>
        </w:rPr>
        <w:t>（</w:t>
      </w:r>
      <w:r>
        <w:rPr>
          <w:rFonts w:ascii="Times New Roman" w:hAnsi="Times New Roman" w:cs="Times New Roman" w:eastAsia="Times New Roman" w:hint="default"/>
          <w:spacing w:val="-3"/>
        </w:rPr>
        <w:t>5</w:t>
      </w:r>
      <w:r>
        <w:rPr>
          <w:spacing w:val="-3"/>
        </w:rPr>
        <w:t>）评价财务报表的总体列报、结构和内容，并评价财务报表是否公允反映相关交易和事项。</w:t>
      </w:r>
    </w:p>
    <w:p>
      <w:pPr>
        <w:pStyle w:val="BodyText"/>
        <w:spacing w:line="300" w:lineRule="auto" w:before="101"/>
        <w:ind w:left="293" w:right="1128" w:firstLine="360"/>
        <w:jc w:val="both"/>
      </w:pPr>
      <w:r>
        <w:rPr>
          <w:spacing w:val="-3"/>
        </w:rPr>
        <w:t>（</w:t>
      </w:r>
      <w:r>
        <w:rPr>
          <w:rFonts w:ascii="Times New Roman" w:hAnsi="Times New Roman" w:cs="Times New Roman" w:eastAsia="Times New Roman" w:hint="default"/>
          <w:spacing w:val="-3"/>
        </w:rPr>
        <w:t>6</w:t>
      </w:r>
      <w:r>
        <w:rPr>
          <w:spacing w:val="-3"/>
        </w:rPr>
        <w:t>）就南天信息公司中实体或业务活动的财务信息获取充分、适当的审计证据，以对财务报表发表审计意见。我们负</w:t>
      </w:r>
      <w:r>
        <w:rPr>
          <w:w w:val="101"/>
        </w:rPr>
        <w:t> </w:t>
      </w:r>
      <w:r>
        <w:rPr>
          <w:spacing w:val="-3"/>
        </w:rPr>
        <w:t>责指导、监督和执行集团审计，并对审计意见承担全部责任。</w:t>
      </w:r>
    </w:p>
    <w:p>
      <w:pPr>
        <w:pStyle w:val="BodyText"/>
        <w:spacing w:line="316" w:lineRule="auto" w:before="70"/>
        <w:ind w:left="293" w:right="1122" w:firstLine="360"/>
        <w:jc w:val="both"/>
      </w:pPr>
      <w:r>
        <w:rPr>
          <w:spacing w:val="-4"/>
        </w:rPr>
        <w:t>我们与治理层就计划的审计范围、时间安排和重大审计发现等事项进行沟通，包括沟通我们在审计中识别出的值得关注</w:t>
      </w:r>
      <w:r>
        <w:rPr>
          <w:w w:val="101"/>
        </w:rPr>
        <w:t> </w:t>
      </w:r>
      <w:r>
        <w:rPr/>
        <w:t>的内部控制缺陷。</w:t>
      </w:r>
    </w:p>
    <w:p>
      <w:pPr>
        <w:pStyle w:val="BodyText"/>
        <w:spacing w:line="316" w:lineRule="auto" w:before="62"/>
        <w:ind w:left="293" w:right="1128" w:firstLine="360"/>
        <w:jc w:val="both"/>
      </w:pPr>
      <w:r>
        <w:rPr>
          <w:spacing w:val="-5"/>
          <w:w w:val="101"/>
        </w:rPr>
        <w:t>我们还就已遵守与独立性相关的职业道德要求向治理层提供声明，并与治理层沟通可能被合理认为影响我们独立性的所</w:t>
      </w:r>
      <w:r>
        <w:rPr>
          <w:w w:val="101"/>
        </w:rPr>
        <w:t> </w:t>
      </w:r>
      <w:r>
        <w:rPr>
          <w:spacing w:val="-3"/>
        </w:rPr>
        <w:t>有关系和其他事项，以及相关的防范措施（如适用）。</w:t>
      </w:r>
    </w:p>
    <w:p>
      <w:pPr>
        <w:pStyle w:val="BodyText"/>
        <w:spacing w:line="316" w:lineRule="auto" w:before="57"/>
        <w:ind w:left="293" w:right="1124" w:firstLine="360"/>
        <w:jc w:val="both"/>
      </w:pPr>
      <w:r>
        <w:rPr>
          <w:spacing w:val="-4"/>
        </w:rPr>
        <w:t>从与治理层沟通过的事项中，我们确定哪些事项对本期财务报表审计最为重要，因而构成关键审计事项。我们在审计报</w:t>
      </w:r>
      <w:r>
        <w:rPr>
          <w:w w:val="101"/>
        </w:rPr>
        <w:t> </w:t>
      </w:r>
      <w:r>
        <w:rPr>
          <w:spacing w:val="-4"/>
        </w:rPr>
        <w:t>告中描述这些事项，除非法律法规禁止公开披露这些事项，或在极少数情形下，如果合理预期在审计报告中沟通某事项造成</w:t>
      </w:r>
      <w:r>
        <w:rPr>
          <w:spacing w:val="43"/>
        </w:rPr>
        <w:t> </w:t>
      </w:r>
      <w:r>
        <w:rPr>
          <w:spacing w:val="43"/>
        </w:rPr>
      </w:r>
      <w:r>
        <w:rPr>
          <w:spacing w:val="-3"/>
        </w:rPr>
        <w:t>的负面后果超过在公众利益方面产生的益处，我们确定不应在审计报告中沟通该事项。</w:t>
      </w:r>
    </w:p>
    <w:p>
      <w:pPr>
        <w:spacing w:line="240" w:lineRule="auto" w:before="3"/>
        <w:rPr>
          <w:rFonts w:ascii="宋体" w:hAnsi="宋体" w:cs="宋体" w:eastAsia="宋体" w:hint="default"/>
          <w:sz w:val="9"/>
          <w:szCs w:val="9"/>
        </w:rPr>
      </w:pPr>
    </w:p>
    <w:tbl>
      <w:tblPr>
        <w:tblW w:w="0" w:type="auto"/>
        <w:jc w:val="left"/>
        <w:tblInd w:w="112" w:type="dxa"/>
        <w:tblLayout w:type="fixed"/>
        <w:tblCellMar>
          <w:top w:w="0" w:type="dxa"/>
          <w:left w:w="0" w:type="dxa"/>
          <w:bottom w:w="0" w:type="dxa"/>
          <w:right w:w="0" w:type="dxa"/>
        </w:tblCellMar>
        <w:tblLook w:val="01E0"/>
      </w:tblPr>
      <w:tblGrid>
        <w:gridCol w:w="3995"/>
        <w:gridCol w:w="4347"/>
      </w:tblGrid>
      <w:tr>
        <w:trPr>
          <w:trHeight w:val="430" w:hRule="exact"/>
        </w:trPr>
        <w:tc>
          <w:tcPr>
            <w:tcW w:w="3995" w:type="dxa"/>
            <w:tcBorders>
              <w:top w:val="nil" w:sz="6" w:space="0" w:color="auto"/>
              <w:left w:val="nil" w:sz="6" w:space="0" w:color="auto"/>
              <w:bottom w:val="nil" w:sz="6" w:space="0" w:color="auto"/>
              <w:right w:val="nil" w:sz="6" w:space="0" w:color="auto"/>
            </w:tcBorders>
          </w:tcPr>
          <w:p>
            <w:pPr>
              <w:pStyle w:val="TableParagraph"/>
              <w:spacing w:line="196" w:lineRule="exact"/>
              <w:ind w:left="200"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信永中和会计师事务所</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特殊普通合伙</w:t>
            </w:r>
            <w:r>
              <w:rPr>
                <w:rFonts w:ascii="Times New Roman" w:hAnsi="Times New Roman" w:cs="Times New Roman" w:eastAsia="Times New Roman" w:hint="default"/>
                <w:spacing w:val="-3"/>
                <w:sz w:val="18"/>
                <w:szCs w:val="18"/>
              </w:rPr>
              <w:t>)</w:t>
            </w:r>
          </w:p>
        </w:tc>
        <w:tc>
          <w:tcPr>
            <w:tcW w:w="4347" w:type="dxa"/>
            <w:tcBorders>
              <w:top w:val="nil" w:sz="6" w:space="0" w:color="auto"/>
              <w:left w:val="nil" w:sz="6" w:space="0" w:color="auto"/>
              <w:bottom w:val="nil" w:sz="6" w:space="0" w:color="auto"/>
              <w:right w:val="nil" w:sz="6" w:space="0" w:color="auto"/>
            </w:tcBorders>
          </w:tcPr>
          <w:p>
            <w:pPr>
              <w:pStyle w:val="TableParagraph"/>
              <w:tabs>
                <w:tab w:pos="2884" w:val="left" w:leader="none"/>
              </w:tabs>
              <w:spacing w:line="182" w:lineRule="exact"/>
              <w:ind w:left="790" w:right="0"/>
              <w:jc w:val="left"/>
              <w:rPr>
                <w:rFonts w:ascii="宋体" w:hAnsi="宋体" w:cs="宋体" w:eastAsia="宋体" w:hint="default"/>
                <w:sz w:val="18"/>
                <w:szCs w:val="18"/>
              </w:rPr>
            </w:pPr>
            <w:r>
              <w:rPr>
                <w:rFonts w:ascii="宋体" w:hAnsi="宋体" w:cs="宋体" w:eastAsia="宋体" w:hint="default"/>
                <w:spacing w:val="-2"/>
                <w:sz w:val="18"/>
                <w:szCs w:val="18"/>
              </w:rPr>
              <w:t>中国注册会计师：张为</w:t>
              <w:tab/>
            </w:r>
            <w:r>
              <w:rPr>
                <w:rFonts w:ascii="宋体" w:hAnsi="宋体" w:cs="宋体" w:eastAsia="宋体" w:hint="default"/>
                <w:spacing w:val="-3"/>
                <w:sz w:val="18"/>
                <w:szCs w:val="18"/>
              </w:rPr>
              <w:t>（项目合伙人）</w:t>
            </w:r>
          </w:p>
        </w:tc>
      </w:tr>
      <w:tr>
        <w:trPr>
          <w:trHeight w:val="660" w:hRule="exact"/>
        </w:trPr>
        <w:tc>
          <w:tcPr>
            <w:tcW w:w="3995" w:type="dxa"/>
            <w:tcBorders>
              <w:top w:val="nil" w:sz="6" w:space="0" w:color="auto"/>
              <w:left w:val="nil" w:sz="6" w:space="0" w:color="auto"/>
              <w:bottom w:val="nil" w:sz="6" w:space="0" w:color="auto"/>
              <w:right w:val="nil" w:sz="6" w:space="0" w:color="auto"/>
            </w:tcBorders>
          </w:tcPr>
          <w:p>
            <w:pPr/>
          </w:p>
        </w:tc>
        <w:tc>
          <w:tcPr>
            <w:tcW w:w="4347"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790" w:right="0"/>
              <w:jc w:val="left"/>
              <w:rPr>
                <w:rFonts w:ascii="宋体" w:hAnsi="宋体" w:cs="宋体" w:eastAsia="宋体" w:hint="default"/>
                <w:sz w:val="18"/>
                <w:szCs w:val="18"/>
              </w:rPr>
            </w:pPr>
            <w:r>
              <w:rPr>
                <w:rFonts w:ascii="宋体" w:hAnsi="宋体" w:cs="宋体" w:eastAsia="宋体" w:hint="default"/>
                <w:sz w:val="18"/>
                <w:szCs w:val="18"/>
              </w:rPr>
              <w:t>中国注册会计师：何诚</w:t>
            </w:r>
          </w:p>
        </w:tc>
      </w:tr>
      <w:tr>
        <w:trPr>
          <w:trHeight w:val="432" w:hRule="exact"/>
        </w:trPr>
        <w:tc>
          <w:tcPr>
            <w:tcW w:w="399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466" w:right="0"/>
              <w:jc w:val="center"/>
              <w:rPr>
                <w:rFonts w:ascii="宋体" w:hAnsi="宋体" w:cs="宋体" w:eastAsia="宋体" w:hint="default"/>
                <w:sz w:val="18"/>
                <w:szCs w:val="18"/>
              </w:rPr>
            </w:pPr>
            <w:r>
              <w:rPr>
                <w:rFonts w:ascii="宋体" w:hAnsi="宋体" w:cs="宋体" w:eastAsia="宋体" w:hint="default"/>
                <w:sz w:val="18"/>
                <w:szCs w:val="18"/>
              </w:rPr>
              <w:t>中国</w:t>
            </w:r>
            <w:r>
              <w:rPr>
                <w:rFonts w:ascii="宋体" w:hAnsi="宋体" w:cs="宋体" w:eastAsia="宋体" w:hint="default"/>
                <w:spacing w:val="-23"/>
                <w:sz w:val="18"/>
                <w:szCs w:val="18"/>
              </w:rPr>
              <w:t> </w:t>
            </w:r>
            <w:r>
              <w:rPr>
                <w:rFonts w:ascii="宋体" w:hAnsi="宋体" w:cs="宋体" w:eastAsia="宋体" w:hint="default"/>
                <w:sz w:val="18"/>
                <w:szCs w:val="18"/>
              </w:rPr>
              <w:t>北京</w:t>
            </w:r>
          </w:p>
        </w:tc>
        <w:tc>
          <w:tcPr>
            <w:tcW w:w="4347"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790" w:right="0"/>
              <w:jc w:val="left"/>
              <w:rPr>
                <w:rFonts w:ascii="宋体" w:hAnsi="宋体" w:cs="宋体" w:eastAsia="宋体" w:hint="default"/>
                <w:sz w:val="18"/>
                <w:szCs w:val="18"/>
              </w:rPr>
            </w:pPr>
            <w:r>
              <w:rPr>
                <w:rFonts w:ascii="宋体" w:hAnsi="宋体" w:cs="宋体" w:eastAsia="宋体" w:hint="default"/>
                <w:sz w:val="18"/>
                <w:szCs w:val="18"/>
              </w:rPr>
              <w:t>二</w:t>
            </w:r>
            <w:r>
              <w:rPr>
                <w:rFonts w:ascii="Times New Roman" w:hAnsi="Times New Roman" w:cs="Times New Roman" w:eastAsia="Times New Roman" w:hint="default"/>
                <w:sz w:val="18"/>
                <w:szCs w:val="18"/>
              </w:rPr>
              <w:t>○</w:t>
            </w:r>
            <w:r>
              <w:rPr>
                <w:rFonts w:ascii="宋体" w:hAnsi="宋体" w:cs="宋体" w:eastAsia="宋体" w:hint="default"/>
                <w:sz w:val="18"/>
                <w:szCs w:val="18"/>
              </w:rPr>
              <w:t>二</w:t>
            </w:r>
            <w:r>
              <w:rPr>
                <w:rFonts w:ascii="Times New Roman" w:hAnsi="Times New Roman" w:cs="Times New Roman" w:eastAsia="Times New Roman" w:hint="default"/>
                <w:sz w:val="18"/>
                <w:szCs w:val="18"/>
              </w:rPr>
              <w:t>○</w:t>
            </w:r>
            <w:r>
              <w:rPr>
                <w:rFonts w:ascii="宋体" w:hAnsi="宋体" w:cs="宋体" w:eastAsia="宋体" w:hint="default"/>
                <w:sz w:val="18"/>
                <w:szCs w:val="18"/>
              </w:rPr>
              <w:t>年四月二十三日</w:t>
            </w:r>
          </w:p>
        </w:tc>
      </w:tr>
    </w:tbl>
    <w:p>
      <w:pPr>
        <w:spacing w:after="0" w:line="240" w:lineRule="auto"/>
        <w:jc w:val="left"/>
        <w:rPr>
          <w:rFonts w:ascii="宋体" w:hAnsi="宋体" w:cs="宋体" w:eastAsia="宋体" w:hint="default"/>
          <w:sz w:val="18"/>
          <w:szCs w:val="18"/>
        </w:rPr>
        <w:sectPr>
          <w:pgSz w:w="11910" w:h="16840"/>
          <w:pgMar w:header="746" w:footer="974" w:top="1060" w:bottom="1160" w:left="840" w:right="0"/>
        </w:sectPr>
      </w:pPr>
    </w:p>
    <w:p>
      <w:pPr>
        <w:spacing w:line="240" w:lineRule="auto" w:before="10"/>
        <w:rPr>
          <w:rFonts w:ascii="宋体" w:hAnsi="宋体" w:cs="宋体" w:eastAsia="宋体" w:hint="default"/>
          <w:sz w:val="23"/>
          <w:szCs w:val="23"/>
        </w:rPr>
      </w:pPr>
    </w:p>
    <w:p>
      <w:pPr>
        <w:pStyle w:val="Heading2"/>
        <w:spacing w:line="240" w:lineRule="auto" w:before="26"/>
        <w:ind w:right="855"/>
        <w:jc w:val="left"/>
        <w:rPr>
          <w:b w:val="0"/>
          <w:bCs w:val="0"/>
        </w:rPr>
      </w:pPr>
      <w:r>
        <w:rPr/>
        <w:t>二、财务报表</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855"/>
        <w:jc w:val="left"/>
      </w:pPr>
      <w:r>
        <w:rPr>
          <w:spacing w:val="-3"/>
        </w:rPr>
        <w:t>财务附注中报表的单位为：元</w:t>
      </w:r>
    </w:p>
    <w:p>
      <w:pPr>
        <w:spacing w:line="240" w:lineRule="auto" w:before="9"/>
        <w:rPr>
          <w:rFonts w:ascii="宋体" w:hAnsi="宋体" w:cs="宋体" w:eastAsia="宋体" w:hint="default"/>
          <w:sz w:val="26"/>
          <w:szCs w:val="26"/>
        </w:rPr>
      </w:pPr>
    </w:p>
    <w:p>
      <w:pPr>
        <w:pStyle w:val="Heading4"/>
        <w:spacing w:line="240" w:lineRule="auto"/>
        <w:ind w:right="855"/>
        <w:jc w:val="left"/>
        <w:rPr>
          <w:b w:val="0"/>
          <w:bCs w:val="0"/>
        </w:rPr>
      </w:pPr>
      <w:r>
        <w:rPr>
          <w:rFonts w:ascii="Times New Roman" w:hAnsi="Times New Roman" w:cs="Times New Roman" w:eastAsia="Times New Roman" w:hint="default"/>
        </w:rPr>
        <w:t>1</w:t>
      </w:r>
      <w:r>
        <w:rPr/>
        <w:t>、合并资产负债表</w:t>
      </w:r>
      <w:r>
        <w:rPr>
          <w:b w:val="0"/>
          <w:bCs w:val="0"/>
        </w:rPr>
      </w:r>
    </w:p>
    <w:p>
      <w:pPr>
        <w:spacing w:line="240" w:lineRule="auto" w:before="2"/>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6" w:footer="974" w:top="1060" w:bottom="1160" w:left="980" w:right="0"/>
        </w:sectPr>
      </w:pPr>
    </w:p>
    <w:p>
      <w:pPr>
        <w:pStyle w:val="BodyText"/>
        <w:spacing w:line="240" w:lineRule="auto" w:before="46"/>
        <w:ind w:right="0"/>
        <w:jc w:val="left"/>
      </w:pPr>
      <w:r>
        <w:rPr>
          <w:spacing w:val="-3"/>
        </w:rPr>
        <w:t>编制单位：云南南天电子信息产业股份有限公司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61"/>
        <w:ind w:right="-17"/>
        <w:jc w:val="left"/>
      </w:pP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4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4"/>
        </w:rPr>
        <w:t> </w:t>
      </w:r>
      <w:r>
        <w:rPr>
          <w:rFonts w:ascii="Times New Roman" w:hAnsi="Times New Roman" w:cs="Times New Roman" w:eastAsia="Times New Roman" w:hint="default"/>
        </w:rPr>
        <w:t>31</w:t>
      </w:r>
      <w:r>
        <w:rPr>
          <w:rFonts w:ascii="Times New Roman" w:hAnsi="Times New Roman" w:cs="Times New Roman" w:eastAsia="Times New Roman" w:hint="default"/>
          <w:spacing w:val="-4"/>
        </w:rPr>
        <w:t>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3" w:equalWidth="0">
            <w:col w:w="3937" w:space="140"/>
            <w:col w:w="1642" w:space="3203"/>
            <w:col w:w="2008"/>
          </w:cols>
        </w:sectPr>
      </w:pP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968"/>
        <w:gridCol w:w="3303"/>
        <w:gridCol w:w="3299"/>
      </w:tblGrid>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98"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货币资金</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1,255,796,020.14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1,164,959,545.29</w:t>
            </w:r>
          </w:p>
        </w:tc>
      </w:tr>
      <w:tr>
        <w:trPr>
          <w:trHeight w:val="40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结算备付金</w:t>
            </w:r>
          </w:p>
        </w:tc>
        <w:tc>
          <w:tcPr>
            <w:tcW w:w="3303"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拆出资金</w:t>
            </w:r>
          </w:p>
        </w:tc>
        <w:tc>
          <w:tcPr>
            <w:tcW w:w="3303"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交易性金融资产</w:t>
            </w:r>
          </w:p>
        </w:tc>
        <w:tc>
          <w:tcPr>
            <w:tcW w:w="3303"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24" w:right="47"/>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以公允价值计量且其变动计入当</w:t>
            </w:r>
            <w:r>
              <w:rPr>
                <w:rFonts w:ascii="宋体" w:hAnsi="宋体" w:cs="宋体" w:eastAsia="宋体" w:hint="default"/>
                <w:w w:val="101"/>
                <w:sz w:val="18"/>
                <w:szCs w:val="18"/>
              </w:rPr>
              <w:t> </w:t>
            </w:r>
            <w:r>
              <w:rPr>
                <w:rFonts w:ascii="宋体" w:hAnsi="宋体" w:cs="宋体" w:eastAsia="宋体" w:hint="default"/>
                <w:sz w:val="18"/>
                <w:szCs w:val="18"/>
              </w:rPr>
              <w:t>期损益的金融资产</w:t>
            </w:r>
          </w:p>
        </w:tc>
        <w:tc>
          <w:tcPr>
            <w:tcW w:w="3303" w:type="dxa"/>
            <w:tcBorders>
              <w:top w:val="single" w:sz="4" w:space="0" w:color="000000"/>
              <w:left w:val="single" w:sz="12"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衍生金融资产</w:t>
            </w:r>
          </w:p>
        </w:tc>
        <w:tc>
          <w:tcPr>
            <w:tcW w:w="3303"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应收票据</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24,238,115.21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27,583,989.36</w:t>
            </w: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应收账款</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583,983,612.37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487,364,109.98</w:t>
            </w:r>
          </w:p>
        </w:tc>
      </w:tr>
      <w:tr>
        <w:trPr>
          <w:trHeight w:val="398"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应收款项融资</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12,838,560.00</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预付款项</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91,147,857.80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69,570,218.74</w:t>
            </w: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应收保费</w:t>
            </w:r>
          </w:p>
        </w:tc>
        <w:tc>
          <w:tcPr>
            <w:tcW w:w="3303"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应收分保账款</w:t>
            </w:r>
          </w:p>
        </w:tc>
        <w:tc>
          <w:tcPr>
            <w:tcW w:w="3303"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应收分保合同准备金</w:t>
            </w:r>
          </w:p>
        </w:tc>
        <w:tc>
          <w:tcPr>
            <w:tcW w:w="3303"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其他应收款</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47,992,228.43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45,264,607.33</w:t>
            </w: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spacing w:val="-3"/>
                <w:sz w:val="18"/>
                <w:szCs w:val="18"/>
              </w:rPr>
              <w:t>其中：应收利息</w:t>
            </w:r>
          </w:p>
        </w:tc>
        <w:tc>
          <w:tcPr>
            <w:tcW w:w="3303"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3"/>
                <w:sz w:val="18"/>
                <w:szCs w:val="18"/>
              </w:rPr>
              <w:t> </w:t>
            </w:r>
            <w:r>
              <w:rPr>
                <w:rFonts w:ascii="宋体" w:hAnsi="宋体" w:cs="宋体" w:eastAsia="宋体" w:hint="default"/>
                <w:sz w:val="18"/>
                <w:szCs w:val="18"/>
              </w:rPr>
              <w:t>应收股利</w:t>
            </w:r>
          </w:p>
        </w:tc>
        <w:tc>
          <w:tcPr>
            <w:tcW w:w="3303"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买入返售金融资产</w:t>
            </w:r>
          </w:p>
        </w:tc>
        <w:tc>
          <w:tcPr>
            <w:tcW w:w="3303"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存货</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1,299,928,507.08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604,196,809.15</w:t>
            </w: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合同资产</w:t>
            </w:r>
          </w:p>
        </w:tc>
        <w:tc>
          <w:tcPr>
            <w:tcW w:w="3303"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持有待售资产</w:t>
            </w:r>
          </w:p>
        </w:tc>
        <w:tc>
          <w:tcPr>
            <w:tcW w:w="3303"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一年内到期的非流动资产</w:t>
            </w:r>
          </w:p>
        </w:tc>
        <w:tc>
          <w:tcPr>
            <w:tcW w:w="3303"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其他流动资产</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14,011,273.77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5,193,760.45</w:t>
            </w: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3,329,936,174.80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2,404,133,040.30</w:t>
            </w: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8"/>
        <w:gridCol w:w="3303"/>
        <w:gridCol w:w="3299"/>
      </w:tblGrid>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发放贷款和垫款</w:t>
            </w:r>
          </w:p>
        </w:tc>
        <w:tc>
          <w:tcPr>
            <w:tcW w:w="3303"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债权投资</w:t>
            </w:r>
          </w:p>
        </w:tc>
        <w:tc>
          <w:tcPr>
            <w:tcW w:w="3303"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可供出售金融资产</w:t>
            </w:r>
          </w:p>
        </w:tc>
        <w:tc>
          <w:tcPr>
            <w:tcW w:w="3303"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pacing w:val="-1"/>
                <w:sz w:val="18"/>
              </w:rPr>
              <w:t>122,356,313.89</w:t>
            </w: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其他债权投资</w:t>
            </w:r>
          </w:p>
        </w:tc>
        <w:tc>
          <w:tcPr>
            <w:tcW w:w="3303"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持有至到期投资</w:t>
            </w:r>
          </w:p>
        </w:tc>
        <w:tc>
          <w:tcPr>
            <w:tcW w:w="3303"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长期应收款</w:t>
            </w:r>
          </w:p>
        </w:tc>
        <w:tc>
          <w:tcPr>
            <w:tcW w:w="3303"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长期股权投资</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33,238,227.19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54,205,791.61</w:t>
            </w: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其他权益工具投资</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10,686.38</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其他非流动金融资产</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121,803,696.72</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投资性房地产</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78,965,232.02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85,310,846.98</w:t>
            </w:r>
          </w:p>
        </w:tc>
      </w:tr>
      <w:tr>
        <w:trPr>
          <w:trHeight w:val="40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固定资产</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220,538,126.32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227,139,168.03</w:t>
            </w: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在建工程</w:t>
            </w:r>
          </w:p>
        </w:tc>
        <w:tc>
          <w:tcPr>
            <w:tcW w:w="3303"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生产性生物资产</w:t>
            </w:r>
          </w:p>
        </w:tc>
        <w:tc>
          <w:tcPr>
            <w:tcW w:w="3303"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油气资产</w:t>
            </w:r>
          </w:p>
        </w:tc>
        <w:tc>
          <w:tcPr>
            <w:tcW w:w="3303"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使用权资产</w:t>
            </w:r>
          </w:p>
        </w:tc>
        <w:tc>
          <w:tcPr>
            <w:tcW w:w="3303"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无形资产</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148,313,681.23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129,080,513.69</w:t>
            </w: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开发支出</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16,122,625.99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18,011,550.64</w:t>
            </w:r>
          </w:p>
        </w:tc>
      </w:tr>
      <w:tr>
        <w:trPr>
          <w:trHeight w:val="398"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商誉</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34,940,742.05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26,625,069.25</w:t>
            </w: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长期待摊费用</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22,540,875.74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3,304,669.81</w:t>
            </w: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递延所得税资产</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29,893,971.96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26,763,884.98</w:t>
            </w: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其他非流动资产</w:t>
            </w:r>
          </w:p>
        </w:tc>
        <w:tc>
          <w:tcPr>
            <w:tcW w:w="3303"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非流动资产合计</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706,367,865.60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692,797,808.88</w:t>
            </w: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4,036,304,040.40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2"/>
                <w:sz w:val="18"/>
              </w:rPr>
              <w:t>3,096,930,849.18</w:t>
            </w:r>
          </w:p>
        </w:tc>
      </w:tr>
      <w:tr>
        <w:trPr>
          <w:trHeight w:val="40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短期借款</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692,137,816.43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405,000,000.00</w:t>
            </w:r>
          </w:p>
        </w:tc>
      </w:tr>
      <w:tr>
        <w:trPr>
          <w:trHeight w:val="398"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向中央银行借款</w:t>
            </w:r>
          </w:p>
        </w:tc>
        <w:tc>
          <w:tcPr>
            <w:tcW w:w="3303"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拆入资金</w:t>
            </w:r>
          </w:p>
        </w:tc>
        <w:tc>
          <w:tcPr>
            <w:tcW w:w="3303"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交易性金融负债</w:t>
            </w:r>
          </w:p>
        </w:tc>
        <w:tc>
          <w:tcPr>
            <w:tcW w:w="3303"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24" w:right="47"/>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以公允价值计量且其变动计入当</w:t>
            </w:r>
            <w:r>
              <w:rPr>
                <w:rFonts w:ascii="宋体" w:hAnsi="宋体" w:cs="宋体" w:eastAsia="宋体" w:hint="default"/>
                <w:w w:val="101"/>
                <w:sz w:val="18"/>
                <w:szCs w:val="18"/>
              </w:rPr>
              <w:t> </w:t>
            </w:r>
            <w:r>
              <w:rPr>
                <w:rFonts w:ascii="宋体" w:hAnsi="宋体" w:cs="宋体" w:eastAsia="宋体" w:hint="default"/>
                <w:sz w:val="18"/>
                <w:szCs w:val="18"/>
              </w:rPr>
              <w:t>期损益的金融负债</w:t>
            </w:r>
          </w:p>
        </w:tc>
        <w:tc>
          <w:tcPr>
            <w:tcW w:w="3303" w:type="dxa"/>
            <w:tcBorders>
              <w:top w:val="single" w:sz="4" w:space="0" w:color="000000"/>
              <w:left w:val="single" w:sz="12"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衍生金融负债</w:t>
            </w:r>
          </w:p>
        </w:tc>
        <w:tc>
          <w:tcPr>
            <w:tcW w:w="3303"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应付票据</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162,846,289.45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pacing w:val="-1"/>
                <w:sz w:val="18"/>
              </w:rPr>
              <w:t>140,903,273.04</w:t>
            </w: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应付账款</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662,386,473.47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420,590,320.18</w:t>
            </w: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预收款项</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501,417,892.00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174,187,986.03</w:t>
            </w:r>
          </w:p>
        </w:tc>
      </w:tr>
    </w:tbl>
    <w:p>
      <w:pPr>
        <w:spacing w:after="0" w:line="240" w:lineRule="auto"/>
        <w:jc w:val="right"/>
        <w:rPr>
          <w:rFonts w:ascii="Times New Roman" w:hAnsi="Times New Roman" w:cs="Times New Roman" w:eastAsia="Times New Roman" w:hint="default"/>
          <w:sz w:val="18"/>
          <w:szCs w:val="18"/>
        </w:rPr>
        <w:sectPr>
          <w:pgSz w:w="11910" w:h="16840"/>
          <w:pgMar w:header="746"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8"/>
        <w:gridCol w:w="3303"/>
        <w:gridCol w:w="3299"/>
      </w:tblGrid>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合同负债</w:t>
            </w:r>
          </w:p>
        </w:tc>
        <w:tc>
          <w:tcPr>
            <w:tcW w:w="3303"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卖出回购金融资产款</w:t>
            </w:r>
          </w:p>
        </w:tc>
        <w:tc>
          <w:tcPr>
            <w:tcW w:w="3303"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吸收存款及同业存放</w:t>
            </w:r>
          </w:p>
        </w:tc>
        <w:tc>
          <w:tcPr>
            <w:tcW w:w="3303"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代理买卖证券款</w:t>
            </w:r>
          </w:p>
        </w:tc>
        <w:tc>
          <w:tcPr>
            <w:tcW w:w="3303"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代理承销证券款</w:t>
            </w:r>
          </w:p>
        </w:tc>
        <w:tc>
          <w:tcPr>
            <w:tcW w:w="3303"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应付职工薪酬</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50,062,384.87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42,266,375.00</w:t>
            </w:r>
          </w:p>
        </w:tc>
      </w:tr>
      <w:tr>
        <w:trPr>
          <w:trHeight w:val="40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应交税费</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65,149,109.44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84,423,591.23</w:t>
            </w: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其他应付款</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10,221,248.68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14,883,638.65</w:t>
            </w: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spacing w:val="-3"/>
                <w:sz w:val="18"/>
                <w:szCs w:val="18"/>
              </w:rPr>
              <w:t>其中：应付利息</w:t>
            </w:r>
          </w:p>
        </w:tc>
        <w:tc>
          <w:tcPr>
            <w:tcW w:w="3303"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532,657.43</w:t>
            </w:r>
          </w:p>
        </w:tc>
      </w:tr>
      <w:tr>
        <w:trPr>
          <w:trHeight w:val="398"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3"/>
                <w:sz w:val="18"/>
                <w:szCs w:val="18"/>
              </w:rPr>
              <w:t> </w:t>
            </w:r>
            <w:r>
              <w:rPr>
                <w:rFonts w:ascii="宋体" w:hAnsi="宋体" w:cs="宋体" w:eastAsia="宋体" w:hint="default"/>
                <w:sz w:val="18"/>
                <w:szCs w:val="18"/>
              </w:rPr>
              <w:t>应付股利</w:t>
            </w:r>
          </w:p>
        </w:tc>
        <w:tc>
          <w:tcPr>
            <w:tcW w:w="3303"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应付手续费及佣金</w:t>
            </w:r>
          </w:p>
        </w:tc>
        <w:tc>
          <w:tcPr>
            <w:tcW w:w="3303"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应付分保账款</w:t>
            </w:r>
          </w:p>
        </w:tc>
        <w:tc>
          <w:tcPr>
            <w:tcW w:w="3303"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持有待售负债</w:t>
            </w:r>
          </w:p>
        </w:tc>
        <w:tc>
          <w:tcPr>
            <w:tcW w:w="3303"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一年内到期的非流动负债</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627,405.94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617,243.26</w:t>
            </w:r>
          </w:p>
        </w:tc>
      </w:tr>
      <w:tr>
        <w:trPr>
          <w:trHeight w:val="40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其他流动负债</w:t>
            </w:r>
          </w:p>
        </w:tc>
        <w:tc>
          <w:tcPr>
            <w:tcW w:w="3303"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2,144,848,620.28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1,282,872,427.39</w:t>
            </w: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98"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保险合同准备金</w:t>
            </w:r>
          </w:p>
        </w:tc>
        <w:tc>
          <w:tcPr>
            <w:tcW w:w="3303"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长期借款</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941,524.55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1,543,108.17</w:t>
            </w: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应付债券</w:t>
            </w:r>
          </w:p>
        </w:tc>
        <w:tc>
          <w:tcPr>
            <w:tcW w:w="3303"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spacing w:val="-3"/>
                <w:sz w:val="18"/>
                <w:szCs w:val="18"/>
              </w:rPr>
              <w:t>其中：优先股</w:t>
            </w:r>
          </w:p>
        </w:tc>
        <w:tc>
          <w:tcPr>
            <w:tcW w:w="3303"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3"/>
                <w:sz w:val="18"/>
                <w:szCs w:val="18"/>
              </w:rPr>
              <w:t> </w:t>
            </w:r>
            <w:r>
              <w:rPr>
                <w:rFonts w:ascii="宋体" w:hAnsi="宋体" w:cs="宋体" w:eastAsia="宋体" w:hint="default"/>
                <w:sz w:val="18"/>
                <w:szCs w:val="18"/>
              </w:rPr>
              <w:t>永续债</w:t>
            </w:r>
          </w:p>
        </w:tc>
        <w:tc>
          <w:tcPr>
            <w:tcW w:w="3303"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租赁负债</w:t>
            </w:r>
          </w:p>
        </w:tc>
        <w:tc>
          <w:tcPr>
            <w:tcW w:w="3303"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长期应付款</w:t>
            </w:r>
          </w:p>
        </w:tc>
        <w:tc>
          <w:tcPr>
            <w:tcW w:w="3303"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345,286.72</w:t>
            </w: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长期应付职工薪酬</w:t>
            </w:r>
          </w:p>
        </w:tc>
        <w:tc>
          <w:tcPr>
            <w:tcW w:w="3303"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预计负债</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6,753,596.50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7,277,312.50</w:t>
            </w: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递延收益</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27,540,080.97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23,397,166.77</w:t>
            </w:r>
          </w:p>
        </w:tc>
      </w:tr>
      <w:tr>
        <w:trPr>
          <w:trHeight w:val="40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递延所得税负债</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7,177,130.05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7,481,382.75</w:t>
            </w: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其他非流动负债</w:t>
            </w:r>
          </w:p>
        </w:tc>
        <w:tc>
          <w:tcPr>
            <w:tcW w:w="3303"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非流动负债合计</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42,412,332.07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40,044,256.91</w:t>
            </w: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2,187,260,952.35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2"/>
                <w:sz w:val="18"/>
              </w:rPr>
              <w:t>1,322,916,684.30</w:t>
            </w:r>
          </w:p>
        </w:tc>
      </w:tr>
      <w:tr>
        <w:trPr>
          <w:trHeight w:val="40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股本</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320,587,859.00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246,606,046.00</w:t>
            </w: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其他权益工具</w:t>
            </w:r>
          </w:p>
        </w:tc>
        <w:tc>
          <w:tcPr>
            <w:tcW w:w="3303"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6"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8"/>
        <w:gridCol w:w="3303"/>
        <w:gridCol w:w="3299"/>
      </w:tblGrid>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spacing w:val="-3"/>
                <w:sz w:val="18"/>
                <w:szCs w:val="18"/>
              </w:rPr>
              <w:t>其中：优先股</w:t>
            </w:r>
          </w:p>
        </w:tc>
        <w:tc>
          <w:tcPr>
            <w:tcW w:w="3303"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3"/>
                <w:sz w:val="18"/>
                <w:szCs w:val="18"/>
              </w:rPr>
              <w:t> </w:t>
            </w:r>
            <w:r>
              <w:rPr>
                <w:rFonts w:ascii="宋体" w:hAnsi="宋体" w:cs="宋体" w:eastAsia="宋体" w:hint="default"/>
                <w:sz w:val="18"/>
                <w:szCs w:val="18"/>
              </w:rPr>
              <w:t>永续债</w:t>
            </w:r>
          </w:p>
        </w:tc>
        <w:tc>
          <w:tcPr>
            <w:tcW w:w="3303"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资本公积</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722,942,395.60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pacing w:val="-1"/>
                <w:sz w:val="18"/>
              </w:rPr>
              <w:t>796,924,208.60</w:t>
            </w: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减：库存股</w:t>
            </w:r>
          </w:p>
        </w:tc>
        <w:tc>
          <w:tcPr>
            <w:tcW w:w="3303"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其他综合收益</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-70,707.45</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专项储备</w:t>
            </w:r>
          </w:p>
        </w:tc>
        <w:tc>
          <w:tcPr>
            <w:tcW w:w="3303"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1,381,606.74</w:t>
            </w:r>
          </w:p>
        </w:tc>
      </w:tr>
      <w:tr>
        <w:trPr>
          <w:trHeight w:val="40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盈余公积</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84,630,456.16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82,733,944.89</w:t>
            </w: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一般风险准备</w:t>
            </w:r>
          </w:p>
        </w:tc>
        <w:tc>
          <w:tcPr>
            <w:tcW w:w="3303"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未分配利润</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430,211,270.53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387,394,501.93</w:t>
            </w:r>
          </w:p>
        </w:tc>
      </w:tr>
      <w:tr>
        <w:trPr>
          <w:trHeight w:val="398"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归属于母公司所有者权益合计</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1,558,301,273.84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1,515,040,308.16</w:t>
            </w:r>
          </w:p>
        </w:tc>
      </w:tr>
      <w:tr>
        <w:trPr>
          <w:trHeight w:val="40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少数股东权益</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290,741,814.21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258,973,856.72</w:t>
            </w: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所有者权益合计</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1,849,043,088.05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1,774,014,164.88</w:t>
            </w: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4,036,304,040.40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3,096,930,849.18</w:t>
            </w:r>
          </w:p>
        </w:tc>
      </w:tr>
    </w:tbl>
    <w:p>
      <w:pPr>
        <w:spacing w:line="240" w:lineRule="auto" w:before="2"/>
        <w:rPr>
          <w:rFonts w:ascii="Times New Roman" w:hAnsi="Times New Roman" w:cs="Times New Roman" w:eastAsia="Times New Roman" w:hint="default"/>
          <w:sz w:val="23"/>
          <w:szCs w:val="23"/>
        </w:rPr>
      </w:pPr>
    </w:p>
    <w:p>
      <w:pPr>
        <w:pStyle w:val="BodyText"/>
        <w:tabs>
          <w:tab w:pos="3515" w:val="left" w:leader="none"/>
          <w:tab w:pos="7745" w:val="left" w:leader="none"/>
        </w:tabs>
        <w:spacing w:line="240" w:lineRule="auto" w:before="46"/>
        <w:ind w:left="0" w:right="1217"/>
        <w:jc w:val="right"/>
      </w:pPr>
      <w:r>
        <w:rPr>
          <w:spacing w:val="-3"/>
        </w:rPr>
        <w:t>法定代表人：徐宏灿</w:t>
        <w:tab/>
        <w:t>主管会计工作负责人：徐宏灿</w:t>
        <w:tab/>
      </w:r>
      <w:r>
        <w:rPr>
          <w:spacing w:val="-2"/>
        </w:rPr>
        <w:t>会计机构负责人：刘涓</w:t>
      </w:r>
    </w:p>
    <w:p>
      <w:pPr>
        <w:spacing w:line="240" w:lineRule="auto" w:before="9"/>
        <w:rPr>
          <w:rFonts w:ascii="宋体" w:hAnsi="宋体" w:cs="宋体" w:eastAsia="宋体" w:hint="default"/>
          <w:sz w:val="26"/>
          <w:szCs w:val="26"/>
        </w:rPr>
      </w:pPr>
    </w:p>
    <w:p>
      <w:pPr>
        <w:pStyle w:val="Heading4"/>
        <w:spacing w:line="240" w:lineRule="auto"/>
        <w:ind w:right="855"/>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21"/>
        <w:jc w:val="right"/>
      </w:pPr>
      <w:r>
        <w:rPr>
          <w:spacing w:val="-2"/>
        </w:rPr>
        <w:t>单位：元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968"/>
        <w:gridCol w:w="3303"/>
        <w:gridCol w:w="3299"/>
      </w:tblGrid>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r>
      <w:tr>
        <w:trPr>
          <w:trHeight w:val="399"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货币资金</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1,007,908,190.90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731,183,937.95</w:t>
            </w: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交易性金融资产</w:t>
            </w:r>
          </w:p>
        </w:tc>
        <w:tc>
          <w:tcPr>
            <w:tcW w:w="3303"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47"/>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以公允价值计量且其变动计入当</w:t>
            </w:r>
            <w:r>
              <w:rPr>
                <w:rFonts w:ascii="宋体" w:hAnsi="宋体" w:cs="宋体" w:eastAsia="宋体" w:hint="default"/>
                <w:w w:val="101"/>
                <w:sz w:val="18"/>
                <w:szCs w:val="18"/>
              </w:rPr>
              <w:t> </w:t>
            </w:r>
            <w:r>
              <w:rPr>
                <w:rFonts w:ascii="宋体" w:hAnsi="宋体" w:cs="宋体" w:eastAsia="宋体" w:hint="default"/>
                <w:sz w:val="18"/>
                <w:szCs w:val="18"/>
              </w:rPr>
              <w:t>期损益的金融资产</w:t>
            </w:r>
          </w:p>
        </w:tc>
        <w:tc>
          <w:tcPr>
            <w:tcW w:w="3303" w:type="dxa"/>
            <w:tcBorders>
              <w:top w:val="single" w:sz="4" w:space="0" w:color="000000"/>
              <w:left w:val="single" w:sz="12"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衍生金融资产</w:t>
            </w:r>
          </w:p>
        </w:tc>
        <w:tc>
          <w:tcPr>
            <w:tcW w:w="3303"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应收票据</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18,170,484.01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27,433,989.36</w:t>
            </w: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应收账款</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374,951,993.20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363,159,891.41</w:t>
            </w:r>
          </w:p>
        </w:tc>
      </w:tr>
      <w:tr>
        <w:trPr>
          <w:trHeight w:val="40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应收款项融资</w:t>
            </w:r>
          </w:p>
        </w:tc>
        <w:tc>
          <w:tcPr>
            <w:tcW w:w="3303"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预付款项</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61,371,124.52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47,963,173.01</w:t>
            </w: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其他应收款</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58,226,974.62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45,268,483.10</w:t>
            </w: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spacing w:val="-3"/>
                <w:sz w:val="18"/>
                <w:szCs w:val="18"/>
              </w:rPr>
              <w:t>其中：应收利息</w:t>
            </w:r>
          </w:p>
        </w:tc>
        <w:tc>
          <w:tcPr>
            <w:tcW w:w="3303"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3"/>
                <w:sz w:val="18"/>
                <w:szCs w:val="18"/>
              </w:rPr>
              <w:t> </w:t>
            </w:r>
            <w:r>
              <w:rPr>
                <w:rFonts w:ascii="宋体" w:hAnsi="宋体" w:cs="宋体" w:eastAsia="宋体" w:hint="default"/>
                <w:sz w:val="18"/>
                <w:szCs w:val="18"/>
              </w:rPr>
              <w:t>应收股利</w:t>
            </w:r>
          </w:p>
        </w:tc>
        <w:tc>
          <w:tcPr>
            <w:tcW w:w="3303"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存货</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1,038,834,087.86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449,626,599.84</w:t>
            </w: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合同资产</w:t>
            </w:r>
          </w:p>
        </w:tc>
        <w:tc>
          <w:tcPr>
            <w:tcW w:w="3303"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持有待售资产</w:t>
            </w:r>
          </w:p>
        </w:tc>
        <w:tc>
          <w:tcPr>
            <w:tcW w:w="3303"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6"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8"/>
        <w:gridCol w:w="3303"/>
        <w:gridCol w:w="3299"/>
      </w:tblGrid>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一年内到期的非流动资产</w:t>
            </w:r>
          </w:p>
        </w:tc>
        <w:tc>
          <w:tcPr>
            <w:tcW w:w="3303"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其他流动资产</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4,244,290.18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3,834,909.60</w:t>
            </w:r>
          </w:p>
        </w:tc>
      </w:tr>
      <w:tr>
        <w:trPr>
          <w:trHeight w:val="40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2"/>
                <w:sz w:val="18"/>
              </w:rPr>
              <w:t>2,563,707,145.29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pacing w:val="-2"/>
                <w:sz w:val="18"/>
              </w:rPr>
              <w:t>1,668,470,984.27</w:t>
            </w: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债权投资</w:t>
            </w:r>
          </w:p>
        </w:tc>
        <w:tc>
          <w:tcPr>
            <w:tcW w:w="3303"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可供出售金融资产</w:t>
            </w:r>
          </w:p>
        </w:tc>
        <w:tc>
          <w:tcPr>
            <w:tcW w:w="3303"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120,783,696.72</w:t>
            </w:r>
          </w:p>
        </w:tc>
      </w:tr>
      <w:tr>
        <w:trPr>
          <w:trHeight w:val="40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其他债权投资</w:t>
            </w:r>
          </w:p>
        </w:tc>
        <w:tc>
          <w:tcPr>
            <w:tcW w:w="3303"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持有至到期投资</w:t>
            </w:r>
          </w:p>
        </w:tc>
        <w:tc>
          <w:tcPr>
            <w:tcW w:w="3303"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长期应收款</w:t>
            </w:r>
          </w:p>
        </w:tc>
        <w:tc>
          <w:tcPr>
            <w:tcW w:w="3303"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长期股权投资</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555,133,446.29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556,611,410.66</w:t>
            </w:r>
          </w:p>
        </w:tc>
      </w:tr>
      <w:tr>
        <w:trPr>
          <w:trHeight w:val="40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其他权益工具投资</w:t>
            </w:r>
          </w:p>
        </w:tc>
        <w:tc>
          <w:tcPr>
            <w:tcW w:w="3303"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其他非流动金融资产</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120,783,696.72</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投资性房地产</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63,550,871.62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69,193,858.76</w:t>
            </w:r>
          </w:p>
        </w:tc>
      </w:tr>
      <w:tr>
        <w:trPr>
          <w:trHeight w:val="398"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固定资产</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183,396,624.81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187,490,267.99</w:t>
            </w:r>
          </w:p>
        </w:tc>
      </w:tr>
      <w:tr>
        <w:trPr>
          <w:trHeight w:val="40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在建工程</w:t>
            </w:r>
          </w:p>
        </w:tc>
        <w:tc>
          <w:tcPr>
            <w:tcW w:w="3303"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生产性生物资产</w:t>
            </w:r>
          </w:p>
        </w:tc>
        <w:tc>
          <w:tcPr>
            <w:tcW w:w="3303"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油气资产</w:t>
            </w:r>
          </w:p>
        </w:tc>
        <w:tc>
          <w:tcPr>
            <w:tcW w:w="3303"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使用权资产</w:t>
            </w:r>
          </w:p>
        </w:tc>
        <w:tc>
          <w:tcPr>
            <w:tcW w:w="3303"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无形资产</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32,397,763.43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32,959,593.86</w:t>
            </w: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开发支出</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3,571,301.33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3,584,565.72</w:t>
            </w: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商誉</w:t>
            </w:r>
          </w:p>
        </w:tc>
        <w:tc>
          <w:tcPr>
            <w:tcW w:w="3303"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长期待摊费用</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1,107,801.12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1,106,304.20</w:t>
            </w: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递延所得税资产</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17,833,686.78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15,589,761.31</w:t>
            </w:r>
          </w:p>
        </w:tc>
      </w:tr>
      <w:tr>
        <w:trPr>
          <w:trHeight w:val="40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其他非流动资产</w:t>
            </w:r>
          </w:p>
        </w:tc>
        <w:tc>
          <w:tcPr>
            <w:tcW w:w="3303"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非流动资产合计</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977,775,192.10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987,319,459.22</w:t>
            </w:r>
          </w:p>
        </w:tc>
      </w:tr>
      <w:tr>
        <w:trPr>
          <w:trHeight w:val="401"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3,541,482,337.39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2,655,790,443.49</w:t>
            </w:r>
          </w:p>
        </w:tc>
      </w:tr>
      <w:tr>
        <w:trPr>
          <w:trHeight w:val="401"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短期借款</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682,137,816.43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405,000,000.00</w:t>
            </w: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交易性金融负债</w:t>
            </w:r>
          </w:p>
        </w:tc>
        <w:tc>
          <w:tcPr>
            <w:tcW w:w="3303"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24" w:right="47"/>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以公允价值计量且其变动计入当</w:t>
            </w:r>
            <w:r>
              <w:rPr>
                <w:rFonts w:ascii="宋体" w:hAnsi="宋体" w:cs="宋体" w:eastAsia="宋体" w:hint="default"/>
                <w:w w:val="101"/>
                <w:sz w:val="18"/>
                <w:szCs w:val="18"/>
              </w:rPr>
              <w:t> </w:t>
            </w:r>
            <w:r>
              <w:rPr>
                <w:rFonts w:ascii="宋体" w:hAnsi="宋体" w:cs="宋体" w:eastAsia="宋体" w:hint="default"/>
                <w:sz w:val="18"/>
                <w:szCs w:val="18"/>
              </w:rPr>
              <w:t>期损益的金融负债</w:t>
            </w:r>
          </w:p>
        </w:tc>
        <w:tc>
          <w:tcPr>
            <w:tcW w:w="3303" w:type="dxa"/>
            <w:tcBorders>
              <w:top w:val="single" w:sz="4" w:space="0" w:color="000000"/>
              <w:left w:val="single" w:sz="12"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衍生金融负债</w:t>
            </w:r>
          </w:p>
        </w:tc>
        <w:tc>
          <w:tcPr>
            <w:tcW w:w="3303"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应付票据</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97,495,022.15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105,369,651.74</w:t>
            </w: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应付账款</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687,791,317.20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337,139,416.76</w:t>
            </w:r>
          </w:p>
        </w:tc>
      </w:tr>
    </w:tbl>
    <w:p>
      <w:pPr>
        <w:spacing w:after="0" w:line="240" w:lineRule="auto"/>
        <w:jc w:val="right"/>
        <w:rPr>
          <w:rFonts w:ascii="Times New Roman" w:hAnsi="Times New Roman" w:cs="Times New Roman" w:eastAsia="Times New Roman" w:hint="default"/>
          <w:sz w:val="18"/>
          <w:szCs w:val="18"/>
        </w:rPr>
        <w:sectPr>
          <w:pgSz w:w="11910" w:h="16840"/>
          <w:pgMar w:header="746"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8"/>
        <w:gridCol w:w="3303"/>
        <w:gridCol w:w="3299"/>
      </w:tblGrid>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预收款项</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451,570,045.89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170,235,305.37</w:t>
            </w:r>
          </w:p>
        </w:tc>
      </w:tr>
      <w:tr>
        <w:trPr>
          <w:trHeight w:val="398"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合同负债</w:t>
            </w:r>
          </w:p>
        </w:tc>
        <w:tc>
          <w:tcPr>
            <w:tcW w:w="3303"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应付职工薪酬</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10,033,032.36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2"/>
              <w:jc w:val="right"/>
              <w:rPr>
                <w:rFonts w:ascii="Times New Roman" w:hAnsi="Times New Roman" w:cs="Times New Roman" w:eastAsia="Times New Roman" w:hint="default"/>
                <w:sz w:val="18"/>
                <w:szCs w:val="18"/>
              </w:rPr>
            </w:pPr>
            <w:r>
              <w:rPr>
                <w:rFonts w:ascii="Times New Roman"/>
                <w:spacing w:val="-1"/>
                <w:sz w:val="18"/>
              </w:rPr>
              <w:t>7,519,229.36</w:t>
            </w: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应交税费</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19,689,398.77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44,377,742.20</w:t>
            </w: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其他应付款</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8,393,758.25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7,319,975.18</w:t>
            </w:r>
          </w:p>
        </w:tc>
      </w:tr>
      <w:tr>
        <w:trPr>
          <w:trHeight w:val="398"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spacing w:val="-3"/>
                <w:sz w:val="18"/>
                <w:szCs w:val="18"/>
              </w:rPr>
              <w:t>其中：应付利息</w:t>
            </w:r>
          </w:p>
        </w:tc>
        <w:tc>
          <w:tcPr>
            <w:tcW w:w="3303"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532,657.43</w:t>
            </w:r>
          </w:p>
        </w:tc>
      </w:tr>
      <w:tr>
        <w:trPr>
          <w:trHeight w:val="40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3"/>
                <w:sz w:val="18"/>
                <w:szCs w:val="18"/>
              </w:rPr>
              <w:t> </w:t>
            </w:r>
            <w:r>
              <w:rPr>
                <w:rFonts w:ascii="宋体" w:hAnsi="宋体" w:cs="宋体" w:eastAsia="宋体" w:hint="default"/>
                <w:sz w:val="18"/>
                <w:szCs w:val="18"/>
              </w:rPr>
              <w:t>应付股利</w:t>
            </w:r>
          </w:p>
        </w:tc>
        <w:tc>
          <w:tcPr>
            <w:tcW w:w="3303"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持有待售负债</w:t>
            </w:r>
          </w:p>
        </w:tc>
        <w:tc>
          <w:tcPr>
            <w:tcW w:w="3303"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一年内到期的非流动负债</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627,405.94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617,243.26</w:t>
            </w:r>
          </w:p>
        </w:tc>
      </w:tr>
      <w:tr>
        <w:trPr>
          <w:trHeight w:val="398"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其他流动负债</w:t>
            </w:r>
          </w:p>
        </w:tc>
        <w:tc>
          <w:tcPr>
            <w:tcW w:w="3303"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1,957,737,796.99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2"/>
                <w:sz w:val="18"/>
              </w:rPr>
              <w:t>1,077,578,563.87</w:t>
            </w: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长期借款</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941,524.55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1,543,108.17</w:t>
            </w:r>
          </w:p>
        </w:tc>
      </w:tr>
      <w:tr>
        <w:trPr>
          <w:trHeight w:val="398"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应付债券</w:t>
            </w:r>
          </w:p>
        </w:tc>
        <w:tc>
          <w:tcPr>
            <w:tcW w:w="3303"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spacing w:val="-3"/>
                <w:sz w:val="18"/>
                <w:szCs w:val="18"/>
              </w:rPr>
              <w:t>其中：优先股</w:t>
            </w:r>
          </w:p>
        </w:tc>
        <w:tc>
          <w:tcPr>
            <w:tcW w:w="3303"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3"/>
                <w:sz w:val="18"/>
                <w:szCs w:val="18"/>
              </w:rPr>
              <w:t> </w:t>
            </w:r>
            <w:r>
              <w:rPr>
                <w:rFonts w:ascii="宋体" w:hAnsi="宋体" w:cs="宋体" w:eastAsia="宋体" w:hint="default"/>
                <w:sz w:val="18"/>
                <w:szCs w:val="18"/>
              </w:rPr>
              <w:t>永续债</w:t>
            </w:r>
          </w:p>
        </w:tc>
        <w:tc>
          <w:tcPr>
            <w:tcW w:w="3303"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租赁负债</w:t>
            </w:r>
          </w:p>
        </w:tc>
        <w:tc>
          <w:tcPr>
            <w:tcW w:w="3303"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长期应付款</w:t>
            </w:r>
          </w:p>
        </w:tc>
        <w:tc>
          <w:tcPr>
            <w:tcW w:w="3303"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长期应付职工薪酬</w:t>
            </w:r>
          </w:p>
        </w:tc>
        <w:tc>
          <w:tcPr>
            <w:tcW w:w="3303"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预计负债</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6,753,596.50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7,277,312.50</w:t>
            </w: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递延收益</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21,075,784.59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21,052,634.59</w:t>
            </w:r>
          </w:p>
        </w:tc>
      </w:tr>
      <w:tr>
        <w:trPr>
          <w:trHeight w:val="398"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递延所得税负债</w:t>
            </w:r>
          </w:p>
        </w:tc>
        <w:tc>
          <w:tcPr>
            <w:tcW w:w="3303"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其他非流动负债</w:t>
            </w:r>
          </w:p>
        </w:tc>
        <w:tc>
          <w:tcPr>
            <w:tcW w:w="3303"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非流动负债合计</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28,770,905.64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29,873,055.26</w:t>
            </w: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1,986,508,702.63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1,107,451,619.13</w:t>
            </w:r>
          </w:p>
        </w:tc>
      </w:tr>
      <w:tr>
        <w:trPr>
          <w:trHeight w:val="398"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股本</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320,587,859.00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246,606,046.00</w:t>
            </w:r>
          </w:p>
        </w:tc>
      </w:tr>
      <w:tr>
        <w:trPr>
          <w:trHeight w:val="40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其他权益工具</w:t>
            </w:r>
          </w:p>
        </w:tc>
        <w:tc>
          <w:tcPr>
            <w:tcW w:w="3303"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spacing w:val="-3"/>
                <w:sz w:val="18"/>
                <w:szCs w:val="18"/>
              </w:rPr>
              <w:t>其中：优先股</w:t>
            </w:r>
          </w:p>
        </w:tc>
        <w:tc>
          <w:tcPr>
            <w:tcW w:w="3303"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3"/>
                <w:sz w:val="18"/>
                <w:szCs w:val="18"/>
              </w:rPr>
              <w:t> </w:t>
            </w:r>
            <w:r>
              <w:rPr>
                <w:rFonts w:ascii="宋体" w:hAnsi="宋体" w:cs="宋体" w:eastAsia="宋体" w:hint="default"/>
                <w:sz w:val="18"/>
                <w:szCs w:val="18"/>
              </w:rPr>
              <w:t>永续债</w:t>
            </w:r>
          </w:p>
        </w:tc>
        <w:tc>
          <w:tcPr>
            <w:tcW w:w="3303"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资本公积</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778,335,739.66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852,317,552.66</w:t>
            </w:r>
          </w:p>
        </w:tc>
      </w:tr>
      <w:tr>
        <w:trPr>
          <w:trHeight w:val="40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减：库存股</w:t>
            </w:r>
          </w:p>
        </w:tc>
        <w:tc>
          <w:tcPr>
            <w:tcW w:w="3303"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其他综合收益</w:t>
            </w:r>
          </w:p>
        </w:tc>
        <w:tc>
          <w:tcPr>
            <w:tcW w:w="3303"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专项储备</w:t>
            </w:r>
          </w:p>
        </w:tc>
        <w:tc>
          <w:tcPr>
            <w:tcW w:w="3303"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6"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8"/>
        <w:gridCol w:w="3303"/>
        <w:gridCol w:w="3299"/>
      </w:tblGrid>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盈余公积</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89,610,231.81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87,713,720.54</w:t>
            </w:r>
          </w:p>
        </w:tc>
      </w:tr>
      <w:tr>
        <w:trPr>
          <w:trHeight w:val="398"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未分配利润</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366,439,804.29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361,701,505.16</w:t>
            </w:r>
          </w:p>
        </w:tc>
      </w:tr>
      <w:tr>
        <w:trPr>
          <w:trHeight w:val="40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pacing w:val="-3"/>
                <w:sz w:val="18"/>
                <w:szCs w:val="18"/>
              </w:rPr>
              <w:t>所有者权益合计</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2"/>
                <w:sz w:val="18"/>
              </w:rPr>
              <w:t>1,554,973,634.76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pacing w:val="-2"/>
                <w:sz w:val="18"/>
              </w:rPr>
              <w:t>1,548,338,824.36</w:t>
            </w: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3,541,482,337.39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2,655,790,443.49</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6"/>
        <w:ind w:right="855"/>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6"/>
        <w:ind w:left="0" w:right="1121"/>
        <w:jc w:val="right"/>
      </w:pPr>
      <w:r>
        <w:rPr>
          <w:spacing w:val="-2"/>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083"/>
        <w:gridCol w:w="3208"/>
        <w:gridCol w:w="3279"/>
      </w:tblGrid>
      <w:tr>
        <w:trPr>
          <w:trHeight w:val="398"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r>
      <w:tr>
        <w:trPr>
          <w:trHeight w:val="403"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一、营业总收入</w:t>
            </w:r>
          </w:p>
        </w:tc>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2"/>
                <w:sz w:val="18"/>
              </w:rPr>
              <w:t>3,303,367,428.19</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2"/>
                <w:sz w:val="18"/>
              </w:rPr>
              <w:t>2,779,803,154.27</w:t>
            </w:r>
          </w:p>
        </w:tc>
      </w:tr>
      <w:tr>
        <w:trPr>
          <w:trHeight w:val="403"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其中：营业收入</w:t>
            </w:r>
          </w:p>
        </w:tc>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3,303,367,428.19</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2,779,803,154.27</w:t>
            </w:r>
          </w:p>
        </w:tc>
      </w:tr>
      <w:tr>
        <w:trPr>
          <w:trHeight w:val="404"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2"/>
                <w:sz w:val="18"/>
                <w:szCs w:val="18"/>
              </w:rPr>
              <w:t> </w:t>
            </w:r>
            <w:r>
              <w:rPr>
                <w:rFonts w:ascii="宋体" w:hAnsi="宋体" w:cs="宋体" w:eastAsia="宋体" w:hint="default"/>
                <w:spacing w:val="-3"/>
                <w:sz w:val="18"/>
                <w:szCs w:val="18"/>
              </w:rPr>
              <w:t>利息收入</w:t>
            </w:r>
          </w:p>
        </w:tc>
        <w:tc>
          <w:tcPr>
            <w:tcW w:w="3208" w:type="dxa"/>
            <w:tcBorders>
              <w:top w:val="single" w:sz="4" w:space="0" w:color="000000"/>
              <w:left w:val="single" w:sz="4" w:space="0" w:color="000000"/>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2"/>
                <w:sz w:val="18"/>
                <w:szCs w:val="18"/>
              </w:rPr>
              <w:t> </w:t>
            </w:r>
            <w:r>
              <w:rPr>
                <w:rFonts w:ascii="宋体" w:hAnsi="宋体" w:cs="宋体" w:eastAsia="宋体" w:hint="default"/>
                <w:spacing w:val="-3"/>
                <w:sz w:val="18"/>
                <w:szCs w:val="18"/>
              </w:rPr>
              <w:t>已赚保费</w:t>
            </w:r>
          </w:p>
        </w:tc>
        <w:tc>
          <w:tcPr>
            <w:tcW w:w="3208" w:type="dxa"/>
            <w:tcBorders>
              <w:top w:val="single" w:sz="4" w:space="0" w:color="000000"/>
              <w:left w:val="single" w:sz="4" w:space="0" w:color="000000"/>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2"/>
                <w:sz w:val="18"/>
                <w:szCs w:val="18"/>
              </w:rPr>
              <w:t> </w:t>
            </w:r>
            <w:r>
              <w:rPr>
                <w:rFonts w:ascii="宋体" w:hAnsi="宋体" w:cs="宋体" w:eastAsia="宋体" w:hint="default"/>
                <w:spacing w:val="-3"/>
                <w:sz w:val="18"/>
                <w:szCs w:val="18"/>
              </w:rPr>
              <w:t>手续费及佣金收入</w:t>
            </w:r>
          </w:p>
        </w:tc>
        <w:tc>
          <w:tcPr>
            <w:tcW w:w="3208" w:type="dxa"/>
            <w:tcBorders>
              <w:top w:val="single" w:sz="4" w:space="0" w:color="000000"/>
              <w:left w:val="single" w:sz="4" w:space="0" w:color="000000"/>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二、营业总成本</w:t>
            </w:r>
          </w:p>
        </w:tc>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3,205,615,370.41</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2,741,084,702.72</w:t>
            </w:r>
          </w:p>
        </w:tc>
      </w:tr>
      <w:tr>
        <w:trPr>
          <w:trHeight w:val="404"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其中：营业成本</w:t>
            </w:r>
          </w:p>
        </w:tc>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2,529,217,333.79</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2,132,469,001.35</w:t>
            </w:r>
          </w:p>
        </w:tc>
      </w:tr>
      <w:tr>
        <w:trPr>
          <w:trHeight w:val="398"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2"/>
                <w:sz w:val="18"/>
                <w:szCs w:val="18"/>
              </w:rPr>
              <w:t> </w:t>
            </w:r>
            <w:r>
              <w:rPr>
                <w:rFonts w:ascii="宋体" w:hAnsi="宋体" w:cs="宋体" w:eastAsia="宋体" w:hint="default"/>
                <w:spacing w:val="-3"/>
                <w:sz w:val="18"/>
                <w:szCs w:val="18"/>
              </w:rPr>
              <w:t>利息支出</w:t>
            </w:r>
          </w:p>
        </w:tc>
        <w:tc>
          <w:tcPr>
            <w:tcW w:w="3208" w:type="dxa"/>
            <w:tcBorders>
              <w:top w:val="single" w:sz="4" w:space="0" w:color="000000"/>
              <w:left w:val="single" w:sz="4" w:space="0" w:color="000000"/>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2"/>
                <w:sz w:val="18"/>
                <w:szCs w:val="18"/>
              </w:rPr>
              <w:t> </w:t>
            </w:r>
            <w:r>
              <w:rPr>
                <w:rFonts w:ascii="宋体" w:hAnsi="宋体" w:cs="宋体" w:eastAsia="宋体" w:hint="default"/>
                <w:spacing w:val="-3"/>
                <w:sz w:val="18"/>
                <w:szCs w:val="18"/>
              </w:rPr>
              <w:t>手续费及佣金支出</w:t>
            </w:r>
          </w:p>
        </w:tc>
        <w:tc>
          <w:tcPr>
            <w:tcW w:w="3208" w:type="dxa"/>
            <w:tcBorders>
              <w:top w:val="single" w:sz="4" w:space="0" w:color="000000"/>
              <w:left w:val="single" w:sz="4" w:space="0" w:color="000000"/>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2"/>
                <w:sz w:val="18"/>
                <w:szCs w:val="18"/>
              </w:rPr>
              <w:t> </w:t>
            </w:r>
            <w:r>
              <w:rPr>
                <w:rFonts w:ascii="宋体" w:hAnsi="宋体" w:cs="宋体" w:eastAsia="宋体" w:hint="default"/>
                <w:sz w:val="18"/>
                <w:szCs w:val="18"/>
              </w:rPr>
              <w:t>退保金</w:t>
            </w:r>
          </w:p>
        </w:tc>
        <w:tc>
          <w:tcPr>
            <w:tcW w:w="3208" w:type="dxa"/>
            <w:tcBorders>
              <w:top w:val="single" w:sz="4" w:space="0" w:color="000000"/>
              <w:left w:val="single" w:sz="4" w:space="0" w:color="000000"/>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2"/>
                <w:sz w:val="18"/>
                <w:szCs w:val="18"/>
              </w:rPr>
              <w:t> </w:t>
            </w:r>
            <w:r>
              <w:rPr>
                <w:rFonts w:ascii="宋体" w:hAnsi="宋体" w:cs="宋体" w:eastAsia="宋体" w:hint="default"/>
                <w:spacing w:val="-3"/>
                <w:sz w:val="18"/>
                <w:szCs w:val="18"/>
              </w:rPr>
              <w:t>赔付支出净额</w:t>
            </w:r>
          </w:p>
        </w:tc>
        <w:tc>
          <w:tcPr>
            <w:tcW w:w="3208" w:type="dxa"/>
            <w:tcBorders>
              <w:top w:val="single" w:sz="4" w:space="0" w:color="000000"/>
              <w:left w:val="single" w:sz="4" w:space="0" w:color="000000"/>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24" w:right="161"/>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3"/>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spacing w:val="-3"/>
                <w:sz w:val="18"/>
                <w:szCs w:val="18"/>
              </w:rPr>
              <w:t>提取保险责任合同准备金</w:t>
            </w:r>
            <w:r>
              <w:rPr>
                <w:rFonts w:ascii="宋体" w:hAnsi="宋体" w:cs="宋体" w:eastAsia="宋体" w:hint="default"/>
                <w:w w:val="101"/>
                <w:sz w:val="18"/>
                <w:szCs w:val="18"/>
              </w:rPr>
              <w:t> </w:t>
            </w:r>
            <w:r>
              <w:rPr>
                <w:rFonts w:ascii="宋体" w:hAnsi="宋体" w:cs="宋体" w:eastAsia="宋体" w:hint="default"/>
                <w:sz w:val="18"/>
                <w:szCs w:val="18"/>
              </w:rPr>
              <w:t>净额</w:t>
            </w:r>
          </w:p>
        </w:tc>
        <w:tc>
          <w:tcPr>
            <w:tcW w:w="3208"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2"/>
                <w:sz w:val="18"/>
                <w:szCs w:val="18"/>
              </w:rPr>
              <w:t> </w:t>
            </w:r>
            <w:r>
              <w:rPr>
                <w:rFonts w:ascii="宋体" w:hAnsi="宋体" w:cs="宋体" w:eastAsia="宋体" w:hint="default"/>
                <w:spacing w:val="-3"/>
                <w:sz w:val="18"/>
                <w:szCs w:val="18"/>
              </w:rPr>
              <w:t>保单红利支出</w:t>
            </w:r>
          </w:p>
        </w:tc>
        <w:tc>
          <w:tcPr>
            <w:tcW w:w="3208" w:type="dxa"/>
            <w:tcBorders>
              <w:top w:val="single" w:sz="4" w:space="0" w:color="000000"/>
              <w:left w:val="single" w:sz="4" w:space="0" w:color="000000"/>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2"/>
                <w:sz w:val="18"/>
                <w:szCs w:val="18"/>
              </w:rPr>
              <w:t> </w:t>
            </w:r>
            <w:r>
              <w:rPr>
                <w:rFonts w:ascii="宋体" w:hAnsi="宋体" w:cs="宋体" w:eastAsia="宋体" w:hint="default"/>
                <w:spacing w:val="-3"/>
                <w:sz w:val="18"/>
                <w:szCs w:val="18"/>
              </w:rPr>
              <w:t>分保费用</w:t>
            </w:r>
          </w:p>
        </w:tc>
        <w:tc>
          <w:tcPr>
            <w:tcW w:w="3208" w:type="dxa"/>
            <w:tcBorders>
              <w:top w:val="single" w:sz="4" w:space="0" w:color="000000"/>
              <w:left w:val="single" w:sz="4" w:space="0" w:color="000000"/>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2"/>
                <w:sz w:val="18"/>
                <w:szCs w:val="18"/>
              </w:rPr>
              <w:t> </w:t>
            </w:r>
            <w:r>
              <w:rPr>
                <w:rFonts w:ascii="宋体" w:hAnsi="宋体" w:cs="宋体" w:eastAsia="宋体" w:hint="default"/>
                <w:sz w:val="18"/>
                <w:szCs w:val="18"/>
              </w:rPr>
              <w:t>税金及附加</w:t>
            </w:r>
          </w:p>
        </w:tc>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18,904,539.59</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16,632,955.78</w:t>
            </w:r>
          </w:p>
        </w:tc>
      </w:tr>
      <w:tr>
        <w:trPr>
          <w:trHeight w:val="398"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2"/>
                <w:sz w:val="18"/>
                <w:szCs w:val="18"/>
              </w:rPr>
              <w:t> </w:t>
            </w:r>
            <w:r>
              <w:rPr>
                <w:rFonts w:ascii="宋体" w:hAnsi="宋体" w:cs="宋体" w:eastAsia="宋体" w:hint="default"/>
                <w:spacing w:val="-3"/>
                <w:sz w:val="18"/>
                <w:szCs w:val="18"/>
              </w:rPr>
              <w:t>销售费用</w:t>
            </w:r>
          </w:p>
        </w:tc>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198,656,918.09</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185,110,129.79</w:t>
            </w:r>
          </w:p>
        </w:tc>
      </w:tr>
      <w:tr>
        <w:trPr>
          <w:trHeight w:val="403"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2"/>
                <w:sz w:val="18"/>
                <w:szCs w:val="18"/>
              </w:rPr>
              <w:t> </w:t>
            </w:r>
            <w:r>
              <w:rPr>
                <w:rFonts w:ascii="宋体" w:hAnsi="宋体" w:cs="宋体" w:eastAsia="宋体" w:hint="default"/>
                <w:spacing w:val="-3"/>
                <w:sz w:val="18"/>
                <w:szCs w:val="18"/>
              </w:rPr>
              <w:t>管理费用</w:t>
            </w:r>
          </w:p>
        </w:tc>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138,002,353.93</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122,942,736.37</w:t>
            </w:r>
          </w:p>
        </w:tc>
      </w:tr>
      <w:tr>
        <w:trPr>
          <w:trHeight w:val="403"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2"/>
                <w:sz w:val="18"/>
                <w:szCs w:val="18"/>
              </w:rPr>
              <w:t> </w:t>
            </w:r>
            <w:r>
              <w:rPr>
                <w:rFonts w:ascii="宋体" w:hAnsi="宋体" w:cs="宋体" w:eastAsia="宋体" w:hint="default"/>
                <w:spacing w:val="-3"/>
                <w:sz w:val="18"/>
                <w:szCs w:val="18"/>
              </w:rPr>
              <w:t>研发费用</w:t>
            </w:r>
          </w:p>
        </w:tc>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301,681,131.05</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266,655,602.09</w:t>
            </w:r>
          </w:p>
        </w:tc>
      </w:tr>
      <w:tr>
        <w:trPr>
          <w:trHeight w:val="404"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2"/>
                <w:sz w:val="18"/>
                <w:szCs w:val="18"/>
              </w:rPr>
              <w:t> </w:t>
            </w:r>
            <w:r>
              <w:rPr>
                <w:rFonts w:ascii="宋体" w:hAnsi="宋体" w:cs="宋体" w:eastAsia="宋体" w:hint="default"/>
                <w:spacing w:val="-3"/>
                <w:sz w:val="18"/>
                <w:szCs w:val="18"/>
              </w:rPr>
              <w:t>财务费用</w:t>
            </w:r>
          </w:p>
        </w:tc>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19,153,093.96</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17,274,277.34</w:t>
            </w:r>
          </w:p>
        </w:tc>
      </w:tr>
      <w:tr>
        <w:trPr>
          <w:trHeight w:val="398"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3"/>
                <w:sz w:val="18"/>
                <w:szCs w:val="18"/>
              </w:rPr>
              <w:t> </w:t>
            </w:r>
            <w:r>
              <w:rPr>
                <w:rFonts w:ascii="宋体" w:hAnsi="宋体" w:cs="宋体" w:eastAsia="宋体" w:hint="default"/>
                <w:spacing w:val="-3"/>
                <w:sz w:val="18"/>
                <w:szCs w:val="18"/>
              </w:rPr>
              <w:t>其中：利息费用</w:t>
            </w:r>
          </w:p>
        </w:tc>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28,054,783.10</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26,321,040.12</w:t>
            </w:r>
          </w:p>
        </w:tc>
      </w:tr>
      <w:tr>
        <w:trPr>
          <w:trHeight w:val="403"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2"/>
                <w:sz w:val="18"/>
                <w:szCs w:val="18"/>
              </w:rPr>
              <w:t> </w:t>
            </w:r>
            <w:r>
              <w:rPr>
                <w:rFonts w:ascii="宋体" w:hAnsi="宋体" w:cs="宋体" w:eastAsia="宋体" w:hint="default"/>
                <w:spacing w:val="-3"/>
                <w:sz w:val="18"/>
                <w:szCs w:val="18"/>
              </w:rPr>
              <w:t>利息收入</w:t>
            </w:r>
          </w:p>
        </w:tc>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10,671,395.91</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10,534,333.27</w:t>
            </w:r>
          </w:p>
        </w:tc>
      </w:tr>
      <w:tr>
        <w:trPr>
          <w:trHeight w:val="403"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加：其他收益</w:t>
            </w:r>
          </w:p>
        </w:tc>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14,820,544.56</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21,339,818.87</w:t>
            </w:r>
          </w:p>
        </w:tc>
      </w:tr>
      <w:tr>
        <w:trPr>
          <w:trHeight w:val="716"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5" w:lineRule="auto" w:before="54"/>
              <w:ind w:left="24" w:right="182"/>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3"/>
                <w:sz w:val="18"/>
                <w:szCs w:val="18"/>
              </w:rPr>
              <w:t> </w:t>
            </w:r>
            <w:r>
              <w:rPr>
                <w:rFonts w:ascii="宋体" w:hAnsi="宋体" w:cs="宋体" w:eastAsia="宋体" w:hint="default"/>
                <w:spacing w:val="-2"/>
                <w:sz w:val="18"/>
                <w:szCs w:val="18"/>
              </w:rPr>
              <w:t>投资收益（损失以</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号填</w:t>
            </w:r>
            <w:r>
              <w:rPr>
                <w:rFonts w:ascii="宋体" w:hAnsi="宋体" w:cs="宋体" w:eastAsia="宋体" w:hint="default"/>
                <w:w w:val="101"/>
                <w:sz w:val="18"/>
                <w:szCs w:val="18"/>
              </w:rPr>
              <w:t> </w:t>
            </w:r>
            <w:r>
              <w:rPr>
                <w:rFonts w:ascii="宋体" w:hAnsi="宋体" w:cs="宋体" w:eastAsia="宋体" w:hint="default"/>
                <w:sz w:val="18"/>
                <w:szCs w:val="18"/>
              </w:rPr>
              <w:t>列）</w:t>
            </w:r>
          </w:p>
        </w:tc>
        <w:tc>
          <w:tcPr>
            <w:tcW w:w="32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6,068,210.75</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86,784,908.01</w:t>
            </w:r>
          </w:p>
        </w:tc>
      </w:tr>
      <w:tr>
        <w:trPr>
          <w:trHeight w:val="710"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24" w:right="18"/>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3"/>
                <w:sz w:val="18"/>
                <w:szCs w:val="18"/>
              </w:rPr>
              <w:t> </w:t>
            </w:r>
            <w:r>
              <w:rPr>
                <w:rFonts w:ascii="宋体" w:hAnsi="宋体" w:cs="宋体" w:eastAsia="宋体" w:hint="default"/>
                <w:spacing w:val="-5"/>
                <w:sz w:val="18"/>
                <w:szCs w:val="18"/>
              </w:rPr>
              <w:t>其中：对联营企业和合营企业</w:t>
            </w:r>
            <w:r>
              <w:rPr>
                <w:rFonts w:ascii="宋体" w:hAnsi="宋体" w:cs="宋体" w:eastAsia="宋体" w:hint="default"/>
                <w:w w:val="101"/>
                <w:sz w:val="18"/>
                <w:szCs w:val="18"/>
              </w:rPr>
              <w:t> </w:t>
            </w:r>
            <w:r>
              <w:rPr>
                <w:rFonts w:ascii="宋体" w:hAnsi="宋体" w:cs="宋体" w:eastAsia="宋体" w:hint="default"/>
                <w:sz w:val="18"/>
                <w:szCs w:val="18"/>
              </w:rPr>
              <w:t>的投资收益</w:t>
            </w:r>
          </w:p>
        </w:tc>
        <w:tc>
          <w:tcPr>
            <w:tcW w:w="32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-3,285,151.10</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-6,426,768.95</w:t>
            </w:r>
          </w:p>
        </w:tc>
      </w:tr>
    </w:tbl>
    <w:p>
      <w:pPr>
        <w:spacing w:after="0" w:line="240" w:lineRule="auto"/>
        <w:jc w:val="right"/>
        <w:rPr>
          <w:rFonts w:ascii="Times New Roman" w:hAnsi="Times New Roman" w:cs="Times New Roman" w:eastAsia="Times New Roman" w:hint="default"/>
          <w:sz w:val="18"/>
          <w:szCs w:val="18"/>
        </w:rPr>
        <w:sectPr>
          <w:pgSz w:w="11910" w:h="16840"/>
          <w:pgMar w:header="746" w:footer="974"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205.032883pt;margin-top:367.29599pt;width:166.2pt;height:19.5pt;mso-position-horizontal-relative:page;mso-position-vertical-relative:page;z-index:-981904" type="#_x0000_t202" filled="false" stroked="false">
            <v:textbox inset="0,0,0,0">
              <w:txbxContent>
                <w:p>
                  <w:pPr>
                    <w:pStyle w:val="BodyText"/>
                    <w:spacing w:line="240" w:lineRule="auto" w:before="54"/>
                    <w:ind w:left="0" w:right="0"/>
                    <w:jc w:val="left"/>
                  </w:pPr>
                  <w:r>
                    <w:rPr>
                      <w:w w:val="101"/>
                    </w:rPr>
                    <w:t>）</w:t>
                  </w:r>
                  <w:r>
                    <w:rPr/>
                  </w:r>
                </w:p>
              </w:txbxContent>
            </v:textbox>
            <w10:wrap type="none"/>
          </v:shape>
        </w:pict>
      </w:r>
      <w:r>
        <w:rPr/>
        <w:pict>
          <v:group style="position:absolute;margin-left:211.059998pt;margin-top:108.265984pt;width:160.15pt;height:19.5pt;mso-position-horizontal-relative:page;mso-position-vertical-relative:page;z-index:-981880" coordorigin="4221,2165" coordsize="3203,390">
            <v:group style="position:absolute;left:7400;top:2165;width:25;height:390" coordorigin="7400,2165" coordsize="25,390">
              <v:shape style="position:absolute;left:7400;top:2165;width:25;height:390" coordorigin="7400,2165" coordsize="25,390" path="m7400,2555l7424,2555,7424,2165,7400,2165,7400,2555xe" filled="true" fillcolor="#ffffff" stroked="false">
                <v:path arrowok="t"/>
                <v:fill type="solid"/>
              </v:shape>
            </v:group>
            <v:group style="position:absolute;left:4221;top:2165;width:24;height:390" coordorigin="4221,2165" coordsize="24,390">
              <v:shape style="position:absolute;left:4221;top:2165;width:24;height:390" coordorigin="4221,2165" coordsize="24,390" path="m4221,2555l4245,2555,4245,2165,4221,2165,4221,2555xe" filled="true" fillcolor="#ffffff" stroked="false">
                <v:path arrowok="t"/>
                <v:fill type="solid"/>
              </v:shape>
            </v:group>
            <v:group style="position:absolute;left:4245;top:2165;width:3155;height:390" coordorigin="4245,2165" coordsize="3155,390">
              <v:shape style="position:absolute;left:4245;top:2165;width:3155;height:390" coordorigin="4245,2165" coordsize="3155,390" path="m4245,2555l7400,2555,7400,2165,4245,2165,4245,2555xe" filled="true" fillcolor="#ffffff" stroked="false">
                <v:path arrowok="t"/>
                <v:fill type="solid"/>
              </v:shape>
            </v:group>
            <w10:wrap type="none"/>
          </v:group>
        </w:pict>
      </w:r>
    </w:p>
    <w:p>
      <w:pPr>
        <w:spacing w:line="240" w:lineRule="auto" w:before="4"/>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083"/>
        <w:gridCol w:w="1107"/>
        <w:gridCol w:w="2101"/>
        <w:gridCol w:w="3279"/>
      </w:tblGrid>
      <w:tr>
        <w:trPr>
          <w:trHeight w:val="715"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24" w:right="161"/>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3"/>
                <w:sz w:val="18"/>
                <w:szCs w:val="18"/>
              </w:rPr>
              <w:t> </w:t>
            </w:r>
            <w:r>
              <w:rPr>
                <w:rFonts w:ascii="宋体" w:hAnsi="宋体" w:cs="宋体" w:eastAsia="宋体" w:hint="default"/>
                <w:spacing w:val="-2"/>
                <w:sz w:val="18"/>
                <w:szCs w:val="18"/>
              </w:rPr>
              <w:t>以摊余成本计量的金融</w:t>
            </w:r>
            <w:r>
              <w:rPr>
                <w:rFonts w:ascii="宋体" w:hAnsi="宋体" w:cs="宋体" w:eastAsia="宋体" w:hint="default"/>
                <w:w w:val="101"/>
                <w:sz w:val="18"/>
                <w:szCs w:val="18"/>
              </w:rPr>
              <w:t> </w:t>
            </w:r>
            <w:r>
              <w:rPr>
                <w:rFonts w:ascii="宋体" w:hAnsi="宋体" w:cs="宋体" w:eastAsia="宋体" w:hint="default"/>
                <w:sz w:val="18"/>
                <w:szCs w:val="18"/>
              </w:rPr>
              <w:t>资产终止确认收益</w:t>
            </w:r>
          </w:p>
        </w:tc>
        <w:tc>
          <w:tcPr>
            <w:tcW w:w="3208" w:type="dxa"/>
            <w:gridSpan w:val="2"/>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3"/>
                <w:sz w:val="18"/>
                <w:szCs w:val="18"/>
              </w:rPr>
              <w:t> </w:t>
            </w:r>
            <w:r>
              <w:rPr>
                <w:rFonts w:ascii="宋体" w:hAnsi="宋体" w:cs="宋体" w:eastAsia="宋体" w:hint="default"/>
                <w:spacing w:val="-3"/>
                <w:sz w:val="18"/>
                <w:szCs w:val="18"/>
              </w:rPr>
              <w:t>汇兑收益（损失以</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32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35"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5" w:lineRule="auto" w:before="58"/>
              <w:ind w:left="24" w:right="17"/>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3"/>
                <w:sz w:val="18"/>
                <w:szCs w:val="18"/>
              </w:rPr>
              <w:t> </w:t>
            </w:r>
            <w:r>
              <w:rPr>
                <w:rFonts w:ascii="宋体" w:hAnsi="宋体" w:cs="宋体" w:eastAsia="宋体" w:hint="default"/>
                <w:spacing w:val="-4"/>
                <w:sz w:val="18"/>
                <w:szCs w:val="18"/>
              </w:rPr>
              <w:t>净敞口套期收益（损失以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1"/>
                <w:sz w:val="18"/>
                <w:szCs w:val="18"/>
              </w:rPr>
              <w:t> </w:t>
            </w:r>
            <w:r>
              <w:rPr>
                <w:rFonts w:ascii="宋体" w:hAnsi="宋体" w:cs="宋体" w:eastAsia="宋体" w:hint="default"/>
                <w:sz w:val="18"/>
                <w:szCs w:val="18"/>
              </w:rPr>
              <w:t>号填列）</w:t>
            </w:r>
          </w:p>
        </w:tc>
        <w:tc>
          <w:tcPr>
            <w:tcW w:w="3208" w:type="dxa"/>
            <w:gridSpan w:val="2"/>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3"/>
                <w:sz w:val="18"/>
                <w:szCs w:val="18"/>
              </w:rPr>
              <w:t> </w:t>
            </w:r>
            <w:r>
              <w:rPr>
                <w:rFonts w:ascii="宋体" w:hAnsi="宋体" w:cs="宋体" w:eastAsia="宋体" w:hint="default"/>
                <w:spacing w:val="-3"/>
                <w:sz w:val="18"/>
                <w:szCs w:val="18"/>
              </w:rPr>
              <w:t>公允价值变动收益（损失以</w:t>
            </w:r>
          </w:p>
          <w:p>
            <w:pPr>
              <w:pStyle w:val="TableParagraph"/>
              <w:spacing w:line="240" w:lineRule="auto" w:before="7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08" w:type="dxa"/>
            <w:gridSpan w:val="2"/>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5" w:lineRule="auto" w:before="54"/>
              <w:ind w:left="24" w:right="17"/>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3"/>
                <w:sz w:val="18"/>
                <w:szCs w:val="18"/>
              </w:rPr>
              <w:t> </w:t>
            </w:r>
            <w:r>
              <w:rPr>
                <w:rFonts w:ascii="宋体" w:hAnsi="宋体" w:cs="宋体" w:eastAsia="宋体" w:hint="default"/>
                <w:spacing w:val="-7"/>
                <w:w w:val="101"/>
                <w:sz w:val="18"/>
                <w:szCs w:val="18"/>
              </w:rPr>
              <w:t>信用减值损失（损失以</w:t>
            </w:r>
            <w:r>
              <w:rPr>
                <w:rFonts w:ascii="Times New Roman" w:hAnsi="Times New Roman" w:cs="Times New Roman" w:eastAsia="Times New Roman" w:hint="default"/>
                <w:spacing w:val="-7"/>
                <w:w w:val="101"/>
                <w:sz w:val="18"/>
                <w:szCs w:val="18"/>
              </w:rPr>
              <w:t>“</w:t>
            </w:r>
            <w:r>
              <w:rPr>
                <w:rFonts w:ascii="Times New Roman" w:hAnsi="Times New Roman" w:cs="Times New Roman" w:eastAsia="Times New Roman" w:hint="default"/>
                <w:spacing w:val="-7"/>
                <w:w w:val="101"/>
                <w:sz w:val="18"/>
                <w:szCs w:val="18"/>
              </w:rPr>
              <w:t>-</w:t>
            </w:r>
            <w:r>
              <w:rPr>
                <w:rFonts w:ascii="Times New Roman" w:hAnsi="Times New Roman" w:cs="Times New Roman" w:eastAsia="Times New Roman" w:hint="default"/>
                <w:spacing w:val="-7"/>
                <w:w w:val="101"/>
                <w:sz w:val="18"/>
                <w:szCs w:val="18"/>
              </w:rPr>
              <w:t>”</w:t>
            </w:r>
            <w:r>
              <w:rPr>
                <w:rFonts w:ascii="宋体" w:hAnsi="宋体" w:cs="宋体" w:eastAsia="宋体" w:hint="default"/>
                <w:spacing w:val="-7"/>
                <w:w w:val="101"/>
                <w:sz w:val="18"/>
                <w:szCs w:val="18"/>
              </w:rPr>
              <w:t>号填</w:t>
            </w:r>
            <w:r>
              <w:rPr>
                <w:rFonts w:ascii="宋体" w:hAnsi="宋体" w:cs="宋体" w:eastAsia="宋体" w:hint="default"/>
                <w:w w:val="101"/>
                <w:sz w:val="18"/>
                <w:szCs w:val="18"/>
              </w:rPr>
              <w:t> </w:t>
            </w:r>
            <w:r>
              <w:rPr>
                <w:rFonts w:ascii="宋体" w:hAnsi="宋体" w:cs="宋体" w:eastAsia="宋体" w:hint="default"/>
                <w:sz w:val="18"/>
                <w:szCs w:val="18"/>
              </w:rPr>
              <w:t>列）</w:t>
            </w:r>
          </w:p>
        </w:tc>
        <w:tc>
          <w:tcPr>
            <w:tcW w:w="3208"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2071" w:right="0"/>
              <w:jc w:val="left"/>
              <w:rPr>
                <w:rFonts w:ascii="Times New Roman" w:hAnsi="Times New Roman" w:cs="Times New Roman" w:eastAsia="Times New Roman" w:hint="default"/>
                <w:sz w:val="18"/>
                <w:szCs w:val="18"/>
              </w:rPr>
            </w:pPr>
            <w:r>
              <w:rPr>
                <w:rFonts w:ascii="Times New Roman"/>
                <w:sz w:val="18"/>
              </w:rPr>
              <w:t>-24,608,131.31</w:t>
            </w: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5" w:lineRule="auto" w:before="53"/>
              <w:ind w:left="24" w:right="17"/>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3"/>
                <w:sz w:val="18"/>
                <w:szCs w:val="18"/>
              </w:rPr>
              <w:t> </w:t>
            </w:r>
            <w:r>
              <w:rPr>
                <w:rFonts w:ascii="宋体" w:hAnsi="宋体" w:cs="宋体" w:eastAsia="宋体" w:hint="default"/>
                <w:spacing w:val="-7"/>
                <w:w w:val="101"/>
                <w:sz w:val="18"/>
                <w:szCs w:val="18"/>
              </w:rPr>
              <w:t>资产减值损失（损失以</w:t>
            </w:r>
            <w:r>
              <w:rPr>
                <w:rFonts w:ascii="Times New Roman" w:hAnsi="Times New Roman" w:cs="Times New Roman" w:eastAsia="Times New Roman" w:hint="default"/>
                <w:spacing w:val="-7"/>
                <w:w w:val="101"/>
                <w:sz w:val="18"/>
                <w:szCs w:val="18"/>
              </w:rPr>
              <w:t>“</w:t>
            </w:r>
            <w:r>
              <w:rPr>
                <w:rFonts w:ascii="Times New Roman" w:hAnsi="Times New Roman" w:cs="Times New Roman" w:eastAsia="Times New Roman" w:hint="default"/>
                <w:spacing w:val="-7"/>
                <w:w w:val="101"/>
                <w:sz w:val="18"/>
                <w:szCs w:val="18"/>
              </w:rPr>
              <w:t>-</w:t>
            </w:r>
            <w:r>
              <w:rPr>
                <w:rFonts w:ascii="Times New Roman" w:hAnsi="Times New Roman" w:cs="Times New Roman" w:eastAsia="Times New Roman" w:hint="default"/>
                <w:spacing w:val="-7"/>
                <w:w w:val="101"/>
                <w:sz w:val="18"/>
                <w:szCs w:val="18"/>
              </w:rPr>
              <w:t>”</w:t>
            </w:r>
            <w:r>
              <w:rPr>
                <w:rFonts w:ascii="宋体" w:hAnsi="宋体" w:cs="宋体" w:eastAsia="宋体" w:hint="default"/>
                <w:spacing w:val="-7"/>
                <w:w w:val="101"/>
                <w:sz w:val="18"/>
                <w:szCs w:val="18"/>
              </w:rPr>
              <w:t>号填</w:t>
            </w:r>
            <w:r>
              <w:rPr>
                <w:rFonts w:ascii="宋体" w:hAnsi="宋体" w:cs="宋体" w:eastAsia="宋体" w:hint="default"/>
                <w:w w:val="101"/>
                <w:sz w:val="18"/>
                <w:szCs w:val="18"/>
              </w:rPr>
              <w:t> </w:t>
            </w:r>
            <w:r>
              <w:rPr>
                <w:rFonts w:ascii="宋体" w:hAnsi="宋体" w:cs="宋体" w:eastAsia="宋体" w:hint="default"/>
                <w:sz w:val="18"/>
                <w:szCs w:val="18"/>
              </w:rPr>
              <w:t>列）</w:t>
            </w:r>
          </w:p>
        </w:tc>
        <w:tc>
          <w:tcPr>
            <w:tcW w:w="3208"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-1,544,505.61</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-7,037,935.81</w:t>
            </w:r>
          </w:p>
        </w:tc>
      </w:tr>
      <w:tr>
        <w:trPr>
          <w:trHeight w:val="716"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8"/>
              <w:ind w:left="24" w:right="17"/>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3"/>
                <w:sz w:val="18"/>
                <w:szCs w:val="18"/>
              </w:rPr>
              <w:t> </w:t>
            </w:r>
            <w:r>
              <w:rPr>
                <w:rFonts w:ascii="宋体" w:hAnsi="宋体" w:cs="宋体" w:eastAsia="宋体" w:hint="default"/>
                <w:spacing w:val="-7"/>
                <w:w w:val="101"/>
                <w:sz w:val="18"/>
                <w:szCs w:val="18"/>
              </w:rPr>
              <w:t>资产处置收益（损失以</w:t>
            </w:r>
            <w:r>
              <w:rPr>
                <w:rFonts w:ascii="Times New Roman" w:hAnsi="Times New Roman" w:cs="Times New Roman" w:eastAsia="Times New Roman" w:hint="default"/>
                <w:spacing w:val="-7"/>
                <w:w w:val="101"/>
                <w:sz w:val="18"/>
                <w:szCs w:val="18"/>
              </w:rPr>
              <w:t>“</w:t>
            </w:r>
            <w:r>
              <w:rPr>
                <w:rFonts w:ascii="Times New Roman" w:hAnsi="Times New Roman" w:cs="Times New Roman" w:eastAsia="Times New Roman" w:hint="default"/>
                <w:spacing w:val="-7"/>
                <w:w w:val="101"/>
                <w:sz w:val="18"/>
                <w:szCs w:val="18"/>
              </w:rPr>
              <w:t>-</w:t>
            </w:r>
            <w:r>
              <w:rPr>
                <w:rFonts w:ascii="Times New Roman" w:hAnsi="Times New Roman" w:cs="Times New Roman" w:eastAsia="Times New Roman" w:hint="default"/>
                <w:spacing w:val="-7"/>
                <w:w w:val="101"/>
                <w:sz w:val="18"/>
                <w:szCs w:val="18"/>
              </w:rPr>
              <w:t>”</w:t>
            </w:r>
            <w:r>
              <w:rPr>
                <w:rFonts w:ascii="宋体" w:hAnsi="宋体" w:cs="宋体" w:eastAsia="宋体" w:hint="default"/>
                <w:spacing w:val="-7"/>
                <w:w w:val="101"/>
                <w:sz w:val="18"/>
                <w:szCs w:val="18"/>
              </w:rPr>
              <w:t>号填</w:t>
            </w:r>
            <w:r>
              <w:rPr>
                <w:rFonts w:ascii="宋体" w:hAnsi="宋体" w:cs="宋体" w:eastAsia="宋体" w:hint="default"/>
                <w:w w:val="101"/>
                <w:sz w:val="18"/>
                <w:szCs w:val="18"/>
              </w:rPr>
              <w:t> </w:t>
            </w:r>
            <w:r>
              <w:rPr>
                <w:rFonts w:ascii="宋体" w:hAnsi="宋体" w:cs="宋体" w:eastAsia="宋体" w:hint="default"/>
                <w:sz w:val="18"/>
                <w:szCs w:val="18"/>
              </w:rPr>
              <w:t>列）</w:t>
            </w:r>
          </w:p>
        </w:tc>
        <w:tc>
          <w:tcPr>
            <w:tcW w:w="3208"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161.98</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-95,999.38</w:t>
            </w:r>
          </w:p>
        </w:tc>
      </w:tr>
      <w:tr>
        <w:trPr>
          <w:trHeight w:val="403"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三、营业利润（亏损以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32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92,488,338.15</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139,709,243.24</w:t>
            </w:r>
          </w:p>
        </w:tc>
      </w:tr>
      <w:tr>
        <w:trPr>
          <w:trHeight w:val="403"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加：营业外收入</w:t>
            </w:r>
          </w:p>
        </w:tc>
        <w:tc>
          <w:tcPr>
            <w:tcW w:w="32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359,393.69</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1,986,765.87</w:t>
            </w:r>
          </w:p>
        </w:tc>
      </w:tr>
      <w:tr>
        <w:trPr>
          <w:trHeight w:val="398"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减：营业外支出</w:t>
            </w:r>
          </w:p>
        </w:tc>
        <w:tc>
          <w:tcPr>
            <w:tcW w:w="32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681,507.37</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1,786,698.30</w:t>
            </w:r>
          </w:p>
        </w:tc>
      </w:tr>
      <w:tr>
        <w:trPr>
          <w:trHeight w:val="404" w:hRule="exact"/>
        </w:trPr>
        <w:tc>
          <w:tcPr>
            <w:tcW w:w="3083"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pacing w:val="-9"/>
                <w:sz w:val="18"/>
                <w:szCs w:val="18"/>
              </w:rPr>
              <w:t>四、利润总额（亏损总额以</w:t>
            </w:r>
            <w:r>
              <w:rPr>
                <w:rFonts w:ascii="Times New Roman" w:hAnsi="Times New Roman" w:cs="Times New Roman" w:eastAsia="Times New Roman" w:hint="default"/>
                <w:spacing w:val="-9"/>
                <w:sz w:val="18"/>
                <w:szCs w:val="18"/>
              </w:rPr>
              <w:t>“</w:t>
            </w:r>
            <w:r>
              <w:rPr>
                <w:rFonts w:ascii="宋体" w:hAnsi="宋体" w:cs="宋体" w:eastAsia="宋体" w:hint="default"/>
                <w:spacing w:val="-9"/>
                <w:sz w:val="18"/>
                <w:szCs w:val="18"/>
              </w:rPr>
              <w:t>－</w:t>
            </w:r>
            <w:r>
              <w:rPr>
                <w:rFonts w:ascii="Times New Roman" w:hAnsi="Times New Roman" w:cs="Times New Roman" w:eastAsia="Times New Roman" w:hint="default"/>
                <w:spacing w:val="-9"/>
                <w:sz w:val="18"/>
                <w:szCs w:val="18"/>
              </w:rPr>
              <w:t>”</w:t>
            </w:r>
            <w:r>
              <w:rPr>
                <w:rFonts w:ascii="宋体" w:hAnsi="宋体" w:cs="宋体" w:eastAsia="宋体" w:hint="default"/>
                <w:spacing w:val="-9"/>
                <w:sz w:val="18"/>
                <w:szCs w:val="18"/>
              </w:rPr>
              <w:t>号填列</w:t>
            </w:r>
          </w:p>
        </w:tc>
        <w:tc>
          <w:tcPr>
            <w:tcW w:w="1107" w:type="dxa"/>
            <w:tcBorders>
              <w:top w:val="single" w:sz="4" w:space="0" w:color="000000"/>
              <w:left w:val="single" w:sz="13" w:space="0" w:color="FFFFFF"/>
              <w:bottom w:val="single" w:sz="4" w:space="0" w:color="000000"/>
              <w:right w:val="nil" w:sz="6" w:space="0" w:color="auto"/>
            </w:tcBorders>
          </w:tcPr>
          <w:p>
            <w:pPr/>
          </w:p>
        </w:tc>
        <w:tc>
          <w:tcPr>
            <w:tcW w:w="2101" w:type="dxa"/>
            <w:tcBorders>
              <w:top w:val="single" w:sz="4" w:space="0" w:color="000000"/>
              <w:left w:val="nil" w:sz="6" w:space="0" w:color="auto"/>
              <w:bottom w:val="single" w:sz="4" w:space="0" w:color="000000"/>
              <w:right w:val="single" w:sz="10" w:space="0" w:color="FFFFFF"/>
            </w:tcBorders>
          </w:tcPr>
          <w:p>
            <w:pPr>
              <w:pStyle w:val="TableParagraph"/>
              <w:spacing w:line="240" w:lineRule="auto" w:before="101"/>
              <w:ind w:left="1039" w:right="0"/>
              <w:jc w:val="left"/>
              <w:rPr>
                <w:rFonts w:ascii="Times New Roman" w:hAnsi="Times New Roman" w:cs="Times New Roman" w:eastAsia="Times New Roman" w:hint="default"/>
                <w:sz w:val="18"/>
                <w:szCs w:val="18"/>
              </w:rPr>
            </w:pPr>
            <w:r>
              <w:rPr>
                <w:rFonts w:ascii="Times New Roman"/>
                <w:sz w:val="18"/>
              </w:rPr>
              <w:t>92,166,224.47</w:t>
            </w:r>
          </w:p>
        </w:tc>
        <w:tc>
          <w:tcPr>
            <w:tcW w:w="3279"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8"/>
                <w:szCs w:val="18"/>
              </w:rPr>
            </w:pPr>
            <w:r>
              <w:rPr>
                <w:rFonts w:ascii="Times New Roman"/>
                <w:spacing w:val="-1"/>
                <w:sz w:val="18"/>
              </w:rPr>
              <w:t>139,909,310.81</w:t>
            </w:r>
          </w:p>
        </w:tc>
      </w:tr>
      <w:tr>
        <w:trPr>
          <w:trHeight w:val="403"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减：所得税费用</w:t>
            </w:r>
          </w:p>
        </w:tc>
        <w:tc>
          <w:tcPr>
            <w:tcW w:w="32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8,688,051.61</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41,134,029.36</w:t>
            </w:r>
          </w:p>
        </w:tc>
      </w:tr>
      <w:tr>
        <w:trPr>
          <w:trHeight w:val="403"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五、净利润（净亏损以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32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83,478,172.86</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98,775,281.45</w:t>
            </w:r>
          </w:p>
        </w:tc>
      </w:tr>
      <w:tr>
        <w:trPr>
          <w:trHeight w:val="398"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spacing w:val="-3"/>
                <w:sz w:val="18"/>
                <w:szCs w:val="18"/>
              </w:rPr>
              <w:t>（一）按经营持续性分类</w:t>
            </w:r>
          </w:p>
        </w:tc>
        <w:tc>
          <w:tcPr>
            <w:tcW w:w="3208" w:type="dxa"/>
            <w:gridSpan w:val="2"/>
            <w:tcBorders>
              <w:top w:val="single" w:sz="4" w:space="0" w:color="000000"/>
              <w:left w:val="single" w:sz="4" w:space="0" w:color="000000"/>
              <w:bottom w:val="single" w:sz="4" w:space="0" w:color="000000"/>
              <w:right w:val="single" w:sz="4" w:space="0" w:color="000000"/>
            </w:tcBorders>
            <w:shd w:val="clear" w:color="auto" w:fill="D2D2D2"/>
          </w:tcPr>
          <w:p>
            <w:pPr/>
          </w:p>
        </w:tc>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6"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Times New Roman" w:hAnsi="Times New Roman" w:cs="Times New Roman" w:eastAsia="Times New Roman"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持续经营净利润（净亏损以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p>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208"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83,478,172.86</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98,775,281.45</w:t>
            </w:r>
          </w:p>
        </w:tc>
      </w:tr>
      <w:tr>
        <w:trPr>
          <w:trHeight w:val="715"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终止经营净利润（净亏损以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208" w:type="dxa"/>
            <w:gridSpan w:val="2"/>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spacing w:val="-3"/>
                <w:sz w:val="18"/>
                <w:szCs w:val="18"/>
              </w:rPr>
              <w:t>（二）按所有权归属分类</w:t>
            </w:r>
          </w:p>
        </w:tc>
        <w:tc>
          <w:tcPr>
            <w:tcW w:w="3208" w:type="dxa"/>
            <w:gridSpan w:val="2"/>
            <w:tcBorders>
              <w:top w:val="single" w:sz="4" w:space="0" w:color="000000"/>
              <w:left w:val="single" w:sz="4" w:space="0" w:color="000000"/>
              <w:bottom w:val="single" w:sz="4" w:space="0" w:color="000000"/>
              <w:right w:val="single" w:sz="4" w:space="0" w:color="000000"/>
            </w:tcBorders>
            <w:shd w:val="clear" w:color="auto" w:fill="D2D2D2"/>
          </w:tcPr>
          <w:p>
            <w:pPr/>
          </w:p>
        </w:tc>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98"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归属于母公司所有者的净利润</w:t>
            </w:r>
          </w:p>
        </w:tc>
        <w:tc>
          <w:tcPr>
            <w:tcW w:w="32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59,178,171.08</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74,771,358.39</w:t>
            </w:r>
          </w:p>
        </w:tc>
      </w:tr>
      <w:tr>
        <w:trPr>
          <w:trHeight w:val="403"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少数股东损益</w:t>
            </w:r>
          </w:p>
        </w:tc>
        <w:tc>
          <w:tcPr>
            <w:tcW w:w="32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24,300,001.78</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24,003,923.06</w:t>
            </w:r>
          </w:p>
        </w:tc>
      </w:tr>
      <w:tr>
        <w:trPr>
          <w:trHeight w:val="403"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六、其他综合收益的税后净额</w:t>
            </w:r>
          </w:p>
        </w:tc>
        <w:tc>
          <w:tcPr>
            <w:tcW w:w="32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-165,920.79</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-510,590.75</w:t>
            </w:r>
          </w:p>
        </w:tc>
      </w:tr>
      <w:tr>
        <w:trPr>
          <w:trHeight w:val="716"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162"/>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spacing w:val="-3"/>
                <w:sz w:val="18"/>
                <w:szCs w:val="18"/>
              </w:rPr>
              <w:t>归属母公司所有者的其他综合收益</w:t>
            </w:r>
            <w:r>
              <w:rPr>
                <w:rFonts w:ascii="宋体" w:hAnsi="宋体" w:cs="宋体" w:eastAsia="宋体" w:hint="default"/>
                <w:w w:val="101"/>
                <w:sz w:val="18"/>
                <w:szCs w:val="18"/>
              </w:rPr>
              <w:t> </w:t>
            </w:r>
            <w:r>
              <w:rPr>
                <w:rFonts w:ascii="宋体" w:hAnsi="宋体" w:cs="宋体" w:eastAsia="宋体" w:hint="default"/>
                <w:sz w:val="18"/>
                <w:szCs w:val="18"/>
              </w:rPr>
              <w:t>的税后净额</w:t>
            </w:r>
          </w:p>
        </w:tc>
        <w:tc>
          <w:tcPr>
            <w:tcW w:w="3208"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-70,707.45</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-510,590.75</w:t>
            </w:r>
          </w:p>
        </w:tc>
      </w:tr>
      <w:tr>
        <w:trPr>
          <w:trHeight w:val="710"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24" w:right="18"/>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18"/>
                <w:sz w:val="18"/>
                <w:szCs w:val="18"/>
              </w:rPr>
              <w:t> </w:t>
            </w:r>
            <w:r>
              <w:rPr>
                <w:rFonts w:ascii="宋体" w:hAnsi="宋体" w:cs="宋体" w:eastAsia="宋体" w:hint="default"/>
                <w:spacing w:val="-4"/>
                <w:sz w:val="18"/>
                <w:szCs w:val="18"/>
              </w:rPr>
              <w:t>（一）不能重分类进损益的其他综</w:t>
            </w:r>
            <w:r>
              <w:rPr>
                <w:rFonts w:ascii="宋体" w:hAnsi="宋体" w:cs="宋体" w:eastAsia="宋体" w:hint="default"/>
                <w:w w:val="101"/>
                <w:sz w:val="18"/>
                <w:szCs w:val="18"/>
              </w:rPr>
              <w:t> </w:t>
            </w:r>
            <w:r>
              <w:rPr>
                <w:rFonts w:ascii="宋体" w:hAnsi="宋体" w:cs="宋体" w:eastAsia="宋体" w:hint="default"/>
                <w:sz w:val="18"/>
                <w:szCs w:val="18"/>
              </w:rPr>
              <w:t>合收益</w:t>
            </w:r>
          </w:p>
        </w:tc>
        <w:tc>
          <w:tcPr>
            <w:tcW w:w="3208"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-80,232.87</w:t>
            </w: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5" w:lineRule="auto" w:before="58"/>
              <w:ind w:left="24" w:right="27"/>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2"/>
                <w:sz w:val="18"/>
                <w:szCs w:val="18"/>
              </w:rPr>
              <w:t> </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重新计量设定受益计划变</w:t>
            </w:r>
            <w:r>
              <w:rPr>
                <w:rFonts w:ascii="宋体" w:hAnsi="宋体" w:cs="宋体" w:eastAsia="宋体" w:hint="default"/>
                <w:w w:val="101"/>
                <w:sz w:val="18"/>
                <w:szCs w:val="18"/>
              </w:rPr>
              <w:t> </w:t>
            </w:r>
            <w:r>
              <w:rPr>
                <w:rFonts w:ascii="宋体" w:hAnsi="宋体" w:cs="宋体" w:eastAsia="宋体" w:hint="default"/>
                <w:sz w:val="18"/>
                <w:szCs w:val="18"/>
              </w:rPr>
              <w:t>动额</w:t>
            </w:r>
          </w:p>
        </w:tc>
        <w:tc>
          <w:tcPr>
            <w:tcW w:w="3208" w:type="dxa"/>
            <w:gridSpan w:val="2"/>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27"/>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2"/>
                <w:sz w:val="18"/>
                <w:szCs w:val="18"/>
              </w:rPr>
              <w:t> </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权益法下不能转损益的其</w:t>
            </w:r>
            <w:r>
              <w:rPr>
                <w:rFonts w:ascii="宋体" w:hAnsi="宋体" w:cs="宋体" w:eastAsia="宋体" w:hint="default"/>
                <w:w w:val="101"/>
                <w:sz w:val="18"/>
                <w:szCs w:val="18"/>
              </w:rPr>
              <w:t> </w:t>
            </w:r>
            <w:r>
              <w:rPr>
                <w:rFonts w:ascii="宋体" w:hAnsi="宋体" w:cs="宋体" w:eastAsia="宋体" w:hint="default"/>
                <w:sz w:val="18"/>
                <w:szCs w:val="18"/>
              </w:rPr>
              <w:t>他综合收益</w:t>
            </w:r>
          </w:p>
        </w:tc>
        <w:tc>
          <w:tcPr>
            <w:tcW w:w="3208" w:type="dxa"/>
            <w:gridSpan w:val="2"/>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2"/>
                <w:sz w:val="18"/>
                <w:szCs w:val="18"/>
              </w:rPr>
              <w:t> </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其他权益工具投资公允价</w:t>
            </w:r>
          </w:p>
        </w:tc>
        <w:tc>
          <w:tcPr>
            <w:tcW w:w="32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-80,232.87</w:t>
            </w:r>
          </w:p>
        </w:tc>
        <w:tc>
          <w:tcPr>
            <w:tcW w:w="327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6"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083"/>
        <w:gridCol w:w="3208"/>
        <w:gridCol w:w="3279"/>
      </w:tblGrid>
      <w:tr>
        <w:trPr>
          <w:trHeight w:val="360"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值变动</w:t>
            </w:r>
          </w:p>
        </w:tc>
        <w:tc>
          <w:tcPr>
            <w:tcW w:w="3208" w:type="dxa"/>
            <w:tcBorders>
              <w:top w:val="single" w:sz="4" w:space="0" w:color="000000"/>
              <w:left w:val="single" w:sz="4" w:space="0" w:color="000000"/>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27"/>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2"/>
                <w:sz w:val="18"/>
                <w:szCs w:val="18"/>
              </w:rPr>
              <w:t> </w:t>
            </w: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企业自身信用风险公允价</w:t>
            </w:r>
            <w:r>
              <w:rPr>
                <w:rFonts w:ascii="宋体" w:hAnsi="宋体" w:cs="宋体" w:eastAsia="宋体" w:hint="default"/>
                <w:w w:val="101"/>
                <w:sz w:val="18"/>
                <w:szCs w:val="18"/>
              </w:rPr>
              <w:t> </w:t>
            </w:r>
            <w:r>
              <w:rPr>
                <w:rFonts w:ascii="宋体" w:hAnsi="宋体" w:cs="宋体" w:eastAsia="宋体" w:hint="default"/>
                <w:sz w:val="18"/>
                <w:szCs w:val="18"/>
              </w:rPr>
              <w:t>值变动</w:t>
            </w:r>
          </w:p>
        </w:tc>
        <w:tc>
          <w:tcPr>
            <w:tcW w:w="3208"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3208" w:type="dxa"/>
            <w:tcBorders>
              <w:top w:val="single" w:sz="4" w:space="0" w:color="000000"/>
              <w:left w:val="single" w:sz="4" w:space="0" w:color="000000"/>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24" w:right="18"/>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18"/>
                <w:sz w:val="18"/>
                <w:szCs w:val="18"/>
              </w:rPr>
              <w:t> </w:t>
            </w:r>
            <w:r>
              <w:rPr>
                <w:rFonts w:ascii="宋体" w:hAnsi="宋体" w:cs="宋体" w:eastAsia="宋体" w:hint="default"/>
                <w:spacing w:val="-4"/>
                <w:sz w:val="18"/>
                <w:szCs w:val="18"/>
              </w:rPr>
              <w:t>（二）将重分类进损益的其他综合</w:t>
            </w:r>
            <w:r>
              <w:rPr>
                <w:rFonts w:ascii="宋体" w:hAnsi="宋体" w:cs="宋体" w:eastAsia="宋体" w:hint="default"/>
                <w:w w:val="101"/>
                <w:sz w:val="18"/>
                <w:szCs w:val="18"/>
              </w:rPr>
              <w:t> </w:t>
            </w:r>
            <w:r>
              <w:rPr>
                <w:rFonts w:ascii="宋体" w:hAnsi="宋体" w:cs="宋体" w:eastAsia="宋体" w:hint="default"/>
                <w:sz w:val="18"/>
                <w:szCs w:val="18"/>
              </w:rPr>
              <w:t>收益</w:t>
            </w:r>
          </w:p>
        </w:tc>
        <w:tc>
          <w:tcPr>
            <w:tcW w:w="32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9,525.42</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-510,590.75</w:t>
            </w:r>
          </w:p>
        </w:tc>
      </w:tr>
      <w:tr>
        <w:trPr>
          <w:trHeight w:val="711"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5" w:lineRule="auto" w:before="53"/>
              <w:ind w:left="24" w:right="27"/>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2"/>
                <w:sz w:val="18"/>
                <w:szCs w:val="18"/>
              </w:rPr>
              <w:t> </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权益法下可转损益的其他</w:t>
            </w:r>
            <w:r>
              <w:rPr>
                <w:rFonts w:ascii="宋体" w:hAnsi="宋体" w:cs="宋体" w:eastAsia="宋体" w:hint="default"/>
                <w:w w:val="101"/>
                <w:sz w:val="18"/>
                <w:szCs w:val="18"/>
              </w:rPr>
              <w:t> </w:t>
            </w:r>
            <w:r>
              <w:rPr>
                <w:rFonts w:ascii="宋体" w:hAnsi="宋体" w:cs="宋体" w:eastAsia="宋体" w:hint="default"/>
                <w:sz w:val="18"/>
                <w:szCs w:val="18"/>
              </w:rPr>
              <w:t>综合收益</w:t>
            </w:r>
          </w:p>
        </w:tc>
        <w:tc>
          <w:tcPr>
            <w:tcW w:w="3208"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-510,590.75</w:t>
            </w:r>
          </w:p>
        </w:tc>
      </w:tr>
      <w:tr>
        <w:trPr>
          <w:trHeight w:val="715"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27"/>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2"/>
                <w:sz w:val="18"/>
                <w:szCs w:val="18"/>
              </w:rPr>
              <w:t> </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其他债权投资公允价值变</w:t>
            </w:r>
            <w:r>
              <w:rPr>
                <w:rFonts w:ascii="宋体" w:hAnsi="宋体" w:cs="宋体" w:eastAsia="宋体" w:hint="default"/>
                <w:w w:val="101"/>
                <w:sz w:val="18"/>
                <w:szCs w:val="18"/>
              </w:rPr>
              <w:t> </w:t>
            </w:r>
            <w:r>
              <w:rPr>
                <w:rFonts w:ascii="宋体" w:hAnsi="宋体" w:cs="宋体" w:eastAsia="宋体" w:hint="default"/>
                <w:sz w:val="18"/>
                <w:szCs w:val="18"/>
              </w:rPr>
              <w:t>动</w:t>
            </w:r>
          </w:p>
        </w:tc>
        <w:tc>
          <w:tcPr>
            <w:tcW w:w="3208"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27"/>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2"/>
                <w:sz w:val="18"/>
                <w:szCs w:val="18"/>
              </w:rPr>
              <w:t> </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可供出售金融资产公允价</w:t>
            </w:r>
            <w:r>
              <w:rPr>
                <w:rFonts w:ascii="宋体" w:hAnsi="宋体" w:cs="宋体" w:eastAsia="宋体" w:hint="default"/>
                <w:w w:val="101"/>
                <w:sz w:val="18"/>
                <w:szCs w:val="18"/>
              </w:rPr>
              <w:t> </w:t>
            </w:r>
            <w:r>
              <w:rPr>
                <w:rFonts w:ascii="宋体" w:hAnsi="宋体" w:cs="宋体" w:eastAsia="宋体" w:hint="default"/>
                <w:sz w:val="18"/>
                <w:szCs w:val="18"/>
              </w:rPr>
              <w:t>值变动损益</w:t>
            </w:r>
          </w:p>
        </w:tc>
        <w:tc>
          <w:tcPr>
            <w:tcW w:w="3208"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5" w:lineRule="auto" w:before="53"/>
              <w:ind w:left="24" w:right="27"/>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2"/>
                <w:sz w:val="18"/>
                <w:szCs w:val="18"/>
              </w:rPr>
              <w:t> </w:t>
            </w: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金融资产重分类计入其他</w:t>
            </w:r>
            <w:r>
              <w:rPr>
                <w:rFonts w:ascii="宋体" w:hAnsi="宋体" w:cs="宋体" w:eastAsia="宋体" w:hint="default"/>
                <w:w w:val="101"/>
                <w:sz w:val="18"/>
                <w:szCs w:val="18"/>
              </w:rPr>
              <w:t> </w:t>
            </w:r>
            <w:r>
              <w:rPr>
                <w:rFonts w:ascii="宋体" w:hAnsi="宋体" w:cs="宋体" w:eastAsia="宋体" w:hint="default"/>
                <w:spacing w:val="-3"/>
                <w:sz w:val="18"/>
                <w:szCs w:val="18"/>
              </w:rPr>
              <w:t>综合收益的金额</w:t>
            </w:r>
          </w:p>
        </w:tc>
        <w:tc>
          <w:tcPr>
            <w:tcW w:w="3208"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5" w:lineRule="auto" w:before="53"/>
              <w:ind w:left="24" w:right="27"/>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2"/>
                <w:sz w:val="18"/>
                <w:szCs w:val="18"/>
              </w:rPr>
              <w:t> </w:t>
            </w: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持有至到期投资重分类为</w:t>
            </w:r>
            <w:r>
              <w:rPr>
                <w:rFonts w:ascii="宋体" w:hAnsi="宋体" w:cs="宋体" w:eastAsia="宋体" w:hint="default"/>
                <w:w w:val="101"/>
                <w:sz w:val="18"/>
                <w:szCs w:val="18"/>
              </w:rPr>
              <w:t> </w:t>
            </w:r>
            <w:r>
              <w:rPr>
                <w:rFonts w:ascii="宋体" w:hAnsi="宋体" w:cs="宋体" w:eastAsia="宋体" w:hint="default"/>
                <w:sz w:val="18"/>
                <w:szCs w:val="18"/>
              </w:rPr>
              <w:t>可供出售金融资产损益</w:t>
            </w:r>
          </w:p>
        </w:tc>
        <w:tc>
          <w:tcPr>
            <w:tcW w:w="3208"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4"/>
              <w:ind w:left="24" w:right="27"/>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2"/>
                <w:sz w:val="18"/>
                <w:szCs w:val="18"/>
              </w:rPr>
              <w:t> </w:t>
            </w:r>
            <w:r>
              <w:rPr>
                <w:rFonts w:ascii="Times New Roman" w:hAnsi="Times New Roman" w:cs="Times New Roman" w:eastAsia="Times New Roman" w:hint="default"/>
                <w:spacing w:val="-3"/>
                <w:sz w:val="18"/>
                <w:szCs w:val="18"/>
              </w:rPr>
              <w:t>6.</w:t>
            </w:r>
            <w:r>
              <w:rPr>
                <w:rFonts w:ascii="宋体" w:hAnsi="宋体" w:cs="宋体" w:eastAsia="宋体" w:hint="default"/>
                <w:spacing w:val="-3"/>
                <w:sz w:val="18"/>
                <w:szCs w:val="18"/>
              </w:rPr>
              <w:t>其他债权投资信用减值准</w:t>
            </w:r>
            <w:r>
              <w:rPr>
                <w:rFonts w:ascii="宋体" w:hAnsi="宋体" w:cs="宋体" w:eastAsia="宋体" w:hint="default"/>
                <w:w w:val="101"/>
                <w:sz w:val="18"/>
                <w:szCs w:val="18"/>
              </w:rPr>
              <w:t> </w:t>
            </w:r>
            <w:r>
              <w:rPr>
                <w:rFonts w:ascii="宋体" w:hAnsi="宋体" w:cs="宋体" w:eastAsia="宋体" w:hint="default"/>
                <w:sz w:val="18"/>
                <w:szCs w:val="18"/>
              </w:rPr>
              <w:t>备</w:t>
            </w:r>
          </w:p>
        </w:tc>
        <w:tc>
          <w:tcPr>
            <w:tcW w:w="3208"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7.</w:t>
            </w:r>
            <w:r>
              <w:rPr>
                <w:rFonts w:ascii="宋体" w:hAnsi="宋体" w:cs="宋体" w:eastAsia="宋体" w:hint="default"/>
                <w:sz w:val="18"/>
                <w:szCs w:val="18"/>
              </w:rPr>
              <w:t>现金流量套期储备</w:t>
            </w:r>
          </w:p>
        </w:tc>
        <w:tc>
          <w:tcPr>
            <w:tcW w:w="3208" w:type="dxa"/>
            <w:tcBorders>
              <w:top w:val="single" w:sz="4" w:space="0" w:color="000000"/>
              <w:left w:val="single" w:sz="4" w:space="0" w:color="000000"/>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外币财务报表折算差额</w:t>
            </w:r>
          </w:p>
        </w:tc>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9,525.42</w:t>
            </w: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其他</w:t>
            </w:r>
          </w:p>
        </w:tc>
        <w:tc>
          <w:tcPr>
            <w:tcW w:w="3208" w:type="dxa"/>
            <w:tcBorders>
              <w:top w:val="single" w:sz="4" w:space="0" w:color="000000"/>
              <w:left w:val="single" w:sz="4" w:space="0" w:color="000000"/>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62"/>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spacing w:val="-3"/>
                <w:sz w:val="18"/>
                <w:szCs w:val="18"/>
              </w:rPr>
              <w:t>归属于少数股东的其他综合收益的</w:t>
            </w:r>
            <w:r>
              <w:rPr>
                <w:rFonts w:ascii="宋体" w:hAnsi="宋体" w:cs="宋体" w:eastAsia="宋体" w:hint="default"/>
                <w:w w:val="101"/>
                <w:sz w:val="18"/>
                <w:szCs w:val="18"/>
              </w:rPr>
              <w:t> </w:t>
            </w:r>
            <w:r>
              <w:rPr>
                <w:rFonts w:ascii="宋体" w:hAnsi="宋体" w:cs="宋体" w:eastAsia="宋体" w:hint="default"/>
                <w:sz w:val="18"/>
                <w:szCs w:val="18"/>
              </w:rPr>
              <w:t>税后净额</w:t>
            </w:r>
          </w:p>
        </w:tc>
        <w:tc>
          <w:tcPr>
            <w:tcW w:w="32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-95,213.34</w:t>
            </w: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83,312,252.07</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98,264,690.70</w:t>
            </w:r>
          </w:p>
        </w:tc>
      </w:tr>
      <w:tr>
        <w:trPr>
          <w:trHeight w:val="716"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162"/>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归属于母公司所有者的综合收益</w:t>
            </w:r>
            <w:r>
              <w:rPr>
                <w:rFonts w:ascii="宋体" w:hAnsi="宋体" w:cs="宋体" w:eastAsia="宋体" w:hint="default"/>
                <w:w w:val="101"/>
                <w:sz w:val="18"/>
                <w:szCs w:val="18"/>
              </w:rPr>
              <w:t> </w:t>
            </w:r>
            <w:r>
              <w:rPr>
                <w:rFonts w:ascii="宋体" w:hAnsi="宋体" w:cs="宋体" w:eastAsia="宋体" w:hint="default"/>
                <w:sz w:val="18"/>
                <w:szCs w:val="18"/>
              </w:rPr>
              <w:t>总额</w:t>
            </w:r>
          </w:p>
        </w:tc>
        <w:tc>
          <w:tcPr>
            <w:tcW w:w="32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59,107,463.63</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74,260,767.64</w:t>
            </w:r>
          </w:p>
        </w:tc>
      </w:tr>
      <w:tr>
        <w:trPr>
          <w:trHeight w:val="398"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归属于少数股东的综合收益总额</w:t>
            </w:r>
          </w:p>
        </w:tc>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24,204,788.44</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24,003,923.06</w:t>
            </w:r>
          </w:p>
        </w:tc>
      </w:tr>
      <w:tr>
        <w:trPr>
          <w:trHeight w:val="403"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八、每股收益：</w:t>
            </w:r>
          </w:p>
        </w:tc>
        <w:tc>
          <w:tcPr>
            <w:tcW w:w="320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（一）基本每股收益</w:t>
            </w:r>
          </w:p>
        </w:tc>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0.1846</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0.3032</w:t>
            </w:r>
          </w:p>
        </w:tc>
      </w:tr>
      <w:tr>
        <w:trPr>
          <w:trHeight w:val="404"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（二）稀释每股收益</w:t>
            </w:r>
          </w:p>
        </w:tc>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0.1846</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0.3032</w:t>
            </w:r>
          </w:p>
        </w:tc>
      </w:tr>
    </w:tbl>
    <w:p>
      <w:pPr>
        <w:pStyle w:val="BodyText"/>
        <w:tabs>
          <w:tab w:pos="3668" w:val="left" w:leader="none"/>
          <w:tab w:pos="7898" w:val="left" w:leader="none"/>
        </w:tabs>
        <w:spacing w:line="592" w:lineRule="auto" w:before="53"/>
        <w:ind w:right="1217"/>
        <w:jc w:val="both"/>
        <w:rPr>
          <w:rFonts w:ascii="宋体" w:hAnsi="宋体" w:cs="宋体" w:eastAsia="宋体" w:hint="default"/>
          <w:sz w:val="21"/>
          <w:szCs w:val="21"/>
        </w:rPr>
      </w:pPr>
      <w:r>
        <w:rPr>
          <w:spacing w:val="-3"/>
        </w:rPr>
        <w:t>本期发生同一控制下企业合并的，被合并方在合并前实现的净利润为：</w:t>
      </w:r>
      <w:r>
        <w:rPr>
          <w:rFonts w:ascii="Times New Roman" w:hAnsi="Times New Roman" w:cs="Times New Roman" w:eastAsia="Times New Roman" w:hint="default"/>
          <w:spacing w:val="-3"/>
        </w:rPr>
        <w:t>0.00 </w:t>
      </w:r>
      <w:r>
        <w:rPr/>
        <w:t>元，上期被合并方实现的净利润为：</w:t>
      </w:r>
      <w:r>
        <w:rPr>
          <w:rFonts w:ascii="Times New Roman" w:hAnsi="Times New Roman" w:cs="Times New Roman" w:eastAsia="Times New Roman" w:hint="default"/>
        </w:rPr>
        <w:t>0.00 </w:t>
      </w:r>
      <w:r>
        <w:rPr/>
        <w:t>元。</w:t>
      </w:r>
      <w:r>
        <w:rPr>
          <w:spacing w:val="-72"/>
        </w:rPr>
        <w:t> </w:t>
      </w:r>
      <w:r>
        <w:rPr>
          <w:spacing w:val="-3"/>
        </w:rPr>
        <w:t>法定代表人：徐宏灿</w:t>
        <w:tab/>
        <w:t>主管会计工作负责人：徐宏灿</w:t>
        <w:tab/>
      </w:r>
      <w:r>
        <w:rPr>
          <w:spacing w:val="-2"/>
        </w:rPr>
        <w:t>会计机构负责人：刘涓</w:t>
      </w:r>
      <w:r>
        <w:rPr>
          <w:spacing w:val="-66"/>
        </w:rPr>
        <w:t> </w:t>
      </w:r>
      <w:r>
        <w:rPr>
          <w:spacing w:val="-66"/>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、母公司利润表</w:t>
      </w:r>
      <w:r>
        <w:rPr>
          <w:rFonts w:ascii="宋体" w:hAnsi="宋体" w:cs="宋体" w:eastAsia="宋体" w:hint="default"/>
          <w:sz w:val="21"/>
          <w:szCs w:val="21"/>
        </w:rPr>
      </w:r>
    </w:p>
    <w:p>
      <w:pPr>
        <w:pStyle w:val="BodyText"/>
        <w:spacing w:line="240" w:lineRule="auto" w:before="7"/>
        <w:ind w:left="0" w:right="1121"/>
        <w:jc w:val="right"/>
      </w:pPr>
      <w:r>
        <w:rPr>
          <w:spacing w:val="-2"/>
        </w:rPr>
        <w:t>单位：元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968"/>
        <w:gridCol w:w="3303"/>
        <w:gridCol w:w="3299"/>
      </w:tblGrid>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r>
    </w:tbl>
    <w:p>
      <w:pPr>
        <w:spacing w:after="0" w:line="240" w:lineRule="auto"/>
        <w:jc w:val="center"/>
        <w:rPr>
          <w:rFonts w:ascii="宋体" w:hAnsi="宋体" w:cs="宋体" w:eastAsia="宋体" w:hint="default"/>
          <w:sz w:val="18"/>
          <w:szCs w:val="18"/>
        </w:rPr>
        <w:sectPr>
          <w:pgSz w:w="11910" w:h="16840"/>
          <w:pgMar w:header="746"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8"/>
        <w:gridCol w:w="3303"/>
        <w:gridCol w:w="3299"/>
      </w:tblGrid>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2,173,338,373.02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1,908,920,648.69</w:t>
            </w:r>
          </w:p>
        </w:tc>
      </w:tr>
      <w:tr>
        <w:trPr>
          <w:trHeight w:val="398"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减：营业成本</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2,006,838,499.93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1,789,538,688.61</w:t>
            </w:r>
          </w:p>
        </w:tc>
      </w:tr>
      <w:tr>
        <w:trPr>
          <w:trHeight w:val="40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3"/>
                <w:sz w:val="18"/>
                <w:szCs w:val="18"/>
              </w:rPr>
              <w:t> </w:t>
            </w:r>
            <w:r>
              <w:rPr>
                <w:rFonts w:ascii="宋体" w:hAnsi="宋体" w:cs="宋体" w:eastAsia="宋体" w:hint="default"/>
                <w:sz w:val="18"/>
                <w:szCs w:val="18"/>
              </w:rPr>
              <w:t>税金及附加</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8,576,168.37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2"/>
              <w:jc w:val="right"/>
              <w:rPr>
                <w:rFonts w:ascii="Times New Roman" w:hAnsi="Times New Roman" w:cs="Times New Roman" w:eastAsia="Times New Roman" w:hint="default"/>
                <w:sz w:val="18"/>
                <w:szCs w:val="18"/>
              </w:rPr>
            </w:pPr>
            <w:r>
              <w:rPr>
                <w:rFonts w:ascii="Times New Roman"/>
                <w:spacing w:val="-1"/>
                <w:sz w:val="18"/>
              </w:rPr>
              <w:t>7,157,507.18</w:t>
            </w: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3"/>
                <w:sz w:val="18"/>
                <w:szCs w:val="18"/>
              </w:rPr>
              <w:t> </w:t>
            </w:r>
            <w:r>
              <w:rPr>
                <w:rFonts w:ascii="宋体" w:hAnsi="宋体" w:cs="宋体" w:eastAsia="宋体" w:hint="default"/>
                <w:sz w:val="18"/>
                <w:szCs w:val="18"/>
              </w:rPr>
              <w:t>销售费用</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14,345,614.31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14,661,677.65</w:t>
            </w: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3"/>
                <w:sz w:val="18"/>
                <w:szCs w:val="18"/>
              </w:rPr>
              <w:t> </w:t>
            </w:r>
            <w:r>
              <w:rPr>
                <w:rFonts w:ascii="宋体" w:hAnsi="宋体" w:cs="宋体" w:eastAsia="宋体" w:hint="default"/>
                <w:sz w:val="18"/>
                <w:szCs w:val="18"/>
              </w:rPr>
              <w:t>管理费用</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37,437,226.89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39,062,360.86</w:t>
            </w:r>
          </w:p>
        </w:tc>
      </w:tr>
      <w:tr>
        <w:trPr>
          <w:trHeight w:val="398"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3"/>
                <w:sz w:val="18"/>
                <w:szCs w:val="18"/>
              </w:rPr>
              <w:t> </w:t>
            </w:r>
            <w:r>
              <w:rPr>
                <w:rFonts w:ascii="宋体" w:hAnsi="宋体" w:cs="宋体" w:eastAsia="宋体" w:hint="default"/>
                <w:sz w:val="18"/>
                <w:szCs w:val="18"/>
              </w:rPr>
              <w:t>研发费用</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60,369,930.03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29,863,604.14</w:t>
            </w:r>
          </w:p>
        </w:tc>
      </w:tr>
      <w:tr>
        <w:trPr>
          <w:trHeight w:val="40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3"/>
                <w:sz w:val="18"/>
                <w:szCs w:val="18"/>
              </w:rPr>
              <w:t> </w:t>
            </w:r>
            <w:r>
              <w:rPr>
                <w:rFonts w:ascii="宋体" w:hAnsi="宋体" w:cs="宋体" w:eastAsia="宋体" w:hint="default"/>
                <w:sz w:val="18"/>
                <w:szCs w:val="18"/>
              </w:rPr>
              <w:t>财务费用</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22,471,619.66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17,702,020.18</w:t>
            </w: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2"/>
                <w:sz w:val="18"/>
                <w:szCs w:val="18"/>
              </w:rPr>
              <w:t> </w:t>
            </w:r>
            <w:r>
              <w:rPr>
                <w:rFonts w:ascii="宋体" w:hAnsi="宋体" w:cs="宋体" w:eastAsia="宋体" w:hint="default"/>
                <w:spacing w:val="-3"/>
                <w:sz w:val="18"/>
                <w:szCs w:val="18"/>
              </w:rPr>
              <w:t>其中：利息费用</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27,620,999.21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25,090,220.68</w:t>
            </w: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2"/>
                <w:sz w:val="18"/>
                <w:szCs w:val="18"/>
              </w:rPr>
              <w:t> </w:t>
            </w:r>
            <w:r>
              <w:rPr>
                <w:rFonts w:ascii="宋体" w:hAnsi="宋体" w:cs="宋体" w:eastAsia="宋体" w:hint="default"/>
                <w:sz w:val="18"/>
                <w:szCs w:val="18"/>
              </w:rPr>
              <w:t>利息收入</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6,313,350.09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8,669,686.92</w:t>
            </w:r>
          </w:p>
        </w:tc>
      </w:tr>
      <w:tr>
        <w:trPr>
          <w:trHeight w:val="398"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加：其他收益</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3,172,750.00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6,658,150.00</w:t>
            </w:r>
          </w:p>
        </w:tc>
      </w:tr>
      <w:tr>
        <w:trPr>
          <w:trHeight w:val="716"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8"/>
              <w:ind w:left="24" w:right="65"/>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3"/>
                <w:sz w:val="18"/>
                <w:szCs w:val="18"/>
              </w:rPr>
              <w:t> </w:t>
            </w:r>
            <w:r>
              <w:rPr>
                <w:rFonts w:ascii="宋体" w:hAnsi="宋体" w:cs="宋体" w:eastAsia="宋体" w:hint="default"/>
                <w:spacing w:val="-2"/>
                <w:sz w:val="18"/>
                <w:szCs w:val="18"/>
              </w:rPr>
              <w:t>投资收益（损失以</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号填</w:t>
            </w:r>
            <w:r>
              <w:rPr>
                <w:rFonts w:ascii="宋体" w:hAnsi="宋体" w:cs="宋体" w:eastAsia="宋体" w:hint="default"/>
                <w:w w:val="101"/>
                <w:sz w:val="18"/>
                <w:szCs w:val="18"/>
              </w:rPr>
              <w:t> </w:t>
            </w:r>
            <w:r>
              <w:rPr>
                <w:rFonts w:ascii="宋体" w:hAnsi="宋体" w:cs="宋体" w:eastAsia="宋体" w:hint="default"/>
                <w:sz w:val="18"/>
                <w:szCs w:val="18"/>
              </w:rPr>
              <w:t>列）</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6,923,018.80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81,617,533.39</w:t>
            </w:r>
          </w:p>
        </w:tc>
      </w:tr>
      <w:tr>
        <w:trPr>
          <w:trHeight w:val="715"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46"/>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3"/>
                <w:sz w:val="18"/>
                <w:szCs w:val="18"/>
              </w:rPr>
              <w:t> </w:t>
            </w:r>
            <w:r>
              <w:rPr>
                <w:rFonts w:ascii="宋体" w:hAnsi="宋体" w:cs="宋体" w:eastAsia="宋体" w:hint="default"/>
                <w:spacing w:val="-3"/>
                <w:sz w:val="18"/>
                <w:szCs w:val="18"/>
              </w:rPr>
              <w:t>其中：对联营企业和合营企</w:t>
            </w:r>
            <w:r>
              <w:rPr>
                <w:rFonts w:ascii="宋体" w:hAnsi="宋体" w:cs="宋体" w:eastAsia="宋体" w:hint="default"/>
                <w:w w:val="101"/>
                <w:sz w:val="18"/>
                <w:szCs w:val="18"/>
              </w:rPr>
              <w:t> </w:t>
            </w:r>
            <w:r>
              <w:rPr>
                <w:rFonts w:ascii="宋体" w:hAnsi="宋体" w:cs="宋体" w:eastAsia="宋体" w:hint="default"/>
                <w:sz w:val="18"/>
                <w:szCs w:val="18"/>
              </w:rPr>
              <w:t>业的投资收益</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-2,345,551.05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-5,775,838.14</w:t>
            </w:r>
          </w:p>
        </w:tc>
      </w:tr>
      <w:tr>
        <w:trPr>
          <w:trHeight w:val="1028"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3"/>
              <w:ind w:left="24" w:right="46"/>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3"/>
                <w:sz w:val="18"/>
                <w:szCs w:val="18"/>
              </w:rPr>
              <w:t> </w:t>
            </w:r>
            <w:r>
              <w:rPr>
                <w:rFonts w:ascii="宋体" w:hAnsi="宋体" w:cs="宋体" w:eastAsia="宋体" w:hint="default"/>
                <w:spacing w:val="-2"/>
                <w:sz w:val="18"/>
                <w:szCs w:val="18"/>
              </w:rPr>
              <w:t>以摊余成本计量的金融</w:t>
            </w:r>
            <w:r>
              <w:rPr>
                <w:rFonts w:ascii="宋体" w:hAnsi="宋体" w:cs="宋体" w:eastAsia="宋体" w:hint="default"/>
                <w:w w:val="101"/>
                <w:sz w:val="18"/>
                <w:szCs w:val="18"/>
              </w:rPr>
              <w:t> </w:t>
            </w:r>
            <w:r>
              <w:rPr>
                <w:rFonts w:ascii="宋体" w:hAnsi="宋体" w:cs="宋体" w:eastAsia="宋体" w:hint="default"/>
                <w:sz w:val="18"/>
                <w:szCs w:val="18"/>
              </w:rPr>
              <w:t>资产终止确认收益（损失以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r>
              <w:rPr>
                <w:rFonts w:ascii="宋体" w:hAnsi="宋体" w:cs="宋体" w:eastAsia="宋体" w:hint="default"/>
                <w:spacing w:val="-88"/>
                <w:sz w:val="18"/>
                <w:szCs w:val="18"/>
              </w:rPr>
              <w:t> </w:t>
            </w:r>
            <w:r>
              <w:rPr>
                <w:rFonts w:ascii="宋体" w:hAnsi="宋体" w:cs="宋体" w:eastAsia="宋体" w:hint="default"/>
                <w:sz w:val="18"/>
                <w:szCs w:val="18"/>
              </w:rPr>
              <w:t>列）</w:t>
            </w:r>
          </w:p>
        </w:tc>
        <w:tc>
          <w:tcPr>
            <w:tcW w:w="3303"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3"/>
                <w:sz w:val="18"/>
                <w:szCs w:val="18"/>
              </w:rPr>
              <w:t> </w:t>
            </w:r>
            <w:r>
              <w:rPr>
                <w:rFonts w:ascii="宋体" w:hAnsi="宋体" w:cs="宋体" w:eastAsia="宋体" w:hint="default"/>
                <w:spacing w:val="-3"/>
                <w:sz w:val="18"/>
                <w:szCs w:val="18"/>
              </w:rPr>
              <w:t>净敞口套期收益（损失以</w:t>
            </w:r>
          </w:p>
          <w:p>
            <w:pPr>
              <w:pStyle w:val="TableParagraph"/>
              <w:spacing w:line="240" w:lineRule="auto" w:before="7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3"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3"/>
                <w:sz w:val="18"/>
                <w:szCs w:val="18"/>
              </w:rPr>
              <w:t> </w:t>
            </w:r>
            <w:r>
              <w:rPr>
                <w:rFonts w:ascii="宋体" w:hAnsi="宋体" w:cs="宋体" w:eastAsia="宋体" w:hint="default"/>
                <w:spacing w:val="-3"/>
                <w:sz w:val="18"/>
                <w:szCs w:val="18"/>
              </w:rPr>
              <w:t>公允价值变动收益（损失以</w:t>
            </w:r>
          </w:p>
          <w:p>
            <w:pPr>
              <w:pStyle w:val="TableParagraph"/>
              <w:spacing w:line="240" w:lineRule="auto" w:before="7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3"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17"/>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3"/>
                <w:sz w:val="18"/>
                <w:szCs w:val="18"/>
              </w:rPr>
              <w:t> </w:t>
            </w:r>
            <w:r>
              <w:rPr>
                <w:rFonts w:ascii="宋体" w:hAnsi="宋体" w:cs="宋体" w:eastAsia="宋体" w:hint="default"/>
                <w:spacing w:val="-3"/>
                <w:sz w:val="18"/>
                <w:szCs w:val="18"/>
              </w:rPr>
              <w:t>信用减值损失（损失以</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w:t>
            </w:r>
            <w:r>
              <w:rPr>
                <w:rFonts w:ascii="宋体" w:hAnsi="宋体" w:cs="宋体" w:eastAsia="宋体" w:hint="default"/>
                <w:w w:val="101"/>
                <w:sz w:val="18"/>
                <w:szCs w:val="18"/>
              </w:rPr>
              <w:t> </w:t>
            </w:r>
            <w:r>
              <w:rPr>
                <w:rFonts w:ascii="宋体" w:hAnsi="宋体" w:cs="宋体" w:eastAsia="宋体" w:hint="default"/>
                <w:sz w:val="18"/>
                <w:szCs w:val="18"/>
              </w:rPr>
              <w:t>填列）</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-9,829,108.51</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5" w:lineRule="auto" w:before="53"/>
              <w:ind w:left="24" w:right="17"/>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3"/>
                <w:sz w:val="18"/>
                <w:szCs w:val="18"/>
              </w:rPr>
              <w:t> </w:t>
            </w:r>
            <w:r>
              <w:rPr>
                <w:rFonts w:ascii="宋体" w:hAnsi="宋体" w:cs="宋体" w:eastAsia="宋体" w:hint="default"/>
                <w:spacing w:val="-3"/>
                <w:sz w:val="18"/>
                <w:szCs w:val="18"/>
              </w:rPr>
              <w:t>资产减值损失（损失以</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w:t>
            </w:r>
            <w:r>
              <w:rPr>
                <w:rFonts w:ascii="宋体" w:hAnsi="宋体" w:cs="宋体" w:eastAsia="宋体" w:hint="default"/>
                <w:w w:val="101"/>
                <w:sz w:val="18"/>
                <w:szCs w:val="18"/>
              </w:rPr>
              <w:t> </w:t>
            </w:r>
            <w:r>
              <w:rPr>
                <w:rFonts w:ascii="宋体" w:hAnsi="宋体" w:cs="宋体" w:eastAsia="宋体" w:hint="default"/>
                <w:sz w:val="18"/>
                <w:szCs w:val="18"/>
              </w:rPr>
              <w:t>填列）</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-1,551,786.43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-5,691,976.63</w:t>
            </w:r>
          </w:p>
        </w:tc>
      </w:tr>
      <w:tr>
        <w:trPr>
          <w:trHeight w:val="710"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5" w:lineRule="auto" w:before="53"/>
              <w:ind w:left="24" w:right="17"/>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3"/>
                <w:sz w:val="18"/>
                <w:szCs w:val="18"/>
              </w:rPr>
              <w:t> </w:t>
            </w:r>
            <w:r>
              <w:rPr>
                <w:rFonts w:ascii="宋体" w:hAnsi="宋体" w:cs="宋体" w:eastAsia="宋体" w:hint="default"/>
                <w:spacing w:val="-3"/>
                <w:sz w:val="18"/>
                <w:szCs w:val="18"/>
              </w:rPr>
              <w:t>资产处置收益（损失以</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w:t>
            </w:r>
            <w:r>
              <w:rPr>
                <w:rFonts w:ascii="宋体" w:hAnsi="宋体" w:cs="宋体" w:eastAsia="宋体" w:hint="default"/>
                <w:w w:val="101"/>
                <w:sz w:val="18"/>
                <w:szCs w:val="18"/>
              </w:rPr>
              <w:t> </w:t>
            </w:r>
            <w:r>
              <w:rPr>
                <w:rFonts w:ascii="宋体" w:hAnsi="宋体" w:cs="宋体" w:eastAsia="宋体" w:hint="default"/>
                <w:sz w:val="18"/>
                <w:szCs w:val="18"/>
              </w:rPr>
              <w:t>填列）</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-56,141.22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-65,199.16</w:t>
            </w: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二、营业利润（亏损以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21,958,046.47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93,453,297.67</w:t>
            </w: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加：营业外收入</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125,078.55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1,267,094.68</w:t>
            </w:r>
          </w:p>
        </w:tc>
      </w:tr>
      <w:tr>
        <w:trPr>
          <w:trHeight w:val="40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减：营业外支出</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540,865.03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6.29</w:t>
            </w:r>
          </w:p>
        </w:tc>
      </w:tr>
      <w:tr>
        <w:trPr>
          <w:trHeight w:val="710"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5" w:lineRule="auto" w:before="53"/>
              <w:ind w:left="24" w:right="65"/>
              <w:jc w:val="left"/>
              <w:rPr>
                <w:rFonts w:ascii="宋体" w:hAnsi="宋体" w:cs="宋体" w:eastAsia="宋体" w:hint="default"/>
                <w:sz w:val="18"/>
                <w:szCs w:val="18"/>
              </w:rPr>
            </w:pPr>
            <w:r>
              <w:rPr>
                <w:rFonts w:ascii="宋体" w:hAnsi="宋体" w:cs="宋体" w:eastAsia="宋体" w:hint="default"/>
                <w:spacing w:val="-3"/>
                <w:sz w:val="18"/>
                <w:szCs w:val="18"/>
              </w:rPr>
              <w:t>三、利润总额（亏损总额以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w:t>
            </w:r>
            <w:r>
              <w:rPr>
                <w:rFonts w:ascii="宋体" w:hAnsi="宋体" w:cs="宋体" w:eastAsia="宋体" w:hint="default"/>
                <w:spacing w:val="-36"/>
                <w:sz w:val="18"/>
                <w:szCs w:val="18"/>
              </w:rPr>
              <w:t> </w:t>
            </w:r>
            <w:r>
              <w:rPr>
                <w:rFonts w:ascii="宋体" w:hAnsi="宋体" w:cs="宋体" w:eastAsia="宋体" w:hint="default"/>
                <w:sz w:val="18"/>
                <w:szCs w:val="18"/>
              </w:rPr>
              <w:t>列）</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21,542,259.99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94,720,386.06</w:t>
            </w: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减：所得税费用</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1,139,663.98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40,738,681.69</w:t>
            </w:r>
          </w:p>
        </w:tc>
      </w:tr>
      <w:tr>
        <w:trPr>
          <w:trHeight w:val="40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四、净利润（净亏损以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20,402,596.01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53,981,704.37</w:t>
            </w:r>
          </w:p>
        </w:tc>
      </w:tr>
      <w:tr>
        <w:trPr>
          <w:trHeight w:val="715"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24" w:right="47"/>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（一）持续经营净利润（净亏损</w:t>
            </w:r>
            <w:r>
              <w:rPr>
                <w:rFonts w:ascii="宋体" w:hAnsi="宋体" w:cs="宋体" w:eastAsia="宋体" w:hint="default"/>
                <w:w w:val="101"/>
                <w:sz w:val="18"/>
                <w:szCs w:val="18"/>
              </w:rPr>
              <w:t> </w:t>
            </w:r>
            <w:r>
              <w:rPr>
                <w:rFonts w:ascii="宋体" w:hAnsi="宋体" w:cs="宋体" w:eastAsia="宋体" w:hint="default"/>
                <w:sz w:val="18"/>
                <w:szCs w:val="18"/>
              </w:rPr>
              <w:t>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20,402,596.01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40,738,681.69</w:t>
            </w: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（二）终止经营净利润（净亏损</w:t>
            </w:r>
          </w:p>
        </w:tc>
        <w:tc>
          <w:tcPr>
            <w:tcW w:w="3303"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6"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8"/>
        <w:gridCol w:w="3303"/>
        <w:gridCol w:w="3299"/>
      </w:tblGrid>
      <w:tr>
        <w:trPr>
          <w:trHeight w:val="360"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3"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五、其他综合收益的税后净额</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-80,232.87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-510,590.75</w:t>
            </w:r>
          </w:p>
        </w:tc>
      </w:tr>
      <w:tr>
        <w:trPr>
          <w:trHeight w:val="716"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4" w:right="47"/>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（一）不能重分类进损益的其他</w:t>
            </w:r>
            <w:r>
              <w:rPr>
                <w:rFonts w:ascii="宋体" w:hAnsi="宋体" w:cs="宋体" w:eastAsia="宋体" w:hint="default"/>
                <w:w w:val="101"/>
                <w:sz w:val="18"/>
                <w:szCs w:val="18"/>
              </w:rPr>
              <w:t> </w:t>
            </w:r>
            <w:r>
              <w:rPr>
                <w:rFonts w:ascii="宋体" w:hAnsi="宋体" w:cs="宋体" w:eastAsia="宋体" w:hint="default"/>
                <w:sz w:val="18"/>
                <w:szCs w:val="18"/>
              </w:rPr>
              <w:t>综合收益</w:t>
            </w:r>
          </w:p>
        </w:tc>
        <w:tc>
          <w:tcPr>
            <w:tcW w:w="33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-80,232.87</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5" w:lineRule="auto" w:before="53"/>
              <w:ind w:left="24" w:right="89"/>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2"/>
                <w:sz w:val="18"/>
                <w:szCs w:val="18"/>
              </w:rPr>
              <w:t> </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重新计量设定受益计划</w:t>
            </w:r>
            <w:r>
              <w:rPr>
                <w:rFonts w:ascii="宋体" w:hAnsi="宋体" w:cs="宋体" w:eastAsia="宋体" w:hint="default"/>
                <w:w w:val="101"/>
                <w:sz w:val="18"/>
                <w:szCs w:val="18"/>
              </w:rPr>
              <w:t> </w:t>
            </w:r>
            <w:r>
              <w:rPr>
                <w:rFonts w:ascii="宋体" w:hAnsi="宋体" w:cs="宋体" w:eastAsia="宋体" w:hint="default"/>
                <w:sz w:val="18"/>
                <w:szCs w:val="18"/>
              </w:rPr>
              <w:t>变动额</w:t>
            </w:r>
          </w:p>
        </w:tc>
        <w:tc>
          <w:tcPr>
            <w:tcW w:w="3303" w:type="dxa"/>
            <w:tcBorders>
              <w:top w:val="single" w:sz="4" w:space="0" w:color="000000"/>
              <w:left w:val="single" w:sz="12"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5" w:lineRule="auto" w:before="53"/>
              <w:ind w:left="24" w:right="89"/>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2"/>
                <w:sz w:val="18"/>
                <w:szCs w:val="18"/>
              </w:rPr>
              <w:t> </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权益法下不能转损益的</w:t>
            </w:r>
            <w:r>
              <w:rPr>
                <w:rFonts w:ascii="宋体" w:hAnsi="宋体" w:cs="宋体" w:eastAsia="宋体" w:hint="default"/>
                <w:w w:val="101"/>
                <w:sz w:val="18"/>
                <w:szCs w:val="18"/>
              </w:rPr>
              <w:t> </w:t>
            </w:r>
            <w:r>
              <w:rPr>
                <w:rFonts w:ascii="宋体" w:hAnsi="宋体" w:cs="宋体" w:eastAsia="宋体" w:hint="default"/>
                <w:sz w:val="18"/>
                <w:szCs w:val="18"/>
              </w:rPr>
              <w:t>其他综合收益</w:t>
            </w:r>
          </w:p>
        </w:tc>
        <w:tc>
          <w:tcPr>
            <w:tcW w:w="33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-80,232.87</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89"/>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2"/>
                <w:sz w:val="18"/>
                <w:szCs w:val="18"/>
              </w:rPr>
              <w:t> </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其他权益工具投资公允</w:t>
            </w:r>
            <w:r>
              <w:rPr>
                <w:rFonts w:ascii="宋体" w:hAnsi="宋体" w:cs="宋体" w:eastAsia="宋体" w:hint="default"/>
                <w:w w:val="101"/>
                <w:sz w:val="18"/>
                <w:szCs w:val="18"/>
              </w:rPr>
              <w:t> </w:t>
            </w:r>
            <w:r>
              <w:rPr>
                <w:rFonts w:ascii="宋体" w:hAnsi="宋体" w:cs="宋体" w:eastAsia="宋体" w:hint="default"/>
                <w:sz w:val="18"/>
                <w:szCs w:val="18"/>
              </w:rPr>
              <w:t>价值变动</w:t>
            </w:r>
          </w:p>
        </w:tc>
        <w:tc>
          <w:tcPr>
            <w:tcW w:w="3303" w:type="dxa"/>
            <w:tcBorders>
              <w:top w:val="single" w:sz="4" w:space="0" w:color="000000"/>
              <w:left w:val="single" w:sz="12"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89"/>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2"/>
                <w:sz w:val="18"/>
                <w:szCs w:val="18"/>
              </w:rPr>
              <w:t> </w:t>
            </w: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企业自身信用风险公允</w:t>
            </w:r>
            <w:r>
              <w:rPr>
                <w:rFonts w:ascii="宋体" w:hAnsi="宋体" w:cs="宋体" w:eastAsia="宋体" w:hint="default"/>
                <w:w w:val="101"/>
                <w:sz w:val="18"/>
                <w:szCs w:val="18"/>
              </w:rPr>
              <w:t> </w:t>
            </w:r>
            <w:r>
              <w:rPr>
                <w:rFonts w:ascii="宋体" w:hAnsi="宋体" w:cs="宋体" w:eastAsia="宋体" w:hint="default"/>
                <w:sz w:val="18"/>
                <w:szCs w:val="18"/>
              </w:rPr>
              <w:t>价值变动</w:t>
            </w:r>
          </w:p>
        </w:tc>
        <w:tc>
          <w:tcPr>
            <w:tcW w:w="3303" w:type="dxa"/>
            <w:tcBorders>
              <w:top w:val="single" w:sz="4" w:space="0" w:color="000000"/>
              <w:left w:val="single" w:sz="12"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3303"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24" w:right="47"/>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（二）将重分类进损益的其他综</w:t>
            </w:r>
            <w:r>
              <w:rPr>
                <w:rFonts w:ascii="宋体" w:hAnsi="宋体" w:cs="宋体" w:eastAsia="宋体" w:hint="default"/>
                <w:w w:val="101"/>
                <w:sz w:val="18"/>
                <w:szCs w:val="18"/>
              </w:rPr>
              <w:t> </w:t>
            </w:r>
            <w:r>
              <w:rPr>
                <w:rFonts w:ascii="宋体" w:hAnsi="宋体" w:cs="宋体" w:eastAsia="宋体" w:hint="default"/>
                <w:sz w:val="18"/>
                <w:szCs w:val="18"/>
              </w:rPr>
              <w:t>合收益</w:t>
            </w:r>
          </w:p>
        </w:tc>
        <w:tc>
          <w:tcPr>
            <w:tcW w:w="3303" w:type="dxa"/>
            <w:tcBorders>
              <w:top w:val="single" w:sz="4" w:space="0" w:color="000000"/>
              <w:left w:val="single" w:sz="12"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-510,590.75</w:t>
            </w:r>
          </w:p>
        </w:tc>
      </w:tr>
      <w:tr>
        <w:trPr>
          <w:trHeight w:val="716"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89"/>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2"/>
                <w:sz w:val="18"/>
                <w:szCs w:val="18"/>
              </w:rPr>
              <w:t> </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权益法下可转损益的其</w:t>
            </w:r>
            <w:r>
              <w:rPr>
                <w:rFonts w:ascii="宋体" w:hAnsi="宋体" w:cs="宋体" w:eastAsia="宋体" w:hint="default"/>
                <w:w w:val="101"/>
                <w:sz w:val="18"/>
                <w:szCs w:val="18"/>
              </w:rPr>
              <w:t> </w:t>
            </w:r>
            <w:r>
              <w:rPr>
                <w:rFonts w:ascii="宋体" w:hAnsi="宋体" w:cs="宋体" w:eastAsia="宋体" w:hint="default"/>
                <w:sz w:val="18"/>
                <w:szCs w:val="18"/>
              </w:rPr>
              <w:t>他综合收益</w:t>
            </w:r>
          </w:p>
        </w:tc>
        <w:tc>
          <w:tcPr>
            <w:tcW w:w="3303" w:type="dxa"/>
            <w:tcBorders>
              <w:top w:val="single" w:sz="4" w:space="0" w:color="000000"/>
              <w:left w:val="single" w:sz="12"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-510,590.75</w:t>
            </w:r>
          </w:p>
        </w:tc>
      </w:tr>
      <w:tr>
        <w:trPr>
          <w:trHeight w:val="715"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89"/>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2"/>
                <w:sz w:val="18"/>
                <w:szCs w:val="18"/>
              </w:rPr>
              <w:t> </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其他债权投资公允价值</w:t>
            </w:r>
            <w:r>
              <w:rPr>
                <w:rFonts w:ascii="宋体" w:hAnsi="宋体" w:cs="宋体" w:eastAsia="宋体" w:hint="default"/>
                <w:w w:val="101"/>
                <w:sz w:val="18"/>
                <w:szCs w:val="18"/>
              </w:rPr>
              <w:t> </w:t>
            </w:r>
            <w:r>
              <w:rPr>
                <w:rFonts w:ascii="宋体" w:hAnsi="宋体" w:cs="宋体" w:eastAsia="宋体" w:hint="default"/>
                <w:sz w:val="18"/>
                <w:szCs w:val="18"/>
              </w:rPr>
              <w:t>变动</w:t>
            </w:r>
          </w:p>
        </w:tc>
        <w:tc>
          <w:tcPr>
            <w:tcW w:w="3303" w:type="dxa"/>
            <w:tcBorders>
              <w:top w:val="single" w:sz="4" w:space="0" w:color="000000"/>
              <w:left w:val="single" w:sz="12"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5" w:lineRule="auto" w:before="53"/>
              <w:ind w:left="24" w:right="89"/>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2"/>
                <w:sz w:val="18"/>
                <w:szCs w:val="18"/>
              </w:rPr>
              <w:t> </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可供出售金融资产公允</w:t>
            </w:r>
            <w:r>
              <w:rPr>
                <w:rFonts w:ascii="宋体" w:hAnsi="宋体" w:cs="宋体" w:eastAsia="宋体" w:hint="default"/>
                <w:w w:val="101"/>
                <w:sz w:val="18"/>
                <w:szCs w:val="18"/>
              </w:rPr>
              <w:t> </w:t>
            </w:r>
            <w:r>
              <w:rPr>
                <w:rFonts w:ascii="宋体" w:hAnsi="宋体" w:cs="宋体" w:eastAsia="宋体" w:hint="default"/>
                <w:sz w:val="18"/>
                <w:szCs w:val="18"/>
              </w:rPr>
              <w:t>价值变动损益</w:t>
            </w:r>
          </w:p>
        </w:tc>
        <w:tc>
          <w:tcPr>
            <w:tcW w:w="3303" w:type="dxa"/>
            <w:tcBorders>
              <w:top w:val="single" w:sz="4" w:space="0" w:color="000000"/>
              <w:left w:val="single" w:sz="12"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5" w:lineRule="auto" w:before="54"/>
              <w:ind w:left="24" w:right="89"/>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2"/>
                <w:sz w:val="18"/>
                <w:szCs w:val="18"/>
              </w:rPr>
              <w:t> </w:t>
            </w: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金融资产重分类计入其</w:t>
            </w:r>
            <w:r>
              <w:rPr>
                <w:rFonts w:ascii="宋体" w:hAnsi="宋体" w:cs="宋体" w:eastAsia="宋体" w:hint="default"/>
                <w:w w:val="101"/>
                <w:sz w:val="18"/>
                <w:szCs w:val="18"/>
              </w:rPr>
              <w:t> </w:t>
            </w:r>
            <w:r>
              <w:rPr>
                <w:rFonts w:ascii="宋体" w:hAnsi="宋体" w:cs="宋体" w:eastAsia="宋体" w:hint="default"/>
                <w:sz w:val="18"/>
                <w:szCs w:val="18"/>
              </w:rPr>
              <w:t>他综合收益的金额</w:t>
            </w:r>
          </w:p>
        </w:tc>
        <w:tc>
          <w:tcPr>
            <w:tcW w:w="3303" w:type="dxa"/>
            <w:tcBorders>
              <w:top w:val="single" w:sz="4" w:space="0" w:color="000000"/>
              <w:left w:val="single" w:sz="12"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89"/>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2"/>
                <w:sz w:val="18"/>
                <w:szCs w:val="18"/>
              </w:rPr>
              <w:t> </w:t>
            </w: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持有至到期投资重分类</w:t>
            </w:r>
            <w:r>
              <w:rPr>
                <w:rFonts w:ascii="宋体" w:hAnsi="宋体" w:cs="宋体" w:eastAsia="宋体" w:hint="default"/>
                <w:w w:val="101"/>
                <w:sz w:val="18"/>
                <w:szCs w:val="18"/>
              </w:rPr>
              <w:t> </w:t>
            </w:r>
            <w:r>
              <w:rPr>
                <w:rFonts w:ascii="宋体" w:hAnsi="宋体" w:cs="宋体" w:eastAsia="宋体" w:hint="default"/>
                <w:spacing w:val="-3"/>
                <w:sz w:val="18"/>
                <w:szCs w:val="18"/>
              </w:rPr>
              <w:t>为可供出售金融资产损益</w:t>
            </w:r>
          </w:p>
        </w:tc>
        <w:tc>
          <w:tcPr>
            <w:tcW w:w="3303" w:type="dxa"/>
            <w:tcBorders>
              <w:top w:val="single" w:sz="4" w:space="0" w:color="000000"/>
              <w:left w:val="single" w:sz="12"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89"/>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2"/>
                <w:sz w:val="18"/>
                <w:szCs w:val="18"/>
              </w:rPr>
              <w:t> </w:t>
            </w:r>
            <w:r>
              <w:rPr>
                <w:rFonts w:ascii="Times New Roman" w:hAnsi="Times New Roman" w:cs="Times New Roman" w:eastAsia="Times New Roman" w:hint="default"/>
                <w:spacing w:val="-2"/>
                <w:sz w:val="18"/>
                <w:szCs w:val="18"/>
              </w:rPr>
              <w:t>6.</w:t>
            </w:r>
            <w:r>
              <w:rPr>
                <w:rFonts w:ascii="宋体" w:hAnsi="宋体" w:cs="宋体" w:eastAsia="宋体" w:hint="default"/>
                <w:spacing w:val="-2"/>
                <w:sz w:val="18"/>
                <w:szCs w:val="18"/>
              </w:rPr>
              <w:t>其他债权投资信用减值</w:t>
            </w:r>
            <w:r>
              <w:rPr>
                <w:rFonts w:ascii="宋体" w:hAnsi="宋体" w:cs="宋体" w:eastAsia="宋体" w:hint="default"/>
                <w:w w:val="101"/>
                <w:sz w:val="18"/>
                <w:szCs w:val="18"/>
              </w:rPr>
              <w:t> </w:t>
            </w:r>
            <w:r>
              <w:rPr>
                <w:rFonts w:ascii="宋体" w:hAnsi="宋体" w:cs="宋体" w:eastAsia="宋体" w:hint="default"/>
                <w:sz w:val="18"/>
                <w:szCs w:val="18"/>
              </w:rPr>
              <w:t>准备</w:t>
            </w:r>
          </w:p>
        </w:tc>
        <w:tc>
          <w:tcPr>
            <w:tcW w:w="3303" w:type="dxa"/>
            <w:tcBorders>
              <w:top w:val="single" w:sz="4" w:space="0" w:color="000000"/>
              <w:left w:val="single" w:sz="12"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7.</w:t>
            </w:r>
            <w:r>
              <w:rPr>
                <w:rFonts w:ascii="宋体" w:hAnsi="宋体" w:cs="宋体" w:eastAsia="宋体" w:hint="default"/>
                <w:sz w:val="18"/>
                <w:szCs w:val="18"/>
              </w:rPr>
              <w:t>现金流量套期储备</w:t>
            </w:r>
          </w:p>
        </w:tc>
        <w:tc>
          <w:tcPr>
            <w:tcW w:w="3303"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外币财务报表折算差额</w:t>
            </w:r>
          </w:p>
        </w:tc>
        <w:tc>
          <w:tcPr>
            <w:tcW w:w="3303"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其他</w:t>
            </w:r>
          </w:p>
        </w:tc>
        <w:tc>
          <w:tcPr>
            <w:tcW w:w="3303"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20,322,363.14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53,471,113.62</w:t>
            </w: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七、每股收益：</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98"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（一）基本每股收益</w:t>
            </w:r>
          </w:p>
        </w:tc>
        <w:tc>
          <w:tcPr>
            <w:tcW w:w="3303"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（二）稀释每股收益</w:t>
            </w:r>
          </w:p>
        </w:tc>
        <w:tc>
          <w:tcPr>
            <w:tcW w:w="3303"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6"/>
        <w:ind w:right="855"/>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6"/>
        <w:ind w:left="0" w:right="1121"/>
        <w:jc w:val="right"/>
      </w:pPr>
      <w:r>
        <w:rPr>
          <w:spacing w:val="-2"/>
        </w:rPr>
        <w:t>单位：元</w:t>
      </w:r>
    </w:p>
    <w:p>
      <w:pPr>
        <w:spacing w:after="0" w:line="240" w:lineRule="auto"/>
        <w:jc w:val="right"/>
        <w:sectPr>
          <w:pgSz w:w="11910" w:h="16840"/>
          <w:pgMar w:header="746"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8"/>
        <w:gridCol w:w="3303"/>
        <w:gridCol w:w="3299"/>
      </w:tblGrid>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r>
      <w:tr>
        <w:trPr>
          <w:trHeight w:val="398"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一、经营活动产生的现金流量：</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销售商品、提供劳务收到的现金</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2"/>
                <w:sz w:val="18"/>
              </w:rPr>
              <w:t>4,022,574,314.26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pacing w:val="-2"/>
                <w:sz w:val="18"/>
              </w:rPr>
              <w:t>2,907,525,685.04</w:t>
            </w:r>
          </w:p>
        </w:tc>
      </w:tr>
      <w:tr>
        <w:trPr>
          <w:trHeight w:val="715"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47"/>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客户存款和同业存放款项净增加</w:t>
            </w:r>
            <w:r>
              <w:rPr>
                <w:rFonts w:ascii="宋体" w:hAnsi="宋体" w:cs="宋体" w:eastAsia="宋体" w:hint="default"/>
                <w:w w:val="101"/>
                <w:sz w:val="18"/>
                <w:szCs w:val="18"/>
              </w:rPr>
              <w:t> </w:t>
            </w:r>
            <w:r>
              <w:rPr>
                <w:rFonts w:ascii="宋体" w:hAnsi="宋体" w:cs="宋体" w:eastAsia="宋体" w:hint="default"/>
                <w:sz w:val="18"/>
                <w:szCs w:val="18"/>
              </w:rPr>
              <w:t>额</w:t>
            </w:r>
          </w:p>
        </w:tc>
        <w:tc>
          <w:tcPr>
            <w:tcW w:w="3303" w:type="dxa"/>
            <w:tcBorders>
              <w:top w:val="single" w:sz="4" w:space="0" w:color="000000"/>
              <w:left w:val="single" w:sz="13"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向中央银行借款净增加额</w:t>
            </w:r>
          </w:p>
        </w:tc>
        <w:tc>
          <w:tcPr>
            <w:tcW w:w="3303"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47"/>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向其他金融机构拆入资金净增加</w:t>
            </w:r>
            <w:r>
              <w:rPr>
                <w:rFonts w:ascii="宋体" w:hAnsi="宋体" w:cs="宋体" w:eastAsia="宋体" w:hint="default"/>
                <w:w w:val="101"/>
                <w:sz w:val="18"/>
                <w:szCs w:val="18"/>
              </w:rPr>
              <w:t> </w:t>
            </w:r>
            <w:r>
              <w:rPr>
                <w:rFonts w:ascii="宋体" w:hAnsi="宋体" w:cs="宋体" w:eastAsia="宋体" w:hint="default"/>
                <w:sz w:val="18"/>
                <w:szCs w:val="18"/>
              </w:rPr>
              <w:t>额</w:t>
            </w:r>
          </w:p>
        </w:tc>
        <w:tc>
          <w:tcPr>
            <w:tcW w:w="3303" w:type="dxa"/>
            <w:tcBorders>
              <w:top w:val="single" w:sz="4" w:space="0" w:color="000000"/>
              <w:left w:val="single" w:sz="13"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收到原保险合同保费取得的现金</w:t>
            </w:r>
          </w:p>
        </w:tc>
        <w:tc>
          <w:tcPr>
            <w:tcW w:w="3303"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收到再保业务现金净额</w:t>
            </w:r>
          </w:p>
        </w:tc>
        <w:tc>
          <w:tcPr>
            <w:tcW w:w="3303"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保户储金及投资款净增加额</w:t>
            </w:r>
          </w:p>
        </w:tc>
        <w:tc>
          <w:tcPr>
            <w:tcW w:w="3303"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收取利息、手续费及佣金的现金</w:t>
            </w:r>
          </w:p>
        </w:tc>
        <w:tc>
          <w:tcPr>
            <w:tcW w:w="3303"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拆入资金净增加额</w:t>
            </w:r>
          </w:p>
        </w:tc>
        <w:tc>
          <w:tcPr>
            <w:tcW w:w="3303"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回购业务资金净增加额</w:t>
            </w:r>
          </w:p>
        </w:tc>
        <w:tc>
          <w:tcPr>
            <w:tcW w:w="3303"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代理买卖证券收到的现金净额</w:t>
            </w:r>
          </w:p>
        </w:tc>
        <w:tc>
          <w:tcPr>
            <w:tcW w:w="3303"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收到的税费返还</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902,735.51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418,988.97</w:t>
            </w: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收到其他与经营活动有关的现金</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40,270,274.95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53,764,142.04</w:t>
            </w: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4,063,747,324.72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2,961,708,816.05</w:t>
            </w: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购买商品、接受劳务支付的现金</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3,051,453,393.97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1,905,473,625.43</w:t>
            </w:r>
          </w:p>
        </w:tc>
      </w:tr>
      <w:tr>
        <w:trPr>
          <w:trHeight w:val="399"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客户贷款及垫款净增加额</w:t>
            </w:r>
          </w:p>
        </w:tc>
        <w:tc>
          <w:tcPr>
            <w:tcW w:w="3303"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8"/>
              <w:ind w:left="24" w:right="47"/>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存放中央银行和同业款项净增加</w:t>
            </w:r>
            <w:r>
              <w:rPr>
                <w:rFonts w:ascii="宋体" w:hAnsi="宋体" w:cs="宋体" w:eastAsia="宋体" w:hint="default"/>
                <w:w w:val="101"/>
                <w:sz w:val="18"/>
                <w:szCs w:val="18"/>
              </w:rPr>
              <w:t> </w:t>
            </w:r>
            <w:r>
              <w:rPr>
                <w:rFonts w:ascii="宋体" w:hAnsi="宋体" w:cs="宋体" w:eastAsia="宋体" w:hint="default"/>
                <w:sz w:val="18"/>
                <w:szCs w:val="18"/>
              </w:rPr>
              <w:t>额</w:t>
            </w:r>
          </w:p>
        </w:tc>
        <w:tc>
          <w:tcPr>
            <w:tcW w:w="3303" w:type="dxa"/>
            <w:tcBorders>
              <w:top w:val="single" w:sz="4" w:space="0" w:color="000000"/>
              <w:left w:val="single" w:sz="13"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支付原保险合同赔付款项的现金</w:t>
            </w:r>
          </w:p>
        </w:tc>
        <w:tc>
          <w:tcPr>
            <w:tcW w:w="3303"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拆出资金净增加额</w:t>
            </w:r>
          </w:p>
        </w:tc>
        <w:tc>
          <w:tcPr>
            <w:tcW w:w="3303"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支付利息、手续费及佣金的现金</w:t>
            </w:r>
          </w:p>
        </w:tc>
        <w:tc>
          <w:tcPr>
            <w:tcW w:w="3303"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支付保单红利的现金</w:t>
            </w:r>
          </w:p>
        </w:tc>
        <w:tc>
          <w:tcPr>
            <w:tcW w:w="3303"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47"/>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支付给职工以及为职工支付的现</w:t>
            </w:r>
            <w:r>
              <w:rPr>
                <w:rFonts w:ascii="宋体" w:hAnsi="宋体" w:cs="宋体" w:eastAsia="宋体" w:hint="default"/>
                <w:w w:val="101"/>
                <w:sz w:val="18"/>
                <w:szCs w:val="18"/>
              </w:rPr>
              <w:t> </w:t>
            </w:r>
            <w:r>
              <w:rPr>
                <w:rFonts w:ascii="宋体" w:hAnsi="宋体" w:cs="宋体" w:eastAsia="宋体" w:hint="default"/>
                <w:sz w:val="18"/>
                <w:szCs w:val="18"/>
              </w:rPr>
              <w:t>金</w:t>
            </w:r>
          </w:p>
        </w:tc>
        <w:tc>
          <w:tcPr>
            <w:tcW w:w="33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901,762,891.54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729,672,462.52</w:t>
            </w:r>
          </w:p>
        </w:tc>
      </w:tr>
      <w:tr>
        <w:trPr>
          <w:trHeight w:val="40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支付的各项税费</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137,457,004.39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104,687,967.81</w:t>
            </w:r>
          </w:p>
        </w:tc>
      </w:tr>
      <w:tr>
        <w:trPr>
          <w:trHeight w:val="398"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支付其他与经营活动有关的现金</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111,482,727.08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168,854,190.95</w:t>
            </w: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4,202,156,016.98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2"/>
                <w:sz w:val="18"/>
              </w:rPr>
              <w:t>2,908,688,246.71</w:t>
            </w: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经营活动产生的现金流量净额</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-138,408,692.26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53,020,569.34</w:t>
            </w:r>
          </w:p>
        </w:tc>
      </w:tr>
      <w:tr>
        <w:trPr>
          <w:trHeight w:val="40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二、投资活动产生的现金流量：</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98"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收回投资收到的现金</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16,873,047.06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486,854,600.00</w:t>
            </w: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取得投资收益收到的现金</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9,268,569.85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9,902,262.81</w:t>
            </w:r>
          </w:p>
        </w:tc>
      </w:tr>
    </w:tbl>
    <w:p>
      <w:pPr>
        <w:spacing w:after="0" w:line="240" w:lineRule="auto"/>
        <w:jc w:val="right"/>
        <w:rPr>
          <w:rFonts w:ascii="Times New Roman" w:hAnsi="Times New Roman" w:cs="Times New Roman" w:eastAsia="Times New Roman" w:hint="default"/>
          <w:sz w:val="18"/>
          <w:szCs w:val="18"/>
        </w:rPr>
        <w:sectPr>
          <w:pgSz w:w="11910" w:h="16840"/>
          <w:pgMar w:header="746"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8"/>
        <w:gridCol w:w="3303"/>
        <w:gridCol w:w="3299"/>
      </w:tblGrid>
      <w:tr>
        <w:trPr>
          <w:trHeight w:val="715"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24" w:right="47"/>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处置固定资产、无形资产和其他</w:t>
            </w:r>
            <w:r>
              <w:rPr>
                <w:rFonts w:ascii="宋体" w:hAnsi="宋体" w:cs="宋体" w:eastAsia="宋体" w:hint="default"/>
                <w:w w:val="101"/>
                <w:sz w:val="18"/>
                <w:szCs w:val="18"/>
              </w:rPr>
              <w:t> </w:t>
            </w:r>
            <w:r>
              <w:rPr>
                <w:rFonts w:ascii="宋体" w:hAnsi="宋体" w:cs="宋体" w:eastAsia="宋体" w:hint="default"/>
                <w:spacing w:val="-3"/>
                <w:sz w:val="18"/>
                <w:szCs w:val="18"/>
              </w:rPr>
              <w:t>长期资产收回的现金净额</w:t>
            </w:r>
          </w:p>
        </w:tc>
        <w:tc>
          <w:tcPr>
            <w:tcW w:w="33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157,999.51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268,179.18</w:t>
            </w:r>
          </w:p>
        </w:tc>
      </w:tr>
      <w:tr>
        <w:trPr>
          <w:trHeight w:val="711"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47"/>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处置子公司及其他营业单位收到</w:t>
            </w:r>
            <w:r>
              <w:rPr>
                <w:rFonts w:ascii="宋体" w:hAnsi="宋体" w:cs="宋体" w:eastAsia="宋体" w:hint="default"/>
                <w:w w:val="101"/>
                <w:sz w:val="18"/>
                <w:szCs w:val="18"/>
              </w:rPr>
              <w:t> </w:t>
            </w:r>
            <w:r>
              <w:rPr>
                <w:rFonts w:ascii="宋体" w:hAnsi="宋体" w:cs="宋体" w:eastAsia="宋体" w:hint="default"/>
                <w:sz w:val="18"/>
                <w:szCs w:val="18"/>
              </w:rPr>
              <w:t>的现金净额</w:t>
            </w:r>
          </w:p>
        </w:tc>
        <w:tc>
          <w:tcPr>
            <w:tcW w:w="3303" w:type="dxa"/>
            <w:tcBorders>
              <w:top w:val="single" w:sz="4" w:space="0" w:color="000000"/>
              <w:left w:val="single" w:sz="13"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收到其他与投资活动有关的现金</w:t>
            </w:r>
          </w:p>
        </w:tc>
        <w:tc>
          <w:tcPr>
            <w:tcW w:w="3303"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12,056,756.35</w:t>
            </w: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26,299,616.42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509,081,798.34</w:t>
            </w:r>
          </w:p>
        </w:tc>
      </w:tr>
      <w:tr>
        <w:trPr>
          <w:trHeight w:val="716"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47"/>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购建固定资产、无形资产和其他</w:t>
            </w:r>
            <w:r>
              <w:rPr>
                <w:rFonts w:ascii="宋体" w:hAnsi="宋体" w:cs="宋体" w:eastAsia="宋体" w:hint="default"/>
                <w:w w:val="101"/>
                <w:sz w:val="18"/>
                <w:szCs w:val="18"/>
              </w:rPr>
              <w:t> </w:t>
            </w:r>
            <w:r>
              <w:rPr>
                <w:rFonts w:ascii="宋体" w:hAnsi="宋体" w:cs="宋体" w:eastAsia="宋体" w:hint="default"/>
                <w:spacing w:val="-3"/>
                <w:sz w:val="18"/>
                <w:szCs w:val="18"/>
              </w:rPr>
              <w:t>长期资产支付的现金</w:t>
            </w:r>
          </w:p>
        </w:tc>
        <w:tc>
          <w:tcPr>
            <w:tcW w:w="33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21,943,429.74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5,277,061.66</w:t>
            </w:r>
          </w:p>
        </w:tc>
      </w:tr>
      <w:tr>
        <w:trPr>
          <w:trHeight w:val="398"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投资支付的现金</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650,000.00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5,815,600.00</w:t>
            </w: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质押贷款净增加额</w:t>
            </w:r>
          </w:p>
        </w:tc>
        <w:tc>
          <w:tcPr>
            <w:tcW w:w="3303"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47"/>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取得子公司及其他营业单位支付</w:t>
            </w:r>
            <w:r>
              <w:rPr>
                <w:rFonts w:ascii="宋体" w:hAnsi="宋体" w:cs="宋体" w:eastAsia="宋体" w:hint="default"/>
                <w:w w:val="101"/>
                <w:sz w:val="18"/>
                <w:szCs w:val="18"/>
              </w:rPr>
              <w:t> </w:t>
            </w:r>
            <w:r>
              <w:rPr>
                <w:rFonts w:ascii="宋体" w:hAnsi="宋体" w:cs="宋体" w:eastAsia="宋体" w:hint="default"/>
                <w:sz w:val="18"/>
                <w:szCs w:val="18"/>
              </w:rPr>
              <w:t>的现金净额</w:t>
            </w:r>
          </w:p>
        </w:tc>
        <w:tc>
          <w:tcPr>
            <w:tcW w:w="33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10,064,458.85</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支付其他与投资活动有关的现金</w:t>
            </w:r>
          </w:p>
        </w:tc>
        <w:tc>
          <w:tcPr>
            <w:tcW w:w="3303"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32,657,888.59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11,092,661.66</w:t>
            </w: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投资活动产生的现金流量净额</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-6,358,272.17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497,989,136.68</w:t>
            </w:r>
          </w:p>
        </w:tc>
      </w:tr>
      <w:tr>
        <w:trPr>
          <w:trHeight w:val="40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三、筹资活动产生的现金流量：</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吸收投资收到的现金</w:t>
            </w:r>
          </w:p>
        </w:tc>
        <w:tc>
          <w:tcPr>
            <w:tcW w:w="3303"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6,250,000.00</w:t>
            </w:r>
          </w:p>
        </w:tc>
      </w:tr>
      <w:tr>
        <w:trPr>
          <w:trHeight w:val="710"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24" w:right="47"/>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其中：子公司吸收少数股东投资</w:t>
            </w:r>
            <w:r>
              <w:rPr>
                <w:rFonts w:ascii="宋体" w:hAnsi="宋体" w:cs="宋体" w:eastAsia="宋体" w:hint="default"/>
                <w:w w:val="101"/>
                <w:sz w:val="18"/>
                <w:szCs w:val="18"/>
              </w:rPr>
              <w:t> </w:t>
            </w:r>
            <w:r>
              <w:rPr>
                <w:rFonts w:ascii="宋体" w:hAnsi="宋体" w:cs="宋体" w:eastAsia="宋体" w:hint="default"/>
                <w:sz w:val="18"/>
                <w:szCs w:val="18"/>
              </w:rPr>
              <w:t>收到的现金</w:t>
            </w:r>
          </w:p>
        </w:tc>
        <w:tc>
          <w:tcPr>
            <w:tcW w:w="3303" w:type="dxa"/>
            <w:tcBorders>
              <w:top w:val="single" w:sz="4" w:space="0" w:color="000000"/>
              <w:left w:val="single" w:sz="13"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6,250,000.00</w:t>
            </w: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取得借款收到的现金</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875,360,000.00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455,000,000.00</w:t>
            </w:r>
          </w:p>
        </w:tc>
      </w:tr>
      <w:tr>
        <w:trPr>
          <w:trHeight w:val="40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收到其他与筹资活动有关的现金</w:t>
            </w:r>
          </w:p>
        </w:tc>
        <w:tc>
          <w:tcPr>
            <w:tcW w:w="3303"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875,360,000.00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461,250,000.00</w:t>
            </w:r>
          </w:p>
        </w:tc>
      </w:tr>
      <w:tr>
        <w:trPr>
          <w:trHeight w:val="398"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偿还债务支付的现金</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590,625,391.39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560,604,503.94</w:t>
            </w:r>
          </w:p>
        </w:tc>
      </w:tr>
      <w:tr>
        <w:trPr>
          <w:trHeight w:val="716"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8"/>
              <w:ind w:left="24" w:right="47"/>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分配股利、利润或偿付利息支付</w:t>
            </w:r>
            <w:r>
              <w:rPr>
                <w:rFonts w:ascii="宋体" w:hAnsi="宋体" w:cs="宋体" w:eastAsia="宋体" w:hint="default"/>
                <w:w w:val="101"/>
                <w:sz w:val="18"/>
                <w:szCs w:val="18"/>
              </w:rPr>
              <w:t> </w:t>
            </w:r>
            <w:r>
              <w:rPr>
                <w:rFonts w:ascii="宋体" w:hAnsi="宋体" w:cs="宋体" w:eastAsia="宋体" w:hint="default"/>
                <w:sz w:val="18"/>
                <w:szCs w:val="18"/>
              </w:rPr>
              <w:t>的现金</w:t>
            </w:r>
          </w:p>
        </w:tc>
        <w:tc>
          <w:tcPr>
            <w:tcW w:w="33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38,788,117.45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31,601,674.84</w:t>
            </w:r>
          </w:p>
        </w:tc>
      </w:tr>
      <w:tr>
        <w:trPr>
          <w:trHeight w:val="715"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47"/>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其中：子公司支付给少数股东的</w:t>
            </w:r>
            <w:r>
              <w:rPr>
                <w:rFonts w:ascii="宋体" w:hAnsi="宋体" w:cs="宋体" w:eastAsia="宋体" w:hint="default"/>
                <w:w w:val="101"/>
                <w:sz w:val="18"/>
                <w:szCs w:val="18"/>
              </w:rPr>
              <w:t> </w:t>
            </w:r>
            <w:r>
              <w:rPr>
                <w:rFonts w:ascii="宋体" w:hAnsi="宋体" w:cs="宋体" w:eastAsia="宋体" w:hint="default"/>
                <w:sz w:val="18"/>
                <w:szCs w:val="18"/>
              </w:rPr>
              <w:t>股利、利润</w:t>
            </w:r>
          </w:p>
        </w:tc>
        <w:tc>
          <w:tcPr>
            <w:tcW w:w="3303" w:type="dxa"/>
            <w:tcBorders>
              <w:top w:val="single" w:sz="4" w:space="0" w:color="000000"/>
              <w:left w:val="single" w:sz="13"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1,170,000.00</w:t>
            </w: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支付其他与筹资活动有关的现金</w:t>
            </w:r>
          </w:p>
        </w:tc>
        <w:tc>
          <w:tcPr>
            <w:tcW w:w="3303"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629,413,508.84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592,206,178.78</w:t>
            </w: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筹资活动产生的现金流量净额</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245,946,491.16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-130,956,178.78</w:t>
            </w:r>
          </w:p>
        </w:tc>
      </w:tr>
      <w:tr>
        <w:trPr>
          <w:trHeight w:val="715"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47"/>
              <w:jc w:val="left"/>
              <w:rPr>
                <w:rFonts w:ascii="宋体" w:hAnsi="宋体" w:cs="宋体" w:eastAsia="宋体" w:hint="default"/>
                <w:sz w:val="18"/>
                <w:szCs w:val="18"/>
              </w:rPr>
            </w:pPr>
            <w:r>
              <w:rPr>
                <w:rFonts w:ascii="宋体" w:hAnsi="宋体" w:cs="宋体" w:eastAsia="宋体" w:hint="default"/>
                <w:spacing w:val="-3"/>
                <w:sz w:val="18"/>
                <w:szCs w:val="18"/>
              </w:rPr>
              <w:t>四、汇率变动对现金及现金等价物的</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影响</w:t>
            </w:r>
          </w:p>
        </w:tc>
        <w:tc>
          <w:tcPr>
            <w:tcW w:w="33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107,110.67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2"/>
                <w:sz w:val="18"/>
              </w:rPr>
              <w:t>-112,941.40</w:t>
            </w: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五、现金及现金等价物净增加额</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101,286,637.40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419,940,585.84</w:t>
            </w:r>
          </w:p>
        </w:tc>
      </w:tr>
      <w:tr>
        <w:trPr>
          <w:trHeight w:val="399"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加：期初现金及现金等价物余额</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1,082,867,837.39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662,927,251.55</w:t>
            </w: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六、期末现金及现金等价物余额</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1,184,154,474.79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2"/>
                <w:sz w:val="18"/>
              </w:rPr>
              <w:t>1,082,867,837.39</w:t>
            </w:r>
          </w:p>
        </w:tc>
      </w:tr>
    </w:tbl>
    <w:p>
      <w:pPr>
        <w:spacing w:after="0" w:line="240" w:lineRule="auto"/>
        <w:jc w:val="right"/>
        <w:rPr>
          <w:rFonts w:ascii="Times New Roman" w:hAnsi="Times New Roman" w:cs="Times New Roman" w:eastAsia="Times New Roman" w:hint="default"/>
          <w:sz w:val="18"/>
          <w:szCs w:val="18"/>
        </w:rPr>
        <w:sectPr>
          <w:pgSz w:w="11910" w:h="16840"/>
          <w:pgMar w:header="746" w:footer="974" w:top="1060" w:bottom="1160" w:left="980" w:right="0"/>
        </w:sectPr>
      </w:pPr>
    </w:p>
    <w:p>
      <w:pPr>
        <w:spacing w:line="240" w:lineRule="auto" w:before="4"/>
        <w:rPr>
          <w:rFonts w:ascii="Times New Roman" w:hAnsi="Times New Roman" w:cs="Times New Roman" w:eastAsia="Times New Roman" w:hint="default"/>
          <w:sz w:val="28"/>
          <w:szCs w:val="28"/>
        </w:rPr>
      </w:pPr>
    </w:p>
    <w:p>
      <w:pPr>
        <w:pStyle w:val="Heading4"/>
        <w:spacing w:line="240" w:lineRule="auto" w:before="36"/>
        <w:ind w:right="855"/>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6"/>
        <w:ind w:left="0" w:right="1121"/>
        <w:jc w:val="right"/>
      </w:pPr>
      <w:r>
        <w:rPr>
          <w:spacing w:val="-2"/>
        </w:rPr>
        <w:t>单位：元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968"/>
        <w:gridCol w:w="3303"/>
        <w:gridCol w:w="3299"/>
      </w:tblGrid>
      <w:tr>
        <w:trPr>
          <w:trHeight w:val="40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一、经营活动产生的现金流量：</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98"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销售商品、提供劳务收到的现金</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3,623,495,272.19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2,257,780,821.96</w:t>
            </w: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收到的税费返还</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248,295.13</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收到其他与经营活动有关的现金</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20,611,320.74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23,297,037.96</w:t>
            </w: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3,644,354,888.06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2,281,077,859.92</w:t>
            </w:r>
          </w:p>
        </w:tc>
      </w:tr>
      <w:tr>
        <w:trPr>
          <w:trHeight w:val="398"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购买商品、接受劳务支付的现金</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3,422,366,224.53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2,057,756,634.84</w:t>
            </w:r>
          </w:p>
        </w:tc>
      </w:tr>
      <w:tr>
        <w:trPr>
          <w:trHeight w:val="716"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4" w:right="47"/>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支付给职工以及为职工支付的现</w:t>
            </w:r>
            <w:r>
              <w:rPr>
                <w:rFonts w:ascii="宋体" w:hAnsi="宋体" w:cs="宋体" w:eastAsia="宋体" w:hint="default"/>
                <w:w w:val="101"/>
                <w:sz w:val="18"/>
                <w:szCs w:val="18"/>
              </w:rPr>
              <w:t> </w:t>
            </w:r>
            <w:r>
              <w:rPr>
                <w:rFonts w:ascii="宋体" w:hAnsi="宋体" w:cs="宋体" w:eastAsia="宋体" w:hint="default"/>
                <w:sz w:val="18"/>
                <w:szCs w:val="18"/>
              </w:rPr>
              <w:t>金</w:t>
            </w:r>
          </w:p>
        </w:tc>
        <w:tc>
          <w:tcPr>
            <w:tcW w:w="33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73,080,288.90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50,072,149.84</w:t>
            </w: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支付的各项税费</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54,290,100.65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33,206,862.92</w:t>
            </w: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支付其他与经营活动有关的现金</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59,383,537.90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76,067,212.02</w:t>
            </w:r>
          </w:p>
        </w:tc>
      </w:tr>
      <w:tr>
        <w:trPr>
          <w:trHeight w:val="398"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3,609,120,151.98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2,217,102,859.62</w:t>
            </w:r>
          </w:p>
        </w:tc>
      </w:tr>
      <w:tr>
        <w:trPr>
          <w:trHeight w:val="40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经营活动产生的现金流量净额</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35,234,736.08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63,975,000.30</w:t>
            </w: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二、投资活动产生的现金流量：</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收回投资收到的现金</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16,780,626.89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486,854,600.00</w:t>
            </w:r>
          </w:p>
        </w:tc>
      </w:tr>
      <w:tr>
        <w:trPr>
          <w:trHeight w:val="398"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取得投资收益收到的现金</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9,268,569.85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9,806,925.93</w:t>
            </w:r>
          </w:p>
        </w:tc>
      </w:tr>
      <w:tr>
        <w:trPr>
          <w:trHeight w:val="716"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4" w:right="47"/>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处置固定资产、无形资产和其他</w:t>
            </w:r>
            <w:r>
              <w:rPr>
                <w:rFonts w:ascii="宋体" w:hAnsi="宋体" w:cs="宋体" w:eastAsia="宋体" w:hint="default"/>
                <w:w w:val="101"/>
                <w:sz w:val="18"/>
                <w:szCs w:val="18"/>
              </w:rPr>
              <w:t> </w:t>
            </w:r>
            <w:r>
              <w:rPr>
                <w:rFonts w:ascii="宋体" w:hAnsi="宋体" w:cs="宋体" w:eastAsia="宋体" w:hint="default"/>
                <w:spacing w:val="-3"/>
                <w:sz w:val="18"/>
                <w:szCs w:val="18"/>
              </w:rPr>
              <w:t>长期资产收回的现金净额</w:t>
            </w:r>
          </w:p>
        </w:tc>
        <w:tc>
          <w:tcPr>
            <w:tcW w:w="33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120,751.00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35,615.00</w:t>
            </w:r>
          </w:p>
        </w:tc>
      </w:tr>
      <w:tr>
        <w:trPr>
          <w:trHeight w:val="715"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47"/>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处置子公司及其他营业单位收到</w:t>
            </w:r>
            <w:r>
              <w:rPr>
                <w:rFonts w:ascii="宋体" w:hAnsi="宋体" w:cs="宋体" w:eastAsia="宋体" w:hint="default"/>
                <w:w w:val="101"/>
                <w:sz w:val="18"/>
                <w:szCs w:val="18"/>
              </w:rPr>
              <w:t> </w:t>
            </w:r>
            <w:r>
              <w:rPr>
                <w:rFonts w:ascii="宋体" w:hAnsi="宋体" w:cs="宋体" w:eastAsia="宋体" w:hint="default"/>
                <w:sz w:val="18"/>
                <w:szCs w:val="18"/>
              </w:rPr>
              <w:t>的现金净额</w:t>
            </w:r>
          </w:p>
        </w:tc>
        <w:tc>
          <w:tcPr>
            <w:tcW w:w="3303" w:type="dxa"/>
            <w:tcBorders>
              <w:top w:val="single" w:sz="4" w:space="0" w:color="000000"/>
              <w:left w:val="single" w:sz="13"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收到其他与投资活动有关的现金</w:t>
            </w:r>
          </w:p>
        </w:tc>
        <w:tc>
          <w:tcPr>
            <w:tcW w:w="3303"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26,169,947.74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496,697,140.93</w:t>
            </w:r>
          </w:p>
        </w:tc>
      </w:tr>
      <w:tr>
        <w:trPr>
          <w:trHeight w:val="715"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47"/>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购建固定资产、无形资产和其他</w:t>
            </w:r>
            <w:r>
              <w:rPr>
                <w:rFonts w:ascii="宋体" w:hAnsi="宋体" w:cs="宋体" w:eastAsia="宋体" w:hint="default"/>
                <w:w w:val="101"/>
                <w:sz w:val="18"/>
                <w:szCs w:val="18"/>
              </w:rPr>
              <w:t> </w:t>
            </w:r>
            <w:r>
              <w:rPr>
                <w:rFonts w:ascii="宋体" w:hAnsi="宋体" w:cs="宋体" w:eastAsia="宋体" w:hint="default"/>
                <w:spacing w:val="-3"/>
                <w:sz w:val="18"/>
                <w:szCs w:val="18"/>
              </w:rPr>
              <w:t>长期资产支付的现金</w:t>
            </w:r>
          </w:p>
        </w:tc>
        <w:tc>
          <w:tcPr>
            <w:tcW w:w="33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4,223,347.15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2,742,615.41</w:t>
            </w: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投资支付的现金</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19,200,000.00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140,489,728.56</w:t>
            </w:r>
          </w:p>
        </w:tc>
      </w:tr>
      <w:tr>
        <w:trPr>
          <w:trHeight w:val="716"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47"/>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取得子公司及其他营业单位支付</w:t>
            </w:r>
            <w:r>
              <w:rPr>
                <w:rFonts w:ascii="宋体" w:hAnsi="宋体" w:cs="宋体" w:eastAsia="宋体" w:hint="default"/>
                <w:w w:val="101"/>
                <w:sz w:val="18"/>
                <w:szCs w:val="18"/>
              </w:rPr>
              <w:t> </w:t>
            </w:r>
            <w:r>
              <w:rPr>
                <w:rFonts w:ascii="宋体" w:hAnsi="宋体" w:cs="宋体" w:eastAsia="宋体" w:hint="default"/>
                <w:sz w:val="18"/>
                <w:szCs w:val="18"/>
              </w:rPr>
              <w:t>的现金净额</w:t>
            </w:r>
          </w:p>
        </w:tc>
        <w:tc>
          <w:tcPr>
            <w:tcW w:w="3303" w:type="dxa"/>
            <w:tcBorders>
              <w:top w:val="single" w:sz="4" w:space="0" w:color="000000"/>
              <w:left w:val="single" w:sz="13"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支付其他与投资活动有关的现金</w:t>
            </w:r>
          </w:p>
        </w:tc>
        <w:tc>
          <w:tcPr>
            <w:tcW w:w="3303"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23,423,347.15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143,232,343.97</w:t>
            </w: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投资活动产生的现金流量净额</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2,746,600.59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353,464,796.96</w:t>
            </w:r>
          </w:p>
        </w:tc>
      </w:tr>
      <w:tr>
        <w:trPr>
          <w:trHeight w:val="40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三、筹资活动产生的现金流量：</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98"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吸收投资收到的现金</w:t>
            </w:r>
          </w:p>
        </w:tc>
        <w:tc>
          <w:tcPr>
            <w:tcW w:w="3303"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取得借款收到的现金</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865,360,000.00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455,000,000.00</w:t>
            </w:r>
          </w:p>
        </w:tc>
      </w:tr>
    </w:tbl>
    <w:p>
      <w:pPr>
        <w:spacing w:after="0" w:line="240" w:lineRule="auto"/>
        <w:jc w:val="right"/>
        <w:rPr>
          <w:rFonts w:ascii="Times New Roman" w:hAnsi="Times New Roman" w:cs="Times New Roman" w:eastAsia="Times New Roman" w:hint="default"/>
          <w:sz w:val="18"/>
          <w:szCs w:val="18"/>
        </w:rPr>
        <w:sectPr>
          <w:pgSz w:w="11910" w:h="16840"/>
          <w:pgMar w:header="746" w:footer="974"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968"/>
        <w:gridCol w:w="3303"/>
        <w:gridCol w:w="3299"/>
      </w:tblGrid>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收到其他与筹资活动有关的现金</w:t>
            </w:r>
          </w:p>
        </w:tc>
        <w:tc>
          <w:tcPr>
            <w:tcW w:w="3303"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865,360,000.00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455,000,000.00</w:t>
            </w:r>
          </w:p>
        </w:tc>
      </w:tr>
      <w:tr>
        <w:trPr>
          <w:trHeight w:val="40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偿还债务支付的现金</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590,625,391.39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pacing w:val="-1"/>
                <w:sz w:val="18"/>
              </w:rPr>
              <w:t>560,604,503.94</w:t>
            </w:r>
          </w:p>
        </w:tc>
      </w:tr>
      <w:tr>
        <w:trPr>
          <w:trHeight w:val="715"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47"/>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分配股利、利润或偿付利息支付</w:t>
            </w:r>
            <w:r>
              <w:rPr>
                <w:rFonts w:ascii="宋体" w:hAnsi="宋体" w:cs="宋体" w:eastAsia="宋体" w:hint="default"/>
                <w:w w:val="101"/>
                <w:sz w:val="18"/>
                <w:szCs w:val="18"/>
              </w:rPr>
              <w:t> </w:t>
            </w:r>
            <w:r>
              <w:rPr>
                <w:rFonts w:ascii="宋体" w:hAnsi="宋体" w:cs="宋体" w:eastAsia="宋体" w:hint="default"/>
                <w:sz w:val="18"/>
                <w:szCs w:val="18"/>
              </w:rPr>
              <w:t>的现金</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38,554,117.45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30,177,980.40</w:t>
            </w: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支付其他与筹资活动有关的现金</w:t>
            </w:r>
          </w:p>
        </w:tc>
        <w:tc>
          <w:tcPr>
            <w:tcW w:w="3303"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629,179,508.84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590,782,484.34</w:t>
            </w: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筹资活动产生的现金流量净额</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236,180,491.16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-135,782,484.34</w:t>
            </w:r>
          </w:p>
        </w:tc>
      </w:tr>
      <w:tr>
        <w:trPr>
          <w:trHeight w:val="715"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47"/>
              <w:jc w:val="left"/>
              <w:rPr>
                <w:rFonts w:ascii="宋体" w:hAnsi="宋体" w:cs="宋体" w:eastAsia="宋体" w:hint="default"/>
                <w:sz w:val="18"/>
                <w:szCs w:val="18"/>
              </w:rPr>
            </w:pPr>
            <w:r>
              <w:rPr>
                <w:rFonts w:ascii="宋体" w:hAnsi="宋体" w:cs="宋体" w:eastAsia="宋体" w:hint="default"/>
                <w:spacing w:val="-3"/>
                <w:sz w:val="18"/>
                <w:szCs w:val="18"/>
              </w:rPr>
              <w:t>四、汇率变动对现金及现金等价物的</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影响</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73,717.35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2"/>
                <w:sz w:val="18"/>
              </w:rPr>
              <w:t>-112,968.45</w:t>
            </w: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五、现金及现金等价物净增加额</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274,235,545.18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281,544,344.47</w:t>
            </w:r>
          </w:p>
        </w:tc>
      </w:tr>
      <w:tr>
        <w:trPr>
          <w:trHeight w:val="399"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加：期初现金及现金等价物余额</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680,256,515.03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398,712,170.56</w:t>
            </w: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六、期末现金及现金等价物余额</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954,492,060.21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680,256,515.03</w:t>
            </w:r>
          </w:p>
        </w:tc>
      </w:tr>
    </w:tbl>
    <w:p>
      <w:pPr>
        <w:spacing w:line="240" w:lineRule="auto" w:before="3"/>
        <w:rPr>
          <w:rFonts w:ascii="宋体" w:hAnsi="宋体" w:cs="宋体" w:eastAsia="宋体" w:hint="default"/>
          <w:sz w:val="19"/>
          <w:szCs w:val="19"/>
        </w:rPr>
      </w:pPr>
    </w:p>
    <w:p>
      <w:pPr>
        <w:pStyle w:val="Heading4"/>
        <w:spacing w:line="240" w:lineRule="auto" w:before="36"/>
        <w:ind w:right="855"/>
        <w:jc w:val="left"/>
        <w:rPr>
          <w:b w:val="0"/>
          <w:bCs w:val="0"/>
        </w:rPr>
      </w:pPr>
      <w:r>
        <w:rPr>
          <w:rFonts w:ascii="Times New Roman" w:hAnsi="Times New Roman" w:cs="Times New Roman" w:eastAsia="Times New Roman" w:hint="default"/>
        </w:rPr>
        <w:t>7</w:t>
      </w:r>
      <w:r>
        <w:rPr/>
        <w:t>、合并所有者权益变动表</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right="855"/>
        <w:jc w:val="left"/>
      </w:pPr>
      <w:r>
        <w:rPr/>
        <w:t>本期金额</w:t>
      </w:r>
    </w:p>
    <w:p>
      <w:pPr>
        <w:pStyle w:val="BodyText"/>
        <w:spacing w:line="240" w:lineRule="auto" w:before="115"/>
        <w:ind w:left="0" w:right="1121"/>
        <w:jc w:val="right"/>
      </w:pPr>
      <w:r>
        <w:rPr>
          <w:spacing w:val="-2"/>
        </w:rPr>
        <w:t>单位：元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53"/>
        <w:gridCol w:w="495"/>
        <w:gridCol w:w="466"/>
        <w:gridCol w:w="466"/>
        <w:gridCol w:w="471"/>
        <w:gridCol w:w="581"/>
        <w:gridCol w:w="586"/>
        <w:gridCol w:w="581"/>
        <w:gridCol w:w="586"/>
        <w:gridCol w:w="586"/>
        <w:gridCol w:w="581"/>
        <w:gridCol w:w="586"/>
        <w:gridCol w:w="586"/>
        <w:gridCol w:w="581"/>
        <w:gridCol w:w="586"/>
        <w:gridCol w:w="576"/>
      </w:tblGrid>
      <w:tr>
        <w:trPr>
          <w:trHeight w:val="403" w:hRule="exact"/>
        </w:trPr>
        <w:tc>
          <w:tcPr>
            <w:tcW w:w="125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312"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r>
      <w:tr>
        <w:trPr>
          <w:trHeight w:val="403" w:hRule="exact"/>
        </w:trPr>
        <w:tc>
          <w:tcPr>
            <w:tcW w:w="1253" w:type="dxa"/>
            <w:vMerge/>
            <w:tcBorders>
              <w:left w:val="single" w:sz="4" w:space="0" w:color="000000"/>
              <w:right w:val="single" w:sz="4" w:space="0" w:color="000000"/>
            </w:tcBorders>
            <w:shd w:val="clear" w:color="auto" w:fill="D2D2D2"/>
          </w:tcPr>
          <w:p>
            <w:pPr/>
          </w:p>
        </w:tc>
        <w:tc>
          <w:tcPr>
            <w:tcW w:w="7150"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pacing w:val="-3"/>
                <w:sz w:val="18"/>
                <w:szCs w:val="18"/>
              </w:rPr>
              <w:t>归属于母公司所有者权益</w:t>
            </w:r>
          </w:p>
        </w:tc>
        <w:tc>
          <w:tcPr>
            <w:tcW w:w="5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2"/>
                <w:szCs w:val="22"/>
              </w:rPr>
            </w:pPr>
          </w:p>
          <w:p>
            <w:pPr>
              <w:pStyle w:val="TableParagraph"/>
              <w:spacing w:line="319" w:lineRule="auto"/>
              <w:ind w:left="105" w:right="104"/>
              <w:jc w:val="both"/>
              <w:rPr>
                <w:rFonts w:ascii="宋体" w:hAnsi="宋体" w:cs="宋体" w:eastAsia="宋体" w:hint="default"/>
                <w:sz w:val="18"/>
                <w:szCs w:val="18"/>
              </w:rPr>
            </w:pPr>
            <w:r>
              <w:rPr>
                <w:rFonts w:ascii="宋体" w:hAnsi="宋体" w:cs="宋体" w:eastAsia="宋体" w:hint="default"/>
                <w:sz w:val="18"/>
                <w:szCs w:val="18"/>
              </w:rPr>
              <w:t>少数</w:t>
            </w:r>
            <w:r>
              <w:rPr>
                <w:rFonts w:ascii="宋体" w:hAnsi="宋体" w:cs="宋体" w:eastAsia="宋体" w:hint="default"/>
                <w:spacing w:val="-86"/>
                <w:sz w:val="18"/>
                <w:szCs w:val="18"/>
              </w:rPr>
              <w:t> </w:t>
            </w:r>
            <w:r>
              <w:rPr>
                <w:rFonts w:ascii="宋体" w:hAnsi="宋体" w:cs="宋体" w:eastAsia="宋体" w:hint="default"/>
                <w:sz w:val="18"/>
                <w:szCs w:val="18"/>
              </w:rPr>
              <w:t>股东</w:t>
            </w:r>
            <w:r>
              <w:rPr>
                <w:rFonts w:ascii="宋体" w:hAnsi="宋体" w:cs="宋体" w:eastAsia="宋体" w:hint="default"/>
                <w:spacing w:val="-86"/>
                <w:sz w:val="18"/>
                <w:szCs w:val="18"/>
              </w:rPr>
              <w:t> </w:t>
            </w:r>
            <w:r>
              <w:rPr>
                <w:rFonts w:ascii="宋体" w:hAnsi="宋体" w:cs="宋体" w:eastAsia="宋体" w:hint="default"/>
                <w:sz w:val="18"/>
                <w:szCs w:val="18"/>
              </w:rPr>
              <w:t>权益</w:t>
            </w:r>
          </w:p>
        </w:tc>
        <w:tc>
          <w:tcPr>
            <w:tcW w:w="5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45"/>
              <w:ind w:left="105" w:right="95"/>
              <w:jc w:val="both"/>
              <w:rPr>
                <w:rFonts w:ascii="宋体" w:hAnsi="宋体" w:cs="宋体" w:eastAsia="宋体" w:hint="default"/>
                <w:sz w:val="18"/>
                <w:szCs w:val="18"/>
              </w:rPr>
            </w:pPr>
            <w:r>
              <w:rPr>
                <w:rFonts w:ascii="宋体" w:hAnsi="宋体" w:cs="宋体" w:eastAsia="宋体" w:hint="default"/>
                <w:sz w:val="18"/>
                <w:szCs w:val="18"/>
              </w:rPr>
              <w:t>所有</w:t>
            </w:r>
            <w:r>
              <w:rPr>
                <w:rFonts w:ascii="宋体" w:hAnsi="宋体" w:cs="宋体" w:eastAsia="宋体" w:hint="default"/>
                <w:spacing w:val="-86"/>
                <w:sz w:val="18"/>
                <w:szCs w:val="18"/>
              </w:rPr>
              <w:t> </w:t>
            </w:r>
            <w:r>
              <w:rPr>
                <w:rFonts w:ascii="宋体" w:hAnsi="宋体" w:cs="宋体" w:eastAsia="宋体" w:hint="default"/>
                <w:sz w:val="18"/>
                <w:szCs w:val="18"/>
              </w:rPr>
              <w:t>者权</w:t>
            </w:r>
            <w:r>
              <w:rPr>
                <w:rFonts w:ascii="宋体" w:hAnsi="宋体" w:cs="宋体" w:eastAsia="宋体" w:hint="default"/>
                <w:spacing w:val="-86"/>
                <w:sz w:val="18"/>
                <w:szCs w:val="18"/>
              </w:rPr>
              <w:t> </w:t>
            </w:r>
            <w:r>
              <w:rPr>
                <w:rFonts w:ascii="宋体" w:hAnsi="宋体" w:cs="宋体" w:eastAsia="宋体" w:hint="default"/>
                <w:sz w:val="18"/>
                <w:szCs w:val="18"/>
              </w:rPr>
              <w:t>益合</w:t>
            </w:r>
            <w:r>
              <w:rPr>
                <w:rFonts w:ascii="宋体" w:hAnsi="宋体" w:cs="宋体" w:eastAsia="宋体" w:hint="default"/>
                <w:spacing w:val="-86"/>
                <w:sz w:val="18"/>
                <w:szCs w:val="18"/>
              </w:rPr>
              <w:t> </w:t>
            </w:r>
            <w:r>
              <w:rPr>
                <w:rFonts w:ascii="宋体" w:hAnsi="宋体" w:cs="宋体" w:eastAsia="宋体" w:hint="default"/>
                <w:sz w:val="18"/>
                <w:szCs w:val="18"/>
              </w:rPr>
              <w:t>计</w:t>
            </w:r>
          </w:p>
        </w:tc>
      </w:tr>
      <w:tr>
        <w:trPr>
          <w:trHeight w:val="404" w:hRule="exact"/>
        </w:trPr>
        <w:tc>
          <w:tcPr>
            <w:tcW w:w="1253" w:type="dxa"/>
            <w:vMerge/>
            <w:tcBorders>
              <w:left w:val="single" w:sz="4" w:space="0" w:color="000000"/>
              <w:right w:val="single" w:sz="4" w:space="0" w:color="000000"/>
            </w:tcBorders>
            <w:shd w:val="clear" w:color="auto" w:fill="D2D2D2"/>
          </w:tcPr>
          <w:p>
            <w:pPr/>
          </w:p>
        </w:tc>
        <w:tc>
          <w:tcPr>
            <w:tcW w:w="4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6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4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5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58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312" w:lineRule="auto"/>
              <w:ind w:left="105" w:right="98"/>
              <w:jc w:val="left"/>
              <w:rPr>
                <w:rFonts w:ascii="宋体" w:hAnsi="宋体" w:cs="宋体" w:eastAsia="宋体" w:hint="default"/>
                <w:sz w:val="18"/>
                <w:szCs w:val="18"/>
              </w:rPr>
            </w:pPr>
            <w:r>
              <w:rPr>
                <w:rFonts w:ascii="宋体" w:hAnsi="宋体" w:cs="宋体" w:eastAsia="宋体" w:hint="default"/>
                <w:sz w:val="18"/>
                <w:szCs w:val="18"/>
              </w:rPr>
              <w:t>资本</w:t>
            </w:r>
            <w:r>
              <w:rPr>
                <w:rFonts w:ascii="宋体" w:hAnsi="宋体" w:cs="宋体" w:eastAsia="宋体" w:hint="default"/>
                <w:spacing w:val="-86"/>
                <w:sz w:val="18"/>
                <w:szCs w:val="18"/>
              </w:rPr>
              <w:t> </w:t>
            </w:r>
            <w:r>
              <w:rPr>
                <w:rFonts w:ascii="宋体" w:hAnsi="宋体" w:cs="宋体" w:eastAsia="宋体" w:hint="default"/>
                <w:sz w:val="18"/>
                <w:szCs w:val="18"/>
              </w:rPr>
              <w:t>公积</w:t>
            </w:r>
          </w:p>
        </w:tc>
        <w:tc>
          <w:tcPr>
            <w:tcW w:w="5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312" w:lineRule="auto"/>
              <w:ind w:left="105" w:right="17" w:hanging="82"/>
              <w:jc w:val="left"/>
              <w:rPr>
                <w:rFonts w:ascii="宋体" w:hAnsi="宋体" w:cs="宋体" w:eastAsia="宋体" w:hint="default"/>
                <w:sz w:val="18"/>
                <w:szCs w:val="18"/>
              </w:rPr>
            </w:pPr>
            <w:r>
              <w:rPr>
                <w:rFonts w:ascii="宋体" w:hAnsi="宋体" w:cs="宋体" w:eastAsia="宋体" w:hint="default"/>
                <w:spacing w:val="-5"/>
                <w:sz w:val="18"/>
                <w:szCs w:val="18"/>
              </w:rPr>
              <w:t>减：库</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存股</w:t>
            </w:r>
          </w:p>
        </w:tc>
        <w:tc>
          <w:tcPr>
            <w:tcW w:w="5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105" w:right="98"/>
              <w:jc w:val="both"/>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pacing w:val="-86"/>
                <w:sz w:val="18"/>
                <w:szCs w:val="18"/>
              </w:rPr>
              <w:t> </w:t>
            </w:r>
            <w:r>
              <w:rPr>
                <w:rFonts w:ascii="宋体" w:hAnsi="宋体" w:cs="宋体" w:eastAsia="宋体" w:hint="default"/>
                <w:sz w:val="18"/>
                <w:szCs w:val="18"/>
              </w:rPr>
              <w:t>综合</w:t>
            </w:r>
            <w:r>
              <w:rPr>
                <w:rFonts w:ascii="宋体" w:hAnsi="宋体" w:cs="宋体" w:eastAsia="宋体" w:hint="default"/>
                <w:spacing w:val="-86"/>
                <w:sz w:val="18"/>
                <w:szCs w:val="18"/>
              </w:rPr>
              <w:t> </w:t>
            </w:r>
            <w:r>
              <w:rPr>
                <w:rFonts w:ascii="宋体" w:hAnsi="宋体" w:cs="宋体" w:eastAsia="宋体" w:hint="default"/>
                <w:sz w:val="18"/>
                <w:szCs w:val="18"/>
              </w:rPr>
              <w:t>收益</w:t>
            </w:r>
          </w:p>
        </w:tc>
        <w:tc>
          <w:tcPr>
            <w:tcW w:w="5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312" w:lineRule="auto"/>
              <w:ind w:left="105" w:right="105"/>
              <w:jc w:val="left"/>
              <w:rPr>
                <w:rFonts w:ascii="宋体" w:hAnsi="宋体" w:cs="宋体" w:eastAsia="宋体" w:hint="default"/>
                <w:sz w:val="18"/>
                <w:szCs w:val="18"/>
              </w:rPr>
            </w:pPr>
            <w:r>
              <w:rPr>
                <w:rFonts w:ascii="宋体" w:hAnsi="宋体" w:cs="宋体" w:eastAsia="宋体" w:hint="default"/>
                <w:sz w:val="18"/>
                <w:szCs w:val="18"/>
              </w:rPr>
              <w:t>专项</w:t>
            </w:r>
            <w:r>
              <w:rPr>
                <w:rFonts w:ascii="宋体" w:hAnsi="宋体" w:cs="宋体" w:eastAsia="宋体" w:hint="default"/>
                <w:spacing w:val="-86"/>
                <w:sz w:val="18"/>
                <w:szCs w:val="18"/>
              </w:rPr>
              <w:t> </w:t>
            </w:r>
            <w:r>
              <w:rPr>
                <w:rFonts w:ascii="宋体" w:hAnsi="宋体" w:cs="宋体" w:eastAsia="宋体" w:hint="default"/>
                <w:sz w:val="18"/>
                <w:szCs w:val="18"/>
              </w:rPr>
              <w:t>储备</w:t>
            </w:r>
          </w:p>
        </w:tc>
        <w:tc>
          <w:tcPr>
            <w:tcW w:w="5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312" w:lineRule="auto"/>
              <w:ind w:left="105" w:right="103"/>
              <w:jc w:val="left"/>
              <w:rPr>
                <w:rFonts w:ascii="宋体" w:hAnsi="宋体" w:cs="宋体" w:eastAsia="宋体" w:hint="default"/>
                <w:sz w:val="18"/>
                <w:szCs w:val="18"/>
              </w:rPr>
            </w:pPr>
            <w:r>
              <w:rPr>
                <w:rFonts w:ascii="宋体" w:hAnsi="宋体" w:cs="宋体" w:eastAsia="宋体" w:hint="default"/>
                <w:sz w:val="18"/>
                <w:szCs w:val="18"/>
              </w:rPr>
              <w:t>盈余</w:t>
            </w:r>
            <w:r>
              <w:rPr>
                <w:rFonts w:ascii="宋体" w:hAnsi="宋体" w:cs="宋体" w:eastAsia="宋体" w:hint="default"/>
                <w:spacing w:val="-86"/>
                <w:sz w:val="18"/>
                <w:szCs w:val="18"/>
              </w:rPr>
              <w:t> </w:t>
            </w:r>
            <w:r>
              <w:rPr>
                <w:rFonts w:ascii="宋体" w:hAnsi="宋体" w:cs="宋体" w:eastAsia="宋体" w:hint="default"/>
                <w:sz w:val="18"/>
                <w:szCs w:val="18"/>
              </w:rPr>
              <w:t>公积</w:t>
            </w:r>
          </w:p>
        </w:tc>
        <w:tc>
          <w:tcPr>
            <w:tcW w:w="5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105" w:right="99"/>
              <w:jc w:val="both"/>
              <w:rPr>
                <w:rFonts w:ascii="宋体" w:hAnsi="宋体" w:cs="宋体" w:eastAsia="宋体" w:hint="default"/>
                <w:sz w:val="18"/>
                <w:szCs w:val="18"/>
              </w:rPr>
            </w:pPr>
            <w:r>
              <w:rPr>
                <w:rFonts w:ascii="宋体" w:hAnsi="宋体" w:cs="宋体" w:eastAsia="宋体" w:hint="default"/>
                <w:sz w:val="18"/>
                <w:szCs w:val="18"/>
              </w:rPr>
              <w:t>一般</w:t>
            </w:r>
            <w:r>
              <w:rPr>
                <w:rFonts w:ascii="宋体" w:hAnsi="宋体" w:cs="宋体" w:eastAsia="宋体" w:hint="default"/>
                <w:spacing w:val="-86"/>
                <w:sz w:val="18"/>
                <w:szCs w:val="18"/>
              </w:rPr>
              <w:t> </w:t>
            </w:r>
            <w:r>
              <w:rPr>
                <w:rFonts w:ascii="宋体" w:hAnsi="宋体" w:cs="宋体" w:eastAsia="宋体" w:hint="default"/>
                <w:sz w:val="18"/>
                <w:szCs w:val="18"/>
              </w:rPr>
              <w:t>风险</w:t>
            </w:r>
            <w:r>
              <w:rPr>
                <w:rFonts w:ascii="宋体" w:hAnsi="宋体" w:cs="宋体" w:eastAsia="宋体" w:hint="default"/>
                <w:spacing w:val="-86"/>
                <w:sz w:val="18"/>
                <w:szCs w:val="18"/>
              </w:rPr>
              <w:t> </w:t>
            </w:r>
            <w:r>
              <w:rPr>
                <w:rFonts w:ascii="宋体" w:hAnsi="宋体" w:cs="宋体" w:eastAsia="宋体" w:hint="default"/>
                <w:sz w:val="18"/>
                <w:szCs w:val="18"/>
              </w:rPr>
              <w:t>准备</w:t>
            </w:r>
          </w:p>
        </w:tc>
        <w:tc>
          <w:tcPr>
            <w:tcW w:w="58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105" w:right="103"/>
              <w:jc w:val="both"/>
              <w:rPr>
                <w:rFonts w:ascii="宋体" w:hAnsi="宋体" w:cs="宋体" w:eastAsia="宋体" w:hint="default"/>
                <w:sz w:val="18"/>
                <w:szCs w:val="18"/>
              </w:rPr>
            </w:pPr>
            <w:r>
              <w:rPr>
                <w:rFonts w:ascii="宋体" w:hAnsi="宋体" w:cs="宋体" w:eastAsia="宋体" w:hint="default"/>
                <w:sz w:val="18"/>
                <w:szCs w:val="18"/>
              </w:rPr>
              <w:t>未分</w:t>
            </w:r>
            <w:r>
              <w:rPr>
                <w:rFonts w:ascii="宋体" w:hAnsi="宋体" w:cs="宋体" w:eastAsia="宋体" w:hint="default"/>
                <w:spacing w:val="-86"/>
                <w:sz w:val="18"/>
                <w:szCs w:val="18"/>
              </w:rPr>
              <w:t> </w:t>
            </w:r>
            <w:r>
              <w:rPr>
                <w:rFonts w:ascii="宋体" w:hAnsi="宋体" w:cs="宋体" w:eastAsia="宋体" w:hint="default"/>
                <w:sz w:val="18"/>
                <w:szCs w:val="18"/>
              </w:rPr>
              <w:t>配利</w:t>
            </w:r>
            <w:r>
              <w:rPr>
                <w:rFonts w:ascii="宋体" w:hAnsi="宋体" w:cs="宋体" w:eastAsia="宋体" w:hint="default"/>
                <w:spacing w:val="-86"/>
                <w:sz w:val="18"/>
                <w:szCs w:val="18"/>
              </w:rPr>
              <w:t> </w:t>
            </w:r>
            <w:r>
              <w:rPr>
                <w:rFonts w:ascii="宋体" w:hAnsi="宋体" w:cs="宋体" w:eastAsia="宋体" w:hint="default"/>
                <w:sz w:val="18"/>
                <w:szCs w:val="18"/>
              </w:rPr>
              <w:t>润</w:t>
            </w:r>
          </w:p>
        </w:tc>
        <w:tc>
          <w:tcPr>
            <w:tcW w:w="5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8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586"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r>
      <w:tr>
        <w:trPr>
          <w:trHeight w:val="710" w:hRule="exact"/>
        </w:trPr>
        <w:tc>
          <w:tcPr>
            <w:tcW w:w="1253" w:type="dxa"/>
            <w:vMerge/>
            <w:tcBorders>
              <w:left w:val="single" w:sz="4" w:space="0" w:color="000000"/>
              <w:bottom w:val="single" w:sz="4" w:space="0" w:color="000000"/>
              <w:right w:val="single" w:sz="4" w:space="0" w:color="000000"/>
            </w:tcBorders>
            <w:shd w:val="clear" w:color="auto" w:fill="D2D2D2"/>
          </w:tcPr>
          <w:p>
            <w:pPr/>
          </w:p>
        </w:tc>
        <w:tc>
          <w:tcPr>
            <w:tcW w:w="495" w:type="dxa"/>
            <w:vMerge/>
            <w:tcBorders>
              <w:left w:val="single" w:sz="4" w:space="0" w:color="000000"/>
              <w:bottom w:val="single" w:sz="4" w:space="0" w:color="000000"/>
              <w:right w:val="single" w:sz="4" w:space="0" w:color="000000"/>
            </w:tcBorders>
            <w:shd w:val="clear" w:color="auto" w:fill="D2D2D2"/>
          </w:tcPr>
          <w:p>
            <w:pPr/>
          </w:p>
        </w:tc>
        <w:tc>
          <w:tcPr>
            <w:tcW w:w="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139" w:right="41" w:hanging="92"/>
              <w:jc w:val="left"/>
              <w:rPr>
                <w:rFonts w:ascii="宋体" w:hAnsi="宋体" w:cs="宋体" w:eastAsia="宋体" w:hint="default"/>
                <w:sz w:val="18"/>
                <w:szCs w:val="18"/>
              </w:rPr>
            </w:pPr>
            <w:r>
              <w:rPr>
                <w:rFonts w:ascii="宋体" w:hAnsi="宋体" w:cs="宋体" w:eastAsia="宋体" w:hint="default"/>
                <w:sz w:val="18"/>
                <w:szCs w:val="18"/>
              </w:rPr>
              <w:t>优先</w:t>
            </w:r>
            <w:r>
              <w:rPr>
                <w:rFonts w:ascii="宋体" w:hAnsi="宋体" w:cs="宋体" w:eastAsia="宋体" w:hint="default"/>
                <w:spacing w:val="-86"/>
                <w:sz w:val="18"/>
                <w:szCs w:val="18"/>
              </w:rPr>
              <w:t> </w:t>
            </w:r>
            <w:r>
              <w:rPr>
                <w:rFonts w:ascii="宋体" w:hAnsi="宋体" w:cs="宋体" w:eastAsia="宋体" w:hint="default"/>
                <w:sz w:val="18"/>
                <w:szCs w:val="18"/>
              </w:rPr>
              <w:t>股</w:t>
            </w:r>
          </w:p>
        </w:tc>
        <w:tc>
          <w:tcPr>
            <w:tcW w:w="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139" w:right="41" w:hanging="92"/>
              <w:jc w:val="left"/>
              <w:rPr>
                <w:rFonts w:ascii="宋体" w:hAnsi="宋体" w:cs="宋体" w:eastAsia="宋体" w:hint="default"/>
                <w:sz w:val="18"/>
                <w:szCs w:val="18"/>
              </w:rPr>
            </w:pPr>
            <w:r>
              <w:rPr>
                <w:rFonts w:ascii="宋体" w:hAnsi="宋体" w:cs="宋体" w:eastAsia="宋体" w:hint="default"/>
                <w:sz w:val="18"/>
                <w:szCs w:val="18"/>
              </w:rPr>
              <w:t>永续</w:t>
            </w:r>
            <w:r>
              <w:rPr>
                <w:rFonts w:ascii="宋体" w:hAnsi="宋体" w:cs="宋体" w:eastAsia="宋体" w:hint="default"/>
                <w:spacing w:val="-86"/>
                <w:sz w:val="18"/>
                <w:szCs w:val="18"/>
              </w:rPr>
              <w:t> </w:t>
            </w:r>
            <w:r>
              <w:rPr>
                <w:rFonts w:ascii="宋体" w:hAnsi="宋体" w:cs="宋体" w:eastAsia="宋体" w:hint="default"/>
                <w:sz w:val="18"/>
                <w:szCs w:val="18"/>
              </w:rPr>
              <w:t>债</w:t>
            </w:r>
          </w:p>
        </w:tc>
        <w:tc>
          <w:tcPr>
            <w:tcW w:w="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81"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81"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81"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81"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76" w:type="dxa"/>
            <w:vMerge/>
            <w:tcBorders>
              <w:left w:val="single" w:sz="4" w:space="0" w:color="000000"/>
              <w:bottom w:val="single" w:sz="4" w:space="0" w:color="000000"/>
              <w:right w:val="single" w:sz="4" w:space="0" w:color="000000"/>
            </w:tcBorders>
            <w:shd w:val="clear" w:color="auto" w:fill="D2D2D2"/>
          </w:tcPr>
          <w:p>
            <w:pPr/>
          </w:p>
        </w:tc>
      </w:tr>
      <w:tr>
        <w:trPr>
          <w:trHeight w:val="1028"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4" w:lineRule="auto"/>
              <w:ind w:left="24" w:right="17"/>
              <w:jc w:val="left"/>
              <w:rPr>
                <w:rFonts w:ascii="宋体" w:hAnsi="宋体" w:cs="宋体" w:eastAsia="宋体" w:hint="default"/>
                <w:sz w:val="18"/>
                <w:szCs w:val="18"/>
              </w:rPr>
            </w:pPr>
            <w:r>
              <w:rPr>
                <w:rFonts w:ascii="宋体" w:hAnsi="宋体" w:cs="宋体" w:eastAsia="宋体" w:hint="default"/>
                <w:spacing w:val="-12"/>
                <w:sz w:val="18"/>
                <w:szCs w:val="18"/>
              </w:rPr>
              <w:t>一、上年期末余</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额</w:t>
            </w:r>
          </w:p>
        </w:tc>
        <w:tc>
          <w:tcPr>
            <w:tcW w:w="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246,6</w:t>
            </w:r>
          </w:p>
          <w:p>
            <w:pPr>
              <w:pStyle w:val="TableParagraph"/>
              <w:spacing w:line="240" w:lineRule="auto" w:before="110"/>
              <w:ind w:left="57" w:right="0"/>
              <w:jc w:val="left"/>
              <w:rPr>
                <w:rFonts w:ascii="Times New Roman" w:hAnsi="Times New Roman" w:cs="Times New Roman" w:eastAsia="Times New Roman" w:hint="default"/>
                <w:sz w:val="18"/>
                <w:szCs w:val="18"/>
              </w:rPr>
            </w:pPr>
            <w:r>
              <w:rPr>
                <w:rFonts w:ascii="Times New Roman"/>
                <w:sz w:val="18"/>
              </w:rPr>
              <w:t>06,04</w:t>
            </w:r>
          </w:p>
          <w:p>
            <w:pPr>
              <w:pStyle w:val="TableParagraph"/>
              <w:spacing w:line="240" w:lineRule="auto" w:before="105"/>
              <w:ind w:left="143" w:right="0"/>
              <w:jc w:val="left"/>
              <w:rPr>
                <w:rFonts w:ascii="Times New Roman" w:hAnsi="Times New Roman" w:cs="Times New Roman" w:eastAsia="Times New Roman" w:hint="default"/>
                <w:sz w:val="18"/>
                <w:szCs w:val="18"/>
              </w:rPr>
            </w:pPr>
            <w:r>
              <w:rPr>
                <w:rFonts w:ascii="Times New Roman"/>
                <w:sz w:val="18"/>
              </w:rPr>
              <w:t>6.00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1"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796,92</w:t>
            </w:r>
          </w:p>
          <w:p>
            <w:pPr>
              <w:pStyle w:val="TableParagraph"/>
              <w:spacing w:line="240" w:lineRule="auto" w:before="110"/>
              <w:ind w:left="100" w:right="0"/>
              <w:jc w:val="left"/>
              <w:rPr>
                <w:rFonts w:ascii="Times New Roman" w:hAnsi="Times New Roman" w:cs="Times New Roman" w:eastAsia="Times New Roman" w:hint="default"/>
                <w:sz w:val="18"/>
                <w:szCs w:val="18"/>
              </w:rPr>
            </w:pPr>
            <w:r>
              <w:rPr>
                <w:rFonts w:ascii="Times New Roman"/>
                <w:sz w:val="18"/>
              </w:rPr>
              <w:t>4,208.</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60</w:t>
            </w: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1,381,</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606.74</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82,733</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pacing w:val="-1"/>
                <w:sz w:val="18"/>
              </w:rPr>
              <w:t>,944.8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387,39</w:t>
            </w:r>
          </w:p>
          <w:p>
            <w:pPr>
              <w:pStyle w:val="TableParagraph"/>
              <w:spacing w:line="240" w:lineRule="auto" w:before="110"/>
              <w:ind w:left="100" w:right="0"/>
              <w:jc w:val="left"/>
              <w:rPr>
                <w:rFonts w:ascii="Times New Roman" w:hAnsi="Times New Roman" w:cs="Times New Roman" w:eastAsia="Times New Roman" w:hint="default"/>
                <w:sz w:val="18"/>
                <w:szCs w:val="18"/>
              </w:rPr>
            </w:pPr>
            <w:r>
              <w:rPr>
                <w:rFonts w:ascii="Times New Roman"/>
                <w:sz w:val="18"/>
              </w:rPr>
              <w:t>4,501.</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93</w:t>
            </w: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3" w:right="0"/>
              <w:jc w:val="center"/>
              <w:rPr>
                <w:rFonts w:ascii="Times New Roman" w:hAnsi="Times New Roman" w:cs="Times New Roman" w:eastAsia="Times New Roman" w:hint="default"/>
                <w:sz w:val="18"/>
                <w:szCs w:val="18"/>
              </w:rPr>
            </w:pPr>
            <w:r>
              <w:rPr>
                <w:rFonts w:ascii="Times New Roman"/>
                <w:sz w:val="18"/>
              </w:rPr>
              <w:t>1,515,</w:t>
            </w:r>
          </w:p>
          <w:p>
            <w:pPr>
              <w:pStyle w:val="TableParagraph"/>
              <w:spacing w:line="240" w:lineRule="auto" w:before="110"/>
              <w:ind w:left="43" w:right="0"/>
              <w:jc w:val="center"/>
              <w:rPr>
                <w:rFonts w:ascii="Times New Roman" w:hAnsi="Times New Roman" w:cs="Times New Roman" w:eastAsia="Times New Roman" w:hint="default"/>
                <w:sz w:val="18"/>
                <w:szCs w:val="18"/>
              </w:rPr>
            </w:pPr>
            <w:r>
              <w:rPr>
                <w:rFonts w:ascii="Times New Roman"/>
                <w:sz w:val="18"/>
              </w:rPr>
              <w:t>040,30</w:t>
            </w:r>
          </w:p>
          <w:p>
            <w:pPr>
              <w:pStyle w:val="TableParagraph"/>
              <w:spacing w:line="240" w:lineRule="auto" w:before="105"/>
              <w:ind w:left="220" w:right="0"/>
              <w:jc w:val="center"/>
              <w:rPr>
                <w:rFonts w:ascii="Times New Roman" w:hAnsi="Times New Roman" w:cs="Times New Roman" w:eastAsia="Times New Roman" w:hint="default"/>
                <w:sz w:val="18"/>
                <w:szCs w:val="18"/>
              </w:rPr>
            </w:pPr>
            <w:r>
              <w:rPr>
                <w:rFonts w:ascii="Times New Roman"/>
                <w:sz w:val="18"/>
              </w:rPr>
              <w:t>8.16</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258,97</w:t>
            </w:r>
          </w:p>
          <w:p>
            <w:pPr>
              <w:pStyle w:val="TableParagraph"/>
              <w:spacing w:line="240" w:lineRule="auto" w:before="110"/>
              <w:ind w:left="100" w:right="0"/>
              <w:jc w:val="left"/>
              <w:rPr>
                <w:rFonts w:ascii="Times New Roman" w:hAnsi="Times New Roman" w:cs="Times New Roman" w:eastAsia="Times New Roman" w:hint="default"/>
                <w:sz w:val="18"/>
                <w:szCs w:val="18"/>
              </w:rPr>
            </w:pPr>
            <w:r>
              <w:rPr>
                <w:rFonts w:ascii="Times New Roman"/>
                <w:sz w:val="18"/>
              </w:rPr>
              <w:t>3,856.</w:t>
            </w:r>
          </w:p>
          <w:p>
            <w:pPr>
              <w:pStyle w:val="TableParagraph"/>
              <w:spacing w:line="240" w:lineRule="auto" w:before="105"/>
              <w:ind w:left="375" w:right="0"/>
              <w:jc w:val="left"/>
              <w:rPr>
                <w:rFonts w:ascii="Times New Roman" w:hAnsi="Times New Roman" w:cs="Times New Roman" w:eastAsia="Times New Roman" w:hint="default"/>
                <w:sz w:val="18"/>
                <w:szCs w:val="18"/>
              </w:rPr>
            </w:pPr>
            <w:r>
              <w:rPr>
                <w:rFonts w:ascii="Times New Roman"/>
                <w:sz w:val="18"/>
              </w:rPr>
              <w:t>72</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center"/>
              <w:rPr>
                <w:rFonts w:ascii="Times New Roman" w:hAnsi="Times New Roman" w:cs="Times New Roman" w:eastAsia="Times New Roman" w:hint="default"/>
                <w:sz w:val="18"/>
                <w:szCs w:val="18"/>
              </w:rPr>
            </w:pPr>
            <w:r>
              <w:rPr>
                <w:rFonts w:ascii="Times New Roman"/>
                <w:sz w:val="18"/>
              </w:rPr>
              <w:t>1,774,</w:t>
            </w:r>
          </w:p>
          <w:p>
            <w:pPr>
              <w:pStyle w:val="TableParagraph"/>
              <w:spacing w:line="240" w:lineRule="auto" w:before="110"/>
              <w:ind w:left="38" w:right="0"/>
              <w:jc w:val="center"/>
              <w:rPr>
                <w:rFonts w:ascii="Times New Roman" w:hAnsi="Times New Roman" w:cs="Times New Roman" w:eastAsia="Times New Roman" w:hint="default"/>
                <w:sz w:val="18"/>
                <w:szCs w:val="18"/>
              </w:rPr>
            </w:pPr>
            <w:r>
              <w:rPr>
                <w:rFonts w:ascii="Times New Roman"/>
                <w:sz w:val="18"/>
              </w:rPr>
              <w:t>014,16</w:t>
            </w:r>
          </w:p>
          <w:p>
            <w:pPr>
              <w:pStyle w:val="TableParagraph"/>
              <w:spacing w:line="240" w:lineRule="auto" w:before="105"/>
              <w:ind w:left="215" w:right="0"/>
              <w:jc w:val="center"/>
              <w:rPr>
                <w:rFonts w:ascii="Times New Roman" w:hAnsi="Times New Roman" w:cs="Times New Roman" w:eastAsia="Times New Roman" w:hint="default"/>
                <w:sz w:val="18"/>
                <w:szCs w:val="18"/>
              </w:rPr>
            </w:pPr>
            <w:r>
              <w:rPr>
                <w:rFonts w:ascii="Times New Roman"/>
                <w:sz w:val="18"/>
              </w:rPr>
              <w:t>4.88</w:t>
            </w:r>
          </w:p>
        </w:tc>
      </w:tr>
      <w:tr>
        <w:trPr>
          <w:trHeight w:val="715"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24" w:right="17"/>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15"/>
                <w:sz w:val="18"/>
                <w:szCs w:val="18"/>
              </w:rPr>
              <w:t>加：会计政</w:t>
            </w:r>
            <w:r>
              <w:rPr>
                <w:rFonts w:ascii="宋体" w:hAnsi="宋体" w:cs="宋体" w:eastAsia="宋体" w:hint="default"/>
                <w:w w:val="101"/>
                <w:sz w:val="18"/>
                <w:szCs w:val="18"/>
              </w:rPr>
              <w:t> </w:t>
            </w:r>
            <w:r>
              <w:rPr>
                <w:rFonts w:ascii="宋体" w:hAnsi="宋体" w:cs="宋体" w:eastAsia="宋体" w:hint="default"/>
                <w:sz w:val="18"/>
                <w:szCs w:val="18"/>
              </w:rPr>
              <w:t>策变更</w:t>
            </w:r>
          </w:p>
        </w:tc>
        <w:tc>
          <w:tcPr>
            <w:tcW w:w="495"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1"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-143,7</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48.33</w:t>
            </w: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-1,990,</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840.58</w:t>
            </w: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-2,134,</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588.91</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 w:right="0"/>
              <w:jc w:val="center"/>
              <w:rPr>
                <w:rFonts w:ascii="Times New Roman" w:hAnsi="Times New Roman" w:cs="Times New Roman" w:eastAsia="Times New Roman" w:hint="default"/>
                <w:sz w:val="18"/>
                <w:szCs w:val="18"/>
              </w:rPr>
            </w:pPr>
            <w:r>
              <w:rPr>
                <w:rFonts w:ascii="Times New Roman"/>
                <w:sz w:val="18"/>
              </w:rPr>
              <w:t>434,94</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1.93</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-1,699,</w:t>
            </w:r>
          </w:p>
          <w:p>
            <w:pPr>
              <w:pStyle w:val="TableParagraph"/>
              <w:spacing w:line="240" w:lineRule="auto" w:before="105"/>
              <w:ind w:left="52" w:right="0"/>
              <w:jc w:val="left"/>
              <w:rPr>
                <w:rFonts w:ascii="Times New Roman" w:hAnsi="Times New Roman" w:cs="Times New Roman" w:eastAsia="Times New Roman" w:hint="default"/>
                <w:sz w:val="18"/>
                <w:szCs w:val="18"/>
              </w:rPr>
            </w:pPr>
            <w:r>
              <w:rPr>
                <w:rFonts w:ascii="Times New Roman"/>
                <w:sz w:val="18"/>
              </w:rPr>
              <w:t>646.98</w:t>
            </w:r>
          </w:p>
        </w:tc>
      </w:tr>
      <w:tr>
        <w:trPr>
          <w:trHeight w:val="716"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24" w:right="132"/>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3"/>
                <w:sz w:val="18"/>
                <w:szCs w:val="18"/>
              </w:rPr>
              <w:t> </w:t>
            </w:r>
            <w:r>
              <w:rPr>
                <w:rFonts w:ascii="宋体" w:hAnsi="宋体" w:cs="宋体" w:eastAsia="宋体" w:hint="default"/>
                <w:sz w:val="18"/>
                <w:szCs w:val="18"/>
              </w:rPr>
              <w:t>前期</w:t>
            </w:r>
            <w:r>
              <w:rPr>
                <w:rFonts w:ascii="宋体" w:hAnsi="宋体" w:cs="宋体" w:eastAsia="宋体" w:hint="default"/>
                <w:w w:val="101"/>
                <w:sz w:val="18"/>
                <w:szCs w:val="18"/>
              </w:rPr>
              <w:t> </w:t>
            </w:r>
            <w:r>
              <w:rPr>
                <w:rFonts w:ascii="宋体" w:hAnsi="宋体" w:cs="宋体" w:eastAsia="宋体" w:hint="default"/>
                <w:sz w:val="18"/>
                <w:szCs w:val="18"/>
              </w:rPr>
              <w:t>差错更正</w:t>
            </w:r>
          </w:p>
        </w:tc>
        <w:tc>
          <w:tcPr>
            <w:tcW w:w="495"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1"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1022"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132"/>
              <w:jc w:val="both"/>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3"/>
                <w:sz w:val="18"/>
                <w:szCs w:val="18"/>
              </w:rPr>
              <w:t> </w:t>
            </w:r>
            <w:r>
              <w:rPr>
                <w:rFonts w:ascii="宋体" w:hAnsi="宋体" w:cs="宋体" w:eastAsia="宋体" w:hint="default"/>
                <w:sz w:val="18"/>
                <w:szCs w:val="18"/>
              </w:rPr>
              <w:t>同一</w:t>
            </w:r>
            <w:r>
              <w:rPr>
                <w:rFonts w:ascii="宋体" w:hAnsi="宋体" w:cs="宋体" w:eastAsia="宋体" w:hint="default"/>
                <w:w w:val="101"/>
                <w:sz w:val="18"/>
                <w:szCs w:val="18"/>
              </w:rPr>
              <w:t> </w:t>
            </w:r>
            <w:r>
              <w:rPr>
                <w:rFonts w:ascii="宋体" w:hAnsi="宋体" w:cs="宋体" w:eastAsia="宋体" w:hint="default"/>
                <w:spacing w:val="-2"/>
                <w:sz w:val="18"/>
                <w:szCs w:val="18"/>
              </w:rPr>
              <w:t>控制下企业合</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并</w:t>
            </w:r>
          </w:p>
        </w:tc>
        <w:tc>
          <w:tcPr>
            <w:tcW w:w="495"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1"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3"/>
                <w:sz w:val="18"/>
                <w:szCs w:val="18"/>
              </w:rPr>
              <w:t> </w:t>
            </w:r>
            <w:r>
              <w:rPr>
                <w:rFonts w:ascii="宋体" w:hAnsi="宋体" w:cs="宋体" w:eastAsia="宋体" w:hint="default"/>
                <w:sz w:val="18"/>
                <w:szCs w:val="18"/>
              </w:rPr>
              <w:t>其他</w:t>
            </w:r>
          </w:p>
        </w:tc>
        <w:tc>
          <w:tcPr>
            <w:tcW w:w="495"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1"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2" w:lineRule="auto"/>
              <w:ind w:left="24" w:right="17"/>
              <w:jc w:val="left"/>
              <w:rPr>
                <w:rFonts w:ascii="宋体" w:hAnsi="宋体" w:cs="宋体" w:eastAsia="宋体" w:hint="default"/>
                <w:sz w:val="18"/>
                <w:szCs w:val="18"/>
              </w:rPr>
            </w:pPr>
            <w:r>
              <w:rPr>
                <w:rFonts w:ascii="宋体" w:hAnsi="宋体" w:cs="宋体" w:eastAsia="宋体" w:hint="default"/>
                <w:spacing w:val="-12"/>
                <w:sz w:val="18"/>
                <w:szCs w:val="18"/>
              </w:rPr>
              <w:t>二、本年期初余</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额</w:t>
            </w:r>
          </w:p>
        </w:tc>
        <w:tc>
          <w:tcPr>
            <w:tcW w:w="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246,6</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06,04</w:t>
            </w:r>
          </w:p>
          <w:p>
            <w:pPr>
              <w:pStyle w:val="TableParagraph"/>
              <w:spacing w:line="240" w:lineRule="auto" w:before="105"/>
              <w:ind w:left="143" w:right="0"/>
              <w:jc w:val="left"/>
              <w:rPr>
                <w:rFonts w:ascii="Times New Roman" w:hAnsi="Times New Roman" w:cs="Times New Roman" w:eastAsia="Times New Roman" w:hint="default"/>
                <w:sz w:val="18"/>
                <w:szCs w:val="18"/>
              </w:rPr>
            </w:pPr>
            <w:r>
              <w:rPr>
                <w:rFonts w:ascii="Times New Roman"/>
                <w:sz w:val="18"/>
              </w:rPr>
              <w:t>6.00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1"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796,92</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4,208.</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60</w:t>
            </w: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1,381,</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606.74</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82,590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pacing w:val="-1"/>
                <w:sz w:val="18"/>
              </w:rPr>
              <w:t>,196.5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385,40</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3,661.</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35</w:t>
            </w: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3" w:right="0"/>
              <w:jc w:val="center"/>
              <w:rPr>
                <w:rFonts w:ascii="Times New Roman" w:hAnsi="Times New Roman" w:cs="Times New Roman" w:eastAsia="Times New Roman" w:hint="default"/>
                <w:sz w:val="18"/>
                <w:szCs w:val="18"/>
              </w:rPr>
            </w:pPr>
            <w:r>
              <w:rPr>
                <w:rFonts w:ascii="Times New Roman"/>
                <w:sz w:val="18"/>
              </w:rPr>
              <w:t>1,512,</w:t>
            </w:r>
          </w:p>
          <w:p>
            <w:pPr>
              <w:pStyle w:val="TableParagraph"/>
              <w:spacing w:line="240" w:lineRule="auto" w:before="105"/>
              <w:ind w:left="43" w:right="0"/>
              <w:jc w:val="center"/>
              <w:rPr>
                <w:rFonts w:ascii="Times New Roman" w:hAnsi="Times New Roman" w:cs="Times New Roman" w:eastAsia="Times New Roman" w:hint="default"/>
                <w:sz w:val="18"/>
                <w:szCs w:val="18"/>
              </w:rPr>
            </w:pPr>
            <w:r>
              <w:rPr>
                <w:rFonts w:ascii="Times New Roman"/>
                <w:sz w:val="18"/>
              </w:rPr>
              <w:t>905,71</w:t>
            </w:r>
          </w:p>
          <w:p>
            <w:pPr>
              <w:pStyle w:val="TableParagraph"/>
              <w:spacing w:line="240" w:lineRule="auto" w:before="105"/>
              <w:ind w:left="220" w:right="0"/>
              <w:jc w:val="center"/>
              <w:rPr>
                <w:rFonts w:ascii="Times New Roman" w:hAnsi="Times New Roman" w:cs="Times New Roman" w:eastAsia="Times New Roman" w:hint="default"/>
                <w:sz w:val="18"/>
                <w:szCs w:val="18"/>
              </w:rPr>
            </w:pPr>
            <w:r>
              <w:rPr>
                <w:rFonts w:ascii="Times New Roman"/>
                <w:sz w:val="18"/>
              </w:rPr>
              <w:t>9.25</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259,40</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8,798.</w:t>
            </w:r>
          </w:p>
          <w:p>
            <w:pPr>
              <w:pStyle w:val="TableParagraph"/>
              <w:spacing w:line="240" w:lineRule="auto" w:before="105"/>
              <w:ind w:left="375" w:right="0"/>
              <w:jc w:val="left"/>
              <w:rPr>
                <w:rFonts w:ascii="Times New Roman" w:hAnsi="Times New Roman" w:cs="Times New Roman" w:eastAsia="Times New Roman" w:hint="default"/>
                <w:sz w:val="18"/>
                <w:szCs w:val="18"/>
              </w:rPr>
            </w:pPr>
            <w:r>
              <w:rPr>
                <w:rFonts w:ascii="Times New Roman"/>
                <w:sz w:val="18"/>
              </w:rPr>
              <w:t>65</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center"/>
              <w:rPr>
                <w:rFonts w:ascii="Times New Roman" w:hAnsi="Times New Roman" w:cs="Times New Roman" w:eastAsia="Times New Roman" w:hint="default"/>
                <w:sz w:val="18"/>
                <w:szCs w:val="18"/>
              </w:rPr>
            </w:pPr>
            <w:r>
              <w:rPr>
                <w:rFonts w:ascii="Times New Roman"/>
                <w:sz w:val="18"/>
              </w:rPr>
              <w:t>1,772,</w:t>
            </w:r>
          </w:p>
          <w:p>
            <w:pPr>
              <w:pStyle w:val="TableParagraph"/>
              <w:spacing w:line="240" w:lineRule="auto" w:before="105"/>
              <w:ind w:left="38" w:right="0"/>
              <w:jc w:val="center"/>
              <w:rPr>
                <w:rFonts w:ascii="Times New Roman" w:hAnsi="Times New Roman" w:cs="Times New Roman" w:eastAsia="Times New Roman" w:hint="default"/>
                <w:sz w:val="18"/>
                <w:szCs w:val="18"/>
              </w:rPr>
            </w:pPr>
            <w:r>
              <w:rPr>
                <w:rFonts w:ascii="Times New Roman"/>
                <w:sz w:val="18"/>
              </w:rPr>
              <w:t>314,51</w:t>
            </w:r>
          </w:p>
          <w:p>
            <w:pPr>
              <w:pStyle w:val="TableParagraph"/>
              <w:spacing w:line="240" w:lineRule="auto" w:before="105"/>
              <w:ind w:left="215" w:right="0"/>
              <w:jc w:val="center"/>
              <w:rPr>
                <w:rFonts w:ascii="Times New Roman" w:hAnsi="Times New Roman" w:cs="Times New Roman" w:eastAsia="Times New Roman" w:hint="default"/>
                <w:sz w:val="18"/>
                <w:szCs w:val="18"/>
              </w:rPr>
            </w:pPr>
            <w:r>
              <w:rPr>
                <w:rFonts w:ascii="Times New Roman"/>
                <w:sz w:val="18"/>
              </w:rPr>
              <w:t>7.90</w:t>
            </w:r>
          </w:p>
        </w:tc>
      </w:tr>
      <w:tr>
        <w:trPr>
          <w:trHeight w:val="403"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24" w:right="0"/>
              <w:jc w:val="left"/>
              <w:rPr>
                <w:rFonts w:ascii="宋体" w:hAnsi="宋体" w:cs="宋体" w:eastAsia="宋体" w:hint="default"/>
                <w:sz w:val="18"/>
                <w:szCs w:val="18"/>
              </w:rPr>
            </w:pPr>
            <w:r>
              <w:rPr>
                <w:rFonts w:ascii="宋体" w:hAnsi="宋体" w:cs="宋体" w:eastAsia="宋体" w:hint="default"/>
                <w:spacing w:val="-12"/>
                <w:sz w:val="18"/>
                <w:szCs w:val="18"/>
              </w:rPr>
              <w:t>三、本期增减变</w:t>
            </w:r>
          </w:p>
        </w:tc>
        <w:tc>
          <w:tcPr>
            <w:tcW w:w="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57" w:right="0"/>
              <w:jc w:val="left"/>
              <w:rPr>
                <w:rFonts w:ascii="Times New Roman" w:hAnsi="Times New Roman" w:cs="Times New Roman" w:eastAsia="Times New Roman" w:hint="default"/>
                <w:sz w:val="18"/>
                <w:szCs w:val="18"/>
              </w:rPr>
            </w:pPr>
            <w:r>
              <w:rPr>
                <w:rFonts w:ascii="Times New Roman"/>
                <w:sz w:val="18"/>
              </w:rPr>
              <w:t>73,98</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1"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86" w:right="0"/>
              <w:jc w:val="left"/>
              <w:rPr>
                <w:rFonts w:ascii="Times New Roman" w:hAnsi="Times New Roman" w:cs="Times New Roman" w:eastAsia="Times New Roman" w:hint="default"/>
                <w:sz w:val="18"/>
                <w:szCs w:val="18"/>
              </w:rPr>
            </w:pPr>
            <w:r>
              <w:rPr>
                <w:rFonts w:ascii="Times New Roman"/>
                <w:sz w:val="18"/>
              </w:rPr>
              <w:t>-73,98</w:t>
            </w: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86" w:right="0"/>
              <w:jc w:val="left"/>
              <w:rPr>
                <w:rFonts w:ascii="Times New Roman" w:hAnsi="Times New Roman" w:cs="Times New Roman" w:eastAsia="Times New Roman" w:hint="default"/>
                <w:sz w:val="18"/>
                <w:szCs w:val="18"/>
              </w:rPr>
            </w:pPr>
            <w:r>
              <w:rPr>
                <w:rFonts w:ascii="Times New Roman"/>
                <w:sz w:val="18"/>
              </w:rPr>
              <w:t>-70,70</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43" w:right="0"/>
              <w:jc w:val="left"/>
              <w:rPr>
                <w:rFonts w:ascii="Times New Roman" w:hAnsi="Times New Roman" w:cs="Times New Roman" w:eastAsia="Times New Roman" w:hint="default"/>
                <w:sz w:val="18"/>
                <w:szCs w:val="18"/>
              </w:rPr>
            </w:pPr>
            <w:r>
              <w:rPr>
                <w:rFonts w:ascii="Times New Roman"/>
                <w:sz w:val="18"/>
              </w:rPr>
              <w:t>-1,381,</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00" w:right="0"/>
              <w:jc w:val="left"/>
              <w:rPr>
                <w:rFonts w:ascii="Times New Roman" w:hAnsi="Times New Roman" w:cs="Times New Roman" w:eastAsia="Times New Roman" w:hint="default"/>
                <w:sz w:val="18"/>
                <w:szCs w:val="18"/>
              </w:rPr>
            </w:pPr>
            <w:r>
              <w:rPr>
                <w:rFonts w:ascii="Times New Roman"/>
                <w:sz w:val="18"/>
              </w:rPr>
              <w:t>2,040,</w:t>
            </w: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57" w:right="0"/>
              <w:jc w:val="left"/>
              <w:rPr>
                <w:rFonts w:ascii="Times New Roman" w:hAnsi="Times New Roman" w:cs="Times New Roman" w:eastAsia="Times New Roman" w:hint="default"/>
                <w:sz w:val="18"/>
                <w:szCs w:val="18"/>
              </w:rPr>
            </w:pPr>
            <w:r>
              <w:rPr>
                <w:rFonts w:ascii="Times New Roman"/>
                <w:sz w:val="18"/>
              </w:rPr>
              <w:t>44,807</w:t>
            </w: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57" w:right="0"/>
              <w:jc w:val="left"/>
              <w:rPr>
                <w:rFonts w:ascii="Times New Roman" w:hAnsi="Times New Roman" w:cs="Times New Roman" w:eastAsia="Times New Roman" w:hint="default"/>
                <w:sz w:val="18"/>
                <w:szCs w:val="18"/>
              </w:rPr>
            </w:pPr>
            <w:r>
              <w:rPr>
                <w:rFonts w:ascii="Times New Roman"/>
                <w:sz w:val="18"/>
              </w:rPr>
              <w:t>45,395</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57" w:right="0"/>
              <w:jc w:val="left"/>
              <w:rPr>
                <w:rFonts w:ascii="Times New Roman" w:hAnsi="Times New Roman" w:cs="Times New Roman" w:eastAsia="Times New Roman" w:hint="default"/>
                <w:sz w:val="18"/>
                <w:szCs w:val="18"/>
              </w:rPr>
            </w:pPr>
            <w:r>
              <w:rPr>
                <w:rFonts w:ascii="Times New Roman"/>
                <w:sz w:val="18"/>
              </w:rPr>
              <w:t>31,333</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52" w:right="0"/>
              <w:jc w:val="left"/>
              <w:rPr>
                <w:rFonts w:ascii="Times New Roman" w:hAnsi="Times New Roman" w:cs="Times New Roman" w:eastAsia="Times New Roman" w:hint="default"/>
                <w:sz w:val="18"/>
                <w:szCs w:val="18"/>
              </w:rPr>
            </w:pPr>
            <w:r>
              <w:rPr>
                <w:rFonts w:ascii="Times New Roman"/>
                <w:sz w:val="18"/>
              </w:rPr>
              <w:t>76,728</w:t>
            </w:r>
          </w:p>
        </w:tc>
      </w:tr>
    </w:tbl>
    <w:p>
      <w:pPr>
        <w:spacing w:after="0" w:line="240" w:lineRule="auto"/>
        <w:jc w:val="left"/>
        <w:rPr>
          <w:rFonts w:ascii="Times New Roman" w:hAnsi="Times New Roman" w:cs="Times New Roman" w:eastAsia="Times New Roman" w:hint="default"/>
          <w:sz w:val="18"/>
          <w:szCs w:val="18"/>
        </w:rPr>
        <w:sectPr>
          <w:pgSz w:w="11910" w:h="16840"/>
          <w:pgMar w:header="746"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53"/>
        <w:gridCol w:w="495"/>
        <w:gridCol w:w="466"/>
        <w:gridCol w:w="466"/>
        <w:gridCol w:w="471"/>
        <w:gridCol w:w="581"/>
        <w:gridCol w:w="586"/>
        <w:gridCol w:w="581"/>
        <w:gridCol w:w="586"/>
        <w:gridCol w:w="586"/>
        <w:gridCol w:w="581"/>
        <w:gridCol w:w="586"/>
        <w:gridCol w:w="586"/>
        <w:gridCol w:w="581"/>
        <w:gridCol w:w="586"/>
        <w:gridCol w:w="576"/>
      </w:tblGrid>
      <w:tr>
        <w:trPr>
          <w:trHeight w:val="672"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12"/>
                <w:sz w:val="18"/>
                <w:szCs w:val="18"/>
              </w:rPr>
              <w:t>动金额（减少以</w:t>
            </w:r>
          </w:p>
          <w:p>
            <w:pPr>
              <w:pStyle w:val="TableParagraph"/>
              <w:spacing w:line="240" w:lineRule="auto" w:before="7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7" w:right="0"/>
              <w:jc w:val="center"/>
              <w:rPr>
                <w:rFonts w:ascii="Times New Roman" w:hAnsi="Times New Roman" w:cs="Times New Roman" w:eastAsia="Times New Roman" w:hint="default"/>
                <w:sz w:val="18"/>
                <w:szCs w:val="18"/>
              </w:rPr>
            </w:pPr>
            <w:r>
              <w:rPr>
                <w:rFonts w:ascii="Times New Roman"/>
                <w:sz w:val="18"/>
              </w:rPr>
              <w:t>1,813</w:t>
            </w:r>
          </w:p>
          <w:p>
            <w:pPr>
              <w:pStyle w:val="TableParagraph"/>
              <w:spacing w:line="240" w:lineRule="auto" w:before="105"/>
              <w:ind w:left="215" w:right="0"/>
              <w:jc w:val="center"/>
              <w:rPr>
                <w:rFonts w:ascii="Times New Roman" w:hAnsi="Times New Roman" w:cs="Times New Roman" w:eastAsia="Times New Roman" w:hint="default"/>
                <w:sz w:val="18"/>
                <w:szCs w:val="18"/>
              </w:rPr>
            </w:pPr>
            <w:r>
              <w:rPr>
                <w:rFonts w:ascii="Times New Roman"/>
                <w:sz w:val="18"/>
              </w:rPr>
              <w:t>.00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1"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0" w:right="0"/>
              <w:jc w:val="left"/>
              <w:rPr>
                <w:rFonts w:ascii="Times New Roman" w:hAnsi="Times New Roman" w:cs="Times New Roman" w:eastAsia="Times New Roman" w:hint="default"/>
                <w:sz w:val="18"/>
                <w:szCs w:val="18"/>
              </w:rPr>
            </w:pPr>
            <w:r>
              <w:rPr>
                <w:rFonts w:ascii="Times New Roman"/>
                <w:sz w:val="18"/>
              </w:rPr>
              <w:t>1,813.</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00</w:t>
            </w: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5" w:right="0"/>
              <w:jc w:val="left"/>
              <w:rPr>
                <w:rFonts w:ascii="Times New Roman" w:hAnsi="Times New Roman" w:cs="Times New Roman" w:eastAsia="Times New Roman" w:hint="default"/>
                <w:sz w:val="18"/>
                <w:szCs w:val="18"/>
              </w:rPr>
            </w:pPr>
            <w:r>
              <w:rPr>
                <w:rFonts w:ascii="Times New Roman"/>
                <w:sz w:val="18"/>
              </w:rPr>
              <w:t>7.45</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7" w:right="0"/>
              <w:jc w:val="left"/>
              <w:rPr>
                <w:rFonts w:ascii="Times New Roman" w:hAnsi="Times New Roman" w:cs="Times New Roman" w:eastAsia="Times New Roman" w:hint="default"/>
                <w:sz w:val="18"/>
                <w:szCs w:val="18"/>
              </w:rPr>
            </w:pPr>
            <w:r>
              <w:rPr>
                <w:rFonts w:ascii="Times New Roman"/>
                <w:sz w:val="18"/>
              </w:rPr>
              <w:t>606.74</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7" w:right="0"/>
              <w:jc w:val="left"/>
              <w:rPr>
                <w:rFonts w:ascii="Times New Roman" w:hAnsi="Times New Roman" w:cs="Times New Roman" w:eastAsia="Times New Roman" w:hint="default"/>
                <w:sz w:val="18"/>
                <w:szCs w:val="18"/>
              </w:rPr>
            </w:pPr>
            <w:r>
              <w:rPr>
                <w:rFonts w:ascii="Times New Roman"/>
                <w:sz w:val="18"/>
              </w:rPr>
              <w:t>259.60</w:t>
            </w: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right"/>
              <w:rPr>
                <w:rFonts w:ascii="Times New Roman" w:hAnsi="Times New Roman" w:cs="Times New Roman" w:eastAsia="Times New Roman" w:hint="default"/>
                <w:sz w:val="18"/>
                <w:szCs w:val="18"/>
              </w:rPr>
            </w:pPr>
            <w:r>
              <w:rPr>
                <w:rFonts w:ascii="Times New Roman"/>
                <w:spacing w:val="-1"/>
                <w:sz w:val="18"/>
              </w:rPr>
              <w:t>,609.1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2"/>
              <w:jc w:val="right"/>
              <w:rPr>
                <w:rFonts w:ascii="Times New Roman" w:hAnsi="Times New Roman" w:cs="Times New Roman" w:eastAsia="Times New Roman" w:hint="default"/>
                <w:sz w:val="18"/>
                <w:szCs w:val="18"/>
              </w:rPr>
            </w:pPr>
            <w:r>
              <w:rPr>
                <w:rFonts w:ascii="Times New Roman"/>
                <w:spacing w:val="-1"/>
                <w:sz w:val="18"/>
              </w:rPr>
              <w:t>,554.5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pacing w:val="-1"/>
                <w:sz w:val="18"/>
              </w:rPr>
              <w:t>,015.5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2"/>
              <w:jc w:val="right"/>
              <w:rPr>
                <w:rFonts w:ascii="Times New Roman" w:hAnsi="Times New Roman" w:cs="Times New Roman" w:eastAsia="Times New Roman" w:hint="default"/>
                <w:sz w:val="18"/>
                <w:szCs w:val="18"/>
              </w:rPr>
            </w:pPr>
            <w:r>
              <w:rPr>
                <w:rFonts w:ascii="Times New Roman"/>
                <w:spacing w:val="-1"/>
                <w:sz w:val="18"/>
              </w:rPr>
              <w:t>,570.1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r>
      <w:tr>
        <w:trPr>
          <w:trHeight w:val="1028"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312" w:lineRule="auto"/>
              <w:ind w:left="24" w:right="17"/>
              <w:jc w:val="left"/>
              <w:rPr>
                <w:rFonts w:ascii="宋体" w:hAnsi="宋体" w:cs="宋体" w:eastAsia="宋体" w:hint="default"/>
                <w:sz w:val="18"/>
                <w:szCs w:val="18"/>
              </w:rPr>
            </w:pPr>
            <w:r>
              <w:rPr>
                <w:rFonts w:ascii="宋体" w:hAnsi="宋体" w:cs="宋体" w:eastAsia="宋体" w:hint="default"/>
                <w:spacing w:val="-12"/>
                <w:sz w:val="18"/>
                <w:szCs w:val="18"/>
              </w:rPr>
              <w:t>（一）综合收益</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总额</w:t>
            </w:r>
          </w:p>
        </w:tc>
        <w:tc>
          <w:tcPr>
            <w:tcW w:w="495"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1"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71" w:right="0"/>
              <w:jc w:val="center"/>
              <w:rPr>
                <w:rFonts w:ascii="Times New Roman" w:hAnsi="Times New Roman" w:cs="Times New Roman" w:eastAsia="Times New Roman" w:hint="default"/>
                <w:sz w:val="18"/>
                <w:szCs w:val="18"/>
              </w:rPr>
            </w:pPr>
            <w:r>
              <w:rPr>
                <w:rFonts w:ascii="Times New Roman"/>
                <w:sz w:val="18"/>
              </w:rPr>
              <w:t>-70,70</w:t>
            </w:r>
          </w:p>
          <w:p>
            <w:pPr>
              <w:pStyle w:val="TableParagraph"/>
              <w:spacing w:line="240" w:lineRule="auto" w:before="105"/>
              <w:ind w:left="220" w:right="0"/>
              <w:jc w:val="center"/>
              <w:rPr>
                <w:rFonts w:ascii="Times New Roman" w:hAnsi="Times New Roman" w:cs="Times New Roman" w:eastAsia="Times New Roman" w:hint="default"/>
                <w:sz w:val="18"/>
                <w:szCs w:val="18"/>
              </w:rPr>
            </w:pPr>
            <w:r>
              <w:rPr>
                <w:rFonts w:ascii="Times New Roman"/>
                <w:sz w:val="18"/>
              </w:rPr>
              <w:t>7.45</w:t>
            </w: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59,178</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pacing w:val="-1"/>
                <w:sz w:val="18"/>
              </w:rPr>
              <w:t>,171.0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59,107</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pacing w:val="-1"/>
                <w:sz w:val="18"/>
              </w:rPr>
              <w:t>,463.6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24,204</w:t>
            </w:r>
          </w:p>
          <w:p>
            <w:pPr>
              <w:pStyle w:val="TableParagraph"/>
              <w:spacing w:line="240" w:lineRule="auto" w:before="110"/>
              <w:ind w:right="18"/>
              <w:jc w:val="right"/>
              <w:rPr>
                <w:rFonts w:ascii="Times New Roman" w:hAnsi="Times New Roman" w:cs="Times New Roman" w:eastAsia="Times New Roman" w:hint="default"/>
                <w:sz w:val="18"/>
                <w:szCs w:val="18"/>
              </w:rPr>
            </w:pPr>
            <w:r>
              <w:rPr>
                <w:rFonts w:ascii="Times New Roman"/>
                <w:spacing w:val="-1"/>
                <w:sz w:val="18"/>
              </w:rPr>
              <w:t>,788.4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83,312</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pacing w:val="-1"/>
                <w:sz w:val="18"/>
              </w:rPr>
              <w:t>,252.0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r>
      <w:tr>
        <w:trPr>
          <w:trHeight w:val="715"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7"/>
              <w:jc w:val="left"/>
              <w:rPr>
                <w:rFonts w:ascii="宋体" w:hAnsi="宋体" w:cs="宋体" w:eastAsia="宋体" w:hint="default"/>
                <w:sz w:val="18"/>
                <w:szCs w:val="18"/>
              </w:rPr>
            </w:pPr>
            <w:r>
              <w:rPr>
                <w:rFonts w:ascii="宋体" w:hAnsi="宋体" w:cs="宋体" w:eastAsia="宋体" w:hint="default"/>
                <w:spacing w:val="-12"/>
                <w:sz w:val="18"/>
                <w:szCs w:val="18"/>
              </w:rPr>
              <w:t>（二）所有者投</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入和减少资本</w:t>
            </w:r>
          </w:p>
        </w:tc>
        <w:tc>
          <w:tcPr>
            <w:tcW w:w="495"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1"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7,362,</w:t>
            </w:r>
          </w:p>
          <w:p>
            <w:pPr>
              <w:pStyle w:val="TableParagraph"/>
              <w:spacing w:line="240" w:lineRule="auto" w:before="110"/>
              <w:ind w:left="57" w:right="0"/>
              <w:jc w:val="left"/>
              <w:rPr>
                <w:rFonts w:ascii="Times New Roman" w:hAnsi="Times New Roman" w:cs="Times New Roman" w:eastAsia="Times New Roman" w:hint="default"/>
                <w:sz w:val="18"/>
                <w:szCs w:val="18"/>
              </w:rPr>
            </w:pPr>
            <w:r>
              <w:rPr>
                <w:rFonts w:ascii="Times New Roman"/>
                <w:sz w:val="18"/>
              </w:rPr>
              <w:t>227.12</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5" w:right="0"/>
              <w:jc w:val="left"/>
              <w:rPr>
                <w:rFonts w:ascii="Times New Roman" w:hAnsi="Times New Roman" w:cs="Times New Roman" w:eastAsia="Times New Roman" w:hint="default"/>
                <w:sz w:val="18"/>
                <w:szCs w:val="18"/>
              </w:rPr>
            </w:pPr>
            <w:r>
              <w:rPr>
                <w:rFonts w:ascii="Times New Roman"/>
                <w:sz w:val="18"/>
              </w:rPr>
              <w:t>7,362,</w:t>
            </w:r>
          </w:p>
          <w:p>
            <w:pPr>
              <w:pStyle w:val="TableParagraph"/>
              <w:spacing w:line="240" w:lineRule="auto" w:before="110"/>
              <w:ind w:left="52" w:right="0"/>
              <w:jc w:val="left"/>
              <w:rPr>
                <w:rFonts w:ascii="Times New Roman" w:hAnsi="Times New Roman" w:cs="Times New Roman" w:eastAsia="Times New Roman" w:hint="default"/>
                <w:sz w:val="18"/>
                <w:szCs w:val="18"/>
              </w:rPr>
            </w:pPr>
            <w:r>
              <w:rPr>
                <w:rFonts w:ascii="Times New Roman"/>
                <w:sz w:val="18"/>
              </w:rPr>
              <w:t>227.12</w:t>
            </w:r>
          </w:p>
        </w:tc>
      </w:tr>
      <w:tr>
        <w:trPr>
          <w:trHeight w:val="716"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5" w:lineRule="auto" w:before="53"/>
              <w:ind w:left="24" w:right="4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．所有者投入</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的普通股</w:t>
            </w:r>
          </w:p>
        </w:tc>
        <w:tc>
          <w:tcPr>
            <w:tcW w:w="495"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1"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7,362,</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227.12</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5" w:right="0"/>
              <w:jc w:val="left"/>
              <w:rPr>
                <w:rFonts w:ascii="Times New Roman" w:hAnsi="Times New Roman" w:cs="Times New Roman" w:eastAsia="Times New Roman" w:hint="default"/>
                <w:sz w:val="18"/>
                <w:szCs w:val="18"/>
              </w:rPr>
            </w:pPr>
            <w:r>
              <w:rPr>
                <w:rFonts w:ascii="Times New Roman"/>
                <w:sz w:val="18"/>
              </w:rPr>
              <w:t>7,362,</w:t>
            </w:r>
          </w:p>
          <w:p>
            <w:pPr>
              <w:pStyle w:val="TableParagraph"/>
              <w:spacing w:line="240" w:lineRule="auto" w:before="105"/>
              <w:ind w:left="52" w:right="0"/>
              <w:jc w:val="left"/>
              <w:rPr>
                <w:rFonts w:ascii="Times New Roman" w:hAnsi="Times New Roman" w:cs="Times New Roman" w:eastAsia="Times New Roman" w:hint="default"/>
                <w:sz w:val="18"/>
                <w:szCs w:val="18"/>
              </w:rPr>
            </w:pPr>
            <w:r>
              <w:rPr>
                <w:rFonts w:ascii="Times New Roman"/>
                <w:sz w:val="18"/>
              </w:rPr>
              <w:t>227.12</w:t>
            </w:r>
          </w:p>
        </w:tc>
      </w:tr>
      <w:tr>
        <w:trPr>
          <w:trHeight w:val="1022"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3"/>
              <w:ind w:left="24" w:right="4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．其他权益工</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具持有者投入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资本</w:t>
            </w:r>
          </w:p>
        </w:tc>
        <w:tc>
          <w:tcPr>
            <w:tcW w:w="495"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1"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4"/>
              <w:ind w:left="24" w:right="4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．股份支付计</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入所有者权益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的金额</w:t>
            </w:r>
          </w:p>
        </w:tc>
        <w:tc>
          <w:tcPr>
            <w:tcW w:w="495"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1"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5"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1"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4" w:right="0"/>
              <w:jc w:val="left"/>
              <w:rPr>
                <w:rFonts w:ascii="宋体" w:hAnsi="宋体" w:cs="宋体" w:eastAsia="宋体" w:hint="default"/>
                <w:sz w:val="18"/>
                <w:szCs w:val="18"/>
              </w:rPr>
            </w:pPr>
            <w:r>
              <w:rPr>
                <w:rFonts w:ascii="宋体" w:hAnsi="宋体" w:cs="宋体" w:eastAsia="宋体" w:hint="default"/>
                <w:spacing w:val="-12"/>
                <w:sz w:val="18"/>
                <w:szCs w:val="18"/>
              </w:rPr>
              <w:t>（三）利润分配</w:t>
            </w:r>
          </w:p>
        </w:tc>
        <w:tc>
          <w:tcPr>
            <w:tcW w:w="495"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1"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2,040,</w:t>
            </w:r>
          </w:p>
          <w:p>
            <w:pPr>
              <w:pStyle w:val="TableParagraph"/>
              <w:spacing w:line="240" w:lineRule="auto" w:before="110"/>
              <w:ind w:left="57" w:right="0"/>
              <w:jc w:val="left"/>
              <w:rPr>
                <w:rFonts w:ascii="Times New Roman" w:hAnsi="Times New Roman" w:cs="Times New Roman" w:eastAsia="Times New Roman" w:hint="default"/>
                <w:sz w:val="18"/>
                <w:szCs w:val="18"/>
              </w:rPr>
            </w:pPr>
            <w:r>
              <w:rPr>
                <w:rFonts w:ascii="Times New Roman"/>
                <w:sz w:val="18"/>
              </w:rPr>
              <w:t>259.60</w:t>
            </w: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-14,37</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0,561.</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90</w:t>
            </w: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-12,33</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0,302.</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30</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-234,0</w:t>
            </w:r>
          </w:p>
          <w:p>
            <w:pPr>
              <w:pStyle w:val="TableParagraph"/>
              <w:spacing w:line="240" w:lineRule="auto" w:before="110"/>
              <w:ind w:left="149" w:right="0"/>
              <w:jc w:val="left"/>
              <w:rPr>
                <w:rFonts w:ascii="Times New Roman" w:hAnsi="Times New Roman" w:cs="Times New Roman" w:eastAsia="Times New Roman" w:hint="default"/>
                <w:sz w:val="18"/>
                <w:szCs w:val="18"/>
              </w:rPr>
            </w:pPr>
            <w:r>
              <w:rPr>
                <w:rFonts w:ascii="Times New Roman"/>
                <w:sz w:val="18"/>
              </w:rPr>
              <w:t>00.00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-12,56</w:t>
            </w:r>
          </w:p>
          <w:p>
            <w:pPr>
              <w:pStyle w:val="TableParagraph"/>
              <w:spacing w:line="240" w:lineRule="auto" w:before="105"/>
              <w:ind w:left="95" w:right="0"/>
              <w:jc w:val="left"/>
              <w:rPr>
                <w:rFonts w:ascii="Times New Roman" w:hAnsi="Times New Roman" w:cs="Times New Roman" w:eastAsia="Times New Roman" w:hint="default"/>
                <w:sz w:val="18"/>
                <w:szCs w:val="18"/>
              </w:rPr>
            </w:pPr>
            <w:r>
              <w:rPr>
                <w:rFonts w:ascii="Times New Roman"/>
                <w:sz w:val="18"/>
              </w:rPr>
              <w:t>4,302.</w:t>
            </w:r>
          </w:p>
          <w:p>
            <w:pPr>
              <w:pStyle w:val="TableParagraph"/>
              <w:spacing w:line="240" w:lineRule="auto" w:before="105"/>
              <w:ind w:left="369" w:right="0"/>
              <w:jc w:val="left"/>
              <w:rPr>
                <w:rFonts w:ascii="Times New Roman" w:hAnsi="Times New Roman" w:cs="Times New Roman" w:eastAsia="Times New Roman" w:hint="default"/>
                <w:sz w:val="18"/>
                <w:szCs w:val="18"/>
              </w:rPr>
            </w:pPr>
            <w:r>
              <w:rPr>
                <w:rFonts w:ascii="Times New Roman"/>
                <w:sz w:val="18"/>
              </w:rPr>
              <w:t>30</w:t>
            </w:r>
          </w:p>
        </w:tc>
      </w:tr>
      <w:tr>
        <w:trPr>
          <w:trHeight w:val="710"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5" w:lineRule="auto" w:before="53"/>
              <w:ind w:left="24" w:right="4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．提取盈余公</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积</w:t>
            </w:r>
          </w:p>
        </w:tc>
        <w:tc>
          <w:tcPr>
            <w:tcW w:w="495"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1"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2,040,</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259.60</w:t>
            </w: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-2,040,</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259.60</w:t>
            </w: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0.00</w:t>
            </w: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4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．提取一般风</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险准备</w:t>
            </w:r>
          </w:p>
        </w:tc>
        <w:tc>
          <w:tcPr>
            <w:tcW w:w="495"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1"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95" w:lineRule="auto"/>
              <w:ind w:left="24" w:right="17"/>
              <w:jc w:val="left"/>
              <w:rPr>
                <w:rFonts w:ascii="宋体" w:hAnsi="宋体" w:cs="宋体" w:eastAsia="宋体" w:hint="default"/>
                <w:sz w:val="18"/>
                <w:szCs w:val="18"/>
              </w:rPr>
            </w:pPr>
            <w:r>
              <w:rPr>
                <w:rFonts w:ascii="Times New Roman" w:hAnsi="Times New Roman" w:cs="Times New Roman" w:eastAsia="Times New Roman" w:hint="default"/>
                <w:spacing w:val="-21"/>
                <w:w w:val="101"/>
                <w:sz w:val="18"/>
                <w:szCs w:val="18"/>
              </w:rPr>
              <w:t>3</w:t>
            </w:r>
            <w:r>
              <w:rPr>
                <w:rFonts w:ascii="宋体" w:hAnsi="宋体" w:cs="宋体" w:eastAsia="宋体" w:hint="default"/>
                <w:spacing w:val="-21"/>
                <w:w w:val="101"/>
                <w:sz w:val="18"/>
                <w:szCs w:val="18"/>
              </w:rPr>
              <w:t>．对所有者（或</w:t>
            </w:r>
            <w:r>
              <w:rPr>
                <w:rFonts w:ascii="宋体" w:hAnsi="宋体" w:cs="宋体" w:eastAsia="宋体" w:hint="default"/>
                <w:w w:val="101"/>
                <w:sz w:val="18"/>
                <w:szCs w:val="18"/>
              </w:rPr>
              <w:t> </w:t>
            </w:r>
            <w:r>
              <w:rPr>
                <w:rFonts w:ascii="宋体" w:hAnsi="宋体" w:cs="宋体" w:eastAsia="宋体" w:hint="default"/>
                <w:sz w:val="18"/>
                <w:szCs w:val="18"/>
              </w:rPr>
              <w:t>股东）的分配</w:t>
            </w:r>
          </w:p>
        </w:tc>
        <w:tc>
          <w:tcPr>
            <w:tcW w:w="495"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1"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-12,33</w:t>
            </w:r>
          </w:p>
          <w:p>
            <w:pPr>
              <w:pStyle w:val="TableParagraph"/>
              <w:spacing w:line="240" w:lineRule="auto" w:before="110"/>
              <w:ind w:left="100" w:right="0"/>
              <w:jc w:val="left"/>
              <w:rPr>
                <w:rFonts w:ascii="Times New Roman" w:hAnsi="Times New Roman" w:cs="Times New Roman" w:eastAsia="Times New Roman" w:hint="default"/>
                <w:sz w:val="18"/>
                <w:szCs w:val="18"/>
              </w:rPr>
            </w:pPr>
            <w:r>
              <w:rPr>
                <w:rFonts w:ascii="Times New Roman"/>
                <w:sz w:val="18"/>
              </w:rPr>
              <w:t>0,302.</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30</w:t>
            </w: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-12,33</w:t>
            </w:r>
          </w:p>
          <w:p>
            <w:pPr>
              <w:pStyle w:val="TableParagraph"/>
              <w:spacing w:line="240" w:lineRule="auto" w:before="110"/>
              <w:ind w:left="100" w:right="0"/>
              <w:jc w:val="left"/>
              <w:rPr>
                <w:rFonts w:ascii="Times New Roman" w:hAnsi="Times New Roman" w:cs="Times New Roman" w:eastAsia="Times New Roman" w:hint="default"/>
                <w:sz w:val="18"/>
                <w:szCs w:val="18"/>
              </w:rPr>
            </w:pPr>
            <w:r>
              <w:rPr>
                <w:rFonts w:ascii="Times New Roman"/>
                <w:sz w:val="18"/>
              </w:rPr>
              <w:t>0,302.</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30</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-234,0</w:t>
            </w:r>
          </w:p>
          <w:p>
            <w:pPr>
              <w:pStyle w:val="TableParagraph"/>
              <w:spacing w:line="240" w:lineRule="auto" w:before="105"/>
              <w:ind w:left="149" w:right="0"/>
              <w:jc w:val="left"/>
              <w:rPr>
                <w:rFonts w:ascii="Times New Roman" w:hAnsi="Times New Roman" w:cs="Times New Roman" w:eastAsia="Times New Roman" w:hint="default"/>
                <w:sz w:val="18"/>
                <w:szCs w:val="18"/>
              </w:rPr>
            </w:pPr>
            <w:r>
              <w:rPr>
                <w:rFonts w:ascii="Times New Roman"/>
                <w:sz w:val="18"/>
              </w:rPr>
              <w:t>00.00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-12,56</w:t>
            </w:r>
          </w:p>
          <w:p>
            <w:pPr>
              <w:pStyle w:val="TableParagraph"/>
              <w:spacing w:line="240" w:lineRule="auto" w:before="110"/>
              <w:ind w:left="95" w:right="0"/>
              <w:jc w:val="left"/>
              <w:rPr>
                <w:rFonts w:ascii="Times New Roman" w:hAnsi="Times New Roman" w:cs="Times New Roman" w:eastAsia="Times New Roman" w:hint="default"/>
                <w:sz w:val="18"/>
                <w:szCs w:val="18"/>
              </w:rPr>
            </w:pPr>
            <w:r>
              <w:rPr>
                <w:rFonts w:ascii="Times New Roman"/>
                <w:sz w:val="18"/>
              </w:rPr>
              <w:t>4,302.</w:t>
            </w:r>
          </w:p>
          <w:p>
            <w:pPr>
              <w:pStyle w:val="TableParagraph"/>
              <w:spacing w:line="240" w:lineRule="auto" w:before="105"/>
              <w:ind w:left="369" w:right="0"/>
              <w:jc w:val="left"/>
              <w:rPr>
                <w:rFonts w:ascii="Times New Roman" w:hAnsi="Times New Roman" w:cs="Times New Roman" w:eastAsia="Times New Roman" w:hint="default"/>
                <w:sz w:val="18"/>
                <w:szCs w:val="18"/>
              </w:rPr>
            </w:pPr>
            <w:r>
              <w:rPr>
                <w:rFonts w:ascii="Times New Roman"/>
                <w:sz w:val="18"/>
              </w:rPr>
              <w:t>30</w:t>
            </w:r>
          </w:p>
        </w:tc>
      </w:tr>
      <w:tr>
        <w:trPr>
          <w:trHeight w:val="404"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5"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1"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1022"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4" w:right="17"/>
              <w:jc w:val="left"/>
              <w:rPr>
                <w:rFonts w:ascii="宋体" w:hAnsi="宋体" w:cs="宋体" w:eastAsia="宋体" w:hint="default"/>
                <w:sz w:val="18"/>
                <w:szCs w:val="18"/>
              </w:rPr>
            </w:pPr>
            <w:r>
              <w:rPr>
                <w:rFonts w:ascii="宋体" w:hAnsi="宋体" w:cs="宋体" w:eastAsia="宋体" w:hint="default"/>
                <w:spacing w:val="-12"/>
                <w:sz w:val="18"/>
                <w:szCs w:val="18"/>
              </w:rPr>
              <w:t>（四）所有者权</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益内部结转</w:t>
            </w:r>
          </w:p>
        </w:tc>
        <w:tc>
          <w:tcPr>
            <w:tcW w:w="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 w:right="0"/>
              <w:jc w:val="center"/>
              <w:rPr>
                <w:rFonts w:ascii="Times New Roman" w:hAnsi="Times New Roman" w:cs="Times New Roman" w:eastAsia="Times New Roman" w:hint="default"/>
                <w:sz w:val="18"/>
                <w:szCs w:val="18"/>
              </w:rPr>
            </w:pPr>
            <w:r>
              <w:rPr>
                <w:rFonts w:ascii="Times New Roman"/>
                <w:sz w:val="18"/>
              </w:rPr>
              <w:t>73,98</w:t>
            </w:r>
          </w:p>
          <w:p>
            <w:pPr>
              <w:pStyle w:val="TableParagraph"/>
              <w:spacing w:line="240" w:lineRule="auto" w:before="105"/>
              <w:ind w:left="37" w:right="0"/>
              <w:jc w:val="center"/>
              <w:rPr>
                <w:rFonts w:ascii="Times New Roman" w:hAnsi="Times New Roman" w:cs="Times New Roman" w:eastAsia="Times New Roman" w:hint="default"/>
                <w:sz w:val="18"/>
                <w:szCs w:val="18"/>
              </w:rPr>
            </w:pPr>
            <w:r>
              <w:rPr>
                <w:rFonts w:ascii="Times New Roman"/>
                <w:sz w:val="18"/>
              </w:rPr>
              <w:t>1,813</w:t>
            </w:r>
          </w:p>
          <w:p>
            <w:pPr>
              <w:pStyle w:val="TableParagraph"/>
              <w:spacing w:line="240" w:lineRule="auto" w:before="105"/>
              <w:ind w:left="215" w:right="0"/>
              <w:jc w:val="center"/>
              <w:rPr>
                <w:rFonts w:ascii="Times New Roman" w:hAnsi="Times New Roman" w:cs="Times New Roman" w:eastAsia="Times New Roman" w:hint="default"/>
                <w:sz w:val="18"/>
                <w:szCs w:val="18"/>
              </w:rPr>
            </w:pPr>
            <w:r>
              <w:rPr>
                <w:rFonts w:ascii="Times New Roman"/>
                <w:sz w:val="18"/>
              </w:rPr>
              <w:t>.00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1"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-73,98</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1,813.</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00</w:t>
            </w: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24" w:right="4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．资本公积转</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增资本（或股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本）</w:t>
            </w:r>
          </w:p>
        </w:tc>
        <w:tc>
          <w:tcPr>
            <w:tcW w:w="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 w:right="0"/>
              <w:jc w:val="center"/>
              <w:rPr>
                <w:rFonts w:ascii="Times New Roman" w:hAnsi="Times New Roman" w:cs="Times New Roman" w:eastAsia="Times New Roman" w:hint="default"/>
                <w:sz w:val="18"/>
                <w:szCs w:val="18"/>
              </w:rPr>
            </w:pPr>
            <w:r>
              <w:rPr>
                <w:rFonts w:ascii="Times New Roman"/>
                <w:sz w:val="18"/>
              </w:rPr>
              <w:t>73,98</w:t>
            </w:r>
          </w:p>
          <w:p>
            <w:pPr>
              <w:pStyle w:val="TableParagraph"/>
              <w:spacing w:line="240" w:lineRule="auto" w:before="110"/>
              <w:ind w:left="37" w:right="0"/>
              <w:jc w:val="center"/>
              <w:rPr>
                <w:rFonts w:ascii="Times New Roman" w:hAnsi="Times New Roman" w:cs="Times New Roman" w:eastAsia="Times New Roman" w:hint="default"/>
                <w:sz w:val="18"/>
                <w:szCs w:val="18"/>
              </w:rPr>
            </w:pPr>
            <w:r>
              <w:rPr>
                <w:rFonts w:ascii="Times New Roman"/>
                <w:sz w:val="18"/>
              </w:rPr>
              <w:t>1,813</w:t>
            </w:r>
          </w:p>
          <w:p>
            <w:pPr>
              <w:pStyle w:val="TableParagraph"/>
              <w:spacing w:line="240" w:lineRule="auto" w:before="105"/>
              <w:ind w:left="215" w:right="0"/>
              <w:jc w:val="center"/>
              <w:rPr>
                <w:rFonts w:ascii="Times New Roman" w:hAnsi="Times New Roman" w:cs="Times New Roman" w:eastAsia="Times New Roman" w:hint="default"/>
                <w:sz w:val="18"/>
                <w:szCs w:val="18"/>
              </w:rPr>
            </w:pPr>
            <w:r>
              <w:rPr>
                <w:rFonts w:ascii="Times New Roman"/>
                <w:sz w:val="18"/>
              </w:rPr>
              <w:t>.00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1"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-73,98</w:t>
            </w:r>
          </w:p>
          <w:p>
            <w:pPr>
              <w:pStyle w:val="TableParagraph"/>
              <w:spacing w:line="240" w:lineRule="auto" w:before="110"/>
              <w:ind w:left="100" w:right="0"/>
              <w:jc w:val="left"/>
              <w:rPr>
                <w:rFonts w:ascii="Times New Roman" w:hAnsi="Times New Roman" w:cs="Times New Roman" w:eastAsia="Times New Roman" w:hint="default"/>
                <w:sz w:val="18"/>
                <w:szCs w:val="18"/>
              </w:rPr>
            </w:pPr>
            <w:r>
              <w:rPr>
                <w:rFonts w:ascii="Times New Roman"/>
                <w:sz w:val="18"/>
              </w:rPr>
              <w:t>1,813.</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00</w:t>
            </w: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24" w:right="4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．盈余公积转</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增资本（或股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本）</w:t>
            </w:r>
          </w:p>
        </w:tc>
        <w:tc>
          <w:tcPr>
            <w:tcW w:w="495"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1"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5" w:lineRule="auto" w:before="54"/>
              <w:ind w:left="24" w:right="4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．盈余公积弥</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补亏损</w:t>
            </w:r>
          </w:p>
        </w:tc>
        <w:tc>
          <w:tcPr>
            <w:tcW w:w="495"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1"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672"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5" w:lineRule="auto" w:before="53"/>
              <w:ind w:left="24" w:right="4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．设定受益计</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划变动额结转</w:t>
            </w:r>
          </w:p>
        </w:tc>
        <w:tc>
          <w:tcPr>
            <w:tcW w:w="495"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1"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6"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53"/>
        <w:gridCol w:w="495"/>
        <w:gridCol w:w="466"/>
        <w:gridCol w:w="466"/>
        <w:gridCol w:w="471"/>
        <w:gridCol w:w="581"/>
        <w:gridCol w:w="586"/>
        <w:gridCol w:w="581"/>
        <w:gridCol w:w="586"/>
        <w:gridCol w:w="586"/>
        <w:gridCol w:w="581"/>
        <w:gridCol w:w="586"/>
        <w:gridCol w:w="586"/>
        <w:gridCol w:w="581"/>
        <w:gridCol w:w="586"/>
        <w:gridCol w:w="576"/>
      </w:tblGrid>
      <w:tr>
        <w:trPr>
          <w:trHeight w:val="360"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留存收益</w:t>
            </w:r>
          </w:p>
        </w:tc>
        <w:tc>
          <w:tcPr>
            <w:tcW w:w="495"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1"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24" w:right="4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．其他综合收</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益结转留存收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益</w:t>
            </w:r>
          </w:p>
        </w:tc>
        <w:tc>
          <w:tcPr>
            <w:tcW w:w="495"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1"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495"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1"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12"/>
                <w:sz w:val="18"/>
                <w:szCs w:val="18"/>
              </w:rPr>
              <w:t>（五）专项储备</w:t>
            </w:r>
          </w:p>
        </w:tc>
        <w:tc>
          <w:tcPr>
            <w:tcW w:w="495"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1"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-1,381,</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606.74</w:t>
            </w: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-1,381,</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606.74</w:t>
            </w: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-1,381,</w:t>
            </w:r>
          </w:p>
          <w:p>
            <w:pPr>
              <w:pStyle w:val="TableParagraph"/>
              <w:spacing w:line="240" w:lineRule="auto" w:before="105"/>
              <w:ind w:left="52" w:right="0"/>
              <w:jc w:val="left"/>
              <w:rPr>
                <w:rFonts w:ascii="Times New Roman" w:hAnsi="Times New Roman" w:cs="Times New Roman" w:eastAsia="Times New Roman" w:hint="default"/>
                <w:sz w:val="18"/>
                <w:szCs w:val="18"/>
              </w:rPr>
            </w:pPr>
            <w:r>
              <w:rPr>
                <w:rFonts w:ascii="Times New Roman"/>
                <w:sz w:val="18"/>
              </w:rPr>
              <w:t>606.74</w:t>
            </w:r>
          </w:p>
        </w:tc>
      </w:tr>
      <w:tr>
        <w:trPr>
          <w:trHeight w:val="399"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495"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1"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495"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1"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1,381,</w:t>
            </w:r>
          </w:p>
          <w:p>
            <w:pPr>
              <w:pStyle w:val="TableParagraph"/>
              <w:spacing w:line="240" w:lineRule="auto" w:before="110"/>
              <w:ind w:left="57" w:right="0"/>
              <w:jc w:val="left"/>
              <w:rPr>
                <w:rFonts w:ascii="Times New Roman" w:hAnsi="Times New Roman" w:cs="Times New Roman" w:eastAsia="Times New Roman" w:hint="default"/>
                <w:sz w:val="18"/>
                <w:szCs w:val="18"/>
              </w:rPr>
            </w:pPr>
            <w:r>
              <w:rPr>
                <w:rFonts w:ascii="Times New Roman"/>
                <w:sz w:val="18"/>
              </w:rPr>
              <w:t>606.74</w:t>
            </w: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1,381,</w:t>
            </w:r>
          </w:p>
          <w:p>
            <w:pPr>
              <w:pStyle w:val="TableParagraph"/>
              <w:spacing w:line="240" w:lineRule="auto" w:before="110"/>
              <w:ind w:left="57" w:right="0"/>
              <w:jc w:val="left"/>
              <w:rPr>
                <w:rFonts w:ascii="Times New Roman" w:hAnsi="Times New Roman" w:cs="Times New Roman" w:eastAsia="Times New Roman" w:hint="default"/>
                <w:sz w:val="18"/>
                <w:szCs w:val="18"/>
              </w:rPr>
            </w:pPr>
            <w:r>
              <w:rPr>
                <w:rFonts w:ascii="Times New Roman"/>
                <w:sz w:val="18"/>
              </w:rPr>
              <w:t>606.74</w:t>
            </w: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5" w:right="0"/>
              <w:jc w:val="left"/>
              <w:rPr>
                <w:rFonts w:ascii="Times New Roman" w:hAnsi="Times New Roman" w:cs="Times New Roman" w:eastAsia="Times New Roman" w:hint="default"/>
                <w:sz w:val="18"/>
                <w:szCs w:val="18"/>
              </w:rPr>
            </w:pPr>
            <w:r>
              <w:rPr>
                <w:rFonts w:ascii="Times New Roman"/>
                <w:sz w:val="18"/>
              </w:rPr>
              <w:t>1,381,</w:t>
            </w:r>
          </w:p>
          <w:p>
            <w:pPr>
              <w:pStyle w:val="TableParagraph"/>
              <w:spacing w:line="240" w:lineRule="auto" w:before="110"/>
              <w:ind w:left="52" w:right="0"/>
              <w:jc w:val="left"/>
              <w:rPr>
                <w:rFonts w:ascii="Times New Roman" w:hAnsi="Times New Roman" w:cs="Times New Roman" w:eastAsia="Times New Roman" w:hint="default"/>
                <w:sz w:val="18"/>
                <w:szCs w:val="18"/>
              </w:rPr>
            </w:pPr>
            <w:r>
              <w:rPr>
                <w:rFonts w:ascii="Times New Roman"/>
                <w:sz w:val="18"/>
              </w:rPr>
              <w:t>606.74</w:t>
            </w:r>
          </w:p>
        </w:tc>
      </w:tr>
      <w:tr>
        <w:trPr>
          <w:trHeight w:val="403"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495"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1"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4" w:right="17"/>
              <w:jc w:val="left"/>
              <w:rPr>
                <w:rFonts w:ascii="宋体" w:hAnsi="宋体" w:cs="宋体" w:eastAsia="宋体" w:hint="default"/>
                <w:sz w:val="18"/>
                <w:szCs w:val="18"/>
              </w:rPr>
            </w:pPr>
            <w:r>
              <w:rPr>
                <w:rFonts w:ascii="宋体" w:hAnsi="宋体" w:cs="宋体" w:eastAsia="宋体" w:hint="default"/>
                <w:spacing w:val="-12"/>
                <w:sz w:val="18"/>
                <w:szCs w:val="18"/>
              </w:rPr>
              <w:t>四、本期期末余</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额</w:t>
            </w:r>
          </w:p>
        </w:tc>
        <w:tc>
          <w:tcPr>
            <w:tcW w:w="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320,5</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87,85</w:t>
            </w:r>
          </w:p>
          <w:p>
            <w:pPr>
              <w:pStyle w:val="TableParagraph"/>
              <w:spacing w:line="240" w:lineRule="auto" w:before="105"/>
              <w:ind w:left="144" w:right="0"/>
              <w:jc w:val="left"/>
              <w:rPr>
                <w:rFonts w:ascii="Times New Roman" w:hAnsi="Times New Roman" w:cs="Times New Roman" w:eastAsia="Times New Roman" w:hint="default"/>
                <w:sz w:val="18"/>
                <w:szCs w:val="18"/>
              </w:rPr>
            </w:pPr>
            <w:r>
              <w:rPr>
                <w:rFonts w:ascii="Times New Roman"/>
                <w:sz w:val="18"/>
              </w:rPr>
              <w:t>9.00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1"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722,94</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2,395.</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60</w:t>
            </w: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left="71" w:right="0"/>
              <w:jc w:val="center"/>
              <w:rPr>
                <w:rFonts w:ascii="Times New Roman" w:hAnsi="Times New Roman" w:cs="Times New Roman" w:eastAsia="Times New Roman" w:hint="default"/>
                <w:sz w:val="18"/>
                <w:szCs w:val="18"/>
              </w:rPr>
            </w:pPr>
            <w:r>
              <w:rPr>
                <w:rFonts w:ascii="Times New Roman"/>
                <w:sz w:val="18"/>
              </w:rPr>
              <w:t>-70,70</w:t>
            </w:r>
          </w:p>
          <w:p>
            <w:pPr>
              <w:pStyle w:val="TableParagraph"/>
              <w:spacing w:line="240" w:lineRule="auto" w:before="110"/>
              <w:ind w:left="220" w:right="0"/>
              <w:jc w:val="center"/>
              <w:rPr>
                <w:rFonts w:ascii="Times New Roman" w:hAnsi="Times New Roman" w:cs="Times New Roman" w:eastAsia="Times New Roman" w:hint="default"/>
                <w:sz w:val="18"/>
                <w:szCs w:val="18"/>
              </w:rPr>
            </w:pPr>
            <w:r>
              <w:rPr>
                <w:rFonts w:ascii="Times New Roman"/>
                <w:sz w:val="18"/>
              </w:rPr>
              <w:t>7.45</w:t>
            </w: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84,630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pacing w:val="-1"/>
                <w:sz w:val="18"/>
              </w:rPr>
              <w:t>,456.1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430,21</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1,270.</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53</w:t>
            </w: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3" w:right="0"/>
              <w:jc w:val="center"/>
              <w:rPr>
                <w:rFonts w:ascii="Times New Roman" w:hAnsi="Times New Roman" w:cs="Times New Roman" w:eastAsia="Times New Roman" w:hint="default"/>
                <w:sz w:val="18"/>
                <w:szCs w:val="18"/>
              </w:rPr>
            </w:pPr>
            <w:r>
              <w:rPr>
                <w:rFonts w:ascii="Times New Roman"/>
                <w:sz w:val="18"/>
              </w:rPr>
              <w:t>1,558,</w:t>
            </w:r>
          </w:p>
          <w:p>
            <w:pPr>
              <w:pStyle w:val="TableParagraph"/>
              <w:spacing w:line="240" w:lineRule="auto" w:before="105"/>
              <w:ind w:left="43" w:right="0"/>
              <w:jc w:val="center"/>
              <w:rPr>
                <w:rFonts w:ascii="Times New Roman" w:hAnsi="Times New Roman" w:cs="Times New Roman" w:eastAsia="Times New Roman" w:hint="default"/>
                <w:sz w:val="18"/>
                <w:szCs w:val="18"/>
              </w:rPr>
            </w:pPr>
            <w:r>
              <w:rPr>
                <w:rFonts w:ascii="Times New Roman"/>
                <w:sz w:val="18"/>
              </w:rPr>
              <w:t>301,27</w:t>
            </w:r>
          </w:p>
          <w:p>
            <w:pPr>
              <w:pStyle w:val="TableParagraph"/>
              <w:spacing w:line="240" w:lineRule="auto" w:before="105"/>
              <w:ind w:left="220" w:right="0"/>
              <w:jc w:val="center"/>
              <w:rPr>
                <w:rFonts w:ascii="Times New Roman" w:hAnsi="Times New Roman" w:cs="Times New Roman" w:eastAsia="Times New Roman" w:hint="default"/>
                <w:sz w:val="18"/>
                <w:szCs w:val="18"/>
              </w:rPr>
            </w:pPr>
            <w:r>
              <w:rPr>
                <w:rFonts w:ascii="Times New Roman"/>
                <w:sz w:val="18"/>
              </w:rPr>
              <w:t>3.84</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290,74</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1,814.</w:t>
            </w:r>
          </w:p>
          <w:p>
            <w:pPr>
              <w:pStyle w:val="TableParagraph"/>
              <w:spacing w:line="240" w:lineRule="auto" w:before="105"/>
              <w:ind w:left="375" w:right="0"/>
              <w:jc w:val="left"/>
              <w:rPr>
                <w:rFonts w:ascii="Times New Roman" w:hAnsi="Times New Roman" w:cs="Times New Roman" w:eastAsia="Times New Roman" w:hint="default"/>
                <w:sz w:val="18"/>
                <w:szCs w:val="18"/>
              </w:rPr>
            </w:pPr>
            <w:r>
              <w:rPr>
                <w:rFonts w:ascii="Times New Roman"/>
                <w:sz w:val="18"/>
              </w:rPr>
              <w:t>21</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center"/>
              <w:rPr>
                <w:rFonts w:ascii="Times New Roman" w:hAnsi="Times New Roman" w:cs="Times New Roman" w:eastAsia="Times New Roman" w:hint="default"/>
                <w:sz w:val="18"/>
                <w:szCs w:val="18"/>
              </w:rPr>
            </w:pPr>
            <w:r>
              <w:rPr>
                <w:rFonts w:ascii="Times New Roman"/>
                <w:sz w:val="18"/>
              </w:rPr>
              <w:t>1,849,</w:t>
            </w:r>
          </w:p>
          <w:p>
            <w:pPr>
              <w:pStyle w:val="TableParagraph"/>
              <w:spacing w:line="240" w:lineRule="auto" w:before="105"/>
              <w:ind w:left="38" w:right="0"/>
              <w:jc w:val="center"/>
              <w:rPr>
                <w:rFonts w:ascii="Times New Roman" w:hAnsi="Times New Roman" w:cs="Times New Roman" w:eastAsia="Times New Roman" w:hint="default"/>
                <w:sz w:val="18"/>
                <w:szCs w:val="18"/>
              </w:rPr>
            </w:pPr>
            <w:r>
              <w:rPr>
                <w:rFonts w:ascii="Times New Roman"/>
                <w:sz w:val="18"/>
              </w:rPr>
              <w:t>043,08</w:t>
            </w:r>
          </w:p>
          <w:p>
            <w:pPr>
              <w:pStyle w:val="TableParagraph"/>
              <w:spacing w:line="240" w:lineRule="auto" w:before="105"/>
              <w:ind w:left="215" w:right="0"/>
              <w:jc w:val="center"/>
              <w:rPr>
                <w:rFonts w:ascii="Times New Roman" w:hAnsi="Times New Roman" w:cs="Times New Roman" w:eastAsia="Times New Roman" w:hint="default"/>
                <w:sz w:val="18"/>
                <w:szCs w:val="18"/>
              </w:rPr>
            </w:pPr>
            <w:r>
              <w:rPr>
                <w:rFonts w:ascii="Times New Roman"/>
                <w:sz w:val="18"/>
              </w:rPr>
              <w:t>8.05</w:t>
            </w:r>
          </w:p>
        </w:tc>
      </w:tr>
    </w:tbl>
    <w:p>
      <w:pPr>
        <w:pStyle w:val="BodyText"/>
        <w:spacing w:line="240" w:lineRule="auto" w:before="53"/>
        <w:ind w:right="855"/>
        <w:jc w:val="left"/>
      </w:pPr>
      <w:r>
        <w:rPr/>
        <w:t>上期金额</w:t>
      </w:r>
    </w:p>
    <w:p>
      <w:pPr>
        <w:pStyle w:val="BodyText"/>
        <w:spacing w:line="240" w:lineRule="auto" w:before="110"/>
        <w:ind w:left="0" w:right="1121"/>
        <w:jc w:val="right"/>
      </w:pPr>
      <w:r>
        <w:rPr>
          <w:spacing w:val="-2"/>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215"/>
        <w:gridCol w:w="490"/>
        <w:gridCol w:w="447"/>
        <w:gridCol w:w="451"/>
        <w:gridCol w:w="490"/>
        <w:gridCol w:w="576"/>
        <w:gridCol w:w="576"/>
        <w:gridCol w:w="576"/>
        <w:gridCol w:w="581"/>
        <w:gridCol w:w="576"/>
        <w:gridCol w:w="577"/>
        <w:gridCol w:w="590"/>
        <w:gridCol w:w="567"/>
        <w:gridCol w:w="566"/>
        <w:gridCol w:w="644"/>
        <w:gridCol w:w="648"/>
      </w:tblGrid>
      <w:tr>
        <w:trPr>
          <w:trHeight w:val="401" w:hRule="exact"/>
        </w:trPr>
        <w:tc>
          <w:tcPr>
            <w:tcW w:w="12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355"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年年度</w:t>
            </w:r>
          </w:p>
        </w:tc>
      </w:tr>
      <w:tr>
        <w:trPr>
          <w:trHeight w:val="401" w:hRule="exact"/>
        </w:trPr>
        <w:tc>
          <w:tcPr>
            <w:tcW w:w="1215" w:type="dxa"/>
            <w:vMerge/>
            <w:tcBorders>
              <w:left w:val="single" w:sz="4" w:space="0" w:color="000000"/>
              <w:right w:val="single" w:sz="4" w:space="0" w:color="000000"/>
            </w:tcBorders>
            <w:shd w:val="clear" w:color="auto" w:fill="D2D2D2"/>
          </w:tcPr>
          <w:p>
            <w:pPr/>
          </w:p>
        </w:tc>
        <w:tc>
          <w:tcPr>
            <w:tcW w:w="7064"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9" w:right="0"/>
              <w:jc w:val="center"/>
              <w:rPr>
                <w:rFonts w:ascii="宋体" w:hAnsi="宋体" w:cs="宋体" w:eastAsia="宋体" w:hint="default"/>
                <w:sz w:val="18"/>
                <w:szCs w:val="18"/>
              </w:rPr>
            </w:pPr>
            <w:r>
              <w:rPr>
                <w:rFonts w:ascii="宋体" w:hAnsi="宋体" w:cs="宋体" w:eastAsia="宋体" w:hint="default"/>
                <w:spacing w:val="-3"/>
                <w:sz w:val="18"/>
                <w:szCs w:val="18"/>
              </w:rPr>
              <w:t>归属于母公司所有者权益</w:t>
            </w:r>
          </w:p>
        </w:tc>
        <w:tc>
          <w:tcPr>
            <w:tcW w:w="64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316" w:lineRule="auto"/>
              <w:ind w:left="47" w:right="41"/>
              <w:jc w:val="left"/>
              <w:rPr>
                <w:rFonts w:ascii="宋体" w:hAnsi="宋体" w:cs="宋体" w:eastAsia="宋体" w:hint="default"/>
                <w:sz w:val="18"/>
                <w:szCs w:val="18"/>
              </w:rPr>
            </w:pPr>
            <w:r>
              <w:rPr>
                <w:rFonts w:ascii="宋体" w:hAnsi="宋体" w:cs="宋体" w:eastAsia="宋体" w:hint="default"/>
                <w:sz w:val="18"/>
                <w:szCs w:val="18"/>
              </w:rPr>
              <w:t>少数股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东权益</w:t>
            </w:r>
          </w:p>
        </w:tc>
        <w:tc>
          <w:tcPr>
            <w:tcW w:w="6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22"/>
                <w:szCs w:val="22"/>
              </w:rPr>
            </w:pPr>
          </w:p>
          <w:p>
            <w:pPr>
              <w:pStyle w:val="TableParagraph"/>
              <w:spacing w:line="314" w:lineRule="auto"/>
              <w:ind w:left="52" w:right="41"/>
              <w:jc w:val="center"/>
              <w:rPr>
                <w:rFonts w:ascii="宋体" w:hAnsi="宋体" w:cs="宋体" w:eastAsia="宋体" w:hint="default"/>
                <w:sz w:val="18"/>
                <w:szCs w:val="18"/>
              </w:rPr>
            </w:pPr>
            <w:r>
              <w:rPr>
                <w:rFonts w:ascii="宋体" w:hAnsi="宋体" w:cs="宋体" w:eastAsia="宋体" w:hint="default"/>
                <w:spacing w:val="-2"/>
                <w:sz w:val="18"/>
                <w:szCs w:val="18"/>
              </w:rPr>
              <w:t>所有者</w:t>
            </w:r>
            <w:r>
              <w:rPr>
                <w:rFonts w:ascii="宋体" w:hAnsi="宋体" w:cs="宋体" w:eastAsia="宋体" w:hint="default"/>
                <w:w w:val="101"/>
                <w:sz w:val="18"/>
                <w:szCs w:val="18"/>
              </w:rPr>
              <w:t> </w:t>
            </w:r>
            <w:r>
              <w:rPr>
                <w:rFonts w:ascii="宋体" w:hAnsi="宋体" w:cs="宋体" w:eastAsia="宋体" w:hint="default"/>
                <w:spacing w:val="-2"/>
                <w:sz w:val="18"/>
                <w:szCs w:val="18"/>
              </w:rPr>
              <w:t>权益合</w:t>
            </w:r>
            <w:r>
              <w:rPr>
                <w:rFonts w:ascii="宋体" w:hAnsi="宋体" w:cs="宋体" w:eastAsia="宋体" w:hint="default"/>
                <w:w w:val="101"/>
                <w:sz w:val="18"/>
                <w:szCs w:val="18"/>
              </w:rPr>
              <w:t> </w:t>
            </w:r>
            <w:r>
              <w:rPr>
                <w:rFonts w:ascii="宋体" w:hAnsi="宋体" w:cs="宋体" w:eastAsia="宋体" w:hint="default"/>
                <w:sz w:val="18"/>
                <w:szCs w:val="18"/>
              </w:rPr>
              <w:t>计</w:t>
            </w:r>
          </w:p>
        </w:tc>
      </w:tr>
      <w:tr>
        <w:trPr>
          <w:trHeight w:val="403" w:hRule="exact"/>
        </w:trPr>
        <w:tc>
          <w:tcPr>
            <w:tcW w:w="1215" w:type="dxa"/>
            <w:vMerge/>
            <w:tcBorders>
              <w:left w:val="single" w:sz="4" w:space="0" w:color="000000"/>
              <w:right w:val="single" w:sz="4" w:space="0" w:color="000000"/>
            </w:tcBorders>
            <w:shd w:val="clear" w:color="auto" w:fill="D2D2D2"/>
          </w:tcPr>
          <w:p>
            <w:pPr/>
          </w:p>
        </w:tc>
        <w:tc>
          <w:tcPr>
            <w:tcW w:w="4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5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38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49"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5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316" w:lineRule="auto"/>
              <w:ind w:left="100" w:right="98"/>
              <w:jc w:val="left"/>
              <w:rPr>
                <w:rFonts w:ascii="宋体" w:hAnsi="宋体" w:cs="宋体" w:eastAsia="宋体" w:hint="default"/>
                <w:sz w:val="18"/>
                <w:szCs w:val="18"/>
              </w:rPr>
            </w:pPr>
            <w:r>
              <w:rPr>
                <w:rFonts w:ascii="宋体" w:hAnsi="宋体" w:cs="宋体" w:eastAsia="宋体" w:hint="default"/>
                <w:sz w:val="18"/>
                <w:szCs w:val="18"/>
              </w:rPr>
              <w:t>资本</w:t>
            </w:r>
            <w:r>
              <w:rPr>
                <w:rFonts w:ascii="宋体" w:hAnsi="宋体" w:cs="宋体" w:eastAsia="宋体" w:hint="default"/>
                <w:spacing w:val="-86"/>
                <w:sz w:val="18"/>
                <w:szCs w:val="18"/>
              </w:rPr>
              <w:t> </w:t>
            </w:r>
            <w:r>
              <w:rPr>
                <w:rFonts w:ascii="宋体" w:hAnsi="宋体" w:cs="宋体" w:eastAsia="宋体" w:hint="default"/>
                <w:sz w:val="18"/>
                <w:szCs w:val="18"/>
              </w:rPr>
              <w:t>公积</w:t>
            </w:r>
          </w:p>
        </w:tc>
        <w:tc>
          <w:tcPr>
            <w:tcW w:w="5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316" w:lineRule="auto"/>
              <w:ind w:left="105" w:right="12" w:hanging="82"/>
              <w:jc w:val="left"/>
              <w:rPr>
                <w:rFonts w:ascii="宋体" w:hAnsi="宋体" w:cs="宋体" w:eastAsia="宋体" w:hint="default"/>
                <w:sz w:val="18"/>
                <w:szCs w:val="18"/>
              </w:rPr>
            </w:pPr>
            <w:r>
              <w:rPr>
                <w:rFonts w:ascii="宋体" w:hAnsi="宋体" w:cs="宋体" w:eastAsia="宋体" w:hint="default"/>
                <w:spacing w:val="-7"/>
                <w:sz w:val="18"/>
                <w:szCs w:val="18"/>
              </w:rPr>
              <w:t>减：库</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存股</w:t>
            </w:r>
          </w:p>
        </w:tc>
        <w:tc>
          <w:tcPr>
            <w:tcW w:w="576"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101"/>
              <w:ind w:left="105" w:right="95"/>
              <w:jc w:val="both"/>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pacing w:val="-86"/>
                <w:sz w:val="18"/>
                <w:szCs w:val="18"/>
              </w:rPr>
              <w:t> </w:t>
            </w:r>
            <w:r>
              <w:rPr>
                <w:rFonts w:ascii="宋体" w:hAnsi="宋体" w:cs="宋体" w:eastAsia="宋体" w:hint="default"/>
                <w:sz w:val="18"/>
                <w:szCs w:val="18"/>
              </w:rPr>
              <w:t>综合</w:t>
            </w:r>
            <w:r>
              <w:rPr>
                <w:rFonts w:ascii="宋体" w:hAnsi="宋体" w:cs="宋体" w:eastAsia="宋体" w:hint="default"/>
                <w:spacing w:val="-86"/>
                <w:sz w:val="18"/>
                <w:szCs w:val="18"/>
              </w:rPr>
              <w:t> </w:t>
            </w:r>
            <w:r>
              <w:rPr>
                <w:rFonts w:ascii="宋体" w:hAnsi="宋体" w:cs="宋体" w:eastAsia="宋体" w:hint="default"/>
                <w:sz w:val="18"/>
                <w:szCs w:val="18"/>
              </w:rPr>
              <w:t>收益</w:t>
            </w:r>
          </w:p>
        </w:tc>
        <w:tc>
          <w:tcPr>
            <w:tcW w:w="58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316" w:lineRule="auto"/>
              <w:ind w:left="105" w:right="99"/>
              <w:jc w:val="left"/>
              <w:rPr>
                <w:rFonts w:ascii="宋体" w:hAnsi="宋体" w:cs="宋体" w:eastAsia="宋体" w:hint="default"/>
                <w:sz w:val="18"/>
                <w:szCs w:val="18"/>
              </w:rPr>
            </w:pPr>
            <w:r>
              <w:rPr>
                <w:rFonts w:ascii="宋体" w:hAnsi="宋体" w:cs="宋体" w:eastAsia="宋体" w:hint="default"/>
                <w:sz w:val="18"/>
                <w:szCs w:val="18"/>
              </w:rPr>
              <w:t>专项</w:t>
            </w:r>
            <w:r>
              <w:rPr>
                <w:rFonts w:ascii="宋体" w:hAnsi="宋体" w:cs="宋体" w:eastAsia="宋体" w:hint="default"/>
                <w:spacing w:val="-86"/>
                <w:sz w:val="18"/>
                <w:szCs w:val="18"/>
              </w:rPr>
              <w:t> </w:t>
            </w:r>
            <w:r>
              <w:rPr>
                <w:rFonts w:ascii="宋体" w:hAnsi="宋体" w:cs="宋体" w:eastAsia="宋体" w:hint="default"/>
                <w:sz w:val="18"/>
                <w:szCs w:val="18"/>
              </w:rPr>
              <w:t>储备</w:t>
            </w:r>
          </w:p>
        </w:tc>
        <w:tc>
          <w:tcPr>
            <w:tcW w:w="5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316" w:lineRule="auto"/>
              <w:ind w:left="100" w:right="98"/>
              <w:jc w:val="left"/>
              <w:rPr>
                <w:rFonts w:ascii="宋体" w:hAnsi="宋体" w:cs="宋体" w:eastAsia="宋体" w:hint="default"/>
                <w:sz w:val="18"/>
                <w:szCs w:val="18"/>
              </w:rPr>
            </w:pPr>
            <w:r>
              <w:rPr>
                <w:rFonts w:ascii="宋体" w:hAnsi="宋体" w:cs="宋体" w:eastAsia="宋体" w:hint="default"/>
                <w:sz w:val="18"/>
                <w:szCs w:val="18"/>
              </w:rPr>
              <w:t>盈余</w:t>
            </w:r>
            <w:r>
              <w:rPr>
                <w:rFonts w:ascii="宋体" w:hAnsi="宋体" w:cs="宋体" w:eastAsia="宋体" w:hint="default"/>
                <w:spacing w:val="-86"/>
                <w:sz w:val="18"/>
                <w:szCs w:val="18"/>
              </w:rPr>
              <w:t> </w:t>
            </w:r>
            <w:r>
              <w:rPr>
                <w:rFonts w:ascii="宋体" w:hAnsi="宋体" w:cs="宋体" w:eastAsia="宋体" w:hint="default"/>
                <w:sz w:val="18"/>
                <w:szCs w:val="18"/>
              </w:rPr>
              <w:t>公积</w:t>
            </w:r>
          </w:p>
        </w:tc>
        <w:tc>
          <w:tcPr>
            <w:tcW w:w="577"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101"/>
              <w:ind w:left="105" w:right="94"/>
              <w:jc w:val="both"/>
              <w:rPr>
                <w:rFonts w:ascii="宋体" w:hAnsi="宋体" w:cs="宋体" w:eastAsia="宋体" w:hint="default"/>
                <w:sz w:val="18"/>
                <w:szCs w:val="18"/>
              </w:rPr>
            </w:pPr>
            <w:r>
              <w:rPr>
                <w:rFonts w:ascii="宋体" w:hAnsi="宋体" w:cs="宋体" w:eastAsia="宋体" w:hint="default"/>
                <w:sz w:val="18"/>
                <w:szCs w:val="18"/>
              </w:rPr>
              <w:t>一般</w:t>
            </w:r>
            <w:r>
              <w:rPr>
                <w:rFonts w:ascii="宋体" w:hAnsi="宋体" w:cs="宋体" w:eastAsia="宋体" w:hint="default"/>
                <w:spacing w:val="-86"/>
                <w:sz w:val="18"/>
                <w:szCs w:val="18"/>
              </w:rPr>
              <w:t> </w:t>
            </w:r>
            <w:r>
              <w:rPr>
                <w:rFonts w:ascii="宋体" w:hAnsi="宋体" w:cs="宋体" w:eastAsia="宋体" w:hint="default"/>
                <w:sz w:val="18"/>
                <w:szCs w:val="18"/>
              </w:rPr>
              <w:t>风险</w:t>
            </w:r>
            <w:r>
              <w:rPr>
                <w:rFonts w:ascii="宋体" w:hAnsi="宋体" w:cs="宋体" w:eastAsia="宋体" w:hint="default"/>
                <w:spacing w:val="-86"/>
                <w:sz w:val="18"/>
                <w:szCs w:val="18"/>
              </w:rPr>
              <w:t> </w:t>
            </w:r>
            <w:r>
              <w:rPr>
                <w:rFonts w:ascii="宋体" w:hAnsi="宋体" w:cs="宋体" w:eastAsia="宋体" w:hint="default"/>
                <w:sz w:val="18"/>
                <w:szCs w:val="18"/>
              </w:rPr>
              <w:t>准备</w:t>
            </w:r>
          </w:p>
        </w:tc>
        <w:tc>
          <w:tcPr>
            <w:tcW w:w="590"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101"/>
              <w:ind w:left="110" w:right="103"/>
              <w:jc w:val="both"/>
              <w:rPr>
                <w:rFonts w:ascii="宋体" w:hAnsi="宋体" w:cs="宋体" w:eastAsia="宋体" w:hint="default"/>
                <w:sz w:val="18"/>
                <w:szCs w:val="18"/>
              </w:rPr>
            </w:pPr>
            <w:r>
              <w:rPr>
                <w:rFonts w:ascii="宋体" w:hAnsi="宋体" w:cs="宋体" w:eastAsia="宋体" w:hint="default"/>
                <w:sz w:val="18"/>
                <w:szCs w:val="18"/>
              </w:rPr>
              <w:t>未分</w:t>
            </w:r>
            <w:r>
              <w:rPr>
                <w:rFonts w:ascii="宋体" w:hAnsi="宋体" w:cs="宋体" w:eastAsia="宋体" w:hint="default"/>
                <w:spacing w:val="-86"/>
                <w:sz w:val="18"/>
                <w:szCs w:val="18"/>
              </w:rPr>
              <w:t> </w:t>
            </w:r>
            <w:r>
              <w:rPr>
                <w:rFonts w:ascii="宋体" w:hAnsi="宋体" w:cs="宋体" w:eastAsia="宋体" w:hint="default"/>
                <w:sz w:val="18"/>
                <w:szCs w:val="18"/>
              </w:rPr>
              <w:t>配利</w:t>
            </w:r>
            <w:r>
              <w:rPr>
                <w:rFonts w:ascii="宋体" w:hAnsi="宋体" w:cs="宋体" w:eastAsia="宋体" w:hint="default"/>
                <w:spacing w:val="-86"/>
                <w:sz w:val="18"/>
                <w:szCs w:val="18"/>
              </w:rPr>
              <w:t> </w:t>
            </w:r>
            <w:r>
              <w:rPr>
                <w:rFonts w:ascii="宋体" w:hAnsi="宋体" w:cs="宋体" w:eastAsia="宋体" w:hint="default"/>
                <w:sz w:val="18"/>
                <w:szCs w:val="18"/>
              </w:rPr>
              <w:t>润</w:t>
            </w:r>
          </w:p>
        </w:tc>
        <w:tc>
          <w:tcPr>
            <w:tcW w:w="5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9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9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644" w:type="dxa"/>
            <w:vMerge/>
            <w:tcBorders>
              <w:left w:val="single" w:sz="4" w:space="0" w:color="000000"/>
              <w:right w:val="single" w:sz="4" w:space="0" w:color="000000"/>
            </w:tcBorders>
            <w:shd w:val="clear" w:color="auto" w:fill="D2D2D2"/>
          </w:tcPr>
          <w:p>
            <w:pPr/>
          </w:p>
        </w:tc>
        <w:tc>
          <w:tcPr>
            <w:tcW w:w="648" w:type="dxa"/>
            <w:vMerge/>
            <w:tcBorders>
              <w:left w:val="single" w:sz="4" w:space="0" w:color="000000"/>
              <w:right w:val="single" w:sz="4" w:space="0" w:color="000000"/>
            </w:tcBorders>
            <w:shd w:val="clear" w:color="auto" w:fill="D2D2D2"/>
          </w:tcPr>
          <w:p>
            <w:pPr/>
          </w:p>
        </w:tc>
      </w:tr>
      <w:tr>
        <w:trPr>
          <w:trHeight w:val="716" w:hRule="exact"/>
        </w:trPr>
        <w:tc>
          <w:tcPr>
            <w:tcW w:w="1215" w:type="dxa"/>
            <w:vMerge/>
            <w:tcBorders>
              <w:left w:val="single" w:sz="4" w:space="0" w:color="000000"/>
              <w:bottom w:val="single" w:sz="4" w:space="0" w:color="000000"/>
              <w:right w:val="single" w:sz="4" w:space="0" w:color="000000"/>
            </w:tcBorders>
            <w:shd w:val="clear" w:color="auto" w:fill="D2D2D2"/>
          </w:tcPr>
          <w:p>
            <w:pPr/>
          </w:p>
        </w:tc>
        <w:tc>
          <w:tcPr>
            <w:tcW w:w="490" w:type="dxa"/>
            <w:vMerge/>
            <w:tcBorders>
              <w:left w:val="single" w:sz="4" w:space="0" w:color="000000"/>
              <w:bottom w:val="single" w:sz="4" w:space="0" w:color="000000"/>
              <w:right w:val="single" w:sz="4" w:space="0" w:color="000000"/>
            </w:tcBorders>
            <w:shd w:val="clear" w:color="auto" w:fill="D2D2D2"/>
          </w:tcPr>
          <w:p>
            <w:pPr/>
          </w:p>
        </w:tc>
        <w:tc>
          <w:tcPr>
            <w:tcW w:w="4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129" w:right="31" w:hanging="92"/>
              <w:jc w:val="left"/>
              <w:rPr>
                <w:rFonts w:ascii="宋体" w:hAnsi="宋体" w:cs="宋体" w:eastAsia="宋体" w:hint="default"/>
                <w:sz w:val="18"/>
                <w:szCs w:val="18"/>
              </w:rPr>
            </w:pPr>
            <w:r>
              <w:rPr>
                <w:rFonts w:ascii="宋体" w:hAnsi="宋体" w:cs="宋体" w:eastAsia="宋体" w:hint="default"/>
                <w:sz w:val="18"/>
                <w:szCs w:val="18"/>
              </w:rPr>
              <w:t>优先</w:t>
            </w:r>
            <w:r>
              <w:rPr>
                <w:rFonts w:ascii="宋体" w:hAnsi="宋体" w:cs="宋体" w:eastAsia="宋体" w:hint="default"/>
                <w:spacing w:val="-86"/>
                <w:sz w:val="18"/>
                <w:szCs w:val="18"/>
              </w:rPr>
              <w:t> </w:t>
            </w:r>
            <w:r>
              <w:rPr>
                <w:rFonts w:ascii="宋体" w:hAnsi="宋体" w:cs="宋体" w:eastAsia="宋体" w:hint="default"/>
                <w:sz w:val="18"/>
                <w:szCs w:val="18"/>
              </w:rPr>
              <w:t>股</w:t>
            </w:r>
          </w:p>
        </w:tc>
        <w:tc>
          <w:tcPr>
            <w:tcW w:w="4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129" w:right="36" w:hanging="92"/>
              <w:jc w:val="left"/>
              <w:rPr>
                <w:rFonts w:ascii="宋体" w:hAnsi="宋体" w:cs="宋体" w:eastAsia="宋体" w:hint="default"/>
                <w:sz w:val="18"/>
                <w:szCs w:val="18"/>
              </w:rPr>
            </w:pPr>
            <w:r>
              <w:rPr>
                <w:rFonts w:ascii="宋体" w:hAnsi="宋体" w:cs="宋体" w:eastAsia="宋体" w:hint="default"/>
                <w:sz w:val="18"/>
                <w:szCs w:val="18"/>
              </w:rPr>
              <w:t>永续</w:t>
            </w:r>
            <w:r>
              <w:rPr>
                <w:rFonts w:ascii="宋体" w:hAnsi="宋体" w:cs="宋体" w:eastAsia="宋体" w:hint="default"/>
                <w:spacing w:val="-86"/>
                <w:sz w:val="18"/>
                <w:szCs w:val="18"/>
              </w:rPr>
              <w:t> </w:t>
            </w:r>
            <w:r>
              <w:rPr>
                <w:rFonts w:ascii="宋体" w:hAnsi="宋体" w:cs="宋体" w:eastAsia="宋体" w:hint="default"/>
                <w:sz w:val="18"/>
                <w:szCs w:val="18"/>
              </w:rPr>
              <w:t>债</w:t>
            </w:r>
          </w:p>
        </w:tc>
        <w:tc>
          <w:tcPr>
            <w:tcW w:w="4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6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76" w:type="dxa"/>
            <w:vMerge/>
            <w:tcBorders>
              <w:left w:val="single" w:sz="4" w:space="0" w:color="000000"/>
              <w:bottom w:val="single" w:sz="4" w:space="0" w:color="000000"/>
              <w:right w:val="single" w:sz="4" w:space="0" w:color="000000"/>
            </w:tcBorders>
            <w:shd w:val="clear" w:color="auto" w:fill="D2D2D2"/>
          </w:tcPr>
          <w:p>
            <w:pPr/>
          </w:p>
        </w:tc>
        <w:tc>
          <w:tcPr>
            <w:tcW w:w="576" w:type="dxa"/>
            <w:vMerge/>
            <w:tcBorders>
              <w:left w:val="single" w:sz="4" w:space="0" w:color="000000"/>
              <w:bottom w:val="single" w:sz="4" w:space="0" w:color="000000"/>
              <w:right w:val="single" w:sz="4" w:space="0" w:color="000000"/>
            </w:tcBorders>
            <w:shd w:val="clear" w:color="auto" w:fill="D2D2D2"/>
          </w:tcPr>
          <w:p>
            <w:pPr/>
          </w:p>
        </w:tc>
        <w:tc>
          <w:tcPr>
            <w:tcW w:w="576" w:type="dxa"/>
            <w:vMerge/>
            <w:tcBorders>
              <w:left w:val="single" w:sz="4" w:space="0" w:color="000000"/>
              <w:bottom w:val="single" w:sz="4" w:space="0" w:color="000000"/>
              <w:right w:val="single" w:sz="4" w:space="0" w:color="000000"/>
            </w:tcBorders>
            <w:shd w:val="clear" w:color="auto" w:fill="D2D2D2"/>
          </w:tcPr>
          <w:p>
            <w:pPr/>
          </w:p>
        </w:tc>
        <w:tc>
          <w:tcPr>
            <w:tcW w:w="581" w:type="dxa"/>
            <w:vMerge/>
            <w:tcBorders>
              <w:left w:val="single" w:sz="4" w:space="0" w:color="000000"/>
              <w:bottom w:val="single" w:sz="4" w:space="0" w:color="000000"/>
              <w:right w:val="single" w:sz="4" w:space="0" w:color="000000"/>
            </w:tcBorders>
            <w:shd w:val="clear" w:color="auto" w:fill="D2D2D2"/>
          </w:tcPr>
          <w:p>
            <w:pPr/>
          </w:p>
        </w:tc>
        <w:tc>
          <w:tcPr>
            <w:tcW w:w="576" w:type="dxa"/>
            <w:vMerge/>
            <w:tcBorders>
              <w:left w:val="single" w:sz="4" w:space="0" w:color="000000"/>
              <w:bottom w:val="single" w:sz="4" w:space="0" w:color="000000"/>
              <w:right w:val="single" w:sz="4" w:space="0" w:color="000000"/>
            </w:tcBorders>
            <w:shd w:val="clear" w:color="auto" w:fill="D2D2D2"/>
          </w:tcPr>
          <w:p>
            <w:pPr/>
          </w:p>
        </w:tc>
        <w:tc>
          <w:tcPr>
            <w:tcW w:w="577" w:type="dxa"/>
            <w:vMerge/>
            <w:tcBorders>
              <w:left w:val="single" w:sz="4" w:space="0" w:color="000000"/>
              <w:bottom w:val="single" w:sz="4" w:space="0" w:color="000000"/>
              <w:right w:val="single" w:sz="4" w:space="0" w:color="000000"/>
            </w:tcBorders>
            <w:shd w:val="clear" w:color="auto" w:fill="D2D2D2"/>
          </w:tcPr>
          <w:p>
            <w:pPr/>
          </w:p>
        </w:tc>
        <w:tc>
          <w:tcPr>
            <w:tcW w:w="590" w:type="dxa"/>
            <w:vMerge/>
            <w:tcBorders>
              <w:left w:val="single" w:sz="4" w:space="0" w:color="000000"/>
              <w:bottom w:val="single" w:sz="4" w:space="0" w:color="000000"/>
              <w:right w:val="single" w:sz="4" w:space="0" w:color="000000"/>
            </w:tcBorders>
            <w:shd w:val="clear" w:color="auto" w:fill="D2D2D2"/>
          </w:tcPr>
          <w:p>
            <w:pPr/>
          </w:p>
        </w:tc>
        <w:tc>
          <w:tcPr>
            <w:tcW w:w="567" w:type="dxa"/>
            <w:vMerge/>
            <w:tcBorders>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644" w:type="dxa"/>
            <w:vMerge/>
            <w:tcBorders>
              <w:left w:val="single" w:sz="4" w:space="0" w:color="000000"/>
              <w:bottom w:val="single" w:sz="4" w:space="0" w:color="000000"/>
              <w:right w:val="single" w:sz="4" w:space="0" w:color="000000"/>
            </w:tcBorders>
            <w:shd w:val="clear" w:color="auto" w:fill="D2D2D2"/>
          </w:tcPr>
          <w:p>
            <w:pPr/>
          </w:p>
        </w:tc>
        <w:tc>
          <w:tcPr>
            <w:tcW w:w="648" w:type="dxa"/>
            <w:vMerge/>
            <w:tcBorders>
              <w:left w:val="single" w:sz="4" w:space="0" w:color="000000"/>
              <w:bottom w:val="single" w:sz="4" w:space="0" w:color="000000"/>
              <w:right w:val="single" w:sz="4" w:space="0" w:color="000000"/>
            </w:tcBorders>
            <w:shd w:val="clear" w:color="auto" w:fill="D2D2D2"/>
          </w:tcPr>
          <w:p>
            <w:pPr/>
          </w:p>
        </w:tc>
      </w:tr>
      <w:tr>
        <w:trPr>
          <w:trHeight w:val="1022"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 w:right="94"/>
              <w:jc w:val="left"/>
              <w:rPr>
                <w:rFonts w:ascii="宋体" w:hAnsi="宋体" w:cs="宋体" w:eastAsia="宋体" w:hint="default"/>
                <w:sz w:val="18"/>
                <w:szCs w:val="18"/>
              </w:rPr>
            </w:pPr>
            <w:r>
              <w:rPr>
                <w:rFonts w:ascii="宋体" w:hAnsi="宋体" w:cs="宋体" w:eastAsia="宋体" w:hint="default"/>
                <w:spacing w:val="-2"/>
                <w:sz w:val="18"/>
                <w:szCs w:val="18"/>
              </w:rPr>
              <w:t>一、上年期末</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余额</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246,6</w:t>
            </w:r>
          </w:p>
          <w:p>
            <w:pPr>
              <w:pStyle w:val="TableParagraph"/>
              <w:spacing w:line="240" w:lineRule="auto" w:before="105"/>
              <w:ind w:left="52" w:right="0"/>
              <w:jc w:val="left"/>
              <w:rPr>
                <w:rFonts w:ascii="Times New Roman" w:hAnsi="Times New Roman" w:cs="Times New Roman" w:eastAsia="Times New Roman" w:hint="default"/>
                <w:sz w:val="18"/>
                <w:szCs w:val="18"/>
              </w:rPr>
            </w:pPr>
            <w:r>
              <w:rPr>
                <w:rFonts w:ascii="Times New Roman"/>
                <w:sz w:val="18"/>
              </w:rPr>
              <w:t>06,04</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6.00</w:t>
            </w: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 w:right="0"/>
              <w:jc w:val="left"/>
              <w:rPr>
                <w:rFonts w:ascii="Times New Roman" w:hAnsi="Times New Roman" w:cs="Times New Roman" w:eastAsia="Times New Roman" w:hint="default"/>
                <w:sz w:val="18"/>
                <w:szCs w:val="18"/>
              </w:rPr>
            </w:pPr>
            <w:r>
              <w:rPr>
                <w:rFonts w:ascii="Times New Roman"/>
                <w:sz w:val="18"/>
              </w:rPr>
              <w:t>807,73</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4,582.</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58</w:t>
            </w: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8" w:right="0"/>
              <w:jc w:val="center"/>
              <w:rPr>
                <w:rFonts w:ascii="Times New Roman" w:hAnsi="Times New Roman" w:cs="Times New Roman" w:eastAsia="Times New Roman" w:hint="default"/>
                <w:sz w:val="18"/>
                <w:szCs w:val="18"/>
              </w:rPr>
            </w:pPr>
            <w:r>
              <w:rPr>
                <w:rFonts w:ascii="Times New Roman"/>
                <w:sz w:val="18"/>
              </w:rPr>
              <w:t>510,59</w:t>
            </w:r>
          </w:p>
          <w:p>
            <w:pPr>
              <w:pStyle w:val="TableParagraph"/>
              <w:spacing w:line="240" w:lineRule="auto" w:before="110"/>
              <w:ind w:left="215" w:right="0"/>
              <w:jc w:val="center"/>
              <w:rPr>
                <w:rFonts w:ascii="Times New Roman" w:hAnsi="Times New Roman" w:cs="Times New Roman" w:eastAsia="Times New Roman" w:hint="default"/>
                <w:sz w:val="18"/>
                <w:szCs w:val="18"/>
              </w:rPr>
            </w:pPr>
            <w:r>
              <w:rPr>
                <w:rFonts w:ascii="Times New Roman"/>
                <w:sz w:val="18"/>
              </w:rPr>
              <w:t>0.75</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96" w:right="0"/>
              <w:jc w:val="left"/>
              <w:rPr>
                <w:rFonts w:ascii="Times New Roman" w:hAnsi="Times New Roman" w:cs="Times New Roman" w:eastAsia="Times New Roman" w:hint="default"/>
                <w:sz w:val="18"/>
                <w:szCs w:val="18"/>
              </w:rPr>
            </w:pPr>
            <w:r>
              <w:rPr>
                <w:rFonts w:ascii="Times New Roman"/>
                <w:sz w:val="18"/>
              </w:rPr>
              <w:t>1,345,</w:t>
            </w:r>
          </w:p>
          <w:p>
            <w:pPr>
              <w:pStyle w:val="TableParagraph"/>
              <w:spacing w:line="240" w:lineRule="auto" w:before="110"/>
              <w:ind w:left="52" w:right="0"/>
              <w:jc w:val="left"/>
              <w:rPr>
                <w:rFonts w:ascii="Times New Roman" w:hAnsi="Times New Roman" w:cs="Times New Roman" w:eastAsia="Times New Roman" w:hint="default"/>
                <w:sz w:val="18"/>
                <w:szCs w:val="18"/>
              </w:rPr>
            </w:pPr>
            <w:r>
              <w:rPr>
                <w:rFonts w:ascii="Times New Roman"/>
                <w:sz w:val="18"/>
              </w:rPr>
              <w:t>025.22</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77,335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pacing w:val="-1"/>
                <w:sz w:val="18"/>
              </w:rPr>
              <w:t>,774.4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577"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322,95</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3,434.</w:t>
            </w:r>
          </w:p>
          <w:p>
            <w:pPr>
              <w:pStyle w:val="TableParagraph"/>
              <w:spacing w:line="240" w:lineRule="auto" w:before="105"/>
              <w:ind w:left="379" w:right="0"/>
              <w:jc w:val="left"/>
              <w:rPr>
                <w:rFonts w:ascii="Times New Roman" w:hAnsi="Times New Roman" w:cs="Times New Roman" w:eastAsia="Times New Roman" w:hint="default"/>
                <w:sz w:val="18"/>
                <w:szCs w:val="18"/>
              </w:rPr>
            </w:pPr>
            <w:r>
              <w:rPr>
                <w:rFonts w:ascii="Times New Roman"/>
                <w:sz w:val="18"/>
              </w:rPr>
              <w:t>90</w:t>
            </w: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center"/>
              <w:rPr>
                <w:rFonts w:ascii="Times New Roman" w:hAnsi="Times New Roman" w:cs="Times New Roman" w:eastAsia="Times New Roman" w:hint="default"/>
                <w:sz w:val="18"/>
                <w:szCs w:val="18"/>
              </w:rPr>
            </w:pPr>
            <w:r>
              <w:rPr>
                <w:rFonts w:ascii="Times New Roman"/>
                <w:sz w:val="18"/>
              </w:rPr>
              <w:t>1,456,</w:t>
            </w:r>
          </w:p>
          <w:p>
            <w:pPr>
              <w:pStyle w:val="TableParagraph"/>
              <w:spacing w:line="240" w:lineRule="auto" w:before="105"/>
              <w:ind w:left="19" w:right="0"/>
              <w:jc w:val="center"/>
              <w:rPr>
                <w:rFonts w:ascii="Times New Roman" w:hAnsi="Times New Roman" w:cs="Times New Roman" w:eastAsia="Times New Roman" w:hint="default"/>
                <w:sz w:val="18"/>
                <w:szCs w:val="18"/>
              </w:rPr>
            </w:pPr>
            <w:r>
              <w:rPr>
                <w:rFonts w:ascii="Times New Roman"/>
                <w:sz w:val="18"/>
              </w:rPr>
              <w:t>485,45</w:t>
            </w:r>
          </w:p>
          <w:p>
            <w:pPr>
              <w:pStyle w:val="TableParagraph"/>
              <w:spacing w:line="240" w:lineRule="auto" w:before="105"/>
              <w:ind w:left="196" w:right="0"/>
              <w:jc w:val="center"/>
              <w:rPr>
                <w:rFonts w:ascii="Times New Roman" w:hAnsi="Times New Roman" w:cs="Times New Roman" w:eastAsia="Times New Roman" w:hint="default"/>
                <w:sz w:val="18"/>
                <w:szCs w:val="18"/>
              </w:rPr>
            </w:pPr>
            <w:r>
              <w:rPr>
                <w:rFonts w:ascii="Times New Roman"/>
                <w:sz w:val="18"/>
              </w:rPr>
              <w:t>3.90</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2,646,9</w:t>
            </w:r>
          </w:p>
          <w:p>
            <w:pPr>
              <w:pStyle w:val="TableParagraph"/>
              <w:spacing w:line="240" w:lineRule="auto" w:before="110"/>
              <w:ind w:left="186" w:right="0"/>
              <w:jc w:val="center"/>
              <w:rPr>
                <w:rFonts w:ascii="Times New Roman" w:hAnsi="Times New Roman" w:cs="Times New Roman" w:eastAsia="Times New Roman" w:hint="default"/>
                <w:sz w:val="18"/>
                <w:szCs w:val="18"/>
              </w:rPr>
            </w:pPr>
            <w:r>
              <w:rPr>
                <w:rFonts w:ascii="Times New Roman"/>
                <w:sz w:val="18"/>
              </w:rPr>
              <w:t>55.07</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1,459,1</w:t>
            </w:r>
          </w:p>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pacing w:val="-2"/>
                <w:sz w:val="18"/>
              </w:rPr>
              <w:t>32,408.</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97</w:t>
            </w:r>
          </w:p>
        </w:tc>
      </w:tr>
      <w:tr>
        <w:trPr>
          <w:trHeight w:val="716"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8"/>
              <w:ind w:left="24" w:right="94"/>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加：会计</w:t>
            </w:r>
            <w:r>
              <w:rPr>
                <w:rFonts w:ascii="宋体" w:hAnsi="宋体" w:cs="宋体" w:eastAsia="宋体" w:hint="default"/>
                <w:w w:val="101"/>
                <w:sz w:val="18"/>
                <w:szCs w:val="18"/>
              </w:rPr>
              <w:t> </w:t>
            </w:r>
            <w:r>
              <w:rPr>
                <w:rFonts w:ascii="宋体" w:hAnsi="宋体" w:cs="宋体" w:eastAsia="宋体" w:hint="default"/>
                <w:sz w:val="18"/>
                <w:szCs w:val="18"/>
              </w:rPr>
              <w:t>政策变更</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94"/>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3"/>
                <w:sz w:val="18"/>
                <w:szCs w:val="18"/>
              </w:rPr>
              <w:t> </w:t>
            </w:r>
            <w:r>
              <w:rPr>
                <w:rFonts w:ascii="宋体" w:hAnsi="宋体" w:cs="宋体" w:eastAsia="宋体" w:hint="default"/>
                <w:sz w:val="18"/>
                <w:szCs w:val="18"/>
              </w:rPr>
              <w:t>前期</w:t>
            </w:r>
            <w:r>
              <w:rPr>
                <w:rFonts w:ascii="宋体" w:hAnsi="宋体" w:cs="宋体" w:eastAsia="宋体" w:hint="default"/>
                <w:w w:val="101"/>
                <w:sz w:val="18"/>
                <w:szCs w:val="18"/>
              </w:rPr>
              <w:t> </w:t>
            </w:r>
            <w:r>
              <w:rPr>
                <w:rFonts w:ascii="宋体" w:hAnsi="宋体" w:cs="宋体" w:eastAsia="宋体" w:hint="default"/>
                <w:sz w:val="18"/>
                <w:szCs w:val="18"/>
              </w:rPr>
              <w:t>差错更正</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94"/>
              <w:jc w:val="both"/>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3"/>
                <w:sz w:val="18"/>
                <w:szCs w:val="18"/>
              </w:rPr>
              <w:t> </w:t>
            </w:r>
            <w:r>
              <w:rPr>
                <w:rFonts w:ascii="宋体" w:hAnsi="宋体" w:cs="宋体" w:eastAsia="宋体" w:hint="default"/>
                <w:sz w:val="18"/>
                <w:szCs w:val="18"/>
              </w:rPr>
              <w:t>同一</w:t>
            </w:r>
            <w:r>
              <w:rPr>
                <w:rFonts w:ascii="宋体" w:hAnsi="宋体" w:cs="宋体" w:eastAsia="宋体" w:hint="default"/>
                <w:w w:val="101"/>
                <w:sz w:val="18"/>
                <w:szCs w:val="18"/>
              </w:rPr>
              <w:t> </w:t>
            </w:r>
            <w:r>
              <w:rPr>
                <w:rFonts w:ascii="宋体" w:hAnsi="宋体" w:cs="宋体" w:eastAsia="宋体" w:hint="default"/>
                <w:spacing w:val="-2"/>
                <w:sz w:val="18"/>
                <w:szCs w:val="18"/>
              </w:rPr>
              <w:t>控制下企业合</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并</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3"/>
                <w:sz w:val="18"/>
                <w:szCs w:val="18"/>
              </w:rPr>
              <w:t> </w:t>
            </w: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2" w:lineRule="auto"/>
              <w:ind w:left="24" w:right="94"/>
              <w:jc w:val="left"/>
              <w:rPr>
                <w:rFonts w:ascii="宋体" w:hAnsi="宋体" w:cs="宋体" w:eastAsia="宋体" w:hint="default"/>
                <w:sz w:val="18"/>
                <w:szCs w:val="18"/>
              </w:rPr>
            </w:pPr>
            <w:r>
              <w:rPr>
                <w:rFonts w:ascii="宋体" w:hAnsi="宋体" w:cs="宋体" w:eastAsia="宋体" w:hint="default"/>
                <w:spacing w:val="-2"/>
                <w:sz w:val="18"/>
                <w:szCs w:val="18"/>
              </w:rPr>
              <w:t>二、本年期初</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余额</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2" w:right="0"/>
              <w:jc w:val="left"/>
              <w:rPr>
                <w:rFonts w:ascii="Times New Roman" w:hAnsi="Times New Roman" w:cs="Times New Roman" w:eastAsia="Times New Roman" w:hint="default"/>
                <w:sz w:val="18"/>
                <w:szCs w:val="18"/>
              </w:rPr>
            </w:pPr>
            <w:r>
              <w:rPr>
                <w:rFonts w:ascii="Times New Roman"/>
                <w:sz w:val="18"/>
              </w:rPr>
              <w:t>246,6</w:t>
            </w:r>
          </w:p>
          <w:p>
            <w:pPr>
              <w:pStyle w:val="TableParagraph"/>
              <w:spacing w:line="240" w:lineRule="auto" w:before="105"/>
              <w:ind w:left="52" w:right="0"/>
              <w:jc w:val="left"/>
              <w:rPr>
                <w:rFonts w:ascii="Times New Roman" w:hAnsi="Times New Roman" w:cs="Times New Roman" w:eastAsia="Times New Roman" w:hint="default"/>
                <w:sz w:val="18"/>
                <w:szCs w:val="18"/>
              </w:rPr>
            </w:pPr>
            <w:r>
              <w:rPr>
                <w:rFonts w:ascii="Times New Roman"/>
                <w:sz w:val="18"/>
              </w:rPr>
              <w:t>06,04</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6.00</w:t>
            </w: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7" w:right="0"/>
              <w:jc w:val="left"/>
              <w:rPr>
                <w:rFonts w:ascii="Times New Roman" w:hAnsi="Times New Roman" w:cs="Times New Roman" w:eastAsia="Times New Roman" w:hint="default"/>
                <w:sz w:val="18"/>
                <w:szCs w:val="18"/>
              </w:rPr>
            </w:pPr>
            <w:r>
              <w:rPr>
                <w:rFonts w:ascii="Times New Roman"/>
                <w:sz w:val="18"/>
              </w:rPr>
              <w:t>807,73</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4,582.</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58</w:t>
            </w: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8" w:right="0"/>
              <w:jc w:val="center"/>
              <w:rPr>
                <w:rFonts w:ascii="Times New Roman" w:hAnsi="Times New Roman" w:cs="Times New Roman" w:eastAsia="Times New Roman" w:hint="default"/>
                <w:sz w:val="18"/>
                <w:szCs w:val="18"/>
              </w:rPr>
            </w:pPr>
            <w:r>
              <w:rPr>
                <w:rFonts w:ascii="Times New Roman"/>
                <w:sz w:val="18"/>
              </w:rPr>
              <w:t>510,59</w:t>
            </w:r>
          </w:p>
          <w:p>
            <w:pPr>
              <w:pStyle w:val="TableParagraph"/>
              <w:spacing w:line="240" w:lineRule="auto" w:before="105"/>
              <w:ind w:left="215" w:right="0"/>
              <w:jc w:val="center"/>
              <w:rPr>
                <w:rFonts w:ascii="Times New Roman" w:hAnsi="Times New Roman" w:cs="Times New Roman" w:eastAsia="Times New Roman" w:hint="default"/>
                <w:sz w:val="18"/>
                <w:szCs w:val="18"/>
              </w:rPr>
            </w:pPr>
            <w:r>
              <w:rPr>
                <w:rFonts w:ascii="Times New Roman"/>
                <w:sz w:val="18"/>
              </w:rPr>
              <w:t>0.75</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6" w:right="0"/>
              <w:jc w:val="left"/>
              <w:rPr>
                <w:rFonts w:ascii="Times New Roman" w:hAnsi="Times New Roman" w:cs="Times New Roman" w:eastAsia="Times New Roman" w:hint="default"/>
                <w:sz w:val="18"/>
                <w:szCs w:val="18"/>
              </w:rPr>
            </w:pPr>
            <w:r>
              <w:rPr>
                <w:rFonts w:ascii="Times New Roman"/>
                <w:sz w:val="18"/>
              </w:rPr>
              <w:t>1,345,</w:t>
            </w:r>
          </w:p>
          <w:p>
            <w:pPr>
              <w:pStyle w:val="TableParagraph"/>
              <w:spacing w:line="240" w:lineRule="auto" w:before="105"/>
              <w:ind w:left="52" w:right="0"/>
              <w:jc w:val="left"/>
              <w:rPr>
                <w:rFonts w:ascii="Times New Roman" w:hAnsi="Times New Roman" w:cs="Times New Roman" w:eastAsia="Times New Roman" w:hint="default"/>
                <w:sz w:val="18"/>
                <w:szCs w:val="18"/>
              </w:rPr>
            </w:pPr>
            <w:r>
              <w:rPr>
                <w:rFonts w:ascii="Times New Roman"/>
                <w:sz w:val="18"/>
              </w:rPr>
              <w:t>025.22</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77,335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pacing w:val="-1"/>
                <w:sz w:val="18"/>
              </w:rPr>
              <w:t>,774.4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577"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2" w:right="0"/>
              <w:jc w:val="left"/>
              <w:rPr>
                <w:rFonts w:ascii="Times New Roman" w:hAnsi="Times New Roman" w:cs="Times New Roman" w:eastAsia="Times New Roman" w:hint="default"/>
                <w:sz w:val="18"/>
                <w:szCs w:val="18"/>
              </w:rPr>
            </w:pPr>
            <w:r>
              <w:rPr>
                <w:rFonts w:ascii="Times New Roman"/>
                <w:sz w:val="18"/>
              </w:rPr>
              <w:t>322,95</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3,434.</w:t>
            </w:r>
          </w:p>
          <w:p>
            <w:pPr>
              <w:pStyle w:val="TableParagraph"/>
              <w:spacing w:line="240" w:lineRule="auto" w:before="105"/>
              <w:ind w:left="379" w:right="0"/>
              <w:jc w:val="left"/>
              <w:rPr>
                <w:rFonts w:ascii="Times New Roman" w:hAnsi="Times New Roman" w:cs="Times New Roman" w:eastAsia="Times New Roman" w:hint="default"/>
                <w:sz w:val="18"/>
                <w:szCs w:val="18"/>
              </w:rPr>
            </w:pPr>
            <w:r>
              <w:rPr>
                <w:rFonts w:ascii="Times New Roman"/>
                <w:sz w:val="18"/>
              </w:rPr>
              <w:t>90</w:t>
            </w: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9" w:right="0"/>
              <w:jc w:val="center"/>
              <w:rPr>
                <w:rFonts w:ascii="Times New Roman" w:hAnsi="Times New Roman" w:cs="Times New Roman" w:eastAsia="Times New Roman" w:hint="default"/>
                <w:sz w:val="18"/>
                <w:szCs w:val="18"/>
              </w:rPr>
            </w:pPr>
            <w:r>
              <w:rPr>
                <w:rFonts w:ascii="Times New Roman"/>
                <w:sz w:val="18"/>
              </w:rPr>
              <w:t>1,456,</w:t>
            </w:r>
          </w:p>
          <w:p>
            <w:pPr>
              <w:pStyle w:val="TableParagraph"/>
              <w:spacing w:line="240" w:lineRule="auto" w:before="105"/>
              <w:ind w:left="19" w:right="0"/>
              <w:jc w:val="center"/>
              <w:rPr>
                <w:rFonts w:ascii="Times New Roman" w:hAnsi="Times New Roman" w:cs="Times New Roman" w:eastAsia="Times New Roman" w:hint="default"/>
                <w:sz w:val="18"/>
                <w:szCs w:val="18"/>
              </w:rPr>
            </w:pPr>
            <w:r>
              <w:rPr>
                <w:rFonts w:ascii="Times New Roman"/>
                <w:sz w:val="18"/>
              </w:rPr>
              <w:t>485,45</w:t>
            </w:r>
          </w:p>
          <w:p>
            <w:pPr>
              <w:pStyle w:val="TableParagraph"/>
              <w:spacing w:line="240" w:lineRule="auto" w:before="105"/>
              <w:ind w:left="196" w:right="0"/>
              <w:jc w:val="center"/>
              <w:rPr>
                <w:rFonts w:ascii="Times New Roman" w:hAnsi="Times New Roman" w:cs="Times New Roman" w:eastAsia="Times New Roman" w:hint="default"/>
                <w:sz w:val="18"/>
                <w:szCs w:val="18"/>
              </w:rPr>
            </w:pPr>
            <w:r>
              <w:rPr>
                <w:rFonts w:ascii="Times New Roman"/>
                <w:sz w:val="18"/>
              </w:rPr>
              <w:t>3.90</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2,646,9</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55.07</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1,459,1</w:t>
            </w:r>
          </w:p>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pacing w:val="-2"/>
                <w:sz w:val="18"/>
              </w:rPr>
              <w:t>32,408.</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97</w:t>
            </w:r>
          </w:p>
        </w:tc>
      </w:tr>
      <w:tr>
        <w:trPr>
          <w:trHeight w:val="1027"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3"/>
              <w:ind w:left="24" w:right="94"/>
              <w:jc w:val="both"/>
              <w:rPr>
                <w:rFonts w:ascii="宋体" w:hAnsi="宋体" w:cs="宋体" w:eastAsia="宋体" w:hint="default"/>
                <w:sz w:val="18"/>
                <w:szCs w:val="18"/>
              </w:rPr>
            </w:pPr>
            <w:r>
              <w:rPr>
                <w:rFonts w:ascii="宋体" w:hAnsi="宋体" w:cs="宋体" w:eastAsia="宋体" w:hint="default"/>
                <w:spacing w:val="-2"/>
                <w:sz w:val="18"/>
                <w:szCs w:val="18"/>
              </w:rPr>
              <w:t>三、本期增减</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变动金额（减</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-10,81</w:t>
            </w:r>
          </w:p>
          <w:p>
            <w:pPr>
              <w:pStyle w:val="TableParagraph"/>
              <w:spacing w:line="240" w:lineRule="auto" w:before="110"/>
              <w:ind w:left="91" w:right="0"/>
              <w:jc w:val="left"/>
              <w:rPr>
                <w:rFonts w:ascii="Times New Roman" w:hAnsi="Times New Roman" w:cs="Times New Roman" w:eastAsia="Times New Roman" w:hint="default"/>
                <w:sz w:val="18"/>
                <w:szCs w:val="18"/>
              </w:rPr>
            </w:pPr>
            <w:r>
              <w:rPr>
                <w:rFonts w:ascii="Times New Roman"/>
                <w:sz w:val="18"/>
              </w:rPr>
              <w:t>0,373.</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98</w:t>
            </w: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-510,5</w:t>
            </w:r>
          </w:p>
          <w:p>
            <w:pPr>
              <w:pStyle w:val="TableParagraph"/>
              <w:spacing w:line="240" w:lineRule="auto" w:before="105"/>
              <w:ind w:left="143" w:right="0"/>
              <w:jc w:val="left"/>
              <w:rPr>
                <w:rFonts w:ascii="Times New Roman" w:hAnsi="Times New Roman" w:cs="Times New Roman" w:eastAsia="Times New Roman" w:hint="default"/>
                <w:sz w:val="18"/>
                <w:szCs w:val="18"/>
              </w:rPr>
            </w:pPr>
            <w:r>
              <w:rPr>
                <w:rFonts w:ascii="Times New Roman"/>
                <w:sz w:val="18"/>
              </w:rPr>
              <w:t>90.75</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36,581</w:t>
            </w:r>
          </w:p>
          <w:p>
            <w:pPr>
              <w:pStyle w:val="TableParagraph"/>
              <w:spacing w:line="240" w:lineRule="auto" w:before="105"/>
              <w:ind w:left="322" w:right="0"/>
              <w:jc w:val="left"/>
              <w:rPr>
                <w:rFonts w:ascii="Times New Roman" w:hAnsi="Times New Roman" w:cs="Times New Roman" w:eastAsia="Times New Roman" w:hint="default"/>
                <w:sz w:val="18"/>
                <w:szCs w:val="18"/>
              </w:rPr>
            </w:pPr>
            <w:r>
              <w:rPr>
                <w:rFonts w:ascii="Times New Roman"/>
                <w:sz w:val="18"/>
              </w:rPr>
              <w:t>.52</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5,398,</w:t>
            </w:r>
          </w:p>
          <w:p>
            <w:pPr>
              <w:pStyle w:val="TableParagraph"/>
              <w:spacing w:line="240" w:lineRule="auto" w:before="105"/>
              <w:ind w:left="47" w:right="0"/>
              <w:jc w:val="left"/>
              <w:rPr>
                <w:rFonts w:ascii="Times New Roman" w:hAnsi="Times New Roman" w:cs="Times New Roman" w:eastAsia="Times New Roman" w:hint="default"/>
                <w:sz w:val="18"/>
                <w:szCs w:val="18"/>
              </w:rPr>
            </w:pPr>
            <w:r>
              <w:rPr>
                <w:rFonts w:ascii="Times New Roman"/>
                <w:sz w:val="18"/>
              </w:rPr>
              <w:t>170.44</w:t>
            </w:r>
          </w:p>
        </w:tc>
        <w:tc>
          <w:tcPr>
            <w:tcW w:w="577"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64,441</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pacing w:val="-1"/>
                <w:sz w:val="18"/>
              </w:rPr>
              <w:t>,067.0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58,554</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pacing w:val="-1"/>
                <w:sz w:val="18"/>
              </w:rPr>
              <w:t>,854.2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256,326</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sz w:val="18"/>
              </w:rPr>
              <w:t>,901.65</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314,881</w:t>
            </w:r>
          </w:p>
          <w:p>
            <w:pPr>
              <w:pStyle w:val="TableParagraph"/>
              <w:spacing w:line="240" w:lineRule="auto" w:before="105"/>
              <w:ind w:left="81" w:right="0"/>
              <w:jc w:val="left"/>
              <w:rPr>
                <w:rFonts w:ascii="Times New Roman" w:hAnsi="Times New Roman" w:cs="Times New Roman" w:eastAsia="Times New Roman" w:hint="default"/>
                <w:sz w:val="18"/>
                <w:szCs w:val="18"/>
              </w:rPr>
            </w:pPr>
            <w:r>
              <w:rPr>
                <w:rFonts w:ascii="Times New Roman"/>
                <w:sz w:val="18"/>
              </w:rPr>
              <w:t>,755.91</w:t>
            </w:r>
          </w:p>
        </w:tc>
      </w:tr>
    </w:tbl>
    <w:p>
      <w:pPr>
        <w:spacing w:after="0" w:line="240" w:lineRule="auto"/>
        <w:jc w:val="left"/>
        <w:rPr>
          <w:rFonts w:ascii="Times New Roman" w:hAnsi="Times New Roman" w:cs="Times New Roman" w:eastAsia="Times New Roman" w:hint="default"/>
          <w:sz w:val="18"/>
          <w:szCs w:val="18"/>
        </w:rPr>
        <w:sectPr>
          <w:pgSz w:w="11910" w:h="16840"/>
          <w:pgMar w:header="746"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15"/>
        <w:gridCol w:w="490"/>
        <w:gridCol w:w="447"/>
        <w:gridCol w:w="451"/>
        <w:gridCol w:w="490"/>
        <w:gridCol w:w="576"/>
        <w:gridCol w:w="576"/>
        <w:gridCol w:w="576"/>
        <w:gridCol w:w="581"/>
        <w:gridCol w:w="576"/>
        <w:gridCol w:w="577"/>
        <w:gridCol w:w="590"/>
        <w:gridCol w:w="567"/>
        <w:gridCol w:w="566"/>
        <w:gridCol w:w="644"/>
        <w:gridCol w:w="648"/>
      </w:tblGrid>
      <w:tr>
        <w:trPr>
          <w:trHeight w:val="360"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列）</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4" w:lineRule="auto"/>
              <w:ind w:left="24" w:right="94"/>
              <w:jc w:val="left"/>
              <w:rPr>
                <w:rFonts w:ascii="宋体" w:hAnsi="宋体" w:cs="宋体" w:eastAsia="宋体" w:hint="default"/>
                <w:sz w:val="18"/>
                <w:szCs w:val="18"/>
              </w:rPr>
            </w:pPr>
            <w:r>
              <w:rPr>
                <w:rFonts w:ascii="宋体" w:hAnsi="宋体" w:cs="宋体" w:eastAsia="宋体" w:hint="default"/>
                <w:spacing w:val="-2"/>
                <w:sz w:val="18"/>
                <w:szCs w:val="18"/>
              </w:rPr>
              <w:t>（一）综合收</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益总额</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-510,5</w:t>
            </w:r>
          </w:p>
          <w:p>
            <w:pPr>
              <w:pStyle w:val="TableParagraph"/>
              <w:spacing w:line="240" w:lineRule="auto" w:before="105"/>
              <w:ind w:left="143" w:right="0"/>
              <w:jc w:val="left"/>
              <w:rPr>
                <w:rFonts w:ascii="Times New Roman" w:hAnsi="Times New Roman" w:cs="Times New Roman" w:eastAsia="Times New Roman" w:hint="default"/>
                <w:sz w:val="18"/>
                <w:szCs w:val="18"/>
              </w:rPr>
            </w:pPr>
            <w:r>
              <w:rPr>
                <w:rFonts w:ascii="Times New Roman"/>
                <w:sz w:val="18"/>
              </w:rPr>
              <w:t>90.75</w:t>
            </w: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74,771</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pacing w:val="-1"/>
                <w:sz w:val="18"/>
              </w:rPr>
              <w:t>,358.3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74,260</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pacing w:val="-1"/>
                <w:sz w:val="18"/>
              </w:rPr>
              <w:t>,767.6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24,003,</w:t>
            </w:r>
          </w:p>
          <w:p>
            <w:pPr>
              <w:pStyle w:val="TableParagraph"/>
              <w:spacing w:line="240" w:lineRule="auto" w:before="105"/>
              <w:ind w:left="115" w:right="0"/>
              <w:jc w:val="left"/>
              <w:rPr>
                <w:rFonts w:ascii="Times New Roman" w:hAnsi="Times New Roman" w:cs="Times New Roman" w:eastAsia="Times New Roman" w:hint="default"/>
                <w:sz w:val="18"/>
                <w:szCs w:val="18"/>
              </w:rPr>
            </w:pPr>
            <w:r>
              <w:rPr>
                <w:rFonts w:ascii="Times New Roman"/>
                <w:sz w:val="18"/>
              </w:rPr>
              <w:t>923.06</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98,264,</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690.70</w:t>
            </w:r>
          </w:p>
        </w:tc>
      </w:tr>
      <w:tr>
        <w:trPr>
          <w:trHeight w:val="1027"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94"/>
              <w:jc w:val="both"/>
              <w:rPr>
                <w:rFonts w:ascii="宋体" w:hAnsi="宋体" w:cs="宋体" w:eastAsia="宋体" w:hint="default"/>
                <w:sz w:val="18"/>
                <w:szCs w:val="18"/>
              </w:rPr>
            </w:pPr>
            <w:r>
              <w:rPr>
                <w:rFonts w:ascii="宋体" w:hAnsi="宋体" w:cs="宋体" w:eastAsia="宋体" w:hint="default"/>
                <w:spacing w:val="-2"/>
                <w:sz w:val="18"/>
                <w:szCs w:val="18"/>
              </w:rPr>
              <w:t>（二）所有者</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投入和减少资</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6,250,0</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00.00</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6,250,0</w:t>
            </w:r>
          </w:p>
          <w:p>
            <w:pPr>
              <w:pStyle w:val="TableParagraph"/>
              <w:spacing w:line="240" w:lineRule="auto" w:before="105"/>
              <w:ind w:left="201" w:right="0"/>
              <w:jc w:val="center"/>
              <w:rPr>
                <w:rFonts w:ascii="Times New Roman" w:hAnsi="Times New Roman" w:cs="Times New Roman" w:eastAsia="Times New Roman" w:hint="default"/>
                <w:sz w:val="18"/>
                <w:szCs w:val="18"/>
              </w:rPr>
            </w:pPr>
            <w:r>
              <w:rPr>
                <w:rFonts w:ascii="Times New Roman"/>
                <w:sz w:val="18"/>
              </w:rPr>
              <w:t>00.00</w:t>
            </w:r>
          </w:p>
        </w:tc>
      </w:tr>
      <w:tr>
        <w:trPr>
          <w:trHeight w:val="716"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5" w:lineRule="auto" w:before="53"/>
              <w:ind w:left="24" w:right="17"/>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．所有者投入</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的普通股</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center"/>
              <w:rPr>
                <w:rFonts w:ascii="Times New Roman" w:hAnsi="Times New Roman" w:cs="Times New Roman" w:eastAsia="Times New Roman" w:hint="default"/>
                <w:sz w:val="18"/>
                <w:szCs w:val="18"/>
              </w:rPr>
            </w:pPr>
            <w:r>
              <w:rPr>
                <w:rFonts w:ascii="Times New Roman"/>
                <w:sz w:val="18"/>
              </w:rPr>
              <w:t>6,250,0</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00.00</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6,250,0</w:t>
            </w:r>
          </w:p>
          <w:p>
            <w:pPr>
              <w:pStyle w:val="TableParagraph"/>
              <w:spacing w:line="240" w:lineRule="auto" w:before="105"/>
              <w:ind w:left="201" w:right="0"/>
              <w:jc w:val="center"/>
              <w:rPr>
                <w:rFonts w:ascii="Times New Roman" w:hAnsi="Times New Roman" w:cs="Times New Roman" w:eastAsia="Times New Roman" w:hint="default"/>
                <w:sz w:val="18"/>
                <w:szCs w:val="18"/>
              </w:rPr>
            </w:pPr>
            <w:r>
              <w:rPr>
                <w:rFonts w:ascii="Times New Roman"/>
                <w:sz w:val="18"/>
              </w:rPr>
              <w:t>00.00</w:t>
            </w:r>
          </w:p>
        </w:tc>
      </w:tr>
      <w:tr>
        <w:trPr>
          <w:trHeight w:val="1022"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3"/>
              <w:ind w:left="24" w:right="17"/>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．其他权益工</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具持有者投入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资本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4"/>
              <w:ind w:left="24" w:right="17"/>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．股份支付计</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入所有者权益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的金额</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4" w:right="94"/>
              <w:jc w:val="left"/>
              <w:rPr>
                <w:rFonts w:ascii="宋体" w:hAnsi="宋体" w:cs="宋体" w:eastAsia="宋体" w:hint="default"/>
                <w:sz w:val="18"/>
                <w:szCs w:val="18"/>
              </w:rPr>
            </w:pPr>
            <w:r>
              <w:rPr>
                <w:rFonts w:ascii="宋体" w:hAnsi="宋体" w:cs="宋体" w:eastAsia="宋体" w:hint="default"/>
                <w:spacing w:val="-2"/>
                <w:sz w:val="18"/>
                <w:szCs w:val="18"/>
              </w:rPr>
              <w:t>（三）利润分</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配</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5,398,</w:t>
            </w:r>
          </w:p>
          <w:p>
            <w:pPr>
              <w:pStyle w:val="TableParagraph"/>
              <w:spacing w:line="240" w:lineRule="auto" w:before="110"/>
              <w:ind w:left="47" w:right="0"/>
              <w:jc w:val="left"/>
              <w:rPr>
                <w:rFonts w:ascii="Times New Roman" w:hAnsi="Times New Roman" w:cs="Times New Roman" w:eastAsia="Times New Roman" w:hint="default"/>
                <w:sz w:val="18"/>
                <w:szCs w:val="18"/>
              </w:rPr>
            </w:pPr>
            <w:r>
              <w:rPr>
                <w:rFonts w:ascii="Times New Roman"/>
                <w:sz w:val="18"/>
              </w:rPr>
              <w:t>170.44</w:t>
            </w:r>
          </w:p>
        </w:tc>
        <w:tc>
          <w:tcPr>
            <w:tcW w:w="577"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-10,33</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0,291.</w:t>
            </w:r>
          </w:p>
          <w:p>
            <w:pPr>
              <w:pStyle w:val="TableParagraph"/>
              <w:spacing w:line="240" w:lineRule="auto" w:before="105"/>
              <w:ind w:left="379" w:right="0"/>
              <w:jc w:val="left"/>
              <w:rPr>
                <w:rFonts w:ascii="Times New Roman" w:hAnsi="Times New Roman" w:cs="Times New Roman" w:eastAsia="Times New Roman" w:hint="default"/>
                <w:sz w:val="18"/>
                <w:szCs w:val="18"/>
              </w:rPr>
            </w:pPr>
            <w:r>
              <w:rPr>
                <w:rFonts w:ascii="Times New Roman"/>
                <w:sz w:val="18"/>
              </w:rPr>
              <w:t>36</w:t>
            </w: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-4,932,</w:t>
            </w:r>
          </w:p>
          <w:p>
            <w:pPr>
              <w:pStyle w:val="TableParagraph"/>
              <w:spacing w:line="240" w:lineRule="auto" w:before="110"/>
              <w:ind w:left="38" w:right="0"/>
              <w:jc w:val="left"/>
              <w:rPr>
                <w:rFonts w:ascii="Times New Roman" w:hAnsi="Times New Roman" w:cs="Times New Roman" w:eastAsia="Times New Roman" w:hint="default"/>
                <w:sz w:val="18"/>
                <w:szCs w:val="18"/>
              </w:rPr>
            </w:pPr>
            <w:r>
              <w:rPr>
                <w:rFonts w:ascii="Times New Roman"/>
                <w:sz w:val="18"/>
              </w:rPr>
              <w:t>120.92</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-1,170,</w:t>
            </w:r>
          </w:p>
          <w:p>
            <w:pPr>
              <w:pStyle w:val="TableParagraph"/>
              <w:spacing w:line="240" w:lineRule="auto" w:before="110"/>
              <w:ind w:left="115" w:right="0"/>
              <w:jc w:val="left"/>
              <w:rPr>
                <w:rFonts w:ascii="Times New Roman" w:hAnsi="Times New Roman" w:cs="Times New Roman" w:eastAsia="Times New Roman" w:hint="default"/>
                <w:sz w:val="18"/>
                <w:szCs w:val="18"/>
              </w:rPr>
            </w:pPr>
            <w:r>
              <w:rPr>
                <w:rFonts w:ascii="Times New Roman"/>
                <w:sz w:val="18"/>
              </w:rPr>
              <w:t>000.00</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-6,102,</w:t>
            </w:r>
          </w:p>
          <w:p>
            <w:pPr>
              <w:pStyle w:val="TableParagraph"/>
              <w:spacing w:line="240" w:lineRule="auto" w:before="110"/>
              <w:ind w:left="124" w:right="0"/>
              <w:jc w:val="left"/>
              <w:rPr>
                <w:rFonts w:ascii="Times New Roman" w:hAnsi="Times New Roman" w:cs="Times New Roman" w:eastAsia="Times New Roman" w:hint="default"/>
                <w:sz w:val="18"/>
                <w:szCs w:val="18"/>
              </w:rPr>
            </w:pPr>
            <w:r>
              <w:rPr>
                <w:rFonts w:ascii="Times New Roman"/>
                <w:sz w:val="18"/>
              </w:rPr>
              <w:t>120.92</w:t>
            </w:r>
          </w:p>
        </w:tc>
      </w:tr>
      <w:tr>
        <w:trPr>
          <w:trHeight w:val="710"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5" w:lineRule="auto" w:before="53"/>
              <w:ind w:left="24" w:right="17"/>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．提取盈余公</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积</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5,398,</w:t>
            </w:r>
          </w:p>
          <w:p>
            <w:pPr>
              <w:pStyle w:val="TableParagraph"/>
              <w:spacing w:line="240" w:lineRule="auto" w:before="105"/>
              <w:ind w:left="47" w:right="0"/>
              <w:jc w:val="left"/>
              <w:rPr>
                <w:rFonts w:ascii="Times New Roman" w:hAnsi="Times New Roman" w:cs="Times New Roman" w:eastAsia="Times New Roman" w:hint="default"/>
                <w:sz w:val="18"/>
                <w:szCs w:val="18"/>
              </w:rPr>
            </w:pPr>
            <w:r>
              <w:rPr>
                <w:rFonts w:ascii="Times New Roman"/>
                <w:sz w:val="18"/>
              </w:rPr>
              <w:t>170.44</w:t>
            </w:r>
          </w:p>
        </w:tc>
        <w:tc>
          <w:tcPr>
            <w:tcW w:w="577"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 w:right="0"/>
              <w:jc w:val="left"/>
              <w:rPr>
                <w:rFonts w:ascii="Times New Roman" w:hAnsi="Times New Roman" w:cs="Times New Roman" w:eastAsia="Times New Roman" w:hint="default"/>
                <w:sz w:val="18"/>
                <w:szCs w:val="18"/>
              </w:rPr>
            </w:pPr>
            <w:r>
              <w:rPr>
                <w:rFonts w:ascii="Times New Roman"/>
                <w:sz w:val="18"/>
              </w:rPr>
              <w:t>-5,398,</w:t>
            </w:r>
          </w:p>
          <w:p>
            <w:pPr>
              <w:pStyle w:val="TableParagraph"/>
              <w:spacing w:line="240" w:lineRule="auto" w:before="105"/>
              <w:ind w:left="62" w:right="0"/>
              <w:jc w:val="left"/>
              <w:rPr>
                <w:rFonts w:ascii="Times New Roman" w:hAnsi="Times New Roman" w:cs="Times New Roman" w:eastAsia="Times New Roman" w:hint="default"/>
                <w:sz w:val="18"/>
                <w:szCs w:val="18"/>
              </w:rPr>
            </w:pPr>
            <w:r>
              <w:rPr>
                <w:rFonts w:ascii="Times New Roman"/>
                <w:sz w:val="18"/>
              </w:rPr>
              <w:t>170.44</w:t>
            </w: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16" w:right="0"/>
              <w:jc w:val="left"/>
              <w:rPr>
                <w:rFonts w:ascii="Times New Roman" w:hAnsi="Times New Roman" w:cs="Times New Roman" w:eastAsia="Times New Roman" w:hint="default"/>
                <w:sz w:val="18"/>
                <w:szCs w:val="18"/>
              </w:rPr>
            </w:pPr>
            <w:r>
              <w:rPr>
                <w:rFonts w:ascii="Times New Roman"/>
                <w:sz w:val="18"/>
              </w:rPr>
              <w:t>0.00</w:t>
            </w: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17"/>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．提取一般风</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险准备</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w:t>
            </w:r>
          </w:p>
          <w:p>
            <w:pPr>
              <w:pStyle w:val="TableParagraph"/>
              <w:spacing w:line="316" w:lineRule="auto" w:before="63"/>
              <w:ind w:left="24" w:right="94"/>
              <w:jc w:val="left"/>
              <w:rPr>
                <w:rFonts w:ascii="宋体" w:hAnsi="宋体" w:cs="宋体" w:eastAsia="宋体" w:hint="default"/>
                <w:sz w:val="18"/>
                <w:szCs w:val="18"/>
              </w:rPr>
            </w:pPr>
            <w:r>
              <w:rPr>
                <w:rFonts w:ascii="宋体" w:hAnsi="宋体" w:cs="宋体" w:eastAsia="宋体" w:hint="default"/>
                <w:spacing w:val="-2"/>
                <w:sz w:val="18"/>
                <w:szCs w:val="18"/>
              </w:rPr>
              <w:t>（或股东）的</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分配</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-4,932,</w:t>
            </w:r>
          </w:p>
          <w:p>
            <w:pPr>
              <w:pStyle w:val="TableParagraph"/>
              <w:spacing w:line="240" w:lineRule="auto" w:before="105"/>
              <w:ind w:left="62" w:right="0"/>
              <w:jc w:val="left"/>
              <w:rPr>
                <w:rFonts w:ascii="Times New Roman" w:hAnsi="Times New Roman" w:cs="Times New Roman" w:eastAsia="Times New Roman" w:hint="default"/>
                <w:sz w:val="18"/>
                <w:szCs w:val="18"/>
              </w:rPr>
            </w:pPr>
            <w:r>
              <w:rPr>
                <w:rFonts w:ascii="Times New Roman"/>
                <w:sz w:val="18"/>
              </w:rPr>
              <w:t>120.92</w:t>
            </w: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-4,932,</w:t>
            </w:r>
          </w:p>
          <w:p>
            <w:pPr>
              <w:pStyle w:val="TableParagraph"/>
              <w:spacing w:line="240" w:lineRule="auto" w:before="105"/>
              <w:ind w:left="38" w:right="0"/>
              <w:jc w:val="left"/>
              <w:rPr>
                <w:rFonts w:ascii="Times New Roman" w:hAnsi="Times New Roman" w:cs="Times New Roman" w:eastAsia="Times New Roman" w:hint="default"/>
                <w:sz w:val="18"/>
                <w:szCs w:val="18"/>
              </w:rPr>
            </w:pPr>
            <w:r>
              <w:rPr>
                <w:rFonts w:ascii="Times New Roman"/>
                <w:sz w:val="18"/>
              </w:rPr>
              <w:t>120.92</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-1,170,</w:t>
            </w:r>
          </w:p>
          <w:p>
            <w:pPr>
              <w:pStyle w:val="TableParagraph"/>
              <w:spacing w:line="240" w:lineRule="auto" w:before="105"/>
              <w:ind w:left="115" w:right="0"/>
              <w:jc w:val="left"/>
              <w:rPr>
                <w:rFonts w:ascii="Times New Roman" w:hAnsi="Times New Roman" w:cs="Times New Roman" w:eastAsia="Times New Roman" w:hint="default"/>
                <w:sz w:val="18"/>
                <w:szCs w:val="18"/>
              </w:rPr>
            </w:pPr>
            <w:r>
              <w:rPr>
                <w:rFonts w:ascii="Times New Roman"/>
                <w:sz w:val="18"/>
              </w:rPr>
              <w:t>000.00</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-6,102,</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120.92</w:t>
            </w:r>
          </w:p>
        </w:tc>
      </w:tr>
      <w:tr>
        <w:trPr>
          <w:trHeight w:val="404"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24" w:right="94"/>
              <w:jc w:val="left"/>
              <w:rPr>
                <w:rFonts w:ascii="宋体" w:hAnsi="宋体" w:cs="宋体" w:eastAsia="宋体" w:hint="default"/>
                <w:sz w:val="18"/>
                <w:szCs w:val="18"/>
              </w:rPr>
            </w:pPr>
            <w:r>
              <w:rPr>
                <w:rFonts w:ascii="宋体" w:hAnsi="宋体" w:cs="宋体" w:eastAsia="宋体" w:hint="default"/>
                <w:spacing w:val="-2"/>
                <w:sz w:val="18"/>
                <w:szCs w:val="18"/>
              </w:rPr>
              <w:t>（四）所有者</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权益内部结转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24" w:right="17"/>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．资本公积转</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增资本（或股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24" w:right="17"/>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．盈余公积转</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增资本（或股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4" w:right="17"/>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．盈余公积弥</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补亏损</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672"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5" w:lineRule="auto" w:before="53"/>
              <w:ind w:left="24" w:right="17"/>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4</w:t>
            </w:r>
            <w:r>
              <w:rPr>
                <w:rFonts w:ascii="宋体" w:hAnsi="宋体" w:cs="宋体" w:eastAsia="宋体" w:hint="default"/>
                <w:spacing w:val="-4"/>
                <w:sz w:val="18"/>
                <w:szCs w:val="18"/>
              </w:rPr>
              <w:t>．设定受益计</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划变动额结转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6"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15"/>
        <w:gridCol w:w="490"/>
        <w:gridCol w:w="447"/>
        <w:gridCol w:w="451"/>
        <w:gridCol w:w="490"/>
        <w:gridCol w:w="576"/>
        <w:gridCol w:w="576"/>
        <w:gridCol w:w="576"/>
        <w:gridCol w:w="581"/>
        <w:gridCol w:w="576"/>
        <w:gridCol w:w="577"/>
        <w:gridCol w:w="590"/>
        <w:gridCol w:w="567"/>
        <w:gridCol w:w="566"/>
        <w:gridCol w:w="644"/>
        <w:gridCol w:w="648"/>
      </w:tblGrid>
      <w:tr>
        <w:trPr>
          <w:trHeight w:val="360"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留存收益</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24" w:right="17"/>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．其他综合收</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益结转留存收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益</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24" w:right="94"/>
              <w:jc w:val="left"/>
              <w:rPr>
                <w:rFonts w:ascii="宋体" w:hAnsi="宋体" w:cs="宋体" w:eastAsia="宋体" w:hint="default"/>
                <w:sz w:val="18"/>
                <w:szCs w:val="18"/>
              </w:rPr>
            </w:pPr>
            <w:r>
              <w:rPr>
                <w:rFonts w:ascii="宋体" w:hAnsi="宋体" w:cs="宋体" w:eastAsia="宋体" w:hint="default"/>
                <w:spacing w:val="-2"/>
                <w:sz w:val="18"/>
                <w:szCs w:val="18"/>
              </w:rPr>
              <w:t>（五）专项储</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备</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36,581</w:t>
            </w:r>
          </w:p>
          <w:p>
            <w:pPr>
              <w:pStyle w:val="TableParagraph"/>
              <w:spacing w:line="240" w:lineRule="auto" w:before="105"/>
              <w:ind w:left="322" w:right="0"/>
              <w:jc w:val="left"/>
              <w:rPr>
                <w:rFonts w:ascii="Times New Roman" w:hAnsi="Times New Roman" w:cs="Times New Roman" w:eastAsia="Times New Roman" w:hint="default"/>
                <w:sz w:val="18"/>
                <w:szCs w:val="18"/>
              </w:rPr>
            </w:pPr>
            <w:r>
              <w:rPr>
                <w:rFonts w:ascii="Times New Roman"/>
                <w:sz w:val="18"/>
              </w:rPr>
              <w:t>.52</w:t>
            </w: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36,581</w:t>
            </w:r>
          </w:p>
          <w:p>
            <w:pPr>
              <w:pStyle w:val="TableParagraph"/>
              <w:spacing w:line="240" w:lineRule="auto" w:before="105"/>
              <w:ind w:left="307" w:right="0"/>
              <w:jc w:val="left"/>
              <w:rPr>
                <w:rFonts w:ascii="Times New Roman" w:hAnsi="Times New Roman" w:cs="Times New Roman" w:eastAsia="Times New Roman" w:hint="default"/>
                <w:sz w:val="18"/>
                <w:szCs w:val="18"/>
              </w:rPr>
            </w:pPr>
            <w:r>
              <w:rPr>
                <w:rFonts w:ascii="Times New Roman"/>
                <w:sz w:val="18"/>
              </w:rPr>
              <w:t>.52</w:t>
            </w: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2"/>
                <w:sz w:val="18"/>
              </w:rPr>
              <w:t>36,581.</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52</w:t>
            </w:r>
          </w:p>
        </w:tc>
      </w:tr>
      <w:tr>
        <w:trPr>
          <w:trHeight w:val="711"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6" w:right="0"/>
              <w:jc w:val="left"/>
              <w:rPr>
                <w:rFonts w:ascii="Times New Roman" w:hAnsi="Times New Roman" w:cs="Times New Roman" w:eastAsia="Times New Roman" w:hint="default"/>
                <w:sz w:val="18"/>
                <w:szCs w:val="18"/>
              </w:rPr>
            </w:pPr>
            <w:r>
              <w:rPr>
                <w:rFonts w:ascii="Times New Roman"/>
                <w:sz w:val="18"/>
              </w:rPr>
              <w:t>1,155,</w:t>
            </w:r>
          </w:p>
          <w:p>
            <w:pPr>
              <w:pStyle w:val="TableParagraph"/>
              <w:spacing w:line="240" w:lineRule="auto" w:before="105"/>
              <w:ind w:left="52" w:right="0"/>
              <w:jc w:val="left"/>
              <w:rPr>
                <w:rFonts w:ascii="Times New Roman" w:hAnsi="Times New Roman" w:cs="Times New Roman" w:eastAsia="Times New Roman" w:hint="default"/>
                <w:sz w:val="18"/>
                <w:szCs w:val="18"/>
              </w:rPr>
            </w:pPr>
            <w:r>
              <w:rPr>
                <w:rFonts w:ascii="Times New Roman"/>
                <w:sz w:val="18"/>
              </w:rPr>
              <w:t>641.16</w:t>
            </w: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1,155,</w:t>
            </w:r>
          </w:p>
          <w:p>
            <w:pPr>
              <w:pStyle w:val="TableParagraph"/>
              <w:spacing w:line="240" w:lineRule="auto" w:before="105"/>
              <w:ind w:left="38" w:right="0"/>
              <w:jc w:val="left"/>
              <w:rPr>
                <w:rFonts w:ascii="Times New Roman" w:hAnsi="Times New Roman" w:cs="Times New Roman" w:eastAsia="Times New Roman" w:hint="default"/>
                <w:sz w:val="18"/>
                <w:szCs w:val="18"/>
              </w:rPr>
            </w:pPr>
            <w:r>
              <w:rPr>
                <w:rFonts w:ascii="Times New Roman"/>
                <w:sz w:val="18"/>
              </w:rPr>
              <w:t>641.16</w:t>
            </w: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1,155,6</w:t>
            </w:r>
          </w:p>
          <w:p>
            <w:pPr>
              <w:pStyle w:val="TableParagraph"/>
              <w:spacing w:line="240" w:lineRule="auto" w:before="105"/>
              <w:ind w:left="201" w:right="0"/>
              <w:jc w:val="center"/>
              <w:rPr>
                <w:rFonts w:ascii="Times New Roman" w:hAnsi="Times New Roman" w:cs="Times New Roman" w:eastAsia="Times New Roman" w:hint="default"/>
                <w:sz w:val="18"/>
                <w:szCs w:val="18"/>
              </w:rPr>
            </w:pPr>
            <w:r>
              <w:rPr>
                <w:rFonts w:ascii="Times New Roman"/>
                <w:sz w:val="18"/>
              </w:rPr>
              <w:t>41.16</w:t>
            </w:r>
          </w:p>
        </w:tc>
      </w:tr>
      <w:tr>
        <w:trPr>
          <w:trHeight w:val="715"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pacing w:val="-3"/>
                <w:sz w:val="18"/>
              </w:rPr>
              <w:t>1,119,</w:t>
            </w:r>
          </w:p>
          <w:p>
            <w:pPr>
              <w:pStyle w:val="TableParagraph"/>
              <w:spacing w:line="240" w:lineRule="auto" w:before="110"/>
              <w:ind w:left="52" w:right="0"/>
              <w:jc w:val="left"/>
              <w:rPr>
                <w:rFonts w:ascii="Times New Roman" w:hAnsi="Times New Roman" w:cs="Times New Roman" w:eastAsia="Times New Roman" w:hint="default"/>
                <w:sz w:val="18"/>
                <w:szCs w:val="18"/>
              </w:rPr>
            </w:pPr>
            <w:r>
              <w:rPr>
                <w:rFonts w:ascii="Times New Roman"/>
                <w:sz w:val="18"/>
              </w:rPr>
              <w:t>059.64</w:t>
            </w: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pacing w:val="-3"/>
                <w:sz w:val="18"/>
              </w:rPr>
              <w:t>1,119,</w:t>
            </w:r>
          </w:p>
          <w:p>
            <w:pPr>
              <w:pStyle w:val="TableParagraph"/>
              <w:spacing w:line="240" w:lineRule="auto" w:before="110"/>
              <w:ind w:left="38" w:right="0"/>
              <w:jc w:val="left"/>
              <w:rPr>
                <w:rFonts w:ascii="Times New Roman" w:hAnsi="Times New Roman" w:cs="Times New Roman" w:eastAsia="Times New Roman" w:hint="default"/>
                <w:sz w:val="18"/>
                <w:szCs w:val="18"/>
              </w:rPr>
            </w:pPr>
            <w:r>
              <w:rPr>
                <w:rFonts w:ascii="Times New Roman"/>
                <w:sz w:val="18"/>
              </w:rPr>
              <w:t>059.64</w:t>
            </w: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center"/>
              <w:rPr>
                <w:rFonts w:ascii="Times New Roman" w:hAnsi="Times New Roman" w:cs="Times New Roman" w:eastAsia="Times New Roman" w:hint="default"/>
                <w:sz w:val="18"/>
                <w:szCs w:val="18"/>
              </w:rPr>
            </w:pPr>
            <w:r>
              <w:rPr>
                <w:rFonts w:ascii="Times New Roman"/>
                <w:sz w:val="18"/>
              </w:rPr>
              <w:t>1,119,0</w:t>
            </w:r>
          </w:p>
          <w:p>
            <w:pPr>
              <w:pStyle w:val="TableParagraph"/>
              <w:spacing w:line="240" w:lineRule="auto" w:before="110"/>
              <w:ind w:left="201" w:right="0"/>
              <w:jc w:val="center"/>
              <w:rPr>
                <w:rFonts w:ascii="Times New Roman" w:hAnsi="Times New Roman" w:cs="Times New Roman" w:eastAsia="Times New Roman" w:hint="default"/>
                <w:sz w:val="18"/>
                <w:szCs w:val="18"/>
              </w:rPr>
            </w:pPr>
            <w:r>
              <w:rPr>
                <w:rFonts w:ascii="Times New Roman"/>
                <w:sz w:val="18"/>
              </w:rPr>
              <w:t>59.64</w:t>
            </w:r>
          </w:p>
        </w:tc>
      </w:tr>
      <w:tr>
        <w:trPr>
          <w:trHeight w:val="1028"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4"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-10,81</w:t>
            </w:r>
          </w:p>
          <w:p>
            <w:pPr>
              <w:pStyle w:val="TableParagraph"/>
              <w:spacing w:line="240" w:lineRule="auto" w:before="110"/>
              <w:ind w:left="91" w:right="0"/>
              <w:jc w:val="left"/>
              <w:rPr>
                <w:rFonts w:ascii="Times New Roman" w:hAnsi="Times New Roman" w:cs="Times New Roman" w:eastAsia="Times New Roman" w:hint="default"/>
                <w:sz w:val="18"/>
                <w:szCs w:val="18"/>
              </w:rPr>
            </w:pPr>
            <w:r>
              <w:rPr>
                <w:rFonts w:ascii="Times New Roman"/>
                <w:sz w:val="18"/>
              </w:rPr>
              <w:t>0,373.</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98</w:t>
            </w: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-10,81</w:t>
            </w:r>
          </w:p>
          <w:p>
            <w:pPr>
              <w:pStyle w:val="TableParagraph"/>
              <w:spacing w:line="240" w:lineRule="auto" w:before="110"/>
              <w:ind w:left="81" w:right="0"/>
              <w:jc w:val="left"/>
              <w:rPr>
                <w:rFonts w:ascii="Times New Roman" w:hAnsi="Times New Roman" w:cs="Times New Roman" w:eastAsia="Times New Roman" w:hint="default"/>
                <w:sz w:val="18"/>
                <w:szCs w:val="18"/>
              </w:rPr>
            </w:pPr>
            <w:r>
              <w:rPr>
                <w:rFonts w:ascii="Times New Roman"/>
                <w:sz w:val="18"/>
              </w:rPr>
              <w:t>0,373.</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98</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227,242</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sz w:val="18"/>
              </w:rPr>
              <w:t>,978.59</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216,432</w:t>
            </w:r>
          </w:p>
          <w:p>
            <w:pPr>
              <w:pStyle w:val="TableParagraph"/>
              <w:spacing w:line="240" w:lineRule="auto" w:before="105"/>
              <w:ind w:left="81" w:right="0"/>
              <w:jc w:val="left"/>
              <w:rPr>
                <w:rFonts w:ascii="Times New Roman" w:hAnsi="Times New Roman" w:cs="Times New Roman" w:eastAsia="Times New Roman" w:hint="default"/>
                <w:sz w:val="18"/>
                <w:szCs w:val="18"/>
              </w:rPr>
            </w:pPr>
            <w:r>
              <w:rPr>
                <w:rFonts w:ascii="Times New Roman"/>
                <w:sz w:val="18"/>
              </w:rPr>
              <w:t>,604.61</w:t>
            </w:r>
          </w:p>
        </w:tc>
      </w:tr>
      <w:tr>
        <w:trPr>
          <w:trHeight w:val="1027"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4" w:right="94"/>
              <w:jc w:val="left"/>
              <w:rPr>
                <w:rFonts w:ascii="宋体" w:hAnsi="宋体" w:cs="宋体" w:eastAsia="宋体" w:hint="default"/>
                <w:sz w:val="18"/>
                <w:szCs w:val="18"/>
              </w:rPr>
            </w:pPr>
            <w:r>
              <w:rPr>
                <w:rFonts w:ascii="宋体" w:hAnsi="宋体" w:cs="宋体" w:eastAsia="宋体" w:hint="default"/>
                <w:spacing w:val="-2"/>
                <w:sz w:val="18"/>
                <w:szCs w:val="18"/>
              </w:rPr>
              <w:t>四、本期期末</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余额</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246,6</w:t>
            </w:r>
          </w:p>
          <w:p>
            <w:pPr>
              <w:pStyle w:val="TableParagraph"/>
              <w:spacing w:line="240" w:lineRule="auto" w:before="105"/>
              <w:ind w:left="52" w:right="0"/>
              <w:jc w:val="left"/>
              <w:rPr>
                <w:rFonts w:ascii="Times New Roman" w:hAnsi="Times New Roman" w:cs="Times New Roman" w:eastAsia="Times New Roman" w:hint="default"/>
                <w:sz w:val="18"/>
                <w:szCs w:val="18"/>
              </w:rPr>
            </w:pPr>
            <w:r>
              <w:rPr>
                <w:rFonts w:ascii="Times New Roman"/>
                <w:sz w:val="18"/>
              </w:rPr>
              <w:t>06,04</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6.00</w:t>
            </w: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 w:right="0"/>
              <w:jc w:val="left"/>
              <w:rPr>
                <w:rFonts w:ascii="Times New Roman" w:hAnsi="Times New Roman" w:cs="Times New Roman" w:eastAsia="Times New Roman" w:hint="default"/>
                <w:sz w:val="18"/>
                <w:szCs w:val="18"/>
              </w:rPr>
            </w:pPr>
            <w:r>
              <w:rPr>
                <w:rFonts w:ascii="Times New Roman"/>
                <w:sz w:val="18"/>
              </w:rPr>
              <w:t>796,92</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4,208.</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60</w:t>
            </w: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96" w:right="0"/>
              <w:jc w:val="left"/>
              <w:rPr>
                <w:rFonts w:ascii="Times New Roman" w:hAnsi="Times New Roman" w:cs="Times New Roman" w:eastAsia="Times New Roman" w:hint="default"/>
                <w:sz w:val="18"/>
                <w:szCs w:val="18"/>
              </w:rPr>
            </w:pPr>
            <w:r>
              <w:rPr>
                <w:rFonts w:ascii="Times New Roman"/>
                <w:sz w:val="18"/>
              </w:rPr>
              <w:t>1,381,</w:t>
            </w:r>
          </w:p>
          <w:p>
            <w:pPr>
              <w:pStyle w:val="TableParagraph"/>
              <w:spacing w:line="240" w:lineRule="auto" w:before="110"/>
              <w:ind w:left="52" w:right="0"/>
              <w:jc w:val="left"/>
              <w:rPr>
                <w:rFonts w:ascii="Times New Roman" w:hAnsi="Times New Roman" w:cs="Times New Roman" w:eastAsia="Times New Roman" w:hint="default"/>
                <w:sz w:val="18"/>
                <w:szCs w:val="18"/>
              </w:rPr>
            </w:pPr>
            <w:r>
              <w:rPr>
                <w:rFonts w:ascii="Times New Roman"/>
                <w:sz w:val="18"/>
              </w:rPr>
              <w:t>606.74</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82,733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pacing w:val="-1"/>
                <w:sz w:val="18"/>
              </w:rPr>
              <w:t>,944.8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tc>
        <w:tc>
          <w:tcPr>
            <w:tcW w:w="577"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387,39</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4,501.</w:t>
            </w:r>
          </w:p>
          <w:p>
            <w:pPr>
              <w:pStyle w:val="TableParagraph"/>
              <w:spacing w:line="240" w:lineRule="auto" w:before="105"/>
              <w:ind w:left="379" w:right="0"/>
              <w:jc w:val="left"/>
              <w:rPr>
                <w:rFonts w:ascii="Times New Roman" w:hAnsi="Times New Roman" w:cs="Times New Roman" w:eastAsia="Times New Roman" w:hint="default"/>
                <w:sz w:val="18"/>
                <w:szCs w:val="18"/>
              </w:rPr>
            </w:pPr>
            <w:r>
              <w:rPr>
                <w:rFonts w:ascii="Times New Roman"/>
                <w:sz w:val="18"/>
              </w:rPr>
              <w:t>93</w:t>
            </w: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center"/>
              <w:rPr>
                <w:rFonts w:ascii="Times New Roman" w:hAnsi="Times New Roman" w:cs="Times New Roman" w:eastAsia="Times New Roman" w:hint="default"/>
                <w:sz w:val="18"/>
                <w:szCs w:val="18"/>
              </w:rPr>
            </w:pPr>
            <w:r>
              <w:rPr>
                <w:rFonts w:ascii="Times New Roman"/>
                <w:sz w:val="18"/>
              </w:rPr>
              <w:t>1,515,</w:t>
            </w:r>
          </w:p>
          <w:p>
            <w:pPr>
              <w:pStyle w:val="TableParagraph"/>
              <w:spacing w:line="240" w:lineRule="auto" w:before="105"/>
              <w:ind w:left="19" w:right="0"/>
              <w:jc w:val="center"/>
              <w:rPr>
                <w:rFonts w:ascii="Times New Roman" w:hAnsi="Times New Roman" w:cs="Times New Roman" w:eastAsia="Times New Roman" w:hint="default"/>
                <w:sz w:val="18"/>
                <w:szCs w:val="18"/>
              </w:rPr>
            </w:pPr>
            <w:r>
              <w:rPr>
                <w:rFonts w:ascii="Times New Roman"/>
                <w:sz w:val="18"/>
              </w:rPr>
              <w:t>040,30</w:t>
            </w:r>
          </w:p>
          <w:p>
            <w:pPr>
              <w:pStyle w:val="TableParagraph"/>
              <w:spacing w:line="240" w:lineRule="auto" w:before="105"/>
              <w:ind w:left="196" w:right="0"/>
              <w:jc w:val="center"/>
              <w:rPr>
                <w:rFonts w:ascii="Times New Roman" w:hAnsi="Times New Roman" w:cs="Times New Roman" w:eastAsia="Times New Roman" w:hint="default"/>
                <w:sz w:val="18"/>
                <w:szCs w:val="18"/>
              </w:rPr>
            </w:pPr>
            <w:r>
              <w:rPr>
                <w:rFonts w:ascii="Times New Roman"/>
                <w:sz w:val="18"/>
              </w:rPr>
              <w:t>8.16</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258,973</w:t>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sz w:val="18"/>
              </w:rPr>
              <w:t>,856.72</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1,774,0</w:t>
            </w:r>
          </w:p>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pacing w:val="-2"/>
                <w:sz w:val="18"/>
              </w:rPr>
              <w:t>14,164.</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88</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6"/>
        <w:ind w:right="855"/>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6"/>
        <w:ind w:right="855"/>
        <w:jc w:val="left"/>
      </w:pPr>
      <w:r>
        <w:rPr/>
        <w:t>本期金额</w:t>
      </w:r>
    </w:p>
    <w:p>
      <w:pPr>
        <w:pStyle w:val="BodyText"/>
        <w:spacing w:line="240" w:lineRule="auto" w:before="115"/>
        <w:ind w:left="0" w:right="1121"/>
        <w:jc w:val="right"/>
      </w:pPr>
      <w:r>
        <w:rPr>
          <w:spacing w:val="-2"/>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06"/>
        <w:gridCol w:w="629"/>
        <w:gridCol w:w="605"/>
        <w:gridCol w:w="605"/>
        <w:gridCol w:w="605"/>
        <w:gridCol w:w="725"/>
        <w:gridCol w:w="725"/>
        <w:gridCol w:w="730"/>
        <w:gridCol w:w="725"/>
        <w:gridCol w:w="725"/>
        <w:gridCol w:w="615"/>
        <w:gridCol w:w="711"/>
        <w:gridCol w:w="864"/>
      </w:tblGrid>
      <w:tr>
        <w:trPr>
          <w:trHeight w:val="401" w:hRule="exact"/>
        </w:trPr>
        <w:tc>
          <w:tcPr>
            <w:tcW w:w="130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26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r>
      <w:tr>
        <w:trPr>
          <w:trHeight w:val="401" w:hRule="exact"/>
        </w:trPr>
        <w:tc>
          <w:tcPr>
            <w:tcW w:w="1306" w:type="dxa"/>
            <w:vMerge/>
            <w:tcBorders>
              <w:left w:val="single" w:sz="4" w:space="0" w:color="000000"/>
              <w:right w:val="single" w:sz="4" w:space="0" w:color="000000"/>
            </w:tcBorders>
            <w:shd w:val="clear" w:color="auto" w:fill="D2D2D2"/>
          </w:tcPr>
          <w:p>
            <w:pPr/>
          </w:p>
        </w:tc>
        <w:tc>
          <w:tcPr>
            <w:tcW w:w="62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81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59"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25" w:type="dxa"/>
            <w:vMerge w:val="restart"/>
            <w:tcBorders>
              <w:top w:val="single" w:sz="4" w:space="0" w:color="000000"/>
              <w:left w:val="single" w:sz="4" w:space="0" w:color="000000"/>
              <w:right w:val="single" w:sz="4" w:space="0" w:color="000000"/>
            </w:tcBorders>
            <w:shd w:val="clear" w:color="auto" w:fill="D2D2D2"/>
          </w:tcPr>
          <w:p>
            <w:pPr>
              <w:pStyle w:val="TableParagraph"/>
              <w:spacing w:line="312" w:lineRule="auto" w:before="99"/>
              <w:ind w:left="269" w:right="79" w:hanging="178"/>
              <w:jc w:val="left"/>
              <w:rPr>
                <w:rFonts w:ascii="宋体" w:hAnsi="宋体" w:cs="宋体" w:eastAsia="宋体" w:hint="default"/>
                <w:sz w:val="18"/>
                <w:szCs w:val="18"/>
              </w:rPr>
            </w:pPr>
            <w:r>
              <w:rPr>
                <w:rFonts w:ascii="宋体" w:hAnsi="宋体" w:cs="宋体" w:eastAsia="宋体" w:hint="default"/>
                <w:sz w:val="18"/>
                <w:szCs w:val="18"/>
              </w:rPr>
              <w:t>资本公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积</w:t>
            </w:r>
          </w:p>
        </w:tc>
        <w:tc>
          <w:tcPr>
            <w:tcW w:w="725" w:type="dxa"/>
            <w:vMerge w:val="restart"/>
            <w:tcBorders>
              <w:top w:val="single" w:sz="4" w:space="0" w:color="000000"/>
              <w:left w:val="single" w:sz="4" w:space="0" w:color="000000"/>
              <w:right w:val="single" w:sz="4" w:space="0" w:color="000000"/>
            </w:tcBorders>
            <w:shd w:val="clear" w:color="auto" w:fill="D2D2D2"/>
          </w:tcPr>
          <w:p>
            <w:pPr>
              <w:pStyle w:val="TableParagraph"/>
              <w:spacing w:line="312" w:lineRule="auto" w:before="99"/>
              <w:ind w:left="268" w:right="12" w:hanging="245"/>
              <w:jc w:val="left"/>
              <w:rPr>
                <w:rFonts w:ascii="宋体" w:hAnsi="宋体" w:cs="宋体" w:eastAsia="宋体" w:hint="default"/>
                <w:sz w:val="18"/>
                <w:szCs w:val="18"/>
              </w:rPr>
            </w:pPr>
            <w:r>
              <w:rPr>
                <w:rFonts w:ascii="宋体" w:hAnsi="宋体" w:cs="宋体" w:eastAsia="宋体" w:hint="default"/>
                <w:spacing w:val="-14"/>
                <w:sz w:val="18"/>
                <w:szCs w:val="18"/>
              </w:rPr>
              <w:t>减：库存</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股</w:t>
            </w:r>
          </w:p>
        </w:tc>
        <w:tc>
          <w:tcPr>
            <w:tcW w:w="730" w:type="dxa"/>
            <w:vMerge w:val="restart"/>
            <w:tcBorders>
              <w:top w:val="single" w:sz="4" w:space="0" w:color="000000"/>
              <w:left w:val="single" w:sz="4" w:space="0" w:color="000000"/>
              <w:right w:val="single" w:sz="4" w:space="0" w:color="000000"/>
            </w:tcBorders>
            <w:shd w:val="clear" w:color="auto" w:fill="D2D2D2"/>
          </w:tcPr>
          <w:p>
            <w:pPr>
              <w:pStyle w:val="TableParagraph"/>
              <w:spacing w:line="312" w:lineRule="auto" w:before="99"/>
              <w:ind w:left="91" w:right="84"/>
              <w:jc w:val="left"/>
              <w:rPr>
                <w:rFonts w:ascii="宋体" w:hAnsi="宋体" w:cs="宋体" w:eastAsia="宋体" w:hint="default"/>
                <w:sz w:val="18"/>
                <w:szCs w:val="18"/>
              </w:rPr>
            </w:pPr>
            <w:r>
              <w:rPr>
                <w:rFonts w:ascii="宋体" w:hAnsi="宋体" w:cs="宋体" w:eastAsia="宋体" w:hint="default"/>
                <w:sz w:val="18"/>
                <w:szCs w:val="18"/>
              </w:rPr>
              <w:t>其他综</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合收益</w:t>
            </w:r>
          </w:p>
        </w:tc>
        <w:tc>
          <w:tcPr>
            <w:tcW w:w="725" w:type="dxa"/>
            <w:vMerge w:val="restart"/>
            <w:tcBorders>
              <w:top w:val="single" w:sz="4" w:space="0" w:color="000000"/>
              <w:left w:val="single" w:sz="4" w:space="0" w:color="000000"/>
              <w:right w:val="single" w:sz="4" w:space="0" w:color="000000"/>
            </w:tcBorders>
            <w:shd w:val="clear" w:color="auto" w:fill="D2D2D2"/>
          </w:tcPr>
          <w:p>
            <w:pPr>
              <w:pStyle w:val="TableParagraph"/>
              <w:spacing w:line="312" w:lineRule="auto" w:before="99"/>
              <w:ind w:left="268" w:right="80" w:hanging="178"/>
              <w:jc w:val="left"/>
              <w:rPr>
                <w:rFonts w:ascii="宋体" w:hAnsi="宋体" w:cs="宋体" w:eastAsia="宋体" w:hint="default"/>
                <w:sz w:val="18"/>
                <w:szCs w:val="18"/>
              </w:rPr>
            </w:pPr>
            <w:r>
              <w:rPr>
                <w:rFonts w:ascii="宋体" w:hAnsi="宋体" w:cs="宋体" w:eastAsia="宋体" w:hint="default"/>
                <w:sz w:val="18"/>
                <w:szCs w:val="18"/>
              </w:rPr>
              <w:t>专项储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备</w:t>
            </w:r>
          </w:p>
        </w:tc>
        <w:tc>
          <w:tcPr>
            <w:tcW w:w="725" w:type="dxa"/>
            <w:vMerge w:val="restart"/>
            <w:tcBorders>
              <w:top w:val="single" w:sz="4" w:space="0" w:color="000000"/>
              <w:left w:val="single" w:sz="4" w:space="0" w:color="000000"/>
              <w:right w:val="single" w:sz="4" w:space="0" w:color="000000"/>
            </w:tcBorders>
            <w:shd w:val="clear" w:color="auto" w:fill="D2D2D2"/>
          </w:tcPr>
          <w:p>
            <w:pPr>
              <w:pStyle w:val="TableParagraph"/>
              <w:spacing w:line="312" w:lineRule="auto" w:before="99"/>
              <w:ind w:left="268" w:right="79" w:hanging="178"/>
              <w:jc w:val="left"/>
              <w:rPr>
                <w:rFonts w:ascii="宋体" w:hAnsi="宋体" w:cs="宋体" w:eastAsia="宋体" w:hint="default"/>
                <w:sz w:val="18"/>
                <w:szCs w:val="18"/>
              </w:rPr>
            </w:pPr>
            <w:r>
              <w:rPr>
                <w:rFonts w:ascii="宋体" w:hAnsi="宋体" w:cs="宋体" w:eastAsia="宋体" w:hint="default"/>
                <w:sz w:val="18"/>
                <w:szCs w:val="18"/>
              </w:rPr>
              <w:t>盈余公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积</w:t>
            </w:r>
          </w:p>
        </w:tc>
        <w:tc>
          <w:tcPr>
            <w:tcW w:w="615" w:type="dxa"/>
            <w:vMerge w:val="restart"/>
            <w:tcBorders>
              <w:top w:val="single" w:sz="4" w:space="0" w:color="000000"/>
              <w:left w:val="single" w:sz="4" w:space="0" w:color="000000"/>
              <w:right w:val="single" w:sz="4" w:space="0" w:color="000000"/>
            </w:tcBorders>
            <w:shd w:val="clear" w:color="auto" w:fill="D2D2D2"/>
          </w:tcPr>
          <w:p>
            <w:pPr>
              <w:pStyle w:val="TableParagraph"/>
              <w:spacing w:line="312" w:lineRule="auto" w:before="99"/>
              <w:ind w:left="120" w:right="26" w:hanging="87"/>
              <w:jc w:val="left"/>
              <w:rPr>
                <w:rFonts w:ascii="宋体" w:hAnsi="宋体" w:cs="宋体" w:eastAsia="宋体" w:hint="default"/>
                <w:sz w:val="18"/>
                <w:szCs w:val="18"/>
              </w:rPr>
            </w:pPr>
            <w:r>
              <w:rPr>
                <w:rFonts w:ascii="宋体" w:hAnsi="宋体" w:cs="宋体" w:eastAsia="宋体" w:hint="default"/>
                <w:sz w:val="18"/>
                <w:szCs w:val="18"/>
              </w:rPr>
              <w:t>未分配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利润</w:t>
            </w:r>
          </w:p>
        </w:tc>
        <w:tc>
          <w:tcPr>
            <w:tcW w:w="7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64" w:type="dxa"/>
            <w:vMerge w:val="restart"/>
            <w:tcBorders>
              <w:top w:val="single" w:sz="4" w:space="0" w:color="000000"/>
              <w:left w:val="single" w:sz="4" w:space="0" w:color="000000"/>
              <w:right w:val="single" w:sz="4" w:space="0" w:color="000000"/>
            </w:tcBorders>
            <w:shd w:val="clear" w:color="auto" w:fill="D2D2D2"/>
          </w:tcPr>
          <w:p>
            <w:pPr>
              <w:pStyle w:val="TableParagraph"/>
              <w:spacing w:line="312" w:lineRule="auto" w:before="99"/>
              <w:ind w:left="158" w:right="60" w:hanging="92"/>
              <w:jc w:val="left"/>
              <w:rPr>
                <w:rFonts w:ascii="宋体" w:hAnsi="宋体" w:cs="宋体" w:eastAsia="宋体" w:hint="default"/>
                <w:sz w:val="18"/>
                <w:szCs w:val="18"/>
              </w:rPr>
            </w:pPr>
            <w:r>
              <w:rPr>
                <w:rFonts w:ascii="宋体" w:hAnsi="宋体" w:cs="宋体" w:eastAsia="宋体" w:hint="default"/>
                <w:sz w:val="18"/>
                <w:szCs w:val="18"/>
              </w:rPr>
              <w:t>所有者权</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益合计</w:t>
            </w:r>
          </w:p>
        </w:tc>
      </w:tr>
      <w:tr>
        <w:trPr>
          <w:trHeight w:val="403" w:hRule="exact"/>
        </w:trPr>
        <w:tc>
          <w:tcPr>
            <w:tcW w:w="1306" w:type="dxa"/>
            <w:vMerge/>
            <w:tcBorders>
              <w:left w:val="single" w:sz="4" w:space="0" w:color="000000"/>
              <w:bottom w:val="single" w:sz="4" w:space="0" w:color="000000"/>
              <w:right w:val="single" w:sz="4" w:space="0" w:color="000000"/>
            </w:tcBorders>
            <w:shd w:val="clear" w:color="auto" w:fill="D2D2D2"/>
          </w:tcPr>
          <w:p>
            <w:pPr/>
          </w:p>
        </w:tc>
        <w:tc>
          <w:tcPr>
            <w:tcW w:w="629" w:type="dxa"/>
            <w:vMerge/>
            <w:tcBorders>
              <w:left w:val="single" w:sz="4" w:space="0" w:color="000000"/>
              <w:bottom w:val="single" w:sz="4" w:space="0" w:color="000000"/>
              <w:right w:val="single" w:sz="4" w:space="0" w:color="000000"/>
            </w:tcBorders>
            <w:shd w:val="clear" w:color="auto" w:fill="D2D2D2"/>
          </w:tcPr>
          <w:p>
            <w:pPr/>
          </w:p>
        </w:tc>
        <w:tc>
          <w:tcPr>
            <w:tcW w:w="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25" w:type="dxa"/>
            <w:vMerge/>
            <w:tcBorders>
              <w:left w:val="single" w:sz="4" w:space="0" w:color="000000"/>
              <w:bottom w:val="single" w:sz="4" w:space="0" w:color="000000"/>
              <w:right w:val="single" w:sz="4" w:space="0" w:color="000000"/>
            </w:tcBorders>
            <w:shd w:val="clear" w:color="auto" w:fill="D2D2D2"/>
          </w:tcPr>
          <w:p>
            <w:pPr/>
          </w:p>
        </w:tc>
        <w:tc>
          <w:tcPr>
            <w:tcW w:w="725" w:type="dxa"/>
            <w:vMerge/>
            <w:tcBorders>
              <w:left w:val="single" w:sz="4" w:space="0" w:color="000000"/>
              <w:bottom w:val="single" w:sz="4" w:space="0" w:color="000000"/>
              <w:right w:val="single" w:sz="4" w:space="0" w:color="000000"/>
            </w:tcBorders>
            <w:shd w:val="clear" w:color="auto" w:fill="D2D2D2"/>
          </w:tcPr>
          <w:p>
            <w:pPr/>
          </w:p>
        </w:tc>
        <w:tc>
          <w:tcPr>
            <w:tcW w:w="730" w:type="dxa"/>
            <w:vMerge/>
            <w:tcBorders>
              <w:left w:val="single" w:sz="4" w:space="0" w:color="000000"/>
              <w:bottom w:val="single" w:sz="4" w:space="0" w:color="000000"/>
              <w:right w:val="single" w:sz="4" w:space="0" w:color="000000"/>
            </w:tcBorders>
            <w:shd w:val="clear" w:color="auto" w:fill="D2D2D2"/>
          </w:tcPr>
          <w:p>
            <w:pPr/>
          </w:p>
        </w:tc>
        <w:tc>
          <w:tcPr>
            <w:tcW w:w="725" w:type="dxa"/>
            <w:vMerge/>
            <w:tcBorders>
              <w:left w:val="single" w:sz="4" w:space="0" w:color="000000"/>
              <w:bottom w:val="single" w:sz="4" w:space="0" w:color="000000"/>
              <w:right w:val="single" w:sz="4" w:space="0" w:color="000000"/>
            </w:tcBorders>
            <w:shd w:val="clear" w:color="auto" w:fill="D2D2D2"/>
          </w:tcPr>
          <w:p>
            <w:pPr/>
          </w:p>
        </w:tc>
        <w:tc>
          <w:tcPr>
            <w:tcW w:w="725" w:type="dxa"/>
            <w:vMerge/>
            <w:tcBorders>
              <w:left w:val="single" w:sz="4" w:space="0" w:color="000000"/>
              <w:bottom w:val="single" w:sz="4" w:space="0" w:color="000000"/>
              <w:right w:val="single" w:sz="4" w:space="0" w:color="000000"/>
            </w:tcBorders>
            <w:shd w:val="clear" w:color="auto" w:fill="D2D2D2"/>
          </w:tcPr>
          <w:p>
            <w:pPr/>
          </w:p>
        </w:tc>
        <w:tc>
          <w:tcPr>
            <w:tcW w:w="615" w:type="dxa"/>
            <w:vMerge/>
            <w:tcBorders>
              <w:left w:val="single" w:sz="4" w:space="0" w:color="000000"/>
              <w:bottom w:val="single" w:sz="4" w:space="0" w:color="000000"/>
              <w:right w:val="single" w:sz="4" w:space="0" w:color="000000"/>
            </w:tcBorders>
            <w:shd w:val="clear" w:color="auto" w:fill="D2D2D2"/>
          </w:tcPr>
          <w:p>
            <w:pPr/>
          </w:p>
        </w:tc>
        <w:tc>
          <w:tcPr>
            <w:tcW w:w="711" w:type="dxa"/>
            <w:vMerge/>
            <w:tcBorders>
              <w:left w:val="single" w:sz="4" w:space="0" w:color="000000"/>
              <w:bottom w:val="single" w:sz="4" w:space="0" w:color="000000"/>
              <w:right w:val="single" w:sz="4" w:space="0" w:color="000000"/>
            </w:tcBorders>
            <w:shd w:val="clear" w:color="auto" w:fill="D2D2D2"/>
          </w:tcPr>
          <w:p>
            <w:pPr/>
          </w:p>
        </w:tc>
        <w:tc>
          <w:tcPr>
            <w:tcW w:w="864" w:type="dxa"/>
            <w:vMerge/>
            <w:tcBorders>
              <w:left w:val="single" w:sz="4" w:space="0" w:color="000000"/>
              <w:bottom w:val="single" w:sz="4" w:space="0" w:color="000000"/>
              <w:right w:val="single" w:sz="4" w:space="0" w:color="000000"/>
            </w:tcBorders>
            <w:shd w:val="clear" w:color="auto" w:fill="D2D2D2"/>
          </w:tcPr>
          <w:p>
            <w:pPr/>
          </w:p>
        </w:tc>
      </w:tr>
      <w:tr>
        <w:trPr>
          <w:trHeight w:val="1028"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4" w:lineRule="auto"/>
              <w:ind w:left="24" w:right="17"/>
              <w:jc w:val="left"/>
              <w:rPr>
                <w:rFonts w:ascii="宋体" w:hAnsi="宋体" w:cs="宋体" w:eastAsia="宋体" w:hint="default"/>
                <w:sz w:val="18"/>
                <w:szCs w:val="18"/>
              </w:rPr>
            </w:pPr>
            <w:r>
              <w:rPr>
                <w:rFonts w:ascii="宋体" w:hAnsi="宋体" w:cs="宋体" w:eastAsia="宋体" w:hint="default"/>
                <w:spacing w:val="-4"/>
                <w:sz w:val="18"/>
                <w:szCs w:val="18"/>
              </w:rPr>
              <w:t>一、上年期末余</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额</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246,60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pacing w:val="-1"/>
                <w:sz w:val="18"/>
              </w:rPr>
              <w:t>6,046.0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852,317,</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552.66</w:t>
            </w: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87,713,7</w:t>
            </w:r>
          </w:p>
          <w:p>
            <w:pPr>
              <w:pStyle w:val="TableParagraph"/>
              <w:spacing w:line="240" w:lineRule="auto" w:before="105"/>
              <w:ind w:left="292" w:right="0"/>
              <w:jc w:val="left"/>
              <w:rPr>
                <w:rFonts w:ascii="Times New Roman" w:hAnsi="Times New Roman" w:cs="Times New Roman" w:eastAsia="Times New Roman" w:hint="default"/>
                <w:sz w:val="18"/>
                <w:szCs w:val="18"/>
              </w:rPr>
            </w:pPr>
            <w:r>
              <w:rPr>
                <w:rFonts w:ascii="Times New Roman"/>
                <w:sz w:val="18"/>
              </w:rPr>
              <w:t>20.54</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361,70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pacing w:val="-1"/>
                <w:sz w:val="18"/>
              </w:rPr>
              <w:t>1,505.1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1,548,338,</w:t>
            </w:r>
          </w:p>
          <w:p>
            <w:pPr>
              <w:pStyle w:val="TableParagraph"/>
              <w:spacing w:line="240" w:lineRule="auto" w:before="105"/>
              <w:ind w:left="335" w:right="0"/>
              <w:jc w:val="left"/>
              <w:rPr>
                <w:rFonts w:ascii="Times New Roman" w:hAnsi="Times New Roman" w:cs="Times New Roman" w:eastAsia="Times New Roman" w:hint="default"/>
                <w:sz w:val="18"/>
                <w:szCs w:val="18"/>
              </w:rPr>
            </w:pPr>
            <w:r>
              <w:rPr>
                <w:rFonts w:ascii="Times New Roman"/>
                <w:sz w:val="18"/>
              </w:rPr>
              <w:t>824.36</w:t>
            </w:r>
          </w:p>
        </w:tc>
      </w:tr>
      <w:tr>
        <w:trPr>
          <w:trHeight w:val="710"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24" w:right="17"/>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4"/>
                <w:sz w:val="18"/>
                <w:szCs w:val="18"/>
              </w:rPr>
              <w:t>加：会计政</w:t>
            </w:r>
            <w:r>
              <w:rPr>
                <w:rFonts w:ascii="宋体" w:hAnsi="宋体" w:cs="宋体" w:eastAsia="宋体" w:hint="default"/>
                <w:w w:val="101"/>
                <w:sz w:val="18"/>
                <w:szCs w:val="18"/>
              </w:rPr>
              <w:t> </w:t>
            </w:r>
            <w:r>
              <w:rPr>
                <w:rFonts w:ascii="宋体" w:hAnsi="宋体" w:cs="宋体" w:eastAsia="宋体" w:hint="default"/>
                <w:sz w:val="18"/>
                <w:szCs w:val="18"/>
              </w:rPr>
              <w:t>策变更</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-143,748</w:t>
            </w:r>
          </w:p>
          <w:p>
            <w:pPr>
              <w:pStyle w:val="TableParagraph"/>
              <w:spacing w:line="240" w:lineRule="auto" w:before="105"/>
              <w:ind w:left="470" w:right="0"/>
              <w:jc w:val="left"/>
              <w:rPr>
                <w:rFonts w:ascii="Times New Roman" w:hAnsi="Times New Roman" w:cs="Times New Roman" w:eastAsia="Times New Roman" w:hint="default"/>
                <w:sz w:val="18"/>
                <w:szCs w:val="18"/>
              </w:rPr>
            </w:pPr>
            <w:r>
              <w:rPr>
                <w:rFonts w:ascii="Times New Roman"/>
                <w:sz w:val="18"/>
              </w:rPr>
              <w:t>.33</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-1,293,</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734.98</w:t>
            </w: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-1,437,483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.31</w:t>
            </w:r>
          </w:p>
        </w:tc>
      </w:tr>
      <w:tr>
        <w:trPr>
          <w:trHeight w:val="716"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8"/>
              <w:ind w:left="24" w:right="185"/>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3"/>
                <w:sz w:val="18"/>
                <w:szCs w:val="18"/>
              </w:rPr>
              <w:t> </w:t>
            </w:r>
            <w:r>
              <w:rPr>
                <w:rFonts w:ascii="宋体" w:hAnsi="宋体" w:cs="宋体" w:eastAsia="宋体" w:hint="default"/>
                <w:sz w:val="18"/>
                <w:szCs w:val="18"/>
              </w:rPr>
              <w:t>前期</w:t>
            </w:r>
            <w:r>
              <w:rPr>
                <w:rFonts w:ascii="宋体" w:hAnsi="宋体" w:cs="宋体" w:eastAsia="宋体" w:hint="default"/>
                <w:w w:val="101"/>
                <w:sz w:val="18"/>
                <w:szCs w:val="18"/>
              </w:rPr>
              <w:t> </w:t>
            </w:r>
            <w:r>
              <w:rPr>
                <w:rFonts w:ascii="宋体" w:hAnsi="宋体" w:cs="宋体" w:eastAsia="宋体" w:hint="default"/>
                <w:sz w:val="18"/>
                <w:szCs w:val="18"/>
              </w:rPr>
              <w:t>差错更正</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3"/>
                <w:sz w:val="18"/>
                <w:szCs w:val="18"/>
              </w:rPr>
              <w:t> </w:t>
            </w:r>
            <w:r>
              <w:rPr>
                <w:rFonts w:ascii="宋体" w:hAnsi="宋体" w:cs="宋体" w:eastAsia="宋体" w:hint="default"/>
                <w:sz w:val="18"/>
                <w:szCs w:val="18"/>
              </w:rPr>
              <w:t>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2" w:lineRule="auto"/>
              <w:ind w:left="24" w:right="17"/>
              <w:jc w:val="left"/>
              <w:rPr>
                <w:rFonts w:ascii="宋体" w:hAnsi="宋体" w:cs="宋体" w:eastAsia="宋体" w:hint="default"/>
                <w:sz w:val="18"/>
                <w:szCs w:val="18"/>
              </w:rPr>
            </w:pPr>
            <w:r>
              <w:rPr>
                <w:rFonts w:ascii="宋体" w:hAnsi="宋体" w:cs="宋体" w:eastAsia="宋体" w:hint="default"/>
                <w:spacing w:val="-4"/>
                <w:sz w:val="18"/>
                <w:szCs w:val="18"/>
              </w:rPr>
              <w:t>二、本年期初余</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额</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246,60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pacing w:val="-1"/>
                <w:sz w:val="18"/>
              </w:rPr>
              <w:t>6,046.0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852,317,</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552.66</w:t>
            </w: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87,569,9</w:t>
            </w:r>
          </w:p>
          <w:p>
            <w:pPr>
              <w:pStyle w:val="TableParagraph"/>
              <w:spacing w:line="240" w:lineRule="auto" w:before="105"/>
              <w:ind w:left="292" w:right="0"/>
              <w:jc w:val="left"/>
              <w:rPr>
                <w:rFonts w:ascii="Times New Roman" w:hAnsi="Times New Roman" w:cs="Times New Roman" w:eastAsia="Times New Roman" w:hint="default"/>
                <w:sz w:val="18"/>
                <w:szCs w:val="18"/>
              </w:rPr>
            </w:pPr>
            <w:r>
              <w:rPr>
                <w:rFonts w:ascii="Times New Roman"/>
                <w:sz w:val="18"/>
              </w:rPr>
              <w:t>72.21</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360,40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pacing w:val="-1"/>
                <w:sz w:val="18"/>
              </w:rPr>
              <w:t>7,770.1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1,546,901,</w:t>
            </w:r>
          </w:p>
          <w:p>
            <w:pPr>
              <w:pStyle w:val="TableParagraph"/>
              <w:spacing w:line="240" w:lineRule="auto" w:before="105"/>
              <w:ind w:left="335" w:right="0"/>
              <w:jc w:val="left"/>
              <w:rPr>
                <w:rFonts w:ascii="Times New Roman" w:hAnsi="Times New Roman" w:cs="Times New Roman" w:eastAsia="Times New Roman" w:hint="default"/>
                <w:sz w:val="18"/>
                <w:szCs w:val="18"/>
              </w:rPr>
            </w:pPr>
            <w:r>
              <w:rPr>
                <w:rFonts w:ascii="Times New Roman"/>
                <w:sz w:val="18"/>
              </w:rPr>
              <w:t>341.05</w:t>
            </w:r>
          </w:p>
        </w:tc>
      </w:tr>
      <w:tr>
        <w:trPr>
          <w:trHeight w:val="1022"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17"/>
              <w:jc w:val="both"/>
              <w:rPr>
                <w:rFonts w:ascii="宋体" w:hAnsi="宋体" w:cs="宋体" w:eastAsia="宋体" w:hint="default"/>
                <w:sz w:val="18"/>
                <w:szCs w:val="18"/>
              </w:rPr>
            </w:pPr>
            <w:r>
              <w:rPr>
                <w:rFonts w:ascii="宋体" w:hAnsi="宋体" w:cs="宋体" w:eastAsia="宋体" w:hint="default"/>
                <w:spacing w:val="-4"/>
                <w:sz w:val="18"/>
                <w:szCs w:val="18"/>
              </w:rPr>
              <w:t>三、本期增减变</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4"/>
                <w:sz w:val="18"/>
                <w:szCs w:val="18"/>
              </w:rPr>
              <w:t>动金额（减少以</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73,981,</w:t>
            </w:r>
          </w:p>
          <w:p>
            <w:pPr>
              <w:pStyle w:val="TableParagraph"/>
              <w:spacing w:line="240" w:lineRule="auto" w:before="109"/>
              <w:ind w:left="100" w:right="0"/>
              <w:jc w:val="left"/>
              <w:rPr>
                <w:rFonts w:ascii="Times New Roman" w:hAnsi="Times New Roman" w:cs="Times New Roman" w:eastAsia="Times New Roman" w:hint="default"/>
                <w:sz w:val="18"/>
                <w:szCs w:val="18"/>
              </w:rPr>
            </w:pPr>
            <w:r>
              <w:rPr>
                <w:rFonts w:ascii="Times New Roman"/>
                <w:sz w:val="18"/>
              </w:rPr>
              <w:t>813.00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8" w:right="0"/>
              <w:jc w:val="center"/>
              <w:rPr>
                <w:rFonts w:ascii="Times New Roman" w:hAnsi="Times New Roman" w:cs="Times New Roman" w:eastAsia="Times New Roman" w:hint="default"/>
                <w:sz w:val="18"/>
                <w:szCs w:val="18"/>
              </w:rPr>
            </w:pPr>
            <w:r>
              <w:rPr>
                <w:rFonts w:ascii="Times New Roman"/>
                <w:sz w:val="18"/>
              </w:rPr>
              <w:t>-73,981,</w:t>
            </w:r>
          </w:p>
          <w:p>
            <w:pPr>
              <w:pStyle w:val="TableParagraph"/>
              <w:spacing w:line="240" w:lineRule="auto" w:before="109"/>
              <w:ind w:left="186" w:right="0"/>
              <w:jc w:val="center"/>
              <w:rPr>
                <w:rFonts w:ascii="Times New Roman" w:hAnsi="Times New Roman" w:cs="Times New Roman" w:eastAsia="Times New Roman" w:hint="default"/>
                <w:sz w:val="18"/>
                <w:szCs w:val="18"/>
              </w:rPr>
            </w:pPr>
            <w:r>
              <w:rPr>
                <w:rFonts w:ascii="Times New Roman"/>
                <w:sz w:val="18"/>
              </w:rPr>
              <w:t>813.00</w:t>
            </w: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2,040,25</w:t>
            </w:r>
          </w:p>
          <w:p>
            <w:pPr>
              <w:pStyle w:val="TableParagraph"/>
              <w:spacing w:line="240" w:lineRule="auto" w:before="109"/>
              <w:ind w:left="379" w:right="0"/>
              <w:jc w:val="left"/>
              <w:rPr>
                <w:rFonts w:ascii="Times New Roman" w:hAnsi="Times New Roman" w:cs="Times New Roman" w:eastAsia="Times New Roman" w:hint="default"/>
                <w:sz w:val="18"/>
                <w:szCs w:val="18"/>
              </w:rPr>
            </w:pPr>
            <w:r>
              <w:rPr>
                <w:rFonts w:ascii="Times New Roman"/>
                <w:sz w:val="18"/>
              </w:rPr>
              <w:t>9.60</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4" w:right="0"/>
              <w:jc w:val="center"/>
              <w:rPr>
                <w:rFonts w:ascii="Times New Roman" w:hAnsi="Times New Roman" w:cs="Times New Roman" w:eastAsia="Times New Roman" w:hint="default"/>
                <w:sz w:val="18"/>
                <w:szCs w:val="18"/>
              </w:rPr>
            </w:pPr>
            <w:r>
              <w:rPr>
                <w:rFonts w:ascii="Times New Roman"/>
                <w:sz w:val="18"/>
              </w:rPr>
              <w:t>6,032,0</w:t>
            </w:r>
          </w:p>
          <w:p>
            <w:pPr>
              <w:pStyle w:val="TableParagraph"/>
              <w:spacing w:line="240" w:lineRule="auto" w:before="109"/>
              <w:ind w:left="163" w:right="0"/>
              <w:jc w:val="center"/>
              <w:rPr>
                <w:rFonts w:ascii="Times New Roman" w:hAnsi="Times New Roman" w:cs="Times New Roman" w:eastAsia="Times New Roman" w:hint="default"/>
                <w:sz w:val="18"/>
                <w:szCs w:val="18"/>
              </w:rPr>
            </w:pPr>
            <w:r>
              <w:rPr>
                <w:rFonts w:ascii="Times New Roman"/>
                <w:sz w:val="18"/>
              </w:rPr>
              <w:t>34.11</w:t>
            </w: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8,072,293.</w:t>
            </w:r>
          </w:p>
          <w:p>
            <w:pPr>
              <w:pStyle w:val="TableParagraph"/>
              <w:spacing w:line="240" w:lineRule="auto" w:before="109"/>
              <w:ind w:right="17"/>
              <w:jc w:val="right"/>
              <w:rPr>
                <w:rFonts w:ascii="Times New Roman" w:hAnsi="Times New Roman" w:cs="Times New Roman" w:eastAsia="Times New Roman" w:hint="default"/>
                <w:sz w:val="18"/>
                <w:szCs w:val="18"/>
              </w:rPr>
            </w:pPr>
            <w:r>
              <w:rPr>
                <w:rFonts w:ascii="Times New Roman"/>
                <w:sz w:val="18"/>
              </w:rPr>
              <w:t>71</w:t>
            </w:r>
          </w:p>
        </w:tc>
      </w:tr>
    </w:tbl>
    <w:p>
      <w:pPr>
        <w:spacing w:after="0" w:line="240" w:lineRule="auto"/>
        <w:jc w:val="right"/>
        <w:rPr>
          <w:rFonts w:ascii="Times New Roman" w:hAnsi="Times New Roman" w:cs="Times New Roman" w:eastAsia="Times New Roman" w:hint="default"/>
          <w:sz w:val="18"/>
          <w:szCs w:val="18"/>
        </w:rPr>
        <w:sectPr>
          <w:pgSz w:w="11910" w:h="16840"/>
          <w:pgMar w:header="746"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306"/>
        <w:gridCol w:w="629"/>
        <w:gridCol w:w="605"/>
        <w:gridCol w:w="605"/>
        <w:gridCol w:w="605"/>
        <w:gridCol w:w="725"/>
        <w:gridCol w:w="725"/>
        <w:gridCol w:w="730"/>
        <w:gridCol w:w="725"/>
        <w:gridCol w:w="725"/>
        <w:gridCol w:w="615"/>
        <w:gridCol w:w="711"/>
        <w:gridCol w:w="864"/>
      </w:tblGrid>
      <w:tr>
        <w:trPr>
          <w:trHeight w:val="715"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24" w:right="17"/>
              <w:jc w:val="left"/>
              <w:rPr>
                <w:rFonts w:ascii="宋体" w:hAnsi="宋体" w:cs="宋体" w:eastAsia="宋体" w:hint="default"/>
                <w:sz w:val="18"/>
                <w:szCs w:val="18"/>
              </w:rPr>
            </w:pPr>
            <w:r>
              <w:rPr>
                <w:rFonts w:ascii="宋体" w:hAnsi="宋体" w:cs="宋体" w:eastAsia="宋体" w:hint="default"/>
                <w:spacing w:val="-4"/>
                <w:sz w:val="18"/>
                <w:szCs w:val="18"/>
              </w:rPr>
              <w:t>（一）综合收益</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总额</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20,402,</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596.01</w:t>
            </w: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20,402,59</w:t>
            </w:r>
          </w:p>
          <w:p>
            <w:pPr>
              <w:pStyle w:val="TableParagraph"/>
              <w:spacing w:line="240" w:lineRule="auto" w:before="105"/>
              <w:ind w:left="513" w:right="0"/>
              <w:jc w:val="left"/>
              <w:rPr>
                <w:rFonts w:ascii="Times New Roman" w:hAnsi="Times New Roman" w:cs="Times New Roman" w:eastAsia="Times New Roman" w:hint="default"/>
                <w:sz w:val="18"/>
                <w:szCs w:val="18"/>
              </w:rPr>
            </w:pPr>
            <w:r>
              <w:rPr>
                <w:rFonts w:ascii="Times New Roman"/>
                <w:sz w:val="18"/>
              </w:rPr>
              <w:t>6.01</w:t>
            </w:r>
          </w:p>
        </w:tc>
      </w:tr>
      <w:tr>
        <w:trPr>
          <w:trHeight w:val="711"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17"/>
              <w:jc w:val="left"/>
              <w:rPr>
                <w:rFonts w:ascii="宋体" w:hAnsi="宋体" w:cs="宋体" w:eastAsia="宋体" w:hint="default"/>
                <w:sz w:val="18"/>
                <w:szCs w:val="18"/>
              </w:rPr>
            </w:pPr>
            <w:r>
              <w:rPr>
                <w:rFonts w:ascii="宋体" w:hAnsi="宋体" w:cs="宋体" w:eastAsia="宋体" w:hint="default"/>
                <w:spacing w:val="-4"/>
                <w:sz w:val="18"/>
                <w:szCs w:val="18"/>
              </w:rPr>
              <w:t>（二）所有者投</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入和减少资本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5" w:lineRule="auto" w:before="58"/>
              <w:ind w:left="24" w:right="94"/>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．所有者投入</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的普通股</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24" w:right="94"/>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．其他权益工</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具持有者投入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资本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3"/>
              <w:ind w:left="24" w:right="94"/>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．股份支付计</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入所有者权益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的金额</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4"/>
                <w:sz w:val="18"/>
                <w:szCs w:val="18"/>
              </w:rPr>
              <w:t>（三）利润分配</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7" w:right="0"/>
              <w:jc w:val="left"/>
              <w:rPr>
                <w:rFonts w:ascii="Times New Roman" w:hAnsi="Times New Roman" w:cs="Times New Roman" w:eastAsia="Times New Roman" w:hint="default"/>
                <w:sz w:val="18"/>
                <w:szCs w:val="18"/>
              </w:rPr>
            </w:pPr>
            <w:r>
              <w:rPr>
                <w:rFonts w:ascii="Times New Roman"/>
                <w:sz w:val="18"/>
              </w:rPr>
              <w:t>2,040,25</w:t>
            </w:r>
          </w:p>
          <w:p>
            <w:pPr>
              <w:pStyle w:val="TableParagraph"/>
              <w:spacing w:line="240" w:lineRule="auto" w:before="105"/>
              <w:ind w:left="379" w:right="0"/>
              <w:jc w:val="left"/>
              <w:rPr>
                <w:rFonts w:ascii="Times New Roman" w:hAnsi="Times New Roman" w:cs="Times New Roman" w:eastAsia="Times New Roman" w:hint="default"/>
                <w:sz w:val="18"/>
                <w:szCs w:val="18"/>
              </w:rPr>
            </w:pPr>
            <w:r>
              <w:rPr>
                <w:rFonts w:ascii="Times New Roman"/>
                <w:sz w:val="18"/>
              </w:rPr>
              <w:t>9.60</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-14,370</w:t>
            </w:r>
          </w:p>
          <w:p>
            <w:pPr>
              <w:pStyle w:val="TableParagraph"/>
              <w:spacing w:line="240" w:lineRule="auto" w:before="105"/>
              <w:ind w:left="43" w:right="0"/>
              <w:jc w:val="left"/>
              <w:rPr>
                <w:rFonts w:ascii="Times New Roman" w:hAnsi="Times New Roman" w:cs="Times New Roman" w:eastAsia="Times New Roman" w:hint="default"/>
                <w:sz w:val="18"/>
                <w:szCs w:val="18"/>
              </w:rPr>
            </w:pPr>
            <w:r>
              <w:rPr>
                <w:rFonts w:ascii="Times New Roman"/>
                <w:sz w:val="18"/>
              </w:rPr>
              <w:t>,561.90</w:t>
            </w: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2" w:right="0"/>
              <w:jc w:val="left"/>
              <w:rPr>
                <w:rFonts w:ascii="Times New Roman" w:hAnsi="Times New Roman" w:cs="Times New Roman" w:eastAsia="Times New Roman" w:hint="default"/>
                <w:sz w:val="18"/>
                <w:szCs w:val="18"/>
              </w:rPr>
            </w:pPr>
            <w:r>
              <w:rPr>
                <w:rFonts w:ascii="Times New Roman"/>
                <w:sz w:val="18"/>
              </w:rPr>
              <w:t>-12,330,30</w:t>
            </w:r>
          </w:p>
          <w:p>
            <w:pPr>
              <w:pStyle w:val="TableParagraph"/>
              <w:spacing w:line="240" w:lineRule="auto" w:before="105"/>
              <w:ind w:left="513" w:right="0"/>
              <w:jc w:val="left"/>
              <w:rPr>
                <w:rFonts w:ascii="Times New Roman" w:hAnsi="Times New Roman" w:cs="Times New Roman" w:eastAsia="Times New Roman" w:hint="default"/>
                <w:sz w:val="18"/>
                <w:szCs w:val="18"/>
              </w:rPr>
            </w:pPr>
            <w:r>
              <w:rPr>
                <w:rFonts w:ascii="Times New Roman"/>
                <w:sz w:val="18"/>
              </w:rPr>
              <w:t>2.30</w:t>
            </w:r>
          </w:p>
        </w:tc>
      </w:tr>
      <w:tr>
        <w:trPr>
          <w:trHeight w:val="716"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94"/>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．提取盈余公</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积</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2,040,25</w:t>
            </w:r>
          </w:p>
          <w:p>
            <w:pPr>
              <w:pStyle w:val="TableParagraph"/>
              <w:spacing w:line="240" w:lineRule="auto" w:before="110"/>
              <w:ind w:left="379" w:right="0"/>
              <w:jc w:val="left"/>
              <w:rPr>
                <w:rFonts w:ascii="Times New Roman" w:hAnsi="Times New Roman" w:cs="Times New Roman" w:eastAsia="Times New Roman" w:hint="default"/>
                <w:sz w:val="18"/>
                <w:szCs w:val="18"/>
              </w:rPr>
            </w:pPr>
            <w:r>
              <w:rPr>
                <w:rFonts w:ascii="Times New Roman"/>
                <w:sz w:val="18"/>
              </w:rPr>
              <w:t>9.60</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-2,040,</w:t>
            </w:r>
          </w:p>
          <w:p>
            <w:pPr>
              <w:pStyle w:val="TableParagraph"/>
              <w:spacing w:line="240" w:lineRule="auto" w:before="110"/>
              <w:ind w:left="86" w:right="0"/>
              <w:jc w:val="left"/>
              <w:rPr>
                <w:rFonts w:ascii="Times New Roman" w:hAnsi="Times New Roman" w:cs="Times New Roman" w:eastAsia="Times New Roman" w:hint="default"/>
                <w:sz w:val="18"/>
                <w:szCs w:val="18"/>
              </w:rPr>
            </w:pPr>
            <w:r>
              <w:rPr>
                <w:rFonts w:ascii="Times New Roman"/>
                <w:sz w:val="18"/>
              </w:rPr>
              <w:t>259.60</w:t>
            </w: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5" w:lineRule="auto" w:before="53"/>
              <w:ind w:left="24" w:right="17"/>
              <w:jc w:val="left"/>
              <w:rPr>
                <w:rFonts w:ascii="宋体" w:hAnsi="宋体" w:cs="宋体" w:eastAsia="宋体" w:hint="default"/>
                <w:sz w:val="18"/>
                <w:szCs w:val="18"/>
              </w:rPr>
            </w:pPr>
            <w:r>
              <w:rPr>
                <w:rFonts w:ascii="Times New Roman" w:hAnsi="Times New Roman" w:cs="Times New Roman" w:eastAsia="Times New Roman" w:hint="default"/>
                <w:spacing w:val="-15"/>
                <w:sz w:val="18"/>
                <w:szCs w:val="18"/>
              </w:rPr>
              <w:t>2</w:t>
            </w:r>
            <w:r>
              <w:rPr>
                <w:rFonts w:ascii="宋体" w:hAnsi="宋体" w:cs="宋体" w:eastAsia="宋体" w:hint="default"/>
                <w:spacing w:val="-15"/>
                <w:sz w:val="18"/>
                <w:szCs w:val="18"/>
              </w:rPr>
              <w:t>．对所有者（或</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股东）的分配</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-12,330</w:t>
            </w:r>
          </w:p>
          <w:p>
            <w:pPr>
              <w:pStyle w:val="TableParagraph"/>
              <w:spacing w:line="240" w:lineRule="auto" w:before="105"/>
              <w:ind w:left="43" w:right="0"/>
              <w:jc w:val="left"/>
              <w:rPr>
                <w:rFonts w:ascii="Times New Roman" w:hAnsi="Times New Roman" w:cs="Times New Roman" w:eastAsia="Times New Roman" w:hint="default"/>
                <w:sz w:val="18"/>
                <w:szCs w:val="18"/>
              </w:rPr>
            </w:pPr>
            <w:r>
              <w:rPr>
                <w:rFonts w:ascii="Times New Roman"/>
                <w:sz w:val="18"/>
              </w:rPr>
              <w:t>,302.30</w:t>
            </w: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-12,330,30</w:t>
            </w:r>
          </w:p>
          <w:p>
            <w:pPr>
              <w:pStyle w:val="TableParagraph"/>
              <w:spacing w:line="240" w:lineRule="auto" w:before="105"/>
              <w:ind w:left="513" w:right="0"/>
              <w:jc w:val="left"/>
              <w:rPr>
                <w:rFonts w:ascii="Times New Roman" w:hAnsi="Times New Roman" w:cs="Times New Roman" w:eastAsia="Times New Roman" w:hint="default"/>
                <w:sz w:val="18"/>
                <w:szCs w:val="18"/>
              </w:rPr>
            </w:pPr>
            <w:r>
              <w:rPr>
                <w:rFonts w:ascii="Times New Roman"/>
                <w:sz w:val="18"/>
              </w:rPr>
              <w:t>2.30</w:t>
            </w:r>
          </w:p>
        </w:tc>
      </w:tr>
      <w:tr>
        <w:trPr>
          <w:trHeight w:val="398"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8"/>
              <w:ind w:left="24" w:right="17"/>
              <w:jc w:val="left"/>
              <w:rPr>
                <w:rFonts w:ascii="宋体" w:hAnsi="宋体" w:cs="宋体" w:eastAsia="宋体" w:hint="default"/>
                <w:sz w:val="18"/>
                <w:szCs w:val="18"/>
              </w:rPr>
            </w:pPr>
            <w:r>
              <w:rPr>
                <w:rFonts w:ascii="宋体" w:hAnsi="宋体" w:cs="宋体" w:eastAsia="宋体" w:hint="default"/>
                <w:spacing w:val="-4"/>
                <w:sz w:val="18"/>
                <w:szCs w:val="18"/>
              </w:rPr>
              <w:t>（四）所有者权</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益内部结转</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7" w:right="0"/>
              <w:jc w:val="left"/>
              <w:rPr>
                <w:rFonts w:ascii="Times New Roman" w:hAnsi="Times New Roman" w:cs="Times New Roman" w:eastAsia="Times New Roman" w:hint="default"/>
                <w:sz w:val="18"/>
                <w:szCs w:val="18"/>
              </w:rPr>
            </w:pPr>
            <w:r>
              <w:rPr>
                <w:rFonts w:ascii="Times New Roman"/>
                <w:sz w:val="18"/>
              </w:rPr>
              <w:t>73,981,</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813.00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8" w:right="0"/>
              <w:jc w:val="center"/>
              <w:rPr>
                <w:rFonts w:ascii="Times New Roman" w:hAnsi="Times New Roman" w:cs="Times New Roman" w:eastAsia="Times New Roman" w:hint="default"/>
                <w:sz w:val="18"/>
                <w:szCs w:val="18"/>
              </w:rPr>
            </w:pPr>
            <w:r>
              <w:rPr>
                <w:rFonts w:ascii="Times New Roman"/>
                <w:sz w:val="18"/>
              </w:rPr>
              <w:t>-73,981,</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813.00</w:t>
            </w: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24" w:right="94"/>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．资本公积转</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增资本（或股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本）</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73,981,</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813.00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8" w:right="0"/>
              <w:jc w:val="center"/>
              <w:rPr>
                <w:rFonts w:ascii="Times New Roman" w:hAnsi="Times New Roman" w:cs="Times New Roman" w:eastAsia="Times New Roman" w:hint="default"/>
                <w:sz w:val="18"/>
                <w:szCs w:val="18"/>
              </w:rPr>
            </w:pPr>
            <w:r>
              <w:rPr>
                <w:rFonts w:ascii="Times New Roman"/>
                <w:sz w:val="18"/>
              </w:rPr>
              <w:t>-73,981,</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813.00</w:t>
            </w: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3"/>
              <w:ind w:left="24" w:right="94"/>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．盈余公积转</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增资本（或股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5" w:lineRule="auto" w:before="53"/>
              <w:ind w:left="24" w:right="94"/>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．盈余公积弥</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补亏损</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8"/>
              <w:ind w:left="24" w:right="94"/>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．设定受益计</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划变动额结转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留存收益</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24" w:right="94"/>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．其他综合收</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益结转留存收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益</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4"/>
                <w:sz w:val="18"/>
                <w:szCs w:val="18"/>
              </w:rPr>
              <w:t>（五）专项储备</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6"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306"/>
        <w:gridCol w:w="629"/>
        <w:gridCol w:w="605"/>
        <w:gridCol w:w="605"/>
        <w:gridCol w:w="605"/>
        <w:gridCol w:w="725"/>
        <w:gridCol w:w="725"/>
        <w:gridCol w:w="730"/>
        <w:gridCol w:w="725"/>
        <w:gridCol w:w="725"/>
        <w:gridCol w:w="615"/>
        <w:gridCol w:w="711"/>
        <w:gridCol w:w="864"/>
      </w:tblGrid>
      <w:tr>
        <w:trPr>
          <w:trHeight w:val="403"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312" w:lineRule="auto"/>
              <w:ind w:left="24" w:right="17"/>
              <w:jc w:val="left"/>
              <w:rPr>
                <w:rFonts w:ascii="宋体" w:hAnsi="宋体" w:cs="宋体" w:eastAsia="宋体" w:hint="default"/>
                <w:sz w:val="18"/>
                <w:szCs w:val="18"/>
              </w:rPr>
            </w:pPr>
            <w:r>
              <w:rPr>
                <w:rFonts w:ascii="宋体" w:hAnsi="宋体" w:cs="宋体" w:eastAsia="宋体" w:hint="default"/>
                <w:spacing w:val="-4"/>
                <w:sz w:val="18"/>
                <w:szCs w:val="18"/>
              </w:rPr>
              <w:t>四、本期期末余</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额</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320,58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pacing w:val="-1"/>
                <w:sz w:val="18"/>
              </w:rPr>
              <w:t>7,859.0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778,335,</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739.66</w:t>
            </w: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89,610,2</w:t>
            </w:r>
          </w:p>
          <w:p>
            <w:pPr>
              <w:pStyle w:val="TableParagraph"/>
              <w:spacing w:line="240" w:lineRule="auto" w:before="105"/>
              <w:ind w:left="292" w:right="0"/>
              <w:jc w:val="left"/>
              <w:rPr>
                <w:rFonts w:ascii="Times New Roman" w:hAnsi="Times New Roman" w:cs="Times New Roman" w:eastAsia="Times New Roman" w:hint="default"/>
                <w:sz w:val="18"/>
                <w:szCs w:val="18"/>
              </w:rPr>
            </w:pPr>
            <w:r>
              <w:rPr>
                <w:rFonts w:ascii="Times New Roman"/>
                <w:sz w:val="18"/>
              </w:rPr>
              <w:t>31.81</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366,43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pacing w:val="-1"/>
                <w:sz w:val="18"/>
              </w:rPr>
              <w:t>9,804.2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1,554,973,</w:t>
            </w:r>
          </w:p>
          <w:p>
            <w:pPr>
              <w:pStyle w:val="TableParagraph"/>
              <w:spacing w:line="240" w:lineRule="auto" w:before="105"/>
              <w:ind w:left="335" w:right="0"/>
              <w:jc w:val="left"/>
              <w:rPr>
                <w:rFonts w:ascii="Times New Roman" w:hAnsi="Times New Roman" w:cs="Times New Roman" w:eastAsia="Times New Roman" w:hint="default"/>
                <w:sz w:val="18"/>
                <w:szCs w:val="18"/>
              </w:rPr>
            </w:pPr>
            <w:r>
              <w:rPr>
                <w:rFonts w:ascii="Times New Roman"/>
                <w:sz w:val="18"/>
              </w:rPr>
              <w:t>634.76</w:t>
            </w:r>
          </w:p>
        </w:tc>
      </w:tr>
    </w:tbl>
    <w:p>
      <w:pPr>
        <w:pStyle w:val="BodyText"/>
        <w:spacing w:line="240" w:lineRule="auto" w:before="53"/>
        <w:ind w:right="855"/>
        <w:jc w:val="left"/>
      </w:pPr>
      <w:r>
        <w:rPr/>
        <w:t>上期金额</w:t>
      </w:r>
    </w:p>
    <w:p>
      <w:pPr>
        <w:pStyle w:val="BodyText"/>
        <w:spacing w:line="240" w:lineRule="auto" w:before="115"/>
        <w:ind w:left="0" w:right="1121"/>
        <w:jc w:val="right"/>
      </w:pPr>
      <w:r>
        <w:rPr>
          <w:spacing w:val="-2"/>
        </w:rPr>
        <w:t>单位：元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29"/>
        <w:gridCol w:w="596"/>
        <w:gridCol w:w="571"/>
        <w:gridCol w:w="577"/>
        <w:gridCol w:w="571"/>
        <w:gridCol w:w="682"/>
        <w:gridCol w:w="686"/>
        <w:gridCol w:w="687"/>
        <w:gridCol w:w="783"/>
        <w:gridCol w:w="662"/>
        <w:gridCol w:w="802"/>
        <w:gridCol w:w="797"/>
        <w:gridCol w:w="926"/>
      </w:tblGrid>
      <w:tr>
        <w:trPr>
          <w:trHeight w:val="399" w:hRule="exact"/>
        </w:trPr>
        <w:tc>
          <w:tcPr>
            <w:tcW w:w="122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341"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年年度</w:t>
            </w:r>
          </w:p>
        </w:tc>
      </w:tr>
      <w:tr>
        <w:trPr>
          <w:trHeight w:val="408" w:hRule="exact"/>
        </w:trPr>
        <w:tc>
          <w:tcPr>
            <w:tcW w:w="1229" w:type="dxa"/>
            <w:vMerge/>
            <w:tcBorders>
              <w:left w:val="single" w:sz="4" w:space="0" w:color="000000"/>
              <w:right w:val="single" w:sz="4" w:space="0" w:color="000000"/>
            </w:tcBorders>
            <w:shd w:val="clear" w:color="auto" w:fill="D2D2D2"/>
          </w:tcPr>
          <w:p>
            <w:pPr/>
          </w:p>
        </w:tc>
        <w:tc>
          <w:tcPr>
            <w:tcW w:w="5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71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1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8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9"/>
                <w:szCs w:val="19"/>
              </w:rPr>
            </w:pPr>
          </w:p>
          <w:p>
            <w:pPr>
              <w:pStyle w:val="TableParagraph"/>
              <w:spacing w:line="312" w:lineRule="auto"/>
              <w:ind w:left="249" w:right="60" w:hanging="183"/>
              <w:jc w:val="left"/>
              <w:rPr>
                <w:rFonts w:ascii="宋体" w:hAnsi="宋体" w:cs="宋体" w:eastAsia="宋体" w:hint="default"/>
                <w:sz w:val="18"/>
                <w:szCs w:val="18"/>
              </w:rPr>
            </w:pPr>
            <w:r>
              <w:rPr>
                <w:rFonts w:ascii="宋体" w:hAnsi="宋体" w:cs="宋体" w:eastAsia="宋体" w:hint="default"/>
                <w:sz w:val="18"/>
                <w:szCs w:val="18"/>
              </w:rPr>
              <w:t>资本公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积</w:t>
            </w:r>
          </w:p>
        </w:tc>
        <w:tc>
          <w:tcPr>
            <w:tcW w:w="6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9"/>
                <w:szCs w:val="19"/>
              </w:rPr>
            </w:pPr>
          </w:p>
          <w:p>
            <w:pPr>
              <w:pStyle w:val="TableParagraph"/>
              <w:spacing w:line="312" w:lineRule="auto"/>
              <w:ind w:left="249" w:right="17" w:hanging="226"/>
              <w:jc w:val="left"/>
              <w:rPr>
                <w:rFonts w:ascii="宋体" w:hAnsi="宋体" w:cs="宋体" w:eastAsia="宋体" w:hint="default"/>
                <w:sz w:val="18"/>
                <w:szCs w:val="18"/>
              </w:rPr>
            </w:pPr>
            <w:r>
              <w:rPr>
                <w:rFonts w:ascii="宋体" w:hAnsi="宋体" w:cs="宋体" w:eastAsia="宋体" w:hint="default"/>
                <w:spacing w:val="-24"/>
                <w:w w:val="101"/>
                <w:sz w:val="18"/>
                <w:szCs w:val="18"/>
              </w:rPr>
              <w:t>减：库存</w:t>
            </w:r>
            <w:r>
              <w:rPr>
                <w:rFonts w:ascii="宋体" w:hAnsi="宋体" w:cs="宋体" w:eastAsia="宋体" w:hint="default"/>
                <w:w w:val="101"/>
                <w:sz w:val="18"/>
                <w:szCs w:val="18"/>
              </w:rPr>
              <w:t> </w:t>
            </w:r>
            <w:r>
              <w:rPr>
                <w:rFonts w:ascii="宋体" w:hAnsi="宋体" w:cs="宋体" w:eastAsia="宋体" w:hint="default"/>
                <w:sz w:val="18"/>
                <w:szCs w:val="18"/>
              </w:rPr>
              <w:t>股</w:t>
            </w:r>
          </w:p>
        </w:tc>
        <w:tc>
          <w:tcPr>
            <w:tcW w:w="68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9"/>
                <w:szCs w:val="19"/>
              </w:rPr>
            </w:pPr>
          </w:p>
          <w:p>
            <w:pPr>
              <w:pStyle w:val="TableParagraph"/>
              <w:spacing w:line="312" w:lineRule="auto"/>
              <w:ind w:left="67" w:right="65"/>
              <w:jc w:val="left"/>
              <w:rPr>
                <w:rFonts w:ascii="宋体" w:hAnsi="宋体" w:cs="宋体" w:eastAsia="宋体" w:hint="default"/>
                <w:sz w:val="18"/>
                <w:szCs w:val="18"/>
              </w:rPr>
            </w:pPr>
            <w:r>
              <w:rPr>
                <w:rFonts w:ascii="宋体" w:hAnsi="宋体" w:cs="宋体" w:eastAsia="宋体" w:hint="default"/>
                <w:sz w:val="18"/>
                <w:szCs w:val="18"/>
              </w:rPr>
              <w:t>其他综</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合收益</w:t>
            </w:r>
          </w:p>
        </w:tc>
        <w:tc>
          <w:tcPr>
            <w:tcW w:w="78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6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9"/>
                <w:szCs w:val="19"/>
              </w:rPr>
            </w:pPr>
          </w:p>
          <w:p>
            <w:pPr>
              <w:pStyle w:val="TableParagraph"/>
              <w:spacing w:line="312" w:lineRule="auto"/>
              <w:ind w:left="240" w:right="50" w:hanging="183"/>
              <w:jc w:val="left"/>
              <w:rPr>
                <w:rFonts w:ascii="宋体" w:hAnsi="宋体" w:cs="宋体" w:eastAsia="宋体" w:hint="default"/>
                <w:sz w:val="18"/>
                <w:szCs w:val="18"/>
              </w:rPr>
            </w:pPr>
            <w:r>
              <w:rPr>
                <w:rFonts w:ascii="宋体" w:hAnsi="宋体" w:cs="宋体" w:eastAsia="宋体" w:hint="default"/>
                <w:sz w:val="18"/>
                <w:szCs w:val="18"/>
              </w:rPr>
              <w:t>盈余公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积</w:t>
            </w:r>
          </w:p>
        </w:tc>
        <w:tc>
          <w:tcPr>
            <w:tcW w:w="8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9"/>
                <w:szCs w:val="19"/>
              </w:rPr>
            </w:pPr>
          </w:p>
          <w:p>
            <w:pPr>
              <w:pStyle w:val="TableParagraph"/>
              <w:spacing w:line="312" w:lineRule="auto"/>
              <w:ind w:left="307" w:right="31" w:hanging="274"/>
              <w:jc w:val="left"/>
              <w:rPr>
                <w:rFonts w:ascii="宋体" w:hAnsi="宋体" w:cs="宋体" w:eastAsia="宋体" w:hint="default"/>
                <w:sz w:val="18"/>
                <w:szCs w:val="18"/>
              </w:rPr>
            </w:pPr>
            <w:r>
              <w:rPr>
                <w:rFonts w:ascii="宋体" w:hAnsi="宋体" w:cs="宋体" w:eastAsia="宋体" w:hint="default"/>
                <w:sz w:val="18"/>
                <w:szCs w:val="18"/>
              </w:rPr>
              <w:t>未分配利</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润</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2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9"/>
                <w:szCs w:val="19"/>
              </w:rPr>
            </w:pPr>
          </w:p>
          <w:p>
            <w:pPr>
              <w:pStyle w:val="TableParagraph"/>
              <w:spacing w:line="312" w:lineRule="auto"/>
              <w:ind w:left="191" w:right="89" w:hanging="92"/>
              <w:jc w:val="left"/>
              <w:rPr>
                <w:rFonts w:ascii="宋体" w:hAnsi="宋体" w:cs="宋体" w:eastAsia="宋体" w:hint="default"/>
                <w:sz w:val="18"/>
                <w:szCs w:val="18"/>
              </w:rPr>
            </w:pPr>
            <w:r>
              <w:rPr>
                <w:rFonts w:ascii="宋体" w:hAnsi="宋体" w:cs="宋体" w:eastAsia="宋体" w:hint="default"/>
                <w:sz w:val="18"/>
                <w:szCs w:val="18"/>
              </w:rPr>
              <w:t>所有者权</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益合计</w:t>
            </w:r>
          </w:p>
        </w:tc>
      </w:tr>
      <w:tr>
        <w:trPr>
          <w:trHeight w:val="715" w:hRule="exact"/>
        </w:trPr>
        <w:tc>
          <w:tcPr>
            <w:tcW w:w="1229" w:type="dxa"/>
            <w:vMerge/>
            <w:tcBorders>
              <w:left w:val="single" w:sz="4" w:space="0" w:color="000000"/>
              <w:bottom w:val="single" w:sz="4" w:space="0" w:color="000000"/>
              <w:right w:val="single" w:sz="4" w:space="0" w:color="000000"/>
            </w:tcBorders>
            <w:shd w:val="clear" w:color="auto" w:fill="D2D2D2"/>
          </w:tcPr>
          <w:p>
            <w:pPr/>
          </w:p>
        </w:tc>
        <w:tc>
          <w:tcPr>
            <w:tcW w:w="596" w:type="dxa"/>
            <w:vMerge/>
            <w:tcBorders>
              <w:left w:val="single" w:sz="4" w:space="0" w:color="000000"/>
              <w:bottom w:val="single" w:sz="4" w:space="0" w:color="000000"/>
              <w:right w:val="single" w:sz="4" w:space="0" w:color="000000"/>
            </w:tcBorders>
            <w:shd w:val="clear" w:color="auto" w:fill="D2D2D2"/>
          </w:tcPr>
          <w:p>
            <w:pPr/>
          </w:p>
        </w:tc>
        <w:tc>
          <w:tcPr>
            <w:tcW w:w="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191" w:right="95" w:hanging="92"/>
              <w:jc w:val="left"/>
              <w:rPr>
                <w:rFonts w:ascii="宋体" w:hAnsi="宋体" w:cs="宋体" w:eastAsia="宋体" w:hint="default"/>
                <w:sz w:val="18"/>
                <w:szCs w:val="18"/>
              </w:rPr>
            </w:pPr>
            <w:r>
              <w:rPr>
                <w:rFonts w:ascii="宋体" w:hAnsi="宋体" w:cs="宋体" w:eastAsia="宋体" w:hint="default"/>
                <w:sz w:val="18"/>
                <w:szCs w:val="18"/>
              </w:rPr>
              <w:t>优先</w:t>
            </w:r>
            <w:r>
              <w:rPr>
                <w:rFonts w:ascii="宋体" w:hAnsi="宋体" w:cs="宋体" w:eastAsia="宋体" w:hint="default"/>
                <w:spacing w:val="-86"/>
                <w:sz w:val="18"/>
                <w:szCs w:val="18"/>
              </w:rPr>
              <w:t> </w:t>
            </w:r>
            <w:r>
              <w:rPr>
                <w:rFonts w:ascii="宋体" w:hAnsi="宋体" w:cs="宋体" w:eastAsia="宋体" w:hint="default"/>
                <w:sz w:val="18"/>
                <w:szCs w:val="18"/>
              </w:rPr>
              <w:t>股</w:t>
            </w:r>
          </w:p>
        </w:tc>
        <w:tc>
          <w:tcPr>
            <w:tcW w:w="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191" w:right="99" w:hanging="92"/>
              <w:jc w:val="left"/>
              <w:rPr>
                <w:rFonts w:ascii="宋体" w:hAnsi="宋体" w:cs="宋体" w:eastAsia="宋体" w:hint="default"/>
                <w:sz w:val="18"/>
                <w:szCs w:val="18"/>
              </w:rPr>
            </w:pPr>
            <w:r>
              <w:rPr>
                <w:rFonts w:ascii="宋体" w:hAnsi="宋体" w:cs="宋体" w:eastAsia="宋体" w:hint="default"/>
                <w:sz w:val="18"/>
                <w:szCs w:val="18"/>
              </w:rPr>
              <w:t>永续</w:t>
            </w:r>
            <w:r>
              <w:rPr>
                <w:rFonts w:ascii="宋体" w:hAnsi="宋体" w:cs="宋体" w:eastAsia="宋体" w:hint="default"/>
                <w:spacing w:val="-86"/>
                <w:sz w:val="18"/>
                <w:szCs w:val="18"/>
              </w:rPr>
              <w:t> </w:t>
            </w:r>
            <w:r>
              <w:rPr>
                <w:rFonts w:ascii="宋体" w:hAnsi="宋体" w:cs="宋体" w:eastAsia="宋体" w:hint="default"/>
                <w:sz w:val="18"/>
                <w:szCs w:val="18"/>
              </w:rPr>
              <w:t>债</w:t>
            </w:r>
          </w:p>
        </w:tc>
        <w:tc>
          <w:tcPr>
            <w:tcW w:w="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82" w:type="dxa"/>
            <w:vMerge/>
            <w:tcBorders>
              <w:left w:val="single" w:sz="4" w:space="0" w:color="000000"/>
              <w:bottom w:val="single" w:sz="4" w:space="0" w:color="000000"/>
              <w:right w:val="single" w:sz="4" w:space="0" w:color="000000"/>
            </w:tcBorders>
            <w:shd w:val="clear" w:color="auto" w:fill="D2D2D2"/>
          </w:tcPr>
          <w:p>
            <w:pPr/>
          </w:p>
        </w:tc>
        <w:tc>
          <w:tcPr>
            <w:tcW w:w="686" w:type="dxa"/>
            <w:vMerge/>
            <w:tcBorders>
              <w:left w:val="single" w:sz="4" w:space="0" w:color="000000"/>
              <w:bottom w:val="single" w:sz="4" w:space="0" w:color="000000"/>
              <w:right w:val="single" w:sz="4" w:space="0" w:color="000000"/>
            </w:tcBorders>
            <w:shd w:val="clear" w:color="auto" w:fill="D2D2D2"/>
          </w:tcPr>
          <w:p>
            <w:pPr/>
          </w:p>
        </w:tc>
        <w:tc>
          <w:tcPr>
            <w:tcW w:w="687" w:type="dxa"/>
            <w:vMerge/>
            <w:tcBorders>
              <w:left w:val="single" w:sz="4" w:space="0" w:color="000000"/>
              <w:bottom w:val="single" w:sz="4" w:space="0" w:color="000000"/>
              <w:right w:val="single" w:sz="4" w:space="0" w:color="000000"/>
            </w:tcBorders>
            <w:shd w:val="clear" w:color="auto" w:fill="D2D2D2"/>
          </w:tcPr>
          <w:p>
            <w:pPr/>
          </w:p>
        </w:tc>
        <w:tc>
          <w:tcPr>
            <w:tcW w:w="783" w:type="dxa"/>
            <w:vMerge/>
            <w:tcBorders>
              <w:left w:val="single" w:sz="4" w:space="0" w:color="000000"/>
              <w:bottom w:val="single" w:sz="4" w:space="0" w:color="000000"/>
              <w:right w:val="single" w:sz="4" w:space="0" w:color="000000"/>
            </w:tcBorders>
            <w:shd w:val="clear" w:color="auto" w:fill="D2D2D2"/>
          </w:tcPr>
          <w:p>
            <w:pPr/>
          </w:p>
        </w:tc>
        <w:tc>
          <w:tcPr>
            <w:tcW w:w="662" w:type="dxa"/>
            <w:vMerge/>
            <w:tcBorders>
              <w:left w:val="single" w:sz="4" w:space="0" w:color="000000"/>
              <w:bottom w:val="single" w:sz="4" w:space="0" w:color="000000"/>
              <w:right w:val="single" w:sz="4" w:space="0" w:color="000000"/>
            </w:tcBorders>
            <w:shd w:val="clear" w:color="auto" w:fill="D2D2D2"/>
          </w:tcPr>
          <w:p>
            <w:pPr/>
          </w:p>
        </w:tc>
        <w:tc>
          <w:tcPr>
            <w:tcW w:w="802"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926" w:type="dxa"/>
            <w:vMerge/>
            <w:tcBorders>
              <w:left w:val="single" w:sz="4" w:space="0" w:color="000000"/>
              <w:bottom w:val="single" w:sz="4" w:space="0" w:color="000000"/>
              <w:right w:val="single" w:sz="4" w:space="0" w:color="000000"/>
            </w:tcBorders>
            <w:shd w:val="clear" w:color="auto" w:fill="D2D2D2"/>
          </w:tcPr>
          <w:p>
            <w:pPr/>
          </w:p>
        </w:tc>
      </w:tr>
      <w:tr>
        <w:trPr>
          <w:trHeight w:val="1023"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2" w:lineRule="auto"/>
              <w:ind w:left="24" w:right="12"/>
              <w:jc w:val="left"/>
              <w:rPr>
                <w:rFonts w:ascii="宋体" w:hAnsi="宋体" w:cs="宋体" w:eastAsia="宋体" w:hint="default"/>
                <w:sz w:val="18"/>
                <w:szCs w:val="18"/>
              </w:rPr>
            </w:pPr>
            <w:r>
              <w:rPr>
                <w:rFonts w:ascii="宋体" w:hAnsi="宋体" w:cs="宋体" w:eastAsia="宋体" w:hint="default"/>
                <w:spacing w:val="-14"/>
                <w:w w:val="101"/>
                <w:sz w:val="18"/>
                <w:szCs w:val="18"/>
              </w:rPr>
              <w:t>一、上年期末余</w:t>
            </w:r>
            <w:r>
              <w:rPr>
                <w:rFonts w:ascii="宋体" w:hAnsi="宋体" w:cs="宋体" w:eastAsia="宋体" w:hint="default"/>
                <w:w w:val="101"/>
                <w:sz w:val="18"/>
                <w:szCs w:val="18"/>
              </w:rPr>
              <w:t> </w:t>
            </w:r>
            <w:r>
              <w:rPr>
                <w:rFonts w:ascii="宋体" w:hAnsi="宋体" w:cs="宋体" w:eastAsia="宋体" w:hint="default"/>
                <w:sz w:val="18"/>
                <w:szCs w:val="18"/>
              </w:rPr>
              <w:t>额</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246,60</w:t>
            </w:r>
          </w:p>
          <w:p>
            <w:pPr>
              <w:pStyle w:val="TableParagraph"/>
              <w:spacing w:line="240" w:lineRule="auto" w:before="105"/>
              <w:ind w:left="115" w:right="0"/>
              <w:jc w:val="left"/>
              <w:rPr>
                <w:rFonts w:ascii="Times New Roman" w:hAnsi="Times New Roman" w:cs="Times New Roman" w:eastAsia="Times New Roman" w:hint="default"/>
                <w:sz w:val="18"/>
                <w:szCs w:val="18"/>
              </w:rPr>
            </w:pPr>
            <w:r>
              <w:rPr>
                <w:rFonts w:ascii="Times New Roman"/>
                <w:sz w:val="18"/>
              </w:rPr>
              <w:t>6,046.</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00</w:t>
            </w:r>
          </w:p>
        </w:tc>
        <w:tc>
          <w:tcPr>
            <w:tcW w:w="571"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862,875</w:t>
            </w:r>
          </w:p>
          <w:p>
            <w:pPr>
              <w:pStyle w:val="TableParagraph"/>
              <w:spacing w:line="240" w:lineRule="auto" w:before="105"/>
              <w:ind w:left="115" w:right="0"/>
              <w:jc w:val="left"/>
              <w:rPr>
                <w:rFonts w:ascii="Times New Roman" w:hAnsi="Times New Roman" w:cs="Times New Roman" w:eastAsia="Times New Roman" w:hint="default"/>
                <w:sz w:val="18"/>
                <w:szCs w:val="18"/>
              </w:rPr>
            </w:pPr>
            <w:r>
              <w:rPr>
                <w:rFonts w:ascii="Times New Roman"/>
                <w:sz w:val="18"/>
              </w:rPr>
              <w:t>,245.37</w:t>
            </w: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510,590</w:t>
            </w:r>
          </w:p>
          <w:p>
            <w:pPr>
              <w:pStyle w:val="TableParagraph"/>
              <w:spacing w:line="240" w:lineRule="auto" w:before="105"/>
              <w:ind w:left="427" w:right="0"/>
              <w:jc w:val="left"/>
              <w:rPr>
                <w:rFonts w:ascii="Times New Roman" w:hAnsi="Times New Roman" w:cs="Times New Roman" w:eastAsia="Times New Roman" w:hint="default"/>
                <w:sz w:val="18"/>
                <w:szCs w:val="18"/>
              </w:rPr>
            </w:pPr>
            <w:r>
              <w:rPr>
                <w:rFonts w:ascii="Times New Roman"/>
                <w:sz w:val="18"/>
              </w:rPr>
              <w:t>.75</w:t>
            </w: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96" w:right="0"/>
              <w:jc w:val="left"/>
              <w:rPr>
                <w:rFonts w:ascii="Times New Roman" w:hAnsi="Times New Roman" w:cs="Times New Roman" w:eastAsia="Times New Roman" w:hint="default"/>
                <w:sz w:val="18"/>
                <w:szCs w:val="18"/>
              </w:rPr>
            </w:pPr>
            <w:r>
              <w:rPr>
                <w:rFonts w:ascii="Times New Roman"/>
                <w:sz w:val="18"/>
              </w:rPr>
              <w:t>82,315,</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550.10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318,050,0</w:t>
            </w:r>
          </w:p>
          <w:p>
            <w:pPr>
              <w:pStyle w:val="TableParagraph"/>
              <w:spacing w:line="240" w:lineRule="auto" w:before="105"/>
              <w:ind w:left="365" w:right="0"/>
              <w:jc w:val="left"/>
              <w:rPr>
                <w:rFonts w:ascii="Times New Roman" w:hAnsi="Times New Roman" w:cs="Times New Roman" w:eastAsia="Times New Roman" w:hint="default"/>
                <w:sz w:val="18"/>
                <w:szCs w:val="18"/>
              </w:rPr>
            </w:pPr>
            <w:r>
              <w:rPr>
                <w:rFonts w:ascii="Times New Roman"/>
                <w:sz w:val="18"/>
              </w:rPr>
              <w:t>92.15</w:t>
            </w: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1,510,357,5</w:t>
            </w:r>
          </w:p>
          <w:p>
            <w:pPr>
              <w:pStyle w:val="TableParagraph"/>
              <w:spacing w:line="240" w:lineRule="auto" w:before="105"/>
              <w:ind w:left="494" w:right="0"/>
              <w:jc w:val="left"/>
              <w:rPr>
                <w:rFonts w:ascii="Times New Roman" w:hAnsi="Times New Roman" w:cs="Times New Roman" w:eastAsia="Times New Roman" w:hint="default"/>
                <w:sz w:val="18"/>
                <w:szCs w:val="18"/>
              </w:rPr>
            </w:pPr>
            <w:r>
              <w:rPr>
                <w:rFonts w:ascii="Times New Roman"/>
                <w:sz w:val="18"/>
              </w:rPr>
              <w:t>24.37</w:t>
            </w:r>
          </w:p>
        </w:tc>
      </w:tr>
      <w:tr>
        <w:trPr>
          <w:trHeight w:val="715"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2"/>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19"/>
                <w:w w:val="101"/>
                <w:sz w:val="18"/>
                <w:szCs w:val="18"/>
              </w:rPr>
              <w:t>加：会计政</w:t>
            </w:r>
            <w:r>
              <w:rPr>
                <w:rFonts w:ascii="宋体" w:hAnsi="宋体" w:cs="宋体" w:eastAsia="宋体" w:hint="default"/>
                <w:w w:val="101"/>
                <w:sz w:val="18"/>
                <w:szCs w:val="18"/>
              </w:rPr>
              <w:t> </w:t>
            </w:r>
            <w:r>
              <w:rPr>
                <w:rFonts w:ascii="宋体" w:hAnsi="宋体" w:cs="宋体" w:eastAsia="宋体" w:hint="default"/>
                <w:sz w:val="18"/>
                <w:szCs w:val="18"/>
              </w:rPr>
              <w:t>策变更</w:t>
            </w:r>
          </w:p>
        </w:tc>
        <w:tc>
          <w:tcPr>
            <w:tcW w:w="596"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4"/>
              <w:ind w:left="24" w:right="108"/>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3"/>
                <w:sz w:val="18"/>
                <w:szCs w:val="18"/>
              </w:rPr>
              <w:t> </w:t>
            </w:r>
            <w:r>
              <w:rPr>
                <w:rFonts w:ascii="宋体" w:hAnsi="宋体" w:cs="宋体" w:eastAsia="宋体" w:hint="default"/>
                <w:sz w:val="18"/>
                <w:szCs w:val="18"/>
              </w:rPr>
              <w:t>前期</w:t>
            </w:r>
            <w:r>
              <w:rPr>
                <w:rFonts w:ascii="宋体" w:hAnsi="宋体" w:cs="宋体" w:eastAsia="宋体" w:hint="default"/>
                <w:w w:val="101"/>
                <w:sz w:val="18"/>
                <w:szCs w:val="18"/>
              </w:rPr>
              <w:t> </w:t>
            </w:r>
            <w:r>
              <w:rPr>
                <w:rFonts w:ascii="宋体" w:hAnsi="宋体" w:cs="宋体" w:eastAsia="宋体" w:hint="default"/>
                <w:sz w:val="18"/>
                <w:szCs w:val="18"/>
              </w:rPr>
              <w:t>差错更正</w:t>
            </w:r>
          </w:p>
        </w:tc>
        <w:tc>
          <w:tcPr>
            <w:tcW w:w="596"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3"/>
                <w:sz w:val="18"/>
                <w:szCs w:val="18"/>
              </w:rPr>
              <w:t> </w:t>
            </w:r>
            <w:r>
              <w:rPr>
                <w:rFonts w:ascii="宋体" w:hAnsi="宋体" w:cs="宋体" w:eastAsia="宋体" w:hint="default"/>
                <w:sz w:val="18"/>
                <w:szCs w:val="18"/>
              </w:rPr>
              <w:t>其他</w:t>
            </w:r>
          </w:p>
        </w:tc>
        <w:tc>
          <w:tcPr>
            <w:tcW w:w="596"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1023"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4" w:right="12"/>
              <w:jc w:val="left"/>
              <w:rPr>
                <w:rFonts w:ascii="宋体" w:hAnsi="宋体" w:cs="宋体" w:eastAsia="宋体" w:hint="default"/>
                <w:sz w:val="18"/>
                <w:szCs w:val="18"/>
              </w:rPr>
            </w:pPr>
            <w:r>
              <w:rPr>
                <w:rFonts w:ascii="宋体" w:hAnsi="宋体" w:cs="宋体" w:eastAsia="宋体" w:hint="default"/>
                <w:spacing w:val="-14"/>
                <w:w w:val="101"/>
                <w:sz w:val="18"/>
                <w:szCs w:val="18"/>
              </w:rPr>
              <w:t>二、本年期初余</w:t>
            </w:r>
            <w:r>
              <w:rPr>
                <w:rFonts w:ascii="宋体" w:hAnsi="宋体" w:cs="宋体" w:eastAsia="宋体" w:hint="default"/>
                <w:w w:val="101"/>
                <w:sz w:val="18"/>
                <w:szCs w:val="18"/>
              </w:rPr>
              <w:t> </w:t>
            </w:r>
            <w:r>
              <w:rPr>
                <w:rFonts w:ascii="宋体" w:hAnsi="宋体" w:cs="宋体" w:eastAsia="宋体" w:hint="default"/>
                <w:sz w:val="18"/>
                <w:szCs w:val="18"/>
              </w:rPr>
              <w:t>额</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246,60</w:t>
            </w:r>
          </w:p>
          <w:p>
            <w:pPr>
              <w:pStyle w:val="TableParagraph"/>
              <w:spacing w:line="240" w:lineRule="auto" w:before="105"/>
              <w:ind w:left="115" w:right="0"/>
              <w:jc w:val="left"/>
              <w:rPr>
                <w:rFonts w:ascii="Times New Roman" w:hAnsi="Times New Roman" w:cs="Times New Roman" w:eastAsia="Times New Roman" w:hint="default"/>
                <w:sz w:val="18"/>
                <w:szCs w:val="18"/>
              </w:rPr>
            </w:pPr>
            <w:r>
              <w:rPr>
                <w:rFonts w:ascii="Times New Roman"/>
                <w:sz w:val="18"/>
              </w:rPr>
              <w:t>6,046.</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00</w:t>
            </w:r>
          </w:p>
        </w:tc>
        <w:tc>
          <w:tcPr>
            <w:tcW w:w="571"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862,875</w:t>
            </w:r>
          </w:p>
          <w:p>
            <w:pPr>
              <w:pStyle w:val="TableParagraph"/>
              <w:spacing w:line="240" w:lineRule="auto" w:before="105"/>
              <w:ind w:left="115" w:right="0"/>
              <w:jc w:val="left"/>
              <w:rPr>
                <w:rFonts w:ascii="Times New Roman" w:hAnsi="Times New Roman" w:cs="Times New Roman" w:eastAsia="Times New Roman" w:hint="default"/>
                <w:sz w:val="18"/>
                <w:szCs w:val="18"/>
              </w:rPr>
            </w:pPr>
            <w:r>
              <w:rPr>
                <w:rFonts w:ascii="Times New Roman"/>
                <w:sz w:val="18"/>
              </w:rPr>
              <w:t>,245.37</w:t>
            </w: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510,590</w:t>
            </w:r>
          </w:p>
          <w:p>
            <w:pPr>
              <w:pStyle w:val="TableParagraph"/>
              <w:spacing w:line="240" w:lineRule="auto" w:before="105"/>
              <w:ind w:left="427" w:right="0"/>
              <w:jc w:val="left"/>
              <w:rPr>
                <w:rFonts w:ascii="Times New Roman" w:hAnsi="Times New Roman" w:cs="Times New Roman" w:eastAsia="Times New Roman" w:hint="default"/>
                <w:sz w:val="18"/>
                <w:szCs w:val="18"/>
              </w:rPr>
            </w:pPr>
            <w:r>
              <w:rPr>
                <w:rFonts w:ascii="Times New Roman"/>
                <w:sz w:val="18"/>
              </w:rPr>
              <w:t>.75</w:t>
            </w: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96" w:right="0"/>
              <w:jc w:val="left"/>
              <w:rPr>
                <w:rFonts w:ascii="Times New Roman" w:hAnsi="Times New Roman" w:cs="Times New Roman" w:eastAsia="Times New Roman" w:hint="default"/>
                <w:sz w:val="18"/>
                <w:szCs w:val="18"/>
              </w:rPr>
            </w:pPr>
            <w:r>
              <w:rPr>
                <w:rFonts w:ascii="Times New Roman"/>
                <w:sz w:val="18"/>
              </w:rPr>
              <w:t>82,315,</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550.10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318,050,0</w:t>
            </w:r>
          </w:p>
          <w:p>
            <w:pPr>
              <w:pStyle w:val="TableParagraph"/>
              <w:spacing w:line="240" w:lineRule="auto" w:before="105"/>
              <w:ind w:left="365" w:right="0"/>
              <w:jc w:val="left"/>
              <w:rPr>
                <w:rFonts w:ascii="Times New Roman" w:hAnsi="Times New Roman" w:cs="Times New Roman" w:eastAsia="Times New Roman" w:hint="default"/>
                <w:sz w:val="18"/>
                <w:szCs w:val="18"/>
              </w:rPr>
            </w:pPr>
            <w:r>
              <w:rPr>
                <w:rFonts w:ascii="Times New Roman"/>
                <w:sz w:val="18"/>
              </w:rPr>
              <w:t>92.15</w:t>
            </w: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1,510,357,5</w:t>
            </w:r>
          </w:p>
          <w:p>
            <w:pPr>
              <w:pStyle w:val="TableParagraph"/>
              <w:spacing w:line="240" w:lineRule="auto" w:before="105"/>
              <w:ind w:left="494" w:right="0"/>
              <w:jc w:val="left"/>
              <w:rPr>
                <w:rFonts w:ascii="Times New Roman" w:hAnsi="Times New Roman" w:cs="Times New Roman" w:eastAsia="Times New Roman" w:hint="default"/>
                <w:sz w:val="18"/>
                <w:szCs w:val="18"/>
              </w:rPr>
            </w:pPr>
            <w:r>
              <w:rPr>
                <w:rFonts w:ascii="Times New Roman"/>
                <w:sz w:val="18"/>
              </w:rPr>
              <w:t>24.37</w:t>
            </w:r>
          </w:p>
        </w:tc>
      </w:tr>
      <w:tr>
        <w:trPr>
          <w:trHeight w:val="1027"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2"/>
              <w:jc w:val="both"/>
              <w:rPr>
                <w:rFonts w:ascii="宋体" w:hAnsi="宋体" w:cs="宋体" w:eastAsia="宋体" w:hint="default"/>
                <w:sz w:val="18"/>
                <w:szCs w:val="18"/>
              </w:rPr>
            </w:pPr>
            <w:r>
              <w:rPr>
                <w:rFonts w:ascii="宋体" w:hAnsi="宋体" w:cs="宋体" w:eastAsia="宋体" w:hint="default"/>
                <w:spacing w:val="-14"/>
                <w:w w:val="101"/>
                <w:sz w:val="18"/>
                <w:szCs w:val="18"/>
              </w:rPr>
              <w:t>三、本期增减变</w:t>
            </w:r>
            <w:r>
              <w:rPr>
                <w:rFonts w:ascii="宋体" w:hAnsi="宋体" w:cs="宋体" w:eastAsia="宋体" w:hint="default"/>
                <w:w w:val="101"/>
                <w:sz w:val="18"/>
                <w:szCs w:val="18"/>
              </w:rPr>
              <w:t> </w:t>
            </w:r>
            <w:r>
              <w:rPr>
                <w:rFonts w:ascii="宋体" w:hAnsi="宋体" w:cs="宋体" w:eastAsia="宋体" w:hint="default"/>
                <w:spacing w:val="-14"/>
                <w:w w:val="101"/>
                <w:sz w:val="18"/>
                <w:szCs w:val="18"/>
              </w:rPr>
              <w:t>动金额（减少以</w:t>
            </w:r>
            <w:r>
              <w:rPr>
                <w:rFonts w:ascii="宋体" w:hAnsi="宋体" w:cs="宋体" w:eastAsia="宋体" w:hint="default"/>
                <w:w w:val="101"/>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596"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5" w:right="0"/>
              <w:jc w:val="center"/>
              <w:rPr>
                <w:rFonts w:ascii="Times New Roman" w:hAnsi="Times New Roman" w:cs="Times New Roman" w:eastAsia="Times New Roman" w:hint="default"/>
                <w:sz w:val="18"/>
                <w:szCs w:val="18"/>
              </w:rPr>
            </w:pPr>
            <w:r>
              <w:rPr>
                <w:rFonts w:ascii="Times New Roman"/>
                <w:sz w:val="18"/>
              </w:rPr>
              <w:t>-10,557,</w:t>
            </w:r>
          </w:p>
          <w:p>
            <w:pPr>
              <w:pStyle w:val="TableParagraph"/>
              <w:spacing w:line="240" w:lineRule="auto" w:before="105"/>
              <w:ind w:left="143" w:right="0"/>
              <w:jc w:val="center"/>
              <w:rPr>
                <w:rFonts w:ascii="Times New Roman" w:hAnsi="Times New Roman" w:cs="Times New Roman" w:eastAsia="Times New Roman" w:hint="default"/>
                <w:sz w:val="18"/>
                <w:szCs w:val="18"/>
              </w:rPr>
            </w:pPr>
            <w:r>
              <w:rPr>
                <w:rFonts w:ascii="Times New Roman"/>
                <w:sz w:val="18"/>
              </w:rPr>
              <w:t>692.71</w:t>
            </w: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6" w:right="0"/>
              <w:jc w:val="left"/>
              <w:rPr>
                <w:rFonts w:ascii="Times New Roman" w:hAnsi="Times New Roman" w:cs="Times New Roman" w:eastAsia="Times New Roman" w:hint="default"/>
                <w:sz w:val="18"/>
                <w:szCs w:val="18"/>
              </w:rPr>
            </w:pPr>
            <w:r>
              <w:rPr>
                <w:rFonts w:ascii="Times New Roman"/>
                <w:sz w:val="18"/>
              </w:rPr>
              <w:t>-510,59</w:t>
            </w:r>
          </w:p>
          <w:p>
            <w:pPr>
              <w:pStyle w:val="TableParagraph"/>
              <w:spacing w:line="240" w:lineRule="auto" w:before="105"/>
              <w:ind w:left="336" w:right="0"/>
              <w:jc w:val="left"/>
              <w:rPr>
                <w:rFonts w:ascii="Times New Roman" w:hAnsi="Times New Roman" w:cs="Times New Roman" w:eastAsia="Times New Roman" w:hint="default"/>
                <w:sz w:val="18"/>
                <w:szCs w:val="18"/>
              </w:rPr>
            </w:pPr>
            <w:r>
              <w:rPr>
                <w:rFonts w:ascii="Times New Roman"/>
                <w:sz w:val="18"/>
              </w:rPr>
              <w:t>0.75</w:t>
            </w: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1" w:right="0"/>
              <w:jc w:val="center"/>
              <w:rPr>
                <w:rFonts w:ascii="Times New Roman" w:hAnsi="Times New Roman" w:cs="Times New Roman" w:eastAsia="Times New Roman" w:hint="default"/>
                <w:sz w:val="18"/>
                <w:szCs w:val="18"/>
              </w:rPr>
            </w:pPr>
            <w:r>
              <w:rPr>
                <w:rFonts w:ascii="Times New Roman"/>
                <w:sz w:val="18"/>
              </w:rPr>
              <w:t>5,398,1</w:t>
            </w:r>
          </w:p>
          <w:p>
            <w:pPr>
              <w:pStyle w:val="TableParagraph"/>
              <w:spacing w:line="240" w:lineRule="auto" w:before="105"/>
              <w:ind w:left="215" w:right="0"/>
              <w:jc w:val="center"/>
              <w:rPr>
                <w:rFonts w:ascii="Times New Roman" w:hAnsi="Times New Roman" w:cs="Times New Roman" w:eastAsia="Times New Roman" w:hint="default"/>
                <w:sz w:val="18"/>
                <w:szCs w:val="18"/>
              </w:rPr>
            </w:pPr>
            <w:r>
              <w:rPr>
                <w:rFonts w:ascii="Times New Roman"/>
                <w:sz w:val="18"/>
              </w:rPr>
              <w:t>70.44</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43,651,41</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3.01</w:t>
            </w: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37,981,299.</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99</w:t>
            </w:r>
          </w:p>
        </w:tc>
      </w:tr>
      <w:tr>
        <w:trPr>
          <w:trHeight w:val="716"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12"/>
              <w:jc w:val="left"/>
              <w:rPr>
                <w:rFonts w:ascii="宋体" w:hAnsi="宋体" w:cs="宋体" w:eastAsia="宋体" w:hint="default"/>
                <w:sz w:val="18"/>
                <w:szCs w:val="18"/>
              </w:rPr>
            </w:pPr>
            <w:r>
              <w:rPr>
                <w:rFonts w:ascii="宋体" w:hAnsi="宋体" w:cs="宋体" w:eastAsia="宋体" w:hint="default"/>
                <w:spacing w:val="-14"/>
                <w:w w:val="101"/>
                <w:sz w:val="18"/>
                <w:szCs w:val="18"/>
              </w:rPr>
              <w:t>（一）综合收益</w:t>
            </w:r>
            <w:r>
              <w:rPr>
                <w:rFonts w:ascii="宋体" w:hAnsi="宋体" w:cs="宋体" w:eastAsia="宋体" w:hint="default"/>
                <w:w w:val="101"/>
                <w:sz w:val="18"/>
                <w:szCs w:val="18"/>
              </w:rPr>
              <w:t> </w:t>
            </w:r>
            <w:r>
              <w:rPr>
                <w:rFonts w:ascii="宋体" w:hAnsi="宋体" w:cs="宋体" w:eastAsia="宋体" w:hint="default"/>
                <w:sz w:val="18"/>
                <w:szCs w:val="18"/>
              </w:rPr>
              <w:t>总额</w:t>
            </w:r>
          </w:p>
        </w:tc>
        <w:tc>
          <w:tcPr>
            <w:tcW w:w="596"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6" w:right="0"/>
              <w:jc w:val="left"/>
              <w:rPr>
                <w:rFonts w:ascii="Times New Roman" w:hAnsi="Times New Roman" w:cs="Times New Roman" w:eastAsia="Times New Roman" w:hint="default"/>
                <w:sz w:val="18"/>
                <w:szCs w:val="18"/>
              </w:rPr>
            </w:pPr>
            <w:r>
              <w:rPr>
                <w:rFonts w:ascii="Times New Roman"/>
                <w:sz w:val="18"/>
              </w:rPr>
              <w:t>-510,59</w:t>
            </w:r>
          </w:p>
          <w:p>
            <w:pPr>
              <w:pStyle w:val="TableParagraph"/>
              <w:spacing w:line="240" w:lineRule="auto" w:before="105"/>
              <w:ind w:left="336" w:right="0"/>
              <w:jc w:val="left"/>
              <w:rPr>
                <w:rFonts w:ascii="Times New Roman" w:hAnsi="Times New Roman" w:cs="Times New Roman" w:eastAsia="Times New Roman" w:hint="default"/>
                <w:sz w:val="18"/>
                <w:szCs w:val="18"/>
              </w:rPr>
            </w:pPr>
            <w:r>
              <w:rPr>
                <w:rFonts w:ascii="Times New Roman"/>
                <w:sz w:val="18"/>
              </w:rPr>
              <w:t>0.75</w:t>
            </w: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left"/>
              <w:rPr>
                <w:rFonts w:ascii="Times New Roman" w:hAnsi="Times New Roman" w:cs="Times New Roman" w:eastAsia="Times New Roman" w:hint="default"/>
                <w:sz w:val="18"/>
                <w:szCs w:val="18"/>
              </w:rPr>
            </w:pPr>
            <w:r>
              <w:rPr>
                <w:rFonts w:ascii="Times New Roman"/>
                <w:sz w:val="18"/>
              </w:rPr>
              <w:t>53,981,70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4.37</w:t>
            </w: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2"/>
                <w:sz w:val="18"/>
              </w:rPr>
              <w:t>53,471,113.</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62</w:t>
            </w:r>
          </w:p>
        </w:tc>
      </w:tr>
      <w:tr>
        <w:trPr>
          <w:trHeight w:val="715"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24" w:right="12"/>
              <w:jc w:val="left"/>
              <w:rPr>
                <w:rFonts w:ascii="宋体" w:hAnsi="宋体" w:cs="宋体" w:eastAsia="宋体" w:hint="default"/>
                <w:sz w:val="18"/>
                <w:szCs w:val="18"/>
              </w:rPr>
            </w:pPr>
            <w:r>
              <w:rPr>
                <w:rFonts w:ascii="宋体" w:hAnsi="宋体" w:cs="宋体" w:eastAsia="宋体" w:hint="default"/>
                <w:spacing w:val="-14"/>
                <w:w w:val="101"/>
                <w:sz w:val="18"/>
                <w:szCs w:val="18"/>
              </w:rPr>
              <w:t>（二）所有者投</w:t>
            </w:r>
            <w:r>
              <w:rPr>
                <w:rFonts w:ascii="宋体" w:hAnsi="宋体" w:cs="宋体" w:eastAsia="宋体" w:hint="default"/>
                <w:w w:val="101"/>
                <w:sz w:val="18"/>
                <w:szCs w:val="18"/>
              </w:rPr>
              <w:t> </w:t>
            </w:r>
            <w:r>
              <w:rPr>
                <w:rFonts w:ascii="宋体" w:hAnsi="宋体" w:cs="宋体" w:eastAsia="宋体" w:hint="default"/>
                <w:sz w:val="18"/>
                <w:szCs w:val="18"/>
              </w:rPr>
              <w:t>入和减少资本</w:t>
            </w:r>
          </w:p>
        </w:tc>
        <w:tc>
          <w:tcPr>
            <w:tcW w:w="596"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5" w:lineRule="auto" w:before="53"/>
              <w:ind w:left="24" w:right="17"/>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．所有者投入</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的普通股</w:t>
            </w:r>
          </w:p>
        </w:tc>
        <w:tc>
          <w:tcPr>
            <w:tcW w:w="596"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24" w:right="17"/>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．其他权益工</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具持有者投入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资本</w:t>
            </w:r>
          </w:p>
        </w:tc>
        <w:tc>
          <w:tcPr>
            <w:tcW w:w="596"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3"/>
              <w:ind w:left="24" w:right="17"/>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．股份支付计</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入所有者权益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的金额</w:t>
            </w:r>
          </w:p>
        </w:tc>
        <w:tc>
          <w:tcPr>
            <w:tcW w:w="596"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96"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6" w:footer="974"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229"/>
        <w:gridCol w:w="596"/>
        <w:gridCol w:w="571"/>
        <w:gridCol w:w="577"/>
        <w:gridCol w:w="571"/>
        <w:gridCol w:w="682"/>
        <w:gridCol w:w="686"/>
        <w:gridCol w:w="687"/>
        <w:gridCol w:w="783"/>
        <w:gridCol w:w="662"/>
        <w:gridCol w:w="802"/>
        <w:gridCol w:w="797"/>
        <w:gridCol w:w="926"/>
      </w:tblGrid>
      <w:tr>
        <w:trPr>
          <w:trHeight w:val="715"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（三</w:t>
            </w:r>
            <w:r>
              <w:rPr>
                <w:rFonts w:ascii="宋体" w:hAnsi="宋体" w:cs="宋体" w:eastAsia="宋体" w:hint="default"/>
                <w:spacing w:val="-92"/>
                <w:w w:val="101"/>
                <w:sz w:val="18"/>
                <w:szCs w:val="18"/>
              </w:rPr>
              <w:t>）</w:t>
            </w:r>
            <w:r>
              <w:rPr>
                <w:rFonts w:ascii="宋体" w:hAnsi="宋体" w:cs="宋体" w:eastAsia="宋体" w:hint="default"/>
                <w:w w:val="101"/>
                <w:sz w:val="18"/>
                <w:szCs w:val="18"/>
              </w:rPr>
              <w:t>利</w:t>
            </w:r>
            <w:r>
              <w:rPr>
                <w:rFonts w:ascii="宋体" w:hAnsi="宋体" w:cs="宋体" w:eastAsia="宋体" w:hint="default"/>
                <w:spacing w:val="-5"/>
                <w:w w:val="101"/>
                <w:sz w:val="18"/>
                <w:szCs w:val="18"/>
              </w:rPr>
              <w:t>润</w:t>
            </w:r>
            <w:r>
              <w:rPr>
                <w:rFonts w:ascii="宋体" w:hAnsi="宋体" w:cs="宋体" w:eastAsia="宋体" w:hint="default"/>
                <w:w w:val="101"/>
                <w:sz w:val="18"/>
                <w:szCs w:val="18"/>
              </w:rPr>
              <w:t>分配</w:t>
            </w:r>
            <w:r>
              <w:rPr>
                <w:rFonts w:ascii="宋体" w:hAnsi="宋体" w:cs="宋体" w:eastAsia="宋体" w:hint="default"/>
                <w:sz w:val="18"/>
                <w:szCs w:val="18"/>
              </w:rPr>
            </w:r>
          </w:p>
        </w:tc>
        <w:tc>
          <w:tcPr>
            <w:tcW w:w="596"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center"/>
              <w:rPr>
                <w:rFonts w:ascii="Times New Roman" w:hAnsi="Times New Roman" w:cs="Times New Roman" w:eastAsia="Times New Roman" w:hint="default"/>
                <w:sz w:val="18"/>
                <w:szCs w:val="18"/>
              </w:rPr>
            </w:pPr>
            <w:r>
              <w:rPr>
                <w:rFonts w:ascii="Times New Roman"/>
                <w:sz w:val="18"/>
              </w:rPr>
              <w:t>5,398,1</w:t>
            </w:r>
          </w:p>
          <w:p>
            <w:pPr>
              <w:pStyle w:val="TableParagraph"/>
              <w:spacing w:line="240" w:lineRule="auto" w:before="105"/>
              <w:ind w:left="215" w:right="0"/>
              <w:jc w:val="center"/>
              <w:rPr>
                <w:rFonts w:ascii="Times New Roman" w:hAnsi="Times New Roman" w:cs="Times New Roman" w:eastAsia="Times New Roman" w:hint="default"/>
                <w:sz w:val="18"/>
                <w:szCs w:val="18"/>
              </w:rPr>
            </w:pPr>
            <w:r>
              <w:rPr>
                <w:rFonts w:ascii="Times New Roman"/>
                <w:sz w:val="18"/>
              </w:rPr>
              <w:t>70.44</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-10,330,2</w:t>
            </w:r>
          </w:p>
          <w:p>
            <w:pPr>
              <w:pStyle w:val="TableParagraph"/>
              <w:spacing w:line="240" w:lineRule="auto" w:before="105"/>
              <w:ind w:left="365" w:right="0"/>
              <w:jc w:val="left"/>
              <w:rPr>
                <w:rFonts w:ascii="Times New Roman" w:hAnsi="Times New Roman" w:cs="Times New Roman" w:eastAsia="Times New Roman" w:hint="default"/>
                <w:sz w:val="18"/>
                <w:szCs w:val="18"/>
              </w:rPr>
            </w:pPr>
            <w:r>
              <w:rPr>
                <w:rFonts w:ascii="Times New Roman"/>
                <w:sz w:val="18"/>
              </w:rPr>
              <w:t>91.36</w:t>
            </w: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-4,932,120.</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92</w:t>
            </w:r>
          </w:p>
        </w:tc>
      </w:tr>
      <w:tr>
        <w:trPr>
          <w:trHeight w:val="711"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4" w:right="17"/>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．提取盈余公</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积</w:t>
            </w:r>
          </w:p>
        </w:tc>
        <w:tc>
          <w:tcPr>
            <w:tcW w:w="596"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center"/>
              <w:rPr>
                <w:rFonts w:ascii="Times New Roman" w:hAnsi="Times New Roman" w:cs="Times New Roman" w:eastAsia="Times New Roman" w:hint="default"/>
                <w:sz w:val="18"/>
                <w:szCs w:val="18"/>
              </w:rPr>
            </w:pPr>
            <w:r>
              <w:rPr>
                <w:rFonts w:ascii="Times New Roman"/>
                <w:sz w:val="18"/>
              </w:rPr>
              <w:t>5,398,1</w:t>
            </w:r>
          </w:p>
          <w:p>
            <w:pPr>
              <w:pStyle w:val="TableParagraph"/>
              <w:spacing w:line="240" w:lineRule="auto" w:before="105"/>
              <w:ind w:left="215" w:right="0"/>
              <w:jc w:val="center"/>
              <w:rPr>
                <w:rFonts w:ascii="Times New Roman" w:hAnsi="Times New Roman" w:cs="Times New Roman" w:eastAsia="Times New Roman" w:hint="default"/>
                <w:sz w:val="18"/>
                <w:szCs w:val="18"/>
              </w:rPr>
            </w:pPr>
            <w:r>
              <w:rPr>
                <w:rFonts w:ascii="Times New Roman"/>
                <w:sz w:val="18"/>
              </w:rPr>
              <w:t>70.44</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-5,398,17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0.44</w:t>
            </w: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5" w:lineRule="auto" w:before="58"/>
              <w:ind w:left="24" w:right="12"/>
              <w:jc w:val="left"/>
              <w:rPr>
                <w:rFonts w:ascii="宋体" w:hAnsi="宋体" w:cs="宋体" w:eastAsia="宋体" w:hint="default"/>
                <w:sz w:val="18"/>
                <w:szCs w:val="18"/>
              </w:rPr>
            </w:pPr>
            <w:r>
              <w:rPr>
                <w:rFonts w:ascii="Times New Roman" w:hAnsi="Times New Roman" w:cs="Times New Roman" w:eastAsia="Times New Roman" w:hint="default"/>
                <w:spacing w:val="-24"/>
                <w:w w:val="101"/>
                <w:sz w:val="18"/>
                <w:szCs w:val="18"/>
              </w:rPr>
              <w:t>2</w:t>
            </w:r>
            <w:r>
              <w:rPr>
                <w:rFonts w:ascii="宋体" w:hAnsi="宋体" w:cs="宋体" w:eastAsia="宋体" w:hint="default"/>
                <w:spacing w:val="-24"/>
                <w:w w:val="101"/>
                <w:sz w:val="18"/>
                <w:szCs w:val="18"/>
              </w:rPr>
              <w:t>．对所有者（或</w:t>
            </w:r>
            <w:r>
              <w:rPr>
                <w:rFonts w:ascii="宋体" w:hAnsi="宋体" w:cs="宋体" w:eastAsia="宋体" w:hint="default"/>
                <w:spacing w:val="-89"/>
                <w:w w:val="101"/>
                <w:sz w:val="18"/>
                <w:szCs w:val="18"/>
              </w:rPr>
              <w:t> </w:t>
            </w:r>
            <w:r>
              <w:rPr>
                <w:rFonts w:ascii="宋体" w:hAnsi="宋体" w:cs="宋体" w:eastAsia="宋体" w:hint="default"/>
                <w:spacing w:val="-89"/>
                <w:w w:val="101"/>
                <w:sz w:val="18"/>
                <w:szCs w:val="18"/>
              </w:rPr>
            </w:r>
            <w:r>
              <w:rPr>
                <w:rFonts w:ascii="宋体" w:hAnsi="宋体" w:cs="宋体" w:eastAsia="宋体" w:hint="default"/>
                <w:sz w:val="18"/>
                <w:szCs w:val="18"/>
              </w:rPr>
              <w:t>股东）的分配</w:t>
            </w:r>
          </w:p>
        </w:tc>
        <w:tc>
          <w:tcPr>
            <w:tcW w:w="596"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6" w:right="0"/>
              <w:jc w:val="left"/>
              <w:rPr>
                <w:rFonts w:ascii="Times New Roman" w:hAnsi="Times New Roman" w:cs="Times New Roman" w:eastAsia="Times New Roman" w:hint="default"/>
                <w:sz w:val="18"/>
                <w:szCs w:val="18"/>
              </w:rPr>
            </w:pPr>
            <w:r>
              <w:rPr>
                <w:rFonts w:ascii="Times New Roman"/>
                <w:sz w:val="18"/>
              </w:rPr>
              <w:t>-4,932,12</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0.92</w:t>
            </w: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-4,932,120.</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92</w:t>
            </w:r>
          </w:p>
        </w:tc>
      </w:tr>
      <w:tr>
        <w:trPr>
          <w:trHeight w:val="403"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596"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4"/>
              <w:ind w:left="24" w:right="12"/>
              <w:jc w:val="left"/>
              <w:rPr>
                <w:rFonts w:ascii="宋体" w:hAnsi="宋体" w:cs="宋体" w:eastAsia="宋体" w:hint="default"/>
                <w:sz w:val="18"/>
                <w:szCs w:val="18"/>
              </w:rPr>
            </w:pPr>
            <w:r>
              <w:rPr>
                <w:rFonts w:ascii="宋体" w:hAnsi="宋体" w:cs="宋体" w:eastAsia="宋体" w:hint="default"/>
                <w:spacing w:val="-14"/>
                <w:w w:val="101"/>
                <w:sz w:val="18"/>
                <w:szCs w:val="18"/>
              </w:rPr>
              <w:t>（四）所有者权</w:t>
            </w:r>
            <w:r>
              <w:rPr>
                <w:rFonts w:ascii="宋体" w:hAnsi="宋体" w:cs="宋体" w:eastAsia="宋体" w:hint="default"/>
                <w:w w:val="101"/>
                <w:sz w:val="18"/>
                <w:szCs w:val="18"/>
              </w:rPr>
              <w:t> </w:t>
            </w:r>
            <w:r>
              <w:rPr>
                <w:rFonts w:ascii="宋体" w:hAnsi="宋体" w:cs="宋体" w:eastAsia="宋体" w:hint="default"/>
                <w:sz w:val="18"/>
                <w:szCs w:val="18"/>
              </w:rPr>
              <w:t>益内部结转</w:t>
            </w:r>
          </w:p>
        </w:tc>
        <w:tc>
          <w:tcPr>
            <w:tcW w:w="596"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1022"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3"/>
              <w:ind w:left="24" w:right="17"/>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．资本公积转</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增资本（或股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本）</w:t>
            </w:r>
          </w:p>
        </w:tc>
        <w:tc>
          <w:tcPr>
            <w:tcW w:w="596"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9"/>
              <w:ind w:left="24" w:right="17"/>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．盈余公积转</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增资本（或股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本）</w:t>
            </w:r>
          </w:p>
        </w:tc>
        <w:tc>
          <w:tcPr>
            <w:tcW w:w="596"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17"/>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．盈余公积弥</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补亏损</w:t>
            </w:r>
          </w:p>
        </w:tc>
        <w:tc>
          <w:tcPr>
            <w:tcW w:w="596"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3"/>
              <w:ind w:left="24" w:right="17"/>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．设定受益计</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划变动额结转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留存收益</w:t>
            </w:r>
          </w:p>
        </w:tc>
        <w:tc>
          <w:tcPr>
            <w:tcW w:w="596"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1023"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3"/>
              <w:ind w:left="24" w:right="17"/>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．其他综合收</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益结转留存收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益</w:t>
            </w:r>
          </w:p>
        </w:tc>
        <w:tc>
          <w:tcPr>
            <w:tcW w:w="596"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596"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（五</w:t>
            </w:r>
            <w:r>
              <w:rPr>
                <w:rFonts w:ascii="宋体" w:hAnsi="宋体" w:cs="宋体" w:eastAsia="宋体" w:hint="default"/>
                <w:spacing w:val="-92"/>
                <w:w w:val="101"/>
                <w:sz w:val="18"/>
                <w:szCs w:val="18"/>
              </w:rPr>
              <w:t>）</w:t>
            </w:r>
            <w:r>
              <w:rPr>
                <w:rFonts w:ascii="宋体" w:hAnsi="宋体" w:cs="宋体" w:eastAsia="宋体" w:hint="default"/>
                <w:w w:val="101"/>
                <w:sz w:val="18"/>
                <w:szCs w:val="18"/>
              </w:rPr>
              <w:t>专</w:t>
            </w:r>
            <w:r>
              <w:rPr>
                <w:rFonts w:ascii="宋体" w:hAnsi="宋体" w:cs="宋体" w:eastAsia="宋体" w:hint="default"/>
                <w:spacing w:val="-5"/>
                <w:w w:val="101"/>
                <w:sz w:val="18"/>
                <w:szCs w:val="18"/>
              </w:rPr>
              <w:t>项</w:t>
            </w:r>
            <w:r>
              <w:rPr>
                <w:rFonts w:ascii="宋体" w:hAnsi="宋体" w:cs="宋体" w:eastAsia="宋体" w:hint="default"/>
                <w:w w:val="101"/>
                <w:sz w:val="18"/>
                <w:szCs w:val="18"/>
              </w:rPr>
              <w:t>储备</w:t>
            </w:r>
            <w:r>
              <w:rPr>
                <w:rFonts w:ascii="宋体" w:hAnsi="宋体" w:cs="宋体" w:eastAsia="宋体" w:hint="default"/>
                <w:sz w:val="18"/>
                <w:szCs w:val="18"/>
              </w:rPr>
            </w:r>
          </w:p>
        </w:tc>
        <w:tc>
          <w:tcPr>
            <w:tcW w:w="596"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96"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96"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96"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5" w:right="0"/>
              <w:jc w:val="center"/>
              <w:rPr>
                <w:rFonts w:ascii="Times New Roman" w:hAnsi="Times New Roman" w:cs="Times New Roman" w:eastAsia="Times New Roman" w:hint="default"/>
                <w:sz w:val="18"/>
                <w:szCs w:val="18"/>
              </w:rPr>
            </w:pPr>
            <w:r>
              <w:rPr>
                <w:rFonts w:ascii="Times New Roman"/>
                <w:sz w:val="18"/>
              </w:rPr>
              <w:t>-10,557,</w:t>
            </w:r>
          </w:p>
          <w:p>
            <w:pPr>
              <w:pStyle w:val="TableParagraph"/>
              <w:spacing w:line="240" w:lineRule="auto" w:before="105"/>
              <w:ind w:left="143" w:right="0"/>
              <w:jc w:val="center"/>
              <w:rPr>
                <w:rFonts w:ascii="Times New Roman" w:hAnsi="Times New Roman" w:cs="Times New Roman" w:eastAsia="Times New Roman" w:hint="default"/>
                <w:sz w:val="18"/>
                <w:szCs w:val="18"/>
              </w:rPr>
            </w:pPr>
            <w:r>
              <w:rPr>
                <w:rFonts w:ascii="Times New Roman"/>
                <w:sz w:val="18"/>
              </w:rPr>
              <w:t>692.71</w:t>
            </w: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-10,557,692</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.71</w:t>
            </w:r>
          </w:p>
        </w:tc>
      </w:tr>
      <w:tr>
        <w:trPr>
          <w:trHeight w:val="1028"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4" w:lineRule="auto"/>
              <w:ind w:left="24" w:right="12"/>
              <w:jc w:val="left"/>
              <w:rPr>
                <w:rFonts w:ascii="宋体" w:hAnsi="宋体" w:cs="宋体" w:eastAsia="宋体" w:hint="default"/>
                <w:sz w:val="18"/>
                <w:szCs w:val="18"/>
              </w:rPr>
            </w:pPr>
            <w:r>
              <w:rPr>
                <w:rFonts w:ascii="宋体" w:hAnsi="宋体" w:cs="宋体" w:eastAsia="宋体" w:hint="default"/>
                <w:spacing w:val="-14"/>
                <w:w w:val="101"/>
                <w:sz w:val="18"/>
                <w:szCs w:val="18"/>
              </w:rPr>
              <w:t>四、本期期末余</w:t>
            </w:r>
            <w:r>
              <w:rPr>
                <w:rFonts w:ascii="宋体" w:hAnsi="宋体" w:cs="宋体" w:eastAsia="宋体" w:hint="default"/>
                <w:w w:val="101"/>
                <w:sz w:val="18"/>
                <w:szCs w:val="18"/>
              </w:rPr>
              <w:t> </w:t>
            </w:r>
            <w:r>
              <w:rPr>
                <w:rFonts w:ascii="宋体" w:hAnsi="宋体" w:cs="宋体" w:eastAsia="宋体" w:hint="default"/>
                <w:sz w:val="18"/>
                <w:szCs w:val="18"/>
              </w:rPr>
              <w:t>额</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246,60</w:t>
            </w:r>
          </w:p>
          <w:p>
            <w:pPr>
              <w:pStyle w:val="TableParagraph"/>
              <w:spacing w:line="240" w:lineRule="auto" w:before="110"/>
              <w:ind w:left="115" w:right="0"/>
              <w:jc w:val="left"/>
              <w:rPr>
                <w:rFonts w:ascii="Times New Roman" w:hAnsi="Times New Roman" w:cs="Times New Roman" w:eastAsia="Times New Roman" w:hint="default"/>
                <w:sz w:val="18"/>
                <w:szCs w:val="18"/>
              </w:rPr>
            </w:pPr>
            <w:r>
              <w:rPr>
                <w:rFonts w:ascii="Times New Roman"/>
                <w:sz w:val="18"/>
              </w:rPr>
              <w:t>6,046.</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00</w:t>
            </w:r>
          </w:p>
        </w:tc>
        <w:tc>
          <w:tcPr>
            <w:tcW w:w="571"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852,317</w:t>
            </w:r>
          </w:p>
          <w:p>
            <w:pPr>
              <w:pStyle w:val="TableParagraph"/>
              <w:spacing w:line="240" w:lineRule="auto" w:before="105"/>
              <w:ind w:left="115" w:right="0"/>
              <w:jc w:val="left"/>
              <w:rPr>
                <w:rFonts w:ascii="Times New Roman" w:hAnsi="Times New Roman" w:cs="Times New Roman" w:eastAsia="Times New Roman" w:hint="default"/>
                <w:sz w:val="18"/>
                <w:szCs w:val="18"/>
              </w:rPr>
            </w:pPr>
            <w:r>
              <w:rPr>
                <w:rFonts w:ascii="Times New Roman"/>
                <w:sz w:val="18"/>
              </w:rPr>
              <w:t>,552.66</w:t>
            </w: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6" w:right="0"/>
              <w:jc w:val="left"/>
              <w:rPr>
                <w:rFonts w:ascii="Times New Roman" w:hAnsi="Times New Roman" w:cs="Times New Roman" w:eastAsia="Times New Roman" w:hint="default"/>
                <w:sz w:val="18"/>
                <w:szCs w:val="18"/>
              </w:rPr>
            </w:pPr>
            <w:r>
              <w:rPr>
                <w:rFonts w:ascii="Times New Roman"/>
                <w:sz w:val="18"/>
              </w:rPr>
              <w:t>87,713,</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720.54</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361,701,5</w:t>
            </w:r>
          </w:p>
          <w:p>
            <w:pPr>
              <w:pStyle w:val="TableParagraph"/>
              <w:spacing w:line="240" w:lineRule="auto" w:before="105"/>
              <w:ind w:left="365" w:right="0"/>
              <w:jc w:val="left"/>
              <w:rPr>
                <w:rFonts w:ascii="Times New Roman" w:hAnsi="Times New Roman" w:cs="Times New Roman" w:eastAsia="Times New Roman" w:hint="default"/>
                <w:sz w:val="18"/>
                <w:szCs w:val="18"/>
              </w:rPr>
            </w:pPr>
            <w:r>
              <w:rPr>
                <w:rFonts w:ascii="Times New Roman"/>
                <w:sz w:val="18"/>
              </w:rPr>
              <w:t>05.16</w:t>
            </w: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1,548,338,8</w:t>
            </w:r>
          </w:p>
          <w:p>
            <w:pPr>
              <w:pStyle w:val="TableParagraph"/>
              <w:spacing w:line="240" w:lineRule="auto" w:before="105"/>
              <w:ind w:left="494" w:right="0"/>
              <w:jc w:val="left"/>
              <w:rPr>
                <w:rFonts w:ascii="Times New Roman" w:hAnsi="Times New Roman" w:cs="Times New Roman" w:eastAsia="Times New Roman" w:hint="default"/>
                <w:sz w:val="18"/>
                <w:szCs w:val="18"/>
              </w:rPr>
            </w:pPr>
            <w:r>
              <w:rPr>
                <w:rFonts w:ascii="Times New Roman"/>
                <w:sz w:val="18"/>
              </w:rPr>
              <w:t>24.36</w:t>
            </w:r>
          </w:p>
        </w:tc>
      </w:tr>
    </w:tbl>
    <w:p>
      <w:pPr>
        <w:spacing w:line="240" w:lineRule="auto" w:before="1"/>
        <w:rPr>
          <w:rFonts w:ascii="宋体" w:hAnsi="宋体" w:cs="宋体" w:eastAsia="宋体" w:hint="default"/>
          <w:sz w:val="18"/>
          <w:szCs w:val="18"/>
        </w:rPr>
      </w:pPr>
    </w:p>
    <w:p>
      <w:pPr>
        <w:pStyle w:val="Heading2"/>
        <w:spacing w:line="240" w:lineRule="auto" w:before="26"/>
        <w:ind w:right="855"/>
        <w:jc w:val="left"/>
        <w:rPr>
          <w:b w:val="0"/>
          <w:bCs w:val="0"/>
        </w:rPr>
      </w:pPr>
      <w:r>
        <w:rPr/>
        <w:t>三、公司基本情况</w:t>
      </w:r>
      <w:r>
        <w:rPr>
          <w:b w:val="0"/>
          <w:bCs w:val="0"/>
        </w:rPr>
      </w:r>
    </w:p>
    <w:p>
      <w:pPr>
        <w:spacing w:line="240" w:lineRule="auto" w:before="6"/>
        <w:rPr>
          <w:rFonts w:ascii="宋体" w:hAnsi="宋体" w:cs="宋体" w:eastAsia="宋体" w:hint="default"/>
          <w:b/>
          <w:bCs/>
          <w:sz w:val="26"/>
          <w:szCs w:val="26"/>
        </w:rPr>
      </w:pPr>
    </w:p>
    <w:p>
      <w:pPr>
        <w:pStyle w:val="Heading6"/>
        <w:spacing w:line="240" w:lineRule="auto"/>
        <w:ind w:left="580" w:right="855"/>
        <w:jc w:val="left"/>
        <w:rPr>
          <w:b w:val="0"/>
          <w:bCs w:val="0"/>
        </w:rPr>
      </w:pPr>
      <w:r>
        <w:rPr/>
        <w:t>（一）公司的基本情况</w:t>
      </w:r>
      <w:r>
        <w:rPr>
          <w:b w:val="0"/>
          <w:bCs w:val="0"/>
        </w:rPr>
      </w:r>
    </w:p>
    <w:p>
      <w:pPr>
        <w:pStyle w:val="BodyText"/>
        <w:spacing w:line="430" w:lineRule="atLeast" w:before="16"/>
        <w:ind w:left="594" w:right="855"/>
        <w:jc w:val="left"/>
      </w:pPr>
      <w:r>
        <w:rPr>
          <w:rFonts w:ascii="Times New Roman" w:hAnsi="Times New Roman" w:cs="Times New Roman" w:eastAsia="Times New Roman" w:hint="default"/>
          <w:spacing w:val="-3"/>
        </w:rPr>
        <w:t>1</w:t>
      </w:r>
      <w:r>
        <w:rPr>
          <w:spacing w:val="-3"/>
        </w:rPr>
        <w:t>、企业注册地、组织形式和总部地址</w:t>
      </w:r>
      <w:r>
        <w:rPr>
          <w:spacing w:val="-35"/>
        </w:rPr>
        <w:t> </w:t>
      </w:r>
      <w:r>
        <w:rPr>
          <w:spacing w:val="-35"/>
        </w:rPr>
      </w:r>
      <w:r>
        <w:rPr>
          <w:spacing w:val="-4"/>
        </w:rPr>
        <w:t>云南南天电子信息产业股份有限公司（以下简称</w:t>
      </w:r>
      <w:r>
        <w:rPr>
          <w:rFonts w:ascii="Times New Roman" w:hAnsi="Times New Roman" w:cs="Times New Roman" w:eastAsia="Times New Roman" w:hint="default"/>
          <w:spacing w:val="-4"/>
        </w:rPr>
        <w:t>“</w:t>
      </w:r>
      <w:r>
        <w:rPr>
          <w:spacing w:val="-4"/>
        </w:rPr>
        <w:t>公司</w:t>
      </w:r>
      <w:r>
        <w:rPr>
          <w:rFonts w:ascii="Times New Roman" w:hAnsi="Times New Roman" w:cs="Times New Roman" w:eastAsia="Times New Roman" w:hint="default"/>
          <w:spacing w:val="-4"/>
        </w:rPr>
        <w:t>”</w:t>
      </w:r>
      <w:r>
        <w:rPr>
          <w:spacing w:val="-4"/>
        </w:rPr>
        <w:t>、</w:t>
      </w:r>
      <w:r>
        <w:rPr>
          <w:rFonts w:ascii="Times New Roman" w:hAnsi="Times New Roman" w:cs="Times New Roman" w:eastAsia="Times New Roman" w:hint="default"/>
          <w:spacing w:val="-4"/>
        </w:rPr>
        <w:t>“</w:t>
      </w:r>
      <w:r>
        <w:rPr>
          <w:spacing w:val="-4"/>
        </w:rPr>
        <w:t>本公司</w:t>
      </w:r>
      <w:r>
        <w:rPr>
          <w:rFonts w:ascii="Times New Roman" w:hAnsi="Times New Roman" w:cs="Times New Roman" w:eastAsia="Times New Roman" w:hint="default"/>
          <w:spacing w:val="-4"/>
        </w:rPr>
        <w:t>”</w:t>
      </w:r>
      <w:r>
        <w:rPr>
          <w:spacing w:val="-4"/>
        </w:rPr>
        <w:t>或</w:t>
      </w:r>
      <w:r>
        <w:rPr>
          <w:rFonts w:ascii="Times New Roman" w:hAnsi="Times New Roman" w:cs="Times New Roman" w:eastAsia="Times New Roman" w:hint="default"/>
          <w:spacing w:val="-4"/>
        </w:rPr>
        <w:t>“</w:t>
      </w:r>
      <w:r>
        <w:rPr>
          <w:spacing w:val="-4"/>
        </w:rPr>
        <w:t>南天信息</w:t>
      </w:r>
      <w:r>
        <w:rPr>
          <w:rFonts w:ascii="Times New Roman" w:hAnsi="Times New Roman" w:cs="Times New Roman" w:eastAsia="Times New Roman" w:hint="default"/>
          <w:spacing w:val="-4"/>
        </w:rPr>
        <w:t>”</w:t>
      </w:r>
      <w:r>
        <w:rPr>
          <w:spacing w:val="-4"/>
        </w:rPr>
        <w:t>，在包含子公司时统称</w:t>
      </w:r>
      <w:r>
        <w:rPr>
          <w:rFonts w:ascii="Times New Roman" w:hAnsi="Times New Roman" w:cs="Times New Roman" w:eastAsia="Times New Roman" w:hint="default"/>
          <w:spacing w:val="-4"/>
        </w:rPr>
        <w:t>“</w:t>
      </w:r>
      <w:r>
        <w:rPr>
          <w:spacing w:val="-4"/>
        </w:rPr>
        <w:t>本集团</w:t>
      </w:r>
      <w:r>
        <w:rPr>
          <w:rFonts w:ascii="Times New Roman" w:hAnsi="Times New Roman" w:cs="Times New Roman" w:eastAsia="Times New Roman" w:hint="default"/>
          <w:spacing w:val="-4"/>
        </w:rPr>
        <w:t>”</w:t>
      </w:r>
      <w:r>
        <w:rPr>
          <w:spacing w:val="-4"/>
        </w:rPr>
        <w:t>）是经</w:t>
      </w:r>
    </w:p>
    <w:p>
      <w:pPr>
        <w:pStyle w:val="BodyText"/>
        <w:spacing w:line="240" w:lineRule="auto" w:before="63"/>
        <w:ind w:right="855"/>
        <w:jc w:val="left"/>
      </w:pPr>
      <w:r>
        <w:rPr>
          <w:spacing w:val="-3"/>
        </w:rPr>
        <w:t>云南省人民政府云政复（</w:t>
      </w:r>
      <w:r>
        <w:rPr>
          <w:rFonts w:ascii="Times New Roman" w:hAnsi="Times New Roman" w:cs="Times New Roman" w:eastAsia="Times New Roman" w:hint="default"/>
          <w:spacing w:val="-3"/>
        </w:rPr>
        <w:t>1998</w:t>
      </w:r>
      <w:r>
        <w:rPr>
          <w:spacing w:val="-3"/>
        </w:rPr>
        <w:t>）</w:t>
      </w:r>
      <w:r>
        <w:rPr>
          <w:rFonts w:ascii="Times New Roman" w:hAnsi="Times New Roman" w:cs="Times New Roman" w:eastAsia="Times New Roman" w:hint="default"/>
          <w:spacing w:val="-3"/>
        </w:rPr>
        <w:t>118</w:t>
      </w:r>
      <w:r>
        <w:rPr>
          <w:spacing w:val="-3"/>
        </w:rPr>
        <w:t>号文批准，由南天电子信息产业集团公司、珠海南方集团有限公司、云南医药工业股份</w:t>
      </w:r>
    </w:p>
    <w:p>
      <w:pPr>
        <w:spacing w:after="0" w:line="240" w:lineRule="auto"/>
        <w:jc w:val="left"/>
        <w:sectPr>
          <w:pgSz w:w="11910" w:h="16840"/>
          <w:pgMar w:header="746" w:footer="974" w:top="1060" w:bottom="1160" w:left="980" w:right="0"/>
        </w:sectPr>
      </w:pPr>
    </w:p>
    <w:p>
      <w:pPr>
        <w:spacing w:line="240" w:lineRule="auto" w:before="9"/>
        <w:rPr>
          <w:rFonts w:ascii="宋体" w:hAnsi="宋体" w:cs="宋体" w:eastAsia="宋体" w:hint="default"/>
          <w:sz w:val="25"/>
          <w:szCs w:val="25"/>
        </w:rPr>
      </w:pPr>
    </w:p>
    <w:p>
      <w:pPr>
        <w:pStyle w:val="BodyText"/>
        <w:spacing w:line="300" w:lineRule="auto" w:before="46"/>
        <w:ind w:right="1121"/>
        <w:jc w:val="both"/>
      </w:pPr>
      <w:r>
        <w:rPr>
          <w:spacing w:val="-4"/>
        </w:rPr>
        <w:t>有限公司（原云南省医药医疗器械工业公司）、裴海平、李宏坤、周永泰、丁柏林共同发起设立的股份有限公司，</w:t>
      </w:r>
      <w:r>
        <w:rPr>
          <w:rFonts w:ascii="Times New Roman" w:hAnsi="Times New Roman" w:cs="Times New Roman" w:eastAsia="Times New Roman" w:hint="default"/>
          <w:spacing w:val="-4"/>
        </w:rPr>
        <w:t>1998</w:t>
      </w:r>
      <w:r>
        <w:rPr>
          <w:spacing w:val="-4"/>
        </w:rPr>
        <w:t>年</w:t>
      </w:r>
      <w:r>
        <w:rPr>
          <w:rFonts w:ascii="Times New Roman" w:hAnsi="Times New Roman" w:cs="Times New Roman" w:eastAsia="Times New Roman" w:hint="default"/>
          <w:spacing w:val="-4"/>
        </w:rPr>
        <w:t>12</w:t>
      </w:r>
      <w:r>
        <w:rPr>
          <w:rFonts w:ascii="Times New Roman" w:hAnsi="Times New Roman" w:cs="Times New Roman" w:eastAsia="Times New Roman" w:hint="default"/>
          <w:spacing w:val="17"/>
        </w:rPr>
        <w:t> </w:t>
      </w:r>
      <w:r>
        <w:rPr>
          <w:spacing w:val="-1"/>
        </w:rPr>
        <w:t>月</w:t>
      </w:r>
      <w:r>
        <w:rPr>
          <w:rFonts w:ascii="Times New Roman" w:hAnsi="Times New Roman" w:cs="Times New Roman" w:eastAsia="Times New Roman" w:hint="default"/>
          <w:spacing w:val="-1"/>
        </w:rPr>
        <w:t>21</w:t>
      </w:r>
      <w:r>
        <w:rPr>
          <w:spacing w:val="-1"/>
        </w:rPr>
        <w:t>日在云南省工商局登记注册，统一社会信用代码为</w:t>
      </w:r>
      <w:r>
        <w:rPr>
          <w:rFonts w:ascii="Times New Roman" w:hAnsi="Times New Roman" w:cs="Times New Roman" w:eastAsia="Times New Roman" w:hint="default"/>
          <w:spacing w:val="-1"/>
        </w:rPr>
        <w:t>91530000713401509F</w:t>
      </w:r>
      <w:r>
        <w:rPr>
          <w:spacing w:val="-1"/>
        </w:rPr>
        <w:t>，法定代表人：徐宏灿。公司主要经营金融信</w:t>
      </w:r>
      <w:r>
        <w:rPr>
          <w:spacing w:val="60"/>
        </w:rPr>
        <w:t> </w:t>
      </w:r>
      <w:r>
        <w:rPr>
          <w:spacing w:val="60"/>
        </w:rPr>
      </w:r>
      <w:r>
        <w:rPr>
          <w:spacing w:val="-3"/>
        </w:rPr>
        <w:t>息系统软件以及信息系统集成、金融终端产品、网络产品、专业存折打印机、自动柜员机（</w:t>
      </w:r>
      <w:r>
        <w:rPr>
          <w:rFonts w:ascii="Times New Roman" w:hAnsi="Times New Roman" w:cs="Times New Roman" w:eastAsia="Times New Roman" w:hint="default"/>
          <w:spacing w:val="-3"/>
        </w:rPr>
        <w:t>ATM</w:t>
      </w:r>
      <w:r>
        <w:rPr>
          <w:spacing w:val="-3"/>
        </w:rPr>
        <w:t>）等。</w:t>
      </w:r>
    </w:p>
    <w:p>
      <w:pPr>
        <w:pStyle w:val="BodyText"/>
        <w:spacing w:line="439" w:lineRule="auto" w:before="133"/>
        <w:ind w:left="594" w:right="4481"/>
        <w:jc w:val="left"/>
      </w:pPr>
      <w:r>
        <w:rPr>
          <w:spacing w:val="-3"/>
        </w:rPr>
        <w:t>公司注册地址：昆明高新技术产业开发区产业研发基地</w:t>
      </w:r>
      <w:r>
        <w:rPr>
          <w:spacing w:val="-16"/>
        </w:rPr>
        <w:t> </w:t>
      </w:r>
      <w:r>
        <w:rPr>
          <w:spacing w:val="-16"/>
        </w:rPr>
      </w:r>
      <w:r>
        <w:rPr>
          <w:spacing w:val="-3"/>
        </w:rPr>
        <w:t>本公司及子公司经营范围包括：</w:t>
      </w:r>
    </w:p>
    <w:p>
      <w:pPr>
        <w:pStyle w:val="BodyText"/>
        <w:spacing w:line="319" w:lineRule="auto" w:before="47"/>
        <w:ind w:right="855" w:firstLine="441"/>
        <w:jc w:val="left"/>
      </w:pPr>
      <w:r>
        <w:rPr>
          <w:spacing w:val="-2"/>
        </w:rPr>
        <w:t>开发、生产、销售计算机软件、硬件，外围设备、金融专用设备、智能机电产品（含国产汽车不含小轿车）；系统集</w:t>
      </w:r>
      <w:r>
        <w:rPr>
          <w:w w:val="101"/>
        </w:rPr>
        <w:t> </w:t>
      </w:r>
      <w:r>
        <w:rPr>
          <w:spacing w:val="-6"/>
        </w:rPr>
        <w:t>成、网络设备、信息产品；承接网络工程、信息系统工程（不含管理项目）、技术服务及技术咨询；自产产品的安装、调试、</w:t>
      </w:r>
      <w:r>
        <w:rPr>
          <w:spacing w:val="56"/>
        </w:rPr>
        <w:t> </w:t>
      </w:r>
      <w:r>
        <w:rPr>
          <w:spacing w:val="56"/>
        </w:rPr>
      </w:r>
      <w:r>
        <w:rPr>
          <w:spacing w:val="-4"/>
        </w:rPr>
        <w:t>维修；进出口业务；房屋租赁业务和培训业务；物业管理；开发、生产经国家密码管理机构批准的商用密码产品，销售经国</w:t>
      </w:r>
      <w:r>
        <w:rPr>
          <w:spacing w:val="40"/>
        </w:rPr>
        <w:t> </w:t>
      </w:r>
      <w:r>
        <w:rPr>
          <w:spacing w:val="40"/>
        </w:rPr>
      </w:r>
      <w:r>
        <w:rPr>
          <w:spacing w:val="-4"/>
        </w:rPr>
        <w:t>家密码管理局审批并通过指定检测机构产品质量检测的商用密码产品；电信增值业务；通讯设备销售；计算机及通讯设备经</w:t>
      </w:r>
      <w:r>
        <w:rPr>
          <w:spacing w:val="38"/>
        </w:rPr>
        <w:t> </w:t>
      </w:r>
      <w:r>
        <w:rPr>
          <w:spacing w:val="38"/>
        </w:rPr>
      </w:r>
      <w:r>
        <w:rPr/>
        <w:t>营租赁。</w:t>
      </w:r>
    </w:p>
    <w:p>
      <w:pPr>
        <w:pStyle w:val="BodyText"/>
        <w:spacing w:line="240" w:lineRule="auto" w:before="137"/>
        <w:ind w:left="594" w:right="855"/>
        <w:jc w:val="left"/>
      </w:pPr>
      <w:r>
        <w:rPr>
          <w:rFonts w:ascii="Times New Roman" w:hAnsi="Times New Roman" w:cs="Times New Roman" w:eastAsia="Times New Roman" w:hint="default"/>
        </w:rPr>
        <w:t>2</w:t>
      </w:r>
      <w:r>
        <w:rPr/>
        <w:t>、公司股权变化情况</w:t>
      </w:r>
    </w:p>
    <w:p>
      <w:pPr>
        <w:spacing w:line="240" w:lineRule="auto" w:before="13"/>
        <w:rPr>
          <w:rFonts w:ascii="宋体" w:hAnsi="宋体" w:cs="宋体" w:eastAsia="宋体" w:hint="default"/>
          <w:sz w:val="13"/>
          <w:szCs w:val="13"/>
        </w:rPr>
      </w:pPr>
    </w:p>
    <w:p>
      <w:pPr>
        <w:pStyle w:val="BodyText"/>
        <w:spacing w:line="300" w:lineRule="auto"/>
        <w:ind w:right="855" w:firstLine="441"/>
        <w:jc w:val="left"/>
      </w:pPr>
      <w:r>
        <w:rPr>
          <w:rFonts w:ascii="Times New Roman" w:hAnsi="Times New Roman" w:cs="Times New Roman" w:eastAsia="Times New Roman" w:hint="default"/>
          <w:spacing w:val="-2"/>
        </w:rPr>
        <w:t>1999</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18</w:t>
      </w:r>
      <w:r>
        <w:rPr>
          <w:spacing w:val="-2"/>
        </w:rPr>
        <w:t>日，经中国证券监督管理委员会批准，公司以网上定价方式向社会公开发行人民币普通股</w:t>
      </w:r>
      <w:r>
        <w:rPr>
          <w:rFonts w:ascii="Times New Roman" w:hAnsi="Times New Roman" w:cs="Times New Roman" w:eastAsia="Times New Roman" w:hint="default"/>
          <w:spacing w:val="-2"/>
        </w:rPr>
        <w:t>4,000.00</w:t>
      </w:r>
      <w:r>
        <w:rPr>
          <w:spacing w:val="-2"/>
        </w:rPr>
        <w:t>万股，</w:t>
      </w:r>
      <w:r>
        <w:rPr>
          <w:w w:val="101"/>
        </w:rPr>
        <w:t> </w:t>
      </w:r>
      <w:r>
        <w:rPr/>
        <w:t>股本总额增至</w:t>
      </w:r>
      <w:r>
        <w:rPr>
          <w:rFonts w:ascii="Times New Roman" w:hAnsi="Times New Roman" w:cs="Times New Roman" w:eastAsia="Times New Roman" w:hint="default"/>
        </w:rPr>
        <w:t>140,000,551.00</w:t>
      </w:r>
      <w:r>
        <w:rPr/>
        <w:t>元，并于</w:t>
      </w:r>
      <w:r>
        <w:rPr>
          <w:rFonts w:ascii="Times New Roman" w:hAnsi="Times New Roman" w:cs="Times New Roman" w:eastAsia="Times New Roman" w:hint="default"/>
        </w:rPr>
        <w:t>1999</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14</w:t>
      </w:r>
      <w:r>
        <w:rPr/>
        <w:t>日在深圳证券交易所上市交易。</w:t>
      </w:r>
    </w:p>
    <w:p>
      <w:pPr>
        <w:pStyle w:val="BodyText"/>
        <w:spacing w:line="300" w:lineRule="auto" w:before="133"/>
        <w:ind w:right="855" w:firstLine="441"/>
        <w:jc w:val="left"/>
      </w:pPr>
      <w:r>
        <w:rPr>
          <w:rFonts w:ascii="Times New Roman" w:hAnsi="Times New Roman" w:cs="Times New Roman" w:eastAsia="Times New Roman" w:hint="default"/>
          <w:spacing w:val="-3"/>
        </w:rPr>
        <w:t>2006</w:t>
      </w:r>
      <w:r>
        <w:rPr>
          <w:spacing w:val="-3"/>
        </w:rPr>
        <w:t>年</w:t>
      </w:r>
      <w:r>
        <w:rPr>
          <w:rFonts w:ascii="Times New Roman" w:hAnsi="Times New Roman" w:cs="Times New Roman" w:eastAsia="Times New Roman" w:hint="default"/>
          <w:spacing w:val="-3"/>
        </w:rPr>
        <w:t>8</w:t>
      </w:r>
      <w:r>
        <w:rPr>
          <w:spacing w:val="-3"/>
        </w:rPr>
        <w:t>月</w:t>
      </w:r>
      <w:r>
        <w:rPr>
          <w:rFonts w:ascii="Times New Roman" w:hAnsi="Times New Roman" w:cs="Times New Roman" w:eastAsia="Times New Roman" w:hint="default"/>
          <w:spacing w:val="-3"/>
        </w:rPr>
        <w:t>7</w:t>
      </w:r>
      <w:r>
        <w:rPr>
          <w:spacing w:val="-3"/>
        </w:rPr>
        <w:t>日，公司实施股权分置改革，以当时的流通股本</w:t>
      </w:r>
      <w:r>
        <w:rPr>
          <w:rFonts w:ascii="Times New Roman" w:hAnsi="Times New Roman" w:cs="Times New Roman" w:eastAsia="Times New Roman" w:hint="default"/>
          <w:spacing w:val="-3"/>
        </w:rPr>
        <w:t>4,000.00</w:t>
      </w:r>
      <w:r>
        <w:rPr>
          <w:spacing w:val="-3"/>
        </w:rPr>
        <w:t>万股为基数，向当时的全体流通股股东转增股本，</w:t>
      </w:r>
      <w:r>
        <w:rPr>
          <w:w w:val="101"/>
        </w:rPr>
        <w:t> </w:t>
      </w:r>
      <w:r>
        <w:rPr>
          <w:spacing w:val="-3"/>
        </w:rPr>
        <w:t>流通股股东持有每</w:t>
      </w:r>
      <w:r>
        <w:rPr>
          <w:rFonts w:ascii="Times New Roman" w:hAnsi="Times New Roman" w:cs="Times New Roman" w:eastAsia="Times New Roman" w:hint="default"/>
          <w:spacing w:val="-3"/>
        </w:rPr>
        <w:t>10</w:t>
      </w:r>
      <w:r>
        <w:rPr>
          <w:spacing w:val="-3"/>
        </w:rPr>
        <w:t>股流通股获得转增股份</w:t>
      </w:r>
      <w:r>
        <w:rPr>
          <w:rFonts w:ascii="Times New Roman" w:hAnsi="Times New Roman" w:cs="Times New Roman" w:eastAsia="Times New Roman" w:hint="default"/>
          <w:spacing w:val="-3"/>
        </w:rPr>
        <w:t>5.1376</w:t>
      </w:r>
      <w:r>
        <w:rPr>
          <w:spacing w:val="-3"/>
        </w:rPr>
        <w:t>股，共计转增</w:t>
      </w:r>
      <w:r>
        <w:rPr>
          <w:rFonts w:ascii="Times New Roman" w:hAnsi="Times New Roman" w:cs="Times New Roman" w:eastAsia="Times New Roman" w:hint="default"/>
          <w:spacing w:val="-3"/>
        </w:rPr>
        <w:t>20,550,399.00</w:t>
      </w:r>
      <w:r>
        <w:rPr>
          <w:spacing w:val="-3"/>
        </w:rPr>
        <w:t>股。</w:t>
      </w:r>
      <w:r>
        <w:rPr/>
      </w:r>
    </w:p>
    <w:p>
      <w:pPr>
        <w:pStyle w:val="BodyText"/>
        <w:spacing w:line="300" w:lineRule="auto" w:before="133"/>
        <w:ind w:right="855" w:firstLine="441"/>
        <w:jc w:val="left"/>
      </w:pPr>
      <w:r>
        <w:rPr>
          <w:rFonts w:ascii="Times New Roman" w:hAnsi="Times New Roman" w:cs="Times New Roman" w:eastAsia="Times New Roman" w:hint="default"/>
          <w:spacing w:val="-1"/>
        </w:rPr>
        <w:t>2008</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14</w:t>
      </w:r>
      <w:r>
        <w:rPr>
          <w:spacing w:val="-1"/>
        </w:rPr>
        <w:t>日，经中国证券监督管理委员会证监许可</w:t>
      </w:r>
      <w:r>
        <w:rPr>
          <w:rFonts w:ascii="Times New Roman" w:hAnsi="Times New Roman" w:cs="Times New Roman" w:eastAsia="Times New Roman" w:hint="default"/>
          <w:spacing w:val="-1"/>
        </w:rPr>
        <w:t>[2008]492</w:t>
      </w:r>
      <w:r>
        <w:rPr>
          <w:spacing w:val="-1"/>
        </w:rPr>
        <w:t>号文核准，公司以非公开发行股票的方式向</w:t>
      </w:r>
      <w:r>
        <w:rPr>
          <w:rFonts w:ascii="Times New Roman" w:hAnsi="Times New Roman" w:cs="Times New Roman" w:eastAsia="Times New Roman" w:hint="default"/>
          <w:spacing w:val="-1"/>
        </w:rPr>
        <w:t>10</w:t>
      </w:r>
      <w:r>
        <w:rPr>
          <w:spacing w:val="-1"/>
        </w:rPr>
        <w:t>家特定</w:t>
      </w:r>
      <w:r>
        <w:rPr>
          <w:w w:val="101"/>
        </w:rPr>
        <w:t> </w:t>
      </w:r>
      <w:r>
        <w:rPr/>
        <w:t>投资者发行了</w:t>
      </w:r>
      <w:r>
        <w:rPr>
          <w:rFonts w:ascii="Times New Roman" w:hAnsi="Times New Roman" w:cs="Times New Roman" w:eastAsia="Times New Roman" w:hint="default"/>
        </w:rPr>
        <w:t>5,000.00</w:t>
      </w:r>
      <w:r>
        <w:rPr/>
        <w:t>万股人民币普通股（</w:t>
      </w:r>
      <w:r>
        <w:rPr>
          <w:rFonts w:ascii="Times New Roman" w:hAnsi="Times New Roman" w:cs="Times New Roman" w:eastAsia="Times New Roman" w:hint="default"/>
        </w:rPr>
        <w:t>A</w:t>
      </w:r>
      <w:r>
        <w:rPr/>
        <w:t>股）。</w:t>
      </w:r>
    </w:p>
    <w:p>
      <w:pPr>
        <w:pStyle w:val="BodyText"/>
        <w:spacing w:line="300" w:lineRule="auto" w:before="133"/>
        <w:ind w:right="1122" w:firstLine="441"/>
        <w:jc w:val="both"/>
      </w:pP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13</w:t>
      </w:r>
      <w:r>
        <w:rPr>
          <w:spacing w:val="-1"/>
        </w:rPr>
        <w:t>日，公司召开的</w:t>
      </w:r>
      <w:r>
        <w:rPr>
          <w:rFonts w:ascii="Times New Roman" w:hAnsi="Times New Roman" w:cs="Times New Roman" w:eastAsia="Times New Roman" w:hint="default"/>
          <w:spacing w:val="-1"/>
        </w:rPr>
        <w:t>2011</w:t>
      </w:r>
      <w:r>
        <w:rPr>
          <w:spacing w:val="-1"/>
        </w:rPr>
        <w:t>年度股东大会审议通过</w:t>
      </w:r>
      <w:r>
        <w:rPr>
          <w:rFonts w:ascii="Times New Roman" w:hAnsi="Times New Roman" w:cs="Times New Roman" w:eastAsia="Times New Roman" w:hint="default"/>
          <w:spacing w:val="-1"/>
        </w:rPr>
        <w:t>2011</w:t>
      </w:r>
      <w:r>
        <w:rPr>
          <w:spacing w:val="-1"/>
        </w:rPr>
        <w:t>年度权益分派方案为：以公司现有总股本</w:t>
      </w:r>
      <w:r>
        <w:rPr>
          <w:rFonts w:ascii="Times New Roman" w:hAnsi="Times New Roman" w:cs="Times New Roman" w:eastAsia="Times New Roman" w:hint="default"/>
          <w:spacing w:val="-1"/>
        </w:rPr>
        <w:t>210,550,951.00</w:t>
      </w:r>
      <w:r>
        <w:rPr>
          <w:rFonts w:ascii="Times New Roman" w:hAnsi="Times New Roman" w:cs="Times New Roman" w:eastAsia="Times New Roman" w:hint="default"/>
          <w:w w:val="101"/>
        </w:rPr>
        <w:t> </w:t>
      </w:r>
      <w:r>
        <w:rPr>
          <w:spacing w:val="-4"/>
        </w:rPr>
        <w:t>股为基数，向全体股东每</w:t>
      </w:r>
      <w:r>
        <w:rPr>
          <w:rFonts w:ascii="Times New Roman" w:hAnsi="Times New Roman" w:cs="Times New Roman" w:eastAsia="Times New Roman" w:hint="default"/>
          <w:spacing w:val="-4"/>
        </w:rPr>
        <w:t>10</w:t>
      </w:r>
      <w:r>
        <w:rPr>
          <w:spacing w:val="-4"/>
        </w:rPr>
        <w:t>股派发现金红利</w:t>
      </w:r>
      <w:r>
        <w:rPr>
          <w:rFonts w:ascii="Times New Roman" w:hAnsi="Times New Roman" w:cs="Times New Roman" w:eastAsia="Times New Roman" w:hint="default"/>
          <w:spacing w:val="-4"/>
        </w:rPr>
        <w:t>0.80</w:t>
      </w:r>
      <w:r>
        <w:rPr>
          <w:spacing w:val="-4"/>
        </w:rPr>
        <w:t>元（含税）。同时进行资本公积转增股本，以公司现有总股本</w:t>
      </w:r>
      <w:r>
        <w:rPr>
          <w:rFonts w:ascii="Times New Roman" w:hAnsi="Times New Roman" w:cs="Times New Roman" w:eastAsia="Times New Roman" w:hint="default"/>
          <w:spacing w:val="-4"/>
        </w:rPr>
        <w:t>210,550,951.00</w:t>
      </w:r>
      <w:r>
        <w:rPr>
          <w:rFonts w:ascii="Times New Roman" w:hAnsi="Times New Roman" w:cs="Times New Roman" w:eastAsia="Times New Roman" w:hint="default"/>
          <w:spacing w:val="-1"/>
        </w:rPr>
        <w:t> </w:t>
      </w:r>
      <w:r>
        <w:rPr>
          <w:rFonts w:ascii="Times New Roman" w:hAnsi="Times New Roman" w:cs="Times New Roman" w:eastAsia="Times New Roman" w:hint="default"/>
          <w:spacing w:val="-1"/>
        </w:rPr>
      </w:r>
      <w:r>
        <w:rPr>
          <w:spacing w:val="-2"/>
        </w:rPr>
        <w:t>股为基数，向全体股东每</w:t>
      </w:r>
      <w:r>
        <w:rPr>
          <w:rFonts w:ascii="Times New Roman" w:hAnsi="Times New Roman" w:cs="Times New Roman" w:eastAsia="Times New Roman" w:hint="default"/>
          <w:spacing w:val="-2"/>
        </w:rPr>
        <w:t>10</w:t>
      </w:r>
      <w:r>
        <w:rPr>
          <w:spacing w:val="-2"/>
        </w:rPr>
        <w:t>股转增</w:t>
      </w:r>
      <w:r>
        <w:rPr>
          <w:rFonts w:ascii="Times New Roman" w:hAnsi="Times New Roman" w:cs="Times New Roman" w:eastAsia="Times New Roman" w:hint="default"/>
          <w:spacing w:val="-2"/>
        </w:rPr>
        <w:t>1</w:t>
      </w:r>
      <w:r>
        <w:rPr>
          <w:spacing w:val="-2"/>
        </w:rPr>
        <w:t>股，合计转增股本</w:t>
      </w:r>
      <w:r>
        <w:rPr>
          <w:rFonts w:ascii="Times New Roman" w:hAnsi="Times New Roman" w:cs="Times New Roman" w:eastAsia="Times New Roman" w:hint="default"/>
          <w:spacing w:val="-2"/>
        </w:rPr>
        <w:t>21,055,095.00</w:t>
      </w:r>
      <w:r>
        <w:rPr>
          <w:spacing w:val="-2"/>
        </w:rPr>
        <w:t>股，转增后公司总股本增加至</w:t>
      </w:r>
      <w:r>
        <w:rPr>
          <w:rFonts w:ascii="Times New Roman" w:hAnsi="Times New Roman" w:cs="Times New Roman" w:eastAsia="Times New Roman" w:hint="default"/>
          <w:spacing w:val="-2"/>
        </w:rPr>
        <w:t>231,606,046.00</w:t>
      </w:r>
      <w:r>
        <w:rPr>
          <w:spacing w:val="-2"/>
        </w:rPr>
        <w:t>股。已由中</w:t>
      </w:r>
      <w:r>
        <w:rPr>
          <w:spacing w:val="50"/>
        </w:rPr>
        <w:t> </w:t>
      </w:r>
      <w:r>
        <w:rPr>
          <w:spacing w:val="50"/>
        </w:rPr>
      </w:r>
      <w:r>
        <w:rPr>
          <w:spacing w:val="-3"/>
        </w:rPr>
        <w:t>瑞岳华会计师事务所（特殊普通合伙）审验，并于</w:t>
      </w:r>
      <w:r>
        <w:rPr>
          <w:rFonts w:ascii="Times New Roman" w:hAnsi="Times New Roman" w:cs="Times New Roman" w:eastAsia="Times New Roman" w:hint="default"/>
          <w:spacing w:val="-3"/>
        </w:rPr>
        <w:t>2012</w:t>
      </w:r>
      <w:r>
        <w:rPr>
          <w:spacing w:val="-3"/>
        </w:rPr>
        <w:t>年</w:t>
      </w:r>
      <w:r>
        <w:rPr>
          <w:rFonts w:ascii="Times New Roman" w:hAnsi="Times New Roman" w:cs="Times New Roman" w:eastAsia="Times New Roman" w:hint="default"/>
          <w:spacing w:val="-3"/>
        </w:rPr>
        <w:t>7</w:t>
      </w:r>
      <w:r>
        <w:rPr>
          <w:spacing w:val="-3"/>
        </w:rPr>
        <w:t>月</w:t>
      </w:r>
      <w:r>
        <w:rPr>
          <w:rFonts w:ascii="Times New Roman" w:hAnsi="Times New Roman" w:cs="Times New Roman" w:eastAsia="Times New Roman" w:hint="default"/>
          <w:spacing w:val="-3"/>
        </w:rPr>
        <w:t>28</w:t>
      </w:r>
      <w:r>
        <w:rPr>
          <w:spacing w:val="-3"/>
        </w:rPr>
        <w:t>日出具中瑞岳华验字</w:t>
      </w:r>
      <w:r>
        <w:rPr>
          <w:rFonts w:ascii="Times New Roman" w:hAnsi="Times New Roman" w:cs="Times New Roman" w:eastAsia="Times New Roman" w:hint="default"/>
          <w:spacing w:val="-3"/>
        </w:rPr>
        <w:t>[2012]</w:t>
      </w:r>
      <w:r>
        <w:rPr>
          <w:spacing w:val="-3"/>
        </w:rPr>
        <w:t>第</w:t>
      </w:r>
      <w:r>
        <w:rPr>
          <w:rFonts w:ascii="Times New Roman" w:hAnsi="Times New Roman" w:cs="Times New Roman" w:eastAsia="Times New Roman" w:hint="default"/>
          <w:spacing w:val="-3"/>
        </w:rPr>
        <w:t>0149</w:t>
      </w:r>
      <w:r>
        <w:rPr>
          <w:spacing w:val="-3"/>
        </w:rPr>
        <w:t>号验资报告。</w:t>
      </w:r>
    </w:p>
    <w:p>
      <w:pPr>
        <w:pStyle w:val="BodyText"/>
        <w:spacing w:line="300" w:lineRule="auto" w:before="133"/>
        <w:ind w:right="855" w:firstLine="441"/>
        <w:jc w:val="left"/>
      </w:pPr>
      <w:r>
        <w:rPr>
          <w:rFonts w:ascii="Times New Roman" w:hAnsi="Times New Roman" w:cs="Times New Roman" w:eastAsia="Times New Roman" w:hint="default"/>
          <w:spacing w:val="-3"/>
        </w:rPr>
        <w:t>2013</w:t>
      </w:r>
      <w:r>
        <w:rPr>
          <w:spacing w:val="-3"/>
        </w:rPr>
        <w:t>年</w:t>
      </w:r>
      <w:r>
        <w:rPr>
          <w:rFonts w:ascii="Times New Roman" w:hAnsi="Times New Roman" w:cs="Times New Roman" w:eastAsia="Times New Roman" w:hint="default"/>
          <w:spacing w:val="-3"/>
        </w:rPr>
        <w:t>9</w:t>
      </w:r>
      <w:r>
        <w:rPr>
          <w:spacing w:val="-3"/>
        </w:rPr>
        <w:t>月</w:t>
      </w:r>
      <w:r>
        <w:rPr>
          <w:rFonts w:ascii="Times New Roman" w:hAnsi="Times New Roman" w:cs="Times New Roman" w:eastAsia="Times New Roman" w:hint="default"/>
          <w:spacing w:val="-3"/>
        </w:rPr>
        <w:t>18</w:t>
      </w:r>
      <w:r>
        <w:rPr>
          <w:spacing w:val="-3"/>
        </w:rPr>
        <w:t>日，经中国证券监督管理委员会证监许可</w:t>
      </w:r>
      <w:r>
        <w:rPr>
          <w:rFonts w:ascii="Times New Roman" w:hAnsi="Times New Roman" w:cs="Times New Roman" w:eastAsia="Times New Roman" w:hint="default"/>
          <w:spacing w:val="-3"/>
        </w:rPr>
        <w:t>[2013]330</w:t>
      </w:r>
      <w:r>
        <w:rPr>
          <w:spacing w:val="-3"/>
        </w:rPr>
        <w:t>号文核准，公司以非公开发行股票的方式向</w:t>
      </w:r>
      <w:r>
        <w:rPr>
          <w:rFonts w:ascii="Times New Roman" w:hAnsi="Times New Roman" w:cs="Times New Roman" w:eastAsia="Times New Roman" w:hint="default"/>
          <w:spacing w:val="-3"/>
        </w:rPr>
        <w:t>2</w:t>
      </w:r>
      <w:r>
        <w:rPr>
          <w:spacing w:val="-3"/>
        </w:rPr>
        <w:t>家特定投</w:t>
      </w:r>
      <w:r>
        <w:rPr>
          <w:w w:val="101"/>
        </w:rPr>
        <w:t> </w:t>
      </w:r>
      <w:r>
        <w:rPr/>
        <w:t>资者发行了</w:t>
      </w:r>
      <w:r>
        <w:rPr>
          <w:rFonts w:ascii="Times New Roman" w:hAnsi="Times New Roman" w:cs="Times New Roman" w:eastAsia="Times New Roman" w:hint="default"/>
        </w:rPr>
        <w:t>15,000,000.00</w:t>
      </w:r>
      <w:r>
        <w:rPr/>
        <w:t>股人民币普通股（</w:t>
      </w:r>
      <w:r>
        <w:rPr>
          <w:rFonts w:ascii="Times New Roman" w:hAnsi="Times New Roman" w:cs="Times New Roman" w:eastAsia="Times New Roman" w:hint="default"/>
        </w:rPr>
        <w:t>A</w:t>
      </w:r>
      <w:r>
        <w:rPr/>
        <w:t>股）。</w:t>
      </w:r>
    </w:p>
    <w:p>
      <w:pPr>
        <w:pStyle w:val="BodyText"/>
        <w:spacing w:line="300" w:lineRule="auto" w:before="133"/>
        <w:ind w:right="855" w:firstLine="441"/>
        <w:jc w:val="left"/>
      </w:pP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3</w:t>
      </w:r>
      <w:r>
        <w:rPr>
          <w:spacing w:val="-3"/>
        </w:rPr>
        <w:t>月</w:t>
      </w:r>
      <w:r>
        <w:rPr>
          <w:rFonts w:ascii="Times New Roman" w:hAnsi="Times New Roman" w:cs="Times New Roman" w:eastAsia="Times New Roman" w:hint="default"/>
          <w:spacing w:val="-3"/>
        </w:rPr>
        <w:t>28</w:t>
      </w:r>
      <w:r>
        <w:rPr>
          <w:spacing w:val="-3"/>
        </w:rPr>
        <w:t>日，公司召开</w:t>
      </w:r>
      <w:r>
        <w:rPr>
          <w:rFonts w:ascii="Times New Roman" w:hAnsi="Times New Roman" w:cs="Times New Roman" w:eastAsia="Times New Roman" w:hint="default"/>
          <w:spacing w:val="-3"/>
        </w:rPr>
        <w:t>2018</w:t>
      </w:r>
      <w:r>
        <w:rPr>
          <w:spacing w:val="-3"/>
        </w:rPr>
        <w:t>年度股东大会审议通过了《南天信息</w:t>
      </w:r>
      <w:r>
        <w:rPr>
          <w:rFonts w:ascii="Times New Roman" w:hAnsi="Times New Roman" w:cs="Times New Roman" w:eastAsia="Times New Roman" w:hint="default"/>
          <w:spacing w:val="-3"/>
        </w:rPr>
        <w:t>2018</w:t>
      </w:r>
      <w:r>
        <w:rPr>
          <w:rFonts w:ascii="Times New Roman" w:hAnsi="Times New Roman" w:cs="Times New Roman" w:eastAsia="Times New Roman" w:hint="default"/>
          <w:spacing w:val="9"/>
        </w:rPr>
        <w:t> </w:t>
      </w:r>
      <w:r>
        <w:rPr>
          <w:spacing w:val="-4"/>
        </w:rPr>
        <w:t>年度利润分配及资本公积转增股本的方案》，</w:t>
      </w:r>
      <w:r>
        <w:rPr>
          <w:w w:val="101"/>
        </w:rPr>
        <w:t> </w:t>
      </w:r>
      <w:r>
        <w:rPr/>
        <w:t>公司以</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日的总股本</w:t>
      </w:r>
      <w:r>
        <w:rPr>
          <w:rFonts w:ascii="Times New Roman" w:hAnsi="Times New Roman" w:cs="Times New Roman" w:eastAsia="Times New Roman" w:hint="default"/>
        </w:rPr>
        <w:t>246,606,046.00 </w:t>
      </w:r>
      <w:r>
        <w:rPr/>
        <w:t>股为基数，进行资本公积金转增股本，向全体股东每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3</w:t>
      </w:r>
      <w:r>
        <w:rPr/>
        <w:t>股，合计转</w:t>
      </w:r>
      <w:r>
        <w:rPr>
          <w:spacing w:val="-35"/>
        </w:rPr>
        <w:t> </w:t>
      </w:r>
      <w:r>
        <w:rPr>
          <w:spacing w:val="-35"/>
        </w:rPr>
      </w:r>
      <w:r>
        <w:rPr>
          <w:spacing w:val="5"/>
        </w:rPr>
        <w:t>增股本</w:t>
      </w:r>
      <w:r>
        <w:rPr>
          <w:rFonts w:ascii="Times New Roman" w:hAnsi="Times New Roman" w:cs="Times New Roman" w:eastAsia="Times New Roman" w:hint="default"/>
          <w:spacing w:val="5"/>
        </w:rPr>
        <w:t>73,981,813.00</w:t>
      </w:r>
      <w:r>
        <w:rPr>
          <w:spacing w:val="5"/>
        </w:rPr>
        <w:t>股。该分配方案已于</w:t>
      </w:r>
      <w:r>
        <w:rPr>
          <w:rFonts w:ascii="Times New Roman" w:hAnsi="Times New Roman" w:cs="Times New Roman" w:eastAsia="Times New Roman" w:hint="default"/>
          <w:spacing w:val="5"/>
        </w:rPr>
        <w:t>2019</w:t>
      </w:r>
      <w:r>
        <w:rPr>
          <w:spacing w:val="5"/>
        </w:rPr>
        <w:t>年</w:t>
      </w:r>
      <w:r>
        <w:rPr>
          <w:rFonts w:ascii="Times New Roman" w:hAnsi="Times New Roman" w:cs="Times New Roman" w:eastAsia="Times New Roman" w:hint="default"/>
          <w:spacing w:val="5"/>
        </w:rPr>
        <w:t>4</w:t>
      </w:r>
      <w:r>
        <w:rPr>
          <w:spacing w:val="5"/>
        </w:rPr>
        <w:t>月</w:t>
      </w:r>
      <w:r>
        <w:rPr>
          <w:rFonts w:ascii="Times New Roman" w:hAnsi="Times New Roman" w:cs="Times New Roman" w:eastAsia="Times New Roman" w:hint="default"/>
          <w:spacing w:val="5"/>
        </w:rPr>
        <w:t>15</w:t>
      </w:r>
      <w:r>
        <w:rPr>
          <w:spacing w:val="5"/>
        </w:rPr>
        <w:t>日实施完成，转增后，公司的总股本由</w:t>
      </w:r>
      <w:r>
        <w:rPr>
          <w:rFonts w:ascii="Times New Roman" w:hAnsi="Times New Roman" w:cs="Times New Roman" w:eastAsia="Times New Roman" w:hint="default"/>
          <w:spacing w:val="5"/>
        </w:rPr>
        <w:t>246,606,046.00</w:t>
      </w:r>
      <w:r>
        <w:rPr>
          <w:spacing w:val="5"/>
        </w:rPr>
        <w:t>股增加至</w:t>
      </w:r>
      <w:r>
        <w:rPr>
          <w:spacing w:val="97"/>
        </w:rPr>
        <w:t> </w:t>
      </w:r>
      <w:r>
        <w:rPr>
          <w:spacing w:val="97"/>
        </w:rPr>
      </w:r>
      <w:r>
        <w:rPr>
          <w:rFonts w:ascii="Times New Roman" w:hAnsi="Times New Roman" w:cs="Times New Roman" w:eastAsia="Times New Roman" w:hint="default"/>
        </w:rPr>
        <w:t>320,587,859.00</w:t>
      </w:r>
      <w:r>
        <w:rPr/>
        <w:t>股。</w:t>
      </w:r>
    </w:p>
    <w:p>
      <w:pPr>
        <w:pStyle w:val="BodyText"/>
        <w:spacing w:line="300" w:lineRule="auto" w:before="133"/>
        <w:ind w:right="855" w:firstLine="292"/>
        <w:jc w:val="left"/>
      </w:pPr>
      <w:r>
        <w:rPr>
          <w:spacing w:val="-3"/>
        </w:rPr>
        <w:t>截至</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日，公司股份总额为</w:t>
      </w:r>
      <w:r>
        <w:rPr>
          <w:rFonts w:ascii="Times New Roman" w:hAnsi="Times New Roman" w:cs="Times New Roman" w:eastAsia="Times New Roman" w:hint="default"/>
          <w:spacing w:val="-3"/>
        </w:rPr>
        <w:t>320,587,859.00</w:t>
      </w:r>
      <w:r>
        <w:rPr>
          <w:spacing w:val="-3"/>
        </w:rPr>
        <w:t>股。本公司的控股股东为云南省工业投资控股集团有限责任公司，</w:t>
      </w:r>
      <w:r>
        <w:rPr>
          <w:w w:val="101"/>
        </w:rPr>
        <w:t> </w:t>
      </w:r>
      <w:r>
        <w:rPr>
          <w:spacing w:val="-3"/>
        </w:rPr>
        <w:t>其持有本公司股份</w:t>
      </w:r>
      <w:r>
        <w:rPr>
          <w:rFonts w:ascii="Times New Roman" w:hAnsi="Times New Roman" w:cs="Times New Roman" w:eastAsia="Times New Roman" w:hint="default"/>
          <w:spacing w:val="-3"/>
        </w:rPr>
        <w:t>113,408,385.00</w:t>
      </w:r>
      <w:r>
        <w:rPr>
          <w:spacing w:val="-3"/>
        </w:rPr>
        <w:t>股，占本公司总股本的</w:t>
      </w:r>
      <w:r>
        <w:rPr>
          <w:rFonts w:ascii="Times New Roman" w:hAnsi="Times New Roman" w:cs="Times New Roman" w:eastAsia="Times New Roman" w:hint="default"/>
          <w:spacing w:val="-3"/>
        </w:rPr>
        <w:t>35.38%</w:t>
      </w:r>
      <w:r>
        <w:rPr>
          <w:spacing w:val="-3"/>
        </w:rPr>
        <w:t>；云南省工业投资控股集团有限责任公司是南天电子信息产</w:t>
      </w:r>
      <w:r>
        <w:rPr>
          <w:spacing w:val="11"/>
        </w:rPr>
        <w:t> </w:t>
      </w:r>
      <w:r>
        <w:rPr>
          <w:spacing w:val="11"/>
        </w:rPr>
      </w:r>
      <w:r>
        <w:rPr>
          <w:spacing w:val="-3"/>
        </w:rPr>
        <w:t>业集团公司控股股东，南天电子信息产业集团公司直接持有本公司股份</w:t>
      </w:r>
      <w:r>
        <w:rPr>
          <w:rFonts w:ascii="Times New Roman" w:hAnsi="Times New Roman" w:cs="Times New Roman" w:eastAsia="Times New Roman" w:hint="default"/>
          <w:spacing w:val="-3"/>
        </w:rPr>
        <w:t>2,488,233.00</w:t>
      </w:r>
      <w:r>
        <w:rPr>
          <w:spacing w:val="-3"/>
        </w:rPr>
        <w:t>股，占本公司总股本的</w:t>
      </w:r>
      <w:r>
        <w:rPr>
          <w:rFonts w:ascii="Times New Roman" w:hAnsi="Times New Roman" w:cs="Times New Roman" w:eastAsia="Times New Roman" w:hint="default"/>
          <w:spacing w:val="-3"/>
        </w:rPr>
        <w:t>0.78%</w:t>
      </w:r>
      <w:r>
        <w:rPr>
          <w:spacing w:val="-3"/>
        </w:rPr>
        <w:t>。云南省工</w:t>
      </w:r>
      <w:r>
        <w:rPr>
          <w:spacing w:val="45"/>
        </w:rPr>
        <w:t> </w:t>
      </w:r>
      <w:r>
        <w:rPr>
          <w:spacing w:val="45"/>
        </w:rPr>
      </w:r>
      <w:r>
        <w:rPr>
          <w:spacing w:val="-2"/>
        </w:rPr>
        <w:t>业投资控股集团有限责任公司直接和间接持有本公司股份</w:t>
      </w:r>
      <w:r>
        <w:rPr>
          <w:rFonts w:ascii="Times New Roman" w:hAnsi="Times New Roman" w:cs="Times New Roman" w:eastAsia="Times New Roman" w:hint="default"/>
          <w:spacing w:val="-2"/>
        </w:rPr>
        <w:t>115,896,618.00</w:t>
      </w:r>
      <w:r>
        <w:rPr>
          <w:spacing w:val="-2"/>
        </w:rPr>
        <w:t>股，占本公司总股本的</w:t>
      </w:r>
      <w:r>
        <w:rPr>
          <w:rFonts w:ascii="Times New Roman" w:hAnsi="Times New Roman" w:cs="Times New Roman" w:eastAsia="Times New Roman" w:hint="default"/>
          <w:spacing w:val="-2"/>
        </w:rPr>
        <w:t>36.15%</w:t>
      </w:r>
      <w:r>
        <w:rPr>
          <w:spacing w:val="-2"/>
        </w:rPr>
        <w:t>。</w:t>
      </w:r>
    </w:p>
    <w:p>
      <w:pPr>
        <w:pStyle w:val="BodyText"/>
        <w:spacing w:line="240" w:lineRule="auto" w:before="133"/>
        <w:ind w:left="594" w:right="855"/>
        <w:jc w:val="left"/>
      </w:pPr>
      <w:r>
        <w:rPr>
          <w:spacing w:val="-3"/>
        </w:rPr>
        <w:t>本财务报告于</w:t>
      </w:r>
      <w:r>
        <w:rPr>
          <w:rFonts w:ascii="Times New Roman" w:hAnsi="Times New Roman" w:cs="Times New Roman" w:eastAsia="Times New Roman" w:hint="default"/>
          <w:spacing w:val="-3"/>
        </w:rPr>
        <w:t>2020</w:t>
      </w:r>
      <w:r>
        <w:rPr>
          <w:spacing w:val="-3"/>
        </w:rPr>
        <w:t>年</w:t>
      </w:r>
      <w:r>
        <w:rPr>
          <w:rFonts w:ascii="Times New Roman" w:hAnsi="Times New Roman" w:cs="Times New Roman" w:eastAsia="Times New Roman" w:hint="default"/>
          <w:spacing w:val="-3"/>
        </w:rPr>
        <w:t>4</w:t>
      </w:r>
      <w:r>
        <w:rPr>
          <w:spacing w:val="-3"/>
        </w:rPr>
        <w:t>月</w:t>
      </w:r>
      <w:r>
        <w:rPr>
          <w:rFonts w:ascii="Times New Roman" w:hAnsi="Times New Roman" w:cs="Times New Roman" w:eastAsia="Times New Roman" w:hint="default"/>
          <w:spacing w:val="-3"/>
        </w:rPr>
        <w:t>23</w:t>
      </w:r>
      <w:r>
        <w:rPr>
          <w:spacing w:val="-3"/>
        </w:rPr>
        <w:t>日经公司第七届第二十九次董事会批准报出。</w:t>
      </w:r>
    </w:p>
    <w:p>
      <w:pPr>
        <w:pStyle w:val="BodyText"/>
        <w:spacing w:line="386" w:lineRule="auto" w:before="150"/>
        <w:ind w:left="513" w:right="855" w:firstLine="67"/>
        <w:jc w:val="left"/>
      </w:pPr>
      <w:r>
        <w:rPr>
          <w:rFonts w:ascii="宋体" w:hAnsi="宋体" w:cs="宋体" w:eastAsia="宋体" w:hint="default"/>
          <w:b/>
          <w:bCs/>
        </w:rPr>
        <w:t>（二）</w:t>
      </w:r>
      <w:r>
        <w:rPr>
          <w:rFonts w:ascii="宋体" w:hAnsi="宋体" w:cs="宋体" w:eastAsia="宋体" w:hint="default"/>
          <w:b/>
          <w:bCs/>
          <w:sz w:val="22"/>
          <w:szCs w:val="22"/>
        </w:rPr>
        <w:t>合并财务报表范围</w:t>
      </w:r>
      <w:r>
        <w:rPr>
          <w:rFonts w:ascii="宋体" w:hAnsi="宋体" w:cs="宋体" w:eastAsia="宋体" w:hint="default"/>
          <w:b/>
          <w:bCs/>
          <w:w w:val="99"/>
          <w:sz w:val="22"/>
          <w:szCs w:val="22"/>
        </w:rPr>
        <w:t> </w:t>
      </w:r>
      <w:r>
        <w:rPr>
          <w:spacing w:val="-3"/>
        </w:rPr>
        <w:t>本集团合并财务报表范围包括北京南天信息工程有限公司、广州南天电脑系统有限公司、上海南天电脑系统有限公司、</w:t>
      </w:r>
    </w:p>
    <w:p>
      <w:pPr>
        <w:pStyle w:val="BodyText"/>
        <w:spacing w:line="202" w:lineRule="exact"/>
        <w:ind w:right="0"/>
        <w:jc w:val="both"/>
      </w:pPr>
      <w:r>
        <w:rPr>
          <w:spacing w:val="-4"/>
        </w:rPr>
        <w:t>武汉南天电脑系统有限公司、西安南天电脑系统有限公司、昆明南天电脑系统有限公司、深圳南天东华科技有限公司、北京</w:t>
      </w:r>
    </w:p>
    <w:p>
      <w:pPr>
        <w:pStyle w:val="BodyText"/>
        <w:spacing w:line="316" w:lineRule="auto" w:before="77"/>
        <w:ind w:right="1123"/>
        <w:jc w:val="both"/>
      </w:pPr>
      <w:r>
        <w:rPr>
          <w:spacing w:val="-4"/>
        </w:rPr>
        <w:t>南天软件有限公司、云南南天信息设备有限公司、北京南天新智慧科技有限公司、北京南天智联信息有限公司、云南红岭云</w:t>
      </w:r>
      <w:r>
        <w:rPr>
          <w:spacing w:val="40"/>
        </w:rPr>
        <w:t> </w:t>
      </w:r>
      <w:r>
        <w:rPr>
          <w:spacing w:val="40"/>
        </w:rPr>
      </w:r>
      <w:r>
        <w:rPr>
          <w:spacing w:val="-4"/>
        </w:rPr>
        <w:t>科技股份有限公司、北京星立方科技发展股份有限公司和广州市海捷计算机科技有限公司。与上年相比，本年因非同一控制</w:t>
      </w:r>
      <w:r>
        <w:rPr>
          <w:spacing w:val="43"/>
        </w:rPr>
        <w:t> </w:t>
      </w:r>
      <w:r>
        <w:rPr>
          <w:spacing w:val="43"/>
        </w:rPr>
      </w:r>
      <w:r>
        <w:rPr>
          <w:spacing w:val="-3"/>
        </w:rPr>
        <w:t>下企业合并增加广州市海捷计算机科技有限公司。</w:t>
      </w:r>
    </w:p>
    <w:p>
      <w:pPr>
        <w:pStyle w:val="BodyText"/>
        <w:spacing w:line="240" w:lineRule="auto" w:before="19"/>
        <w:ind w:left="446" w:right="855"/>
        <w:jc w:val="left"/>
      </w:pPr>
      <w:r>
        <w:rPr>
          <w:spacing w:val="-3"/>
        </w:rPr>
        <w:t>详见本附注</w:t>
      </w:r>
      <w:r>
        <w:rPr>
          <w:rFonts w:ascii="Times New Roman" w:hAnsi="Times New Roman" w:cs="Times New Roman" w:eastAsia="Times New Roman" w:hint="default"/>
          <w:spacing w:val="-3"/>
        </w:rPr>
        <w:t>“</w:t>
      </w:r>
      <w:r>
        <w:rPr>
          <w:spacing w:val="-3"/>
        </w:rPr>
        <w:t>八、合并范围的变化</w:t>
      </w:r>
      <w:r>
        <w:rPr>
          <w:rFonts w:ascii="Times New Roman" w:hAnsi="Times New Roman" w:cs="Times New Roman" w:eastAsia="Times New Roman" w:hint="default"/>
          <w:spacing w:val="-3"/>
        </w:rPr>
        <w:t>”</w:t>
      </w:r>
      <w:r>
        <w:rPr>
          <w:spacing w:val="-3"/>
        </w:rPr>
        <w:t>及本附注</w:t>
      </w:r>
      <w:r>
        <w:rPr>
          <w:rFonts w:ascii="Times New Roman" w:hAnsi="Times New Roman" w:cs="Times New Roman" w:eastAsia="Times New Roman" w:hint="default"/>
          <w:spacing w:val="-3"/>
        </w:rPr>
        <w:t>“</w:t>
      </w:r>
      <w:r>
        <w:rPr>
          <w:spacing w:val="-3"/>
        </w:rPr>
        <w:t>九、在其他主体中的权益</w:t>
      </w:r>
      <w:r>
        <w:rPr>
          <w:rFonts w:ascii="Times New Roman" w:hAnsi="Times New Roman" w:cs="Times New Roman" w:eastAsia="Times New Roman" w:hint="default"/>
          <w:spacing w:val="-3"/>
        </w:rPr>
        <w:t>”</w:t>
      </w:r>
      <w:r>
        <w:rPr>
          <w:spacing w:val="-3"/>
        </w:rPr>
        <w:t>相关内容。</w:t>
      </w:r>
    </w:p>
    <w:p>
      <w:pPr>
        <w:spacing w:after="0" w:line="240" w:lineRule="auto"/>
        <w:jc w:val="left"/>
        <w:sectPr>
          <w:pgSz w:w="11910" w:h="16840"/>
          <w:pgMar w:header="746" w:footer="974" w:top="1060" w:bottom="1160" w:left="980" w:right="0"/>
        </w:sectPr>
      </w:pPr>
    </w:p>
    <w:p>
      <w:pPr>
        <w:spacing w:line="240" w:lineRule="auto" w:before="10"/>
        <w:rPr>
          <w:rFonts w:ascii="宋体" w:hAnsi="宋体" w:cs="宋体" w:eastAsia="宋体" w:hint="default"/>
          <w:sz w:val="23"/>
          <w:szCs w:val="23"/>
        </w:rPr>
      </w:pPr>
    </w:p>
    <w:p>
      <w:pPr>
        <w:pStyle w:val="Heading2"/>
        <w:spacing w:line="240" w:lineRule="auto" w:before="26"/>
        <w:ind w:right="0"/>
        <w:jc w:val="both"/>
        <w:rPr>
          <w:b w:val="0"/>
          <w:bCs w:val="0"/>
        </w:rPr>
      </w:pPr>
      <w:r>
        <w:rPr/>
        <w:t>四、财务报表的编制基础</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both"/>
        <w:rPr>
          <w:b w:val="0"/>
          <w:bCs w:val="0"/>
        </w:rPr>
      </w:pPr>
      <w:r>
        <w:rPr>
          <w:rFonts w:ascii="Times New Roman" w:hAnsi="Times New Roman" w:cs="Times New Roman" w:eastAsia="Times New Roman" w:hint="default"/>
        </w:rPr>
        <w:t>1</w:t>
      </w:r>
      <w:r>
        <w:rPr/>
        <w:t>、编制基础</w:t>
      </w:r>
      <w:r>
        <w:rPr>
          <w:b w:val="0"/>
          <w:bCs w:val="0"/>
        </w:rPr>
      </w:r>
    </w:p>
    <w:p>
      <w:pPr>
        <w:spacing w:line="240" w:lineRule="auto" w:before="10"/>
        <w:rPr>
          <w:rFonts w:ascii="宋体" w:hAnsi="宋体" w:cs="宋体" w:eastAsia="宋体" w:hint="default"/>
          <w:b/>
          <w:bCs/>
          <w:sz w:val="26"/>
          <w:szCs w:val="26"/>
        </w:rPr>
      </w:pPr>
    </w:p>
    <w:p>
      <w:pPr>
        <w:pStyle w:val="BodyText"/>
        <w:spacing w:line="316" w:lineRule="auto"/>
        <w:ind w:right="855" w:firstLine="360"/>
        <w:jc w:val="left"/>
      </w:pPr>
      <w:r>
        <w:rPr>
          <w:spacing w:val="-5"/>
        </w:rPr>
        <w:t>本集团财务报表以持续经营为基础，根据实际发生的交易和事项，按照财政部颁布的《企业会计准则》及相关规定，并</w:t>
      </w:r>
      <w:r>
        <w:rPr>
          <w:w w:val="101"/>
        </w:rPr>
        <w:t> </w:t>
      </w:r>
      <w:r>
        <w:rPr>
          <w:spacing w:val="-3"/>
        </w:rPr>
        <w:t>基于本附注</w:t>
      </w:r>
      <w:r>
        <w:rPr>
          <w:rFonts w:ascii="Times New Roman" w:hAnsi="Times New Roman" w:cs="Times New Roman" w:eastAsia="Times New Roman" w:hint="default"/>
          <w:spacing w:val="-3"/>
        </w:rPr>
        <w:t>“</w:t>
      </w:r>
      <w:r>
        <w:rPr>
          <w:spacing w:val="-3"/>
        </w:rPr>
        <w:t>五、重要会计政策及会计估计</w:t>
      </w:r>
      <w:r>
        <w:rPr>
          <w:rFonts w:ascii="Times New Roman" w:hAnsi="Times New Roman" w:cs="Times New Roman" w:eastAsia="Times New Roman" w:hint="default"/>
          <w:spacing w:val="-3"/>
        </w:rPr>
        <w:t>”</w:t>
      </w:r>
      <w:r>
        <w:rPr>
          <w:spacing w:val="-3"/>
        </w:rPr>
        <w:t>所述会计政策和会计估计编制。</w:t>
      </w:r>
    </w:p>
    <w:p>
      <w:pPr>
        <w:spacing w:line="240" w:lineRule="auto" w:before="1"/>
        <w:rPr>
          <w:rFonts w:ascii="宋体" w:hAnsi="宋体" w:cs="宋体" w:eastAsia="宋体" w:hint="default"/>
          <w:sz w:val="21"/>
          <w:szCs w:val="21"/>
        </w:rPr>
      </w:pPr>
    </w:p>
    <w:p>
      <w:pPr>
        <w:pStyle w:val="Heading4"/>
        <w:spacing w:line="240" w:lineRule="auto"/>
        <w:ind w:right="0"/>
        <w:jc w:val="both"/>
        <w:rPr>
          <w:b w:val="0"/>
          <w:bCs w:val="0"/>
        </w:rPr>
      </w:pPr>
      <w:r>
        <w:rPr>
          <w:rFonts w:ascii="Times New Roman" w:hAnsi="Times New Roman" w:cs="Times New Roman" w:eastAsia="Times New Roman" w:hint="default"/>
        </w:rPr>
        <w:t>2</w:t>
      </w:r>
      <w:r>
        <w:rPr/>
        <w:t>、持续经营</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513" w:right="855"/>
        <w:jc w:val="left"/>
      </w:pPr>
      <w:r>
        <w:rPr>
          <w:spacing w:val="-3"/>
        </w:rPr>
        <w:t>本集团自本报告年末至少</w:t>
      </w:r>
      <w:r>
        <w:rPr>
          <w:rFonts w:ascii="Times New Roman" w:hAnsi="Times New Roman" w:cs="Times New Roman" w:eastAsia="Times New Roman" w:hint="default"/>
          <w:spacing w:val="-3"/>
        </w:rPr>
        <w:t>12</w:t>
      </w:r>
      <w:r>
        <w:rPr>
          <w:spacing w:val="-3"/>
        </w:rPr>
        <w:t>个月内具备持续经营能力，无影响持续经营能力的重大事项。</w:t>
      </w:r>
    </w:p>
    <w:p>
      <w:pPr>
        <w:spacing w:line="240" w:lineRule="auto" w:before="0"/>
        <w:rPr>
          <w:rFonts w:ascii="宋体" w:hAnsi="宋体" w:cs="宋体" w:eastAsia="宋体" w:hint="default"/>
          <w:sz w:val="24"/>
          <w:szCs w:val="24"/>
        </w:rPr>
      </w:pPr>
    </w:p>
    <w:p>
      <w:pPr>
        <w:pStyle w:val="Heading2"/>
        <w:spacing w:line="240" w:lineRule="auto"/>
        <w:ind w:right="0"/>
        <w:jc w:val="both"/>
        <w:rPr>
          <w:b w:val="0"/>
          <w:bCs w:val="0"/>
        </w:rPr>
      </w:pPr>
      <w:r>
        <w:rPr/>
        <w:t>五、重要会计政策及会计估计</w:t>
      </w:r>
      <w:r>
        <w:rPr>
          <w:b w:val="0"/>
          <w:bCs w:val="0"/>
        </w:rPr>
      </w:r>
    </w:p>
    <w:p>
      <w:pPr>
        <w:spacing w:line="240" w:lineRule="auto" w:before="6"/>
        <w:rPr>
          <w:rFonts w:ascii="宋体" w:hAnsi="宋体" w:cs="宋体" w:eastAsia="宋体" w:hint="default"/>
          <w:b/>
          <w:bCs/>
          <w:sz w:val="26"/>
          <w:szCs w:val="26"/>
        </w:rPr>
      </w:pPr>
    </w:p>
    <w:p>
      <w:pPr>
        <w:pStyle w:val="BodyText"/>
        <w:spacing w:line="357" w:lineRule="auto"/>
        <w:ind w:left="513" w:right="4481" w:hanging="360"/>
        <w:jc w:val="left"/>
      </w:pPr>
      <w:r>
        <w:rPr>
          <w:spacing w:val="-3"/>
        </w:rPr>
        <w:t>具体会计政策和会计估计提示：</w:t>
      </w:r>
      <w:r>
        <w:rPr>
          <w:spacing w:val="-45"/>
        </w:rPr>
        <w:t> </w:t>
      </w:r>
      <w:r>
        <w:rPr>
          <w:spacing w:val="-45"/>
        </w:rPr>
      </w:r>
      <w:r>
        <w:rPr>
          <w:spacing w:val="-3"/>
        </w:rPr>
        <w:t>本公司根据实际生产经营特点制定的具体会计政策和会计估计。</w:t>
      </w:r>
    </w:p>
    <w:p>
      <w:pPr>
        <w:spacing w:line="240" w:lineRule="auto" w:before="3"/>
        <w:rPr>
          <w:rFonts w:ascii="宋体" w:hAnsi="宋体" w:cs="宋体" w:eastAsia="宋体" w:hint="default"/>
          <w:sz w:val="20"/>
          <w:szCs w:val="20"/>
        </w:rPr>
      </w:pPr>
    </w:p>
    <w:p>
      <w:pPr>
        <w:pStyle w:val="Heading4"/>
        <w:spacing w:line="240" w:lineRule="auto"/>
        <w:ind w:right="0"/>
        <w:jc w:val="both"/>
        <w:rPr>
          <w:b w:val="0"/>
          <w:bCs w:val="0"/>
        </w:rPr>
      </w:pPr>
      <w:r>
        <w:rPr>
          <w:rFonts w:ascii="Times New Roman" w:hAnsi="Times New Roman" w:cs="Times New Roman" w:eastAsia="Times New Roman" w:hint="default"/>
        </w:rPr>
        <w:t>1</w:t>
      </w:r>
      <w:r>
        <w:rPr/>
        <w:t>、遵循企业会计准则的声明</w:t>
      </w:r>
      <w:r>
        <w:rPr>
          <w:b w:val="0"/>
          <w:bCs w:val="0"/>
        </w:rPr>
      </w:r>
    </w:p>
    <w:p>
      <w:pPr>
        <w:spacing w:line="240" w:lineRule="auto" w:before="9"/>
        <w:rPr>
          <w:rFonts w:ascii="宋体" w:hAnsi="宋体" w:cs="宋体" w:eastAsia="宋体" w:hint="default"/>
          <w:b/>
          <w:bCs/>
          <w:sz w:val="26"/>
          <w:szCs w:val="26"/>
        </w:rPr>
      </w:pPr>
    </w:p>
    <w:p>
      <w:pPr>
        <w:pStyle w:val="BodyText"/>
        <w:spacing w:line="319" w:lineRule="auto"/>
        <w:ind w:right="1128" w:firstLine="360"/>
        <w:jc w:val="left"/>
      </w:pPr>
      <w:r>
        <w:rPr>
          <w:spacing w:val="-4"/>
        </w:rPr>
        <w:t>本集团编制的财务报表符合企业会计准则的要求，真实、完整地反映了本集团财务状况、经营成果和现金流量等有关信</w:t>
      </w:r>
      <w:r>
        <w:rPr>
          <w:w w:val="101"/>
        </w:rPr>
        <w:t> </w:t>
      </w:r>
      <w:r>
        <w:rPr/>
        <w:t>息。</w:t>
      </w:r>
    </w:p>
    <w:p>
      <w:pPr>
        <w:spacing w:line="240" w:lineRule="auto" w:before="6"/>
        <w:rPr>
          <w:rFonts w:ascii="宋体" w:hAnsi="宋体" w:cs="宋体" w:eastAsia="宋体" w:hint="default"/>
          <w:sz w:val="22"/>
          <w:szCs w:val="22"/>
        </w:rPr>
      </w:pPr>
    </w:p>
    <w:p>
      <w:pPr>
        <w:pStyle w:val="Heading4"/>
        <w:spacing w:line="240" w:lineRule="auto"/>
        <w:ind w:right="0"/>
        <w:jc w:val="both"/>
        <w:rPr>
          <w:b w:val="0"/>
          <w:bCs w:val="0"/>
        </w:rPr>
      </w:pPr>
      <w:r>
        <w:rPr>
          <w:rFonts w:ascii="Times New Roman" w:hAnsi="Times New Roman" w:cs="Times New Roman" w:eastAsia="Times New Roman" w:hint="default"/>
        </w:rPr>
        <w:t>2</w:t>
      </w:r>
      <w:r>
        <w:rPr/>
        <w:t>、会计期间</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3" w:right="855"/>
        <w:jc w:val="left"/>
      </w:pPr>
      <w:r>
        <w:rPr>
          <w:spacing w:val="-3"/>
        </w:rPr>
        <w:t>本集团会计年度采用公历年度，即每年自</w:t>
      </w:r>
      <w:r>
        <w:rPr>
          <w:rFonts w:ascii="Times New Roman" w:hAnsi="Times New Roman" w:cs="Times New Roman" w:eastAsia="Times New Roman" w:hint="default"/>
          <w:spacing w:val="-3"/>
        </w:rPr>
        <w:t>1</w:t>
      </w:r>
      <w:r>
        <w:rPr>
          <w:spacing w:val="-3"/>
        </w:rPr>
        <w:t>月</w:t>
      </w:r>
      <w:r>
        <w:rPr>
          <w:rFonts w:ascii="Times New Roman" w:hAnsi="Times New Roman" w:cs="Times New Roman" w:eastAsia="Times New Roman" w:hint="default"/>
          <w:spacing w:val="-3"/>
        </w:rPr>
        <w:t>1</w:t>
      </w:r>
      <w:r>
        <w:rPr>
          <w:spacing w:val="-3"/>
        </w:rPr>
        <w:t>日起至</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日止。</w:t>
      </w:r>
    </w:p>
    <w:p>
      <w:pPr>
        <w:spacing w:line="240" w:lineRule="auto" w:before="13"/>
        <w:rPr>
          <w:rFonts w:ascii="宋体" w:hAnsi="宋体" w:cs="宋体" w:eastAsia="宋体" w:hint="default"/>
          <w:sz w:val="25"/>
          <w:szCs w:val="25"/>
        </w:rPr>
      </w:pPr>
    </w:p>
    <w:p>
      <w:pPr>
        <w:pStyle w:val="Heading4"/>
        <w:spacing w:line="240" w:lineRule="auto"/>
        <w:ind w:right="0"/>
        <w:jc w:val="both"/>
        <w:rPr>
          <w:b w:val="0"/>
          <w:bCs w:val="0"/>
        </w:rPr>
      </w:pPr>
      <w:r>
        <w:rPr>
          <w:rFonts w:ascii="Times New Roman" w:hAnsi="Times New Roman" w:cs="Times New Roman" w:eastAsia="Times New Roman" w:hint="default"/>
        </w:rPr>
        <w:t>3</w:t>
      </w:r>
      <w:r>
        <w:rPr/>
        <w:t>、营业周期</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3" w:right="855"/>
        <w:jc w:val="left"/>
      </w:pPr>
      <w:r>
        <w:rPr>
          <w:spacing w:val="-3"/>
        </w:rPr>
        <w:t>本集团以</w:t>
      </w:r>
      <w:r>
        <w:rPr>
          <w:rFonts w:ascii="Times New Roman" w:hAnsi="Times New Roman" w:cs="Times New Roman" w:eastAsia="Times New Roman" w:hint="default"/>
          <w:spacing w:val="-3"/>
        </w:rPr>
        <w:t>12</w:t>
      </w:r>
      <w:r>
        <w:rPr>
          <w:spacing w:val="-3"/>
        </w:rPr>
        <w:t>个月作为一个营业周期，并以其作为资产和负债的流动性划分标准。</w:t>
      </w:r>
    </w:p>
    <w:p>
      <w:pPr>
        <w:spacing w:line="240" w:lineRule="auto" w:before="13"/>
        <w:rPr>
          <w:rFonts w:ascii="宋体" w:hAnsi="宋体" w:cs="宋体" w:eastAsia="宋体" w:hint="default"/>
          <w:sz w:val="25"/>
          <w:szCs w:val="25"/>
        </w:rPr>
      </w:pPr>
    </w:p>
    <w:p>
      <w:pPr>
        <w:pStyle w:val="Heading4"/>
        <w:spacing w:line="240" w:lineRule="auto"/>
        <w:ind w:right="0"/>
        <w:jc w:val="both"/>
        <w:rPr>
          <w:b w:val="0"/>
          <w:bCs w:val="0"/>
        </w:rPr>
      </w:pPr>
      <w:r>
        <w:rPr>
          <w:rFonts w:ascii="Times New Roman" w:hAnsi="Times New Roman" w:cs="Times New Roman" w:eastAsia="Times New Roman" w:hint="default"/>
        </w:rPr>
        <w:t>4</w:t>
      </w:r>
      <w:r>
        <w:rPr/>
        <w:t>、记账本位币</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513" w:right="855"/>
        <w:jc w:val="left"/>
      </w:pPr>
      <w:r>
        <w:rPr>
          <w:spacing w:val="-3"/>
        </w:rPr>
        <w:t>本集团以人民币为记账本位币。</w:t>
      </w:r>
    </w:p>
    <w:p>
      <w:pPr>
        <w:spacing w:line="240" w:lineRule="auto" w:before="0"/>
        <w:rPr>
          <w:rFonts w:ascii="宋体" w:hAnsi="宋体" w:cs="宋体" w:eastAsia="宋体" w:hint="default"/>
          <w:sz w:val="18"/>
          <w:szCs w:val="18"/>
        </w:rPr>
      </w:pPr>
    </w:p>
    <w:p>
      <w:pPr>
        <w:pStyle w:val="Heading4"/>
        <w:spacing w:line="240" w:lineRule="auto" w:before="118"/>
        <w:ind w:right="0"/>
        <w:jc w:val="both"/>
        <w:rPr>
          <w:b w:val="0"/>
          <w:bCs w:val="0"/>
        </w:rPr>
      </w:pPr>
      <w:r>
        <w:rPr>
          <w:rFonts w:ascii="Times New Roman" w:hAnsi="Times New Roman" w:cs="Times New Roman" w:eastAsia="Times New Roman" w:hint="default"/>
        </w:rPr>
        <w:t>5</w:t>
      </w:r>
      <w:r>
        <w:rPr/>
        <w:t>、同一控制下和非同一控制下企业合并的会计处理方法</w:t>
      </w:r>
      <w:r>
        <w:rPr>
          <w:b w:val="0"/>
          <w:bCs w:val="0"/>
        </w:rPr>
      </w:r>
    </w:p>
    <w:p>
      <w:pPr>
        <w:pStyle w:val="BodyText"/>
        <w:spacing w:line="420" w:lineRule="atLeast" w:before="178"/>
        <w:ind w:left="513" w:right="855"/>
        <w:jc w:val="left"/>
      </w:pPr>
      <w:r>
        <w:rPr/>
        <w:t>（</w:t>
      </w:r>
      <w:r>
        <w:rPr>
          <w:rFonts w:ascii="Times New Roman" w:hAnsi="Times New Roman" w:cs="Times New Roman" w:eastAsia="Times New Roman" w:hint="default"/>
        </w:rPr>
        <w:t>1</w:t>
      </w:r>
      <w:r>
        <w:rPr/>
        <w:t>）同一控制下的企业合并</w:t>
      </w:r>
      <w:r>
        <w:rPr>
          <w:spacing w:val="-85"/>
        </w:rPr>
        <w:t> </w:t>
      </w:r>
      <w:r>
        <w:rPr>
          <w:spacing w:val="-85"/>
        </w:rPr>
      </w:r>
      <w:r>
        <w:rPr>
          <w:spacing w:val="-3"/>
        </w:rPr>
        <w:t>本集团报告期内发生同一控制下企业合并的，采用权益结合法进行会计处理。合并方在企业合并中取得的资产和负债，</w:t>
      </w:r>
    </w:p>
    <w:p>
      <w:pPr>
        <w:pStyle w:val="BodyText"/>
        <w:spacing w:line="314" w:lineRule="auto" w:before="76"/>
        <w:ind w:right="1123"/>
        <w:jc w:val="both"/>
      </w:pPr>
      <w:r>
        <w:rPr>
          <w:spacing w:val="-4"/>
          <w:w w:val="101"/>
        </w:rPr>
        <w:t>于合并日按照被合并方在最终控制方合并财务报表中的账面价值计量。合并方取得的净资产账面价值与支付的合并对价账面</w:t>
      </w:r>
      <w:r>
        <w:rPr>
          <w:w w:val="101"/>
        </w:rPr>
        <w:t> </w:t>
      </w:r>
      <w:r>
        <w:rPr>
          <w:spacing w:val="-4"/>
        </w:rPr>
        <w:t>价值（或发行股份面值总额）的差额，调整资本公积；资本公积不足冲减的，调整留存收益。合并方为进行企业合并发生的</w:t>
      </w:r>
      <w:r>
        <w:rPr>
          <w:spacing w:val="40"/>
        </w:rPr>
        <w:t> </w:t>
      </w:r>
      <w:r>
        <w:rPr>
          <w:spacing w:val="40"/>
        </w:rPr>
      </w:r>
      <w:r>
        <w:rPr>
          <w:spacing w:val="-4"/>
        </w:rPr>
        <w:t>各项直接相关费用，包括为进行企业合并而支付的审计费用、评估费用、法律服务费用等，于发生时计入当期损益。为企业</w:t>
      </w:r>
      <w:r>
        <w:rPr>
          <w:spacing w:val="40"/>
        </w:rPr>
        <w:t> </w:t>
      </w:r>
      <w:r>
        <w:rPr>
          <w:spacing w:val="40"/>
        </w:rPr>
      </w:r>
      <w:r>
        <w:rPr>
          <w:spacing w:val="-4"/>
        </w:rPr>
        <w:t>合并发行的债券或承担其他债务支付的手续费、佣金等，计入所发行债券及其他债务的初始计量金额。企业合并中发行权益</w:t>
      </w:r>
      <w:r>
        <w:rPr>
          <w:spacing w:val="44"/>
        </w:rPr>
        <w:t> </w:t>
      </w:r>
      <w:r>
        <w:rPr>
          <w:spacing w:val="44"/>
        </w:rPr>
      </w:r>
      <w:r>
        <w:rPr>
          <w:spacing w:val="-4"/>
        </w:rPr>
        <w:t>性证券发生的手续费、佣金等费用，抵减权益性证券溢价收入，溢价收入不足冲减的，冲减留存收益。企业合并形成母子公</w:t>
      </w:r>
      <w:r>
        <w:rPr>
          <w:spacing w:val="40"/>
        </w:rPr>
        <w:t> </w:t>
      </w:r>
      <w:r>
        <w:rPr>
          <w:spacing w:val="40"/>
        </w:rPr>
      </w:r>
      <w:r>
        <w:rPr>
          <w:spacing w:val="-4"/>
        </w:rPr>
        <w:t>司关系的，编制合并财务报表，按照本集团制定的</w:t>
      </w:r>
      <w:r>
        <w:rPr>
          <w:rFonts w:ascii="Times New Roman" w:hAnsi="Times New Roman" w:cs="Times New Roman" w:eastAsia="Times New Roman" w:hint="default"/>
          <w:spacing w:val="-4"/>
        </w:rPr>
        <w:t>“</w:t>
      </w:r>
      <w:r>
        <w:rPr>
          <w:spacing w:val="-4"/>
        </w:rPr>
        <w:t>合并财务报表</w:t>
      </w:r>
      <w:r>
        <w:rPr>
          <w:rFonts w:ascii="Times New Roman" w:hAnsi="Times New Roman" w:cs="Times New Roman" w:eastAsia="Times New Roman" w:hint="default"/>
          <w:spacing w:val="-4"/>
        </w:rPr>
        <w:t>”</w:t>
      </w:r>
      <w:r>
        <w:rPr>
          <w:spacing w:val="-4"/>
        </w:rPr>
        <w:t>会计政策执行；合并财务报表比较数据调整的期间应不早</w:t>
      </w:r>
      <w:r>
        <w:rPr>
          <w:spacing w:val="60"/>
        </w:rPr>
        <w:t> </w:t>
      </w:r>
      <w:r>
        <w:rPr>
          <w:spacing w:val="60"/>
        </w:rPr>
      </w:r>
      <w:r>
        <w:rPr>
          <w:spacing w:val="-3"/>
        </w:rPr>
        <w:t>于合并方、被合并方处于最终控制方的控制之下孰晚的时间。</w:t>
      </w:r>
    </w:p>
    <w:p>
      <w:pPr>
        <w:spacing w:after="0" w:line="314" w:lineRule="auto"/>
        <w:jc w:val="both"/>
        <w:sectPr>
          <w:pgSz w:w="11910" w:h="16840"/>
          <w:pgMar w:header="746" w:footer="974"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6"/>
        <w:ind w:left="513" w:right="855"/>
        <w:jc w:val="left"/>
      </w:pPr>
      <w:r>
        <w:rPr>
          <w:spacing w:val="-3"/>
        </w:rPr>
        <w:t>（</w:t>
      </w:r>
      <w:r>
        <w:rPr>
          <w:rFonts w:ascii="Times New Roman" w:hAnsi="Times New Roman" w:cs="Times New Roman" w:eastAsia="Times New Roman" w:hint="default"/>
          <w:spacing w:val="-3"/>
        </w:rPr>
        <w:t>2</w:t>
      </w:r>
      <w:r>
        <w:rPr>
          <w:spacing w:val="-3"/>
        </w:rPr>
        <w:t>）非同一控制下的企业合并</w:t>
      </w:r>
    </w:p>
    <w:p>
      <w:pPr>
        <w:spacing w:line="240" w:lineRule="auto" w:before="13"/>
        <w:rPr>
          <w:rFonts w:ascii="宋体" w:hAnsi="宋体" w:cs="宋体" w:eastAsia="宋体" w:hint="default"/>
          <w:sz w:val="13"/>
          <w:szCs w:val="13"/>
        </w:rPr>
      </w:pPr>
    </w:p>
    <w:p>
      <w:pPr>
        <w:pStyle w:val="BodyText"/>
        <w:spacing w:line="319" w:lineRule="auto"/>
        <w:ind w:right="1123" w:firstLine="360"/>
        <w:jc w:val="both"/>
      </w:pPr>
      <w:r>
        <w:rPr>
          <w:spacing w:val="-4"/>
        </w:rPr>
        <w:t>本集团报告期内发生非同一控制下的企业合并的，采用购买法进行会计处理。区别下列情况确定合并成本：①一次交换</w:t>
      </w:r>
      <w:r>
        <w:rPr>
          <w:w w:val="101"/>
        </w:rPr>
        <w:t> </w:t>
      </w:r>
      <w:r>
        <w:rPr>
          <w:spacing w:val="-4"/>
        </w:rPr>
        <w:t>交易实现的企业合并，合并成本为在购买日为取得对被购买方的控制权而付出的资产、发生或承担的负债以及发行的权益性</w:t>
      </w:r>
      <w:r>
        <w:rPr>
          <w:spacing w:val="44"/>
        </w:rPr>
        <w:t> </w:t>
      </w:r>
      <w:r>
        <w:rPr>
          <w:spacing w:val="44"/>
        </w:rPr>
      </w:r>
      <w:r>
        <w:rPr>
          <w:spacing w:val="-4"/>
        </w:rPr>
        <w:t>证券的公允价值。②通过多次交换交易分步实现的企业合并，对于购买日之前持有的被购买方的股权，区分个别财务报表和</w:t>
      </w:r>
      <w:r>
        <w:rPr>
          <w:spacing w:val="43"/>
        </w:rPr>
        <w:t> </w:t>
      </w:r>
      <w:r>
        <w:rPr>
          <w:spacing w:val="43"/>
        </w:rPr>
      </w:r>
      <w:r>
        <w:rPr>
          <w:spacing w:val="-3"/>
        </w:rPr>
        <w:t>合并财务报表进行相关会计处理：</w:t>
      </w:r>
    </w:p>
    <w:p>
      <w:pPr>
        <w:pStyle w:val="BodyText"/>
        <w:spacing w:line="307" w:lineRule="auto" w:before="137"/>
        <w:ind w:right="1122" w:firstLine="360"/>
        <w:jc w:val="both"/>
      </w:pPr>
      <w:r>
        <w:rPr>
          <w:rFonts w:ascii="Times New Roman" w:hAnsi="Times New Roman" w:cs="Times New Roman" w:eastAsia="Times New Roman" w:hint="default"/>
          <w:spacing w:val="-3"/>
        </w:rPr>
        <w:t>1</w:t>
      </w:r>
      <w:r>
        <w:rPr>
          <w:spacing w:val="-3"/>
        </w:rPr>
        <w:t>）在个别财务报表中，按照原持有被购买方的股权投资的账面价值加上新增投资成本之和，作为改按成本法核算的初</w:t>
      </w:r>
      <w:r>
        <w:rPr>
          <w:w w:val="101"/>
        </w:rPr>
        <w:t> </w:t>
      </w:r>
      <w:r>
        <w:rPr>
          <w:spacing w:val="-4"/>
        </w:rPr>
        <w:t>始投资成本；购买日之前持有的股权投资因采用权益法核算而确认的其他综合收益，在处置该项投资时采用与被购买方直接</w:t>
      </w:r>
      <w:r>
        <w:rPr>
          <w:spacing w:val="42"/>
        </w:rPr>
        <w:t> </w:t>
      </w:r>
      <w:r>
        <w:rPr>
          <w:spacing w:val="42"/>
        </w:rPr>
      </w:r>
      <w:r>
        <w:rPr>
          <w:spacing w:val="-4"/>
        </w:rPr>
        <w:t>处置相关资产或负债相同的基础进行会计处理。购买日之前持有的股权投资按照《企业会计准则第</w:t>
      </w:r>
      <w:r>
        <w:rPr>
          <w:rFonts w:ascii="Times New Roman" w:hAnsi="Times New Roman" w:cs="Times New Roman" w:eastAsia="Times New Roman" w:hint="default"/>
          <w:spacing w:val="-4"/>
        </w:rPr>
        <w:t>22</w:t>
      </w:r>
      <w:r>
        <w:rPr>
          <w:spacing w:val="-4"/>
        </w:rPr>
        <w:t>号</w:t>
      </w:r>
      <w:r>
        <w:rPr>
          <w:rFonts w:ascii="Times New Roman" w:hAnsi="Times New Roman" w:cs="Times New Roman" w:eastAsia="Times New Roman" w:hint="default"/>
          <w:spacing w:val="-4"/>
        </w:rPr>
        <w:t>——</w:t>
      </w:r>
      <w:r>
        <w:rPr>
          <w:spacing w:val="-4"/>
        </w:rPr>
        <w:t>金融工具确认和</w:t>
      </w:r>
      <w:r>
        <w:rPr>
          <w:spacing w:val="49"/>
        </w:rPr>
        <w:t> </w:t>
      </w:r>
      <w:r>
        <w:rPr>
          <w:spacing w:val="49"/>
        </w:rPr>
      </w:r>
      <w:r>
        <w:rPr>
          <w:spacing w:val="-3"/>
        </w:rPr>
        <w:t>计量》的有关规定进行会计处理的，原计入其他综合收益的累计公允价值变动在改按成本法核算时转入当期损益。</w:t>
      </w:r>
    </w:p>
    <w:p>
      <w:pPr>
        <w:pStyle w:val="BodyText"/>
        <w:spacing w:line="312" w:lineRule="auto" w:before="146"/>
        <w:ind w:right="1124" w:firstLine="360"/>
        <w:jc w:val="both"/>
      </w:pPr>
      <w:r>
        <w:rPr>
          <w:rFonts w:ascii="Times New Roman" w:hAnsi="Times New Roman" w:cs="Times New Roman" w:eastAsia="Times New Roman" w:hint="default"/>
          <w:spacing w:val="-3"/>
        </w:rPr>
        <w:t>2</w:t>
      </w:r>
      <w:r>
        <w:rPr>
          <w:spacing w:val="-3"/>
        </w:rPr>
        <w:t>）在合并财务报表中，对于购买日之前持有的被购买方的股权，按照该股权在购买日的公允价值进行重新计量，公允</w:t>
      </w:r>
      <w:r>
        <w:rPr>
          <w:w w:val="101"/>
        </w:rPr>
        <w:t> </w:t>
      </w:r>
      <w:r>
        <w:rPr>
          <w:spacing w:val="-4"/>
        </w:rPr>
        <w:t>价值与其账面价值的差额计入当期投资收益；购买日之前持有的被购买方的股权涉及权益法核算下的其他综合收益等的，与</w:t>
      </w:r>
      <w:r>
        <w:rPr>
          <w:spacing w:val="42"/>
        </w:rPr>
        <w:t> </w:t>
      </w:r>
      <w:r>
        <w:rPr>
          <w:spacing w:val="42"/>
        </w:rPr>
      </w:r>
      <w:r>
        <w:rPr>
          <w:spacing w:val="-4"/>
          <w:w w:val="101"/>
        </w:rPr>
        <w:t>其相关的其他综合收益等转为购买日所属当期投资收益。本集团在附注中披露其在购买日之前持有的被购买方的股权在购买</w:t>
      </w:r>
      <w:r>
        <w:rPr>
          <w:w w:val="101"/>
        </w:rPr>
        <w:t> </w:t>
      </w:r>
      <w:r>
        <w:rPr>
          <w:spacing w:val="-3"/>
        </w:rPr>
        <w:t>日的公允价值、按照公允价值重新计量产生的相关利得或损失的金额。</w:t>
      </w:r>
    </w:p>
    <w:p>
      <w:pPr>
        <w:pStyle w:val="BodyText"/>
        <w:spacing w:line="312" w:lineRule="auto" w:before="143"/>
        <w:ind w:right="1124" w:firstLine="360"/>
        <w:jc w:val="both"/>
      </w:pPr>
      <w:r>
        <w:rPr>
          <w:rFonts w:ascii="Times New Roman" w:hAnsi="Times New Roman" w:cs="Times New Roman" w:eastAsia="Times New Roman" w:hint="default"/>
          <w:spacing w:val="-3"/>
        </w:rPr>
        <w:t>3</w:t>
      </w:r>
      <w:r>
        <w:rPr>
          <w:spacing w:val="-3"/>
        </w:rPr>
        <w:t>）为企业合并发生的审计、法律服务、评估咨询等中介费用以及其他相关管理费用，于发生时计入当期损益；作为合</w:t>
      </w:r>
      <w:r>
        <w:rPr>
          <w:w w:val="101"/>
        </w:rPr>
        <w:t> </w:t>
      </w:r>
      <w:r>
        <w:rPr>
          <w:spacing w:val="-4"/>
        </w:rPr>
        <w:t>并对价发行的权益性证券或债务性证券的交易费用，计入权益性证券或债务性证券的初始确认金额。④在合并合同或协议中</w:t>
      </w:r>
      <w:r>
        <w:rPr>
          <w:spacing w:val="44"/>
        </w:rPr>
        <w:t> </w:t>
      </w:r>
      <w:r>
        <w:rPr>
          <w:spacing w:val="44"/>
        </w:rPr>
      </w:r>
      <w:r>
        <w:rPr>
          <w:spacing w:val="-4"/>
          <w:w w:val="101"/>
        </w:rPr>
        <w:t>对可能影响合并成本的未来事项作出约定的，购买日如果估计未来事项很可能发生并且对合并成本的影响金额能够可靠计量</w:t>
      </w:r>
      <w:r>
        <w:rPr>
          <w:w w:val="101"/>
        </w:rPr>
        <w:t> </w:t>
      </w:r>
      <w:r>
        <w:rPr>
          <w:spacing w:val="-3"/>
        </w:rPr>
        <w:t>的，将其计入合并成本。</w:t>
      </w:r>
    </w:p>
    <w:p>
      <w:pPr>
        <w:pStyle w:val="BodyText"/>
        <w:spacing w:line="316" w:lineRule="auto" w:before="143"/>
        <w:ind w:right="1037" w:firstLine="360"/>
        <w:jc w:val="both"/>
      </w:pPr>
      <w:r>
        <w:rPr>
          <w:spacing w:val="-6"/>
          <w:w w:val="101"/>
        </w:rPr>
        <w:t>本集团在购买日对作为企业合并对价付出的资产、发生或承担的负债按照公允价值计量，公允价值与其账面价值的差额，</w:t>
      </w:r>
      <w:r>
        <w:rPr>
          <w:w w:val="101"/>
        </w:rPr>
        <w:t> </w:t>
      </w:r>
      <w:r>
        <w:rPr>
          <w:spacing w:val="-3"/>
        </w:rPr>
        <w:t>计入当期损益。</w:t>
      </w:r>
    </w:p>
    <w:p>
      <w:pPr>
        <w:pStyle w:val="BodyText"/>
        <w:spacing w:line="319" w:lineRule="auto" w:before="139"/>
        <w:ind w:right="1122" w:firstLine="360"/>
        <w:jc w:val="both"/>
      </w:pPr>
      <w:r>
        <w:rPr>
          <w:spacing w:val="-4"/>
        </w:rPr>
        <w:t>本集团在购买日对合并成本进行分配，按照规定确认所取得的被购买方各项可辨认资产、负债及或有负债。①对合并成</w:t>
      </w:r>
      <w:r>
        <w:rPr>
          <w:w w:val="101"/>
        </w:rPr>
        <w:t> </w:t>
      </w:r>
      <w:r>
        <w:rPr>
          <w:spacing w:val="-4"/>
        </w:rPr>
        <w:t>本大于合并中取得的被购买方可辨认净资产公允价值份额的差额，确认为商誉。②对合并成本小于合并中取得的被购买方可</w:t>
      </w:r>
      <w:r>
        <w:rPr>
          <w:spacing w:val="38"/>
        </w:rPr>
        <w:t> </w:t>
      </w:r>
      <w:r>
        <w:rPr>
          <w:spacing w:val="38"/>
        </w:rPr>
      </w:r>
      <w:r>
        <w:rPr>
          <w:spacing w:val="-4"/>
        </w:rPr>
        <w:t>辨认净资产公允价值份额的差额，则对取得的被购买方各项可辨认资产、负债及或有负债的公允价值以及合并成本的计量进</w:t>
      </w:r>
      <w:r>
        <w:rPr>
          <w:spacing w:val="44"/>
        </w:rPr>
        <w:t> </w:t>
      </w:r>
      <w:r>
        <w:rPr>
          <w:spacing w:val="44"/>
        </w:rPr>
      </w:r>
      <w:r>
        <w:rPr>
          <w:spacing w:val="-3"/>
        </w:rPr>
        <w:t>行复核；经复核后合并成本仍小于合并中取得的被购买方可辨认净资产公允价值份额的，其差额计入当期损益。</w:t>
      </w:r>
    </w:p>
    <w:p>
      <w:pPr>
        <w:pStyle w:val="BodyText"/>
        <w:spacing w:line="316" w:lineRule="auto" w:before="137"/>
        <w:ind w:right="1123" w:firstLine="360"/>
        <w:jc w:val="both"/>
      </w:pPr>
      <w:r>
        <w:rPr>
          <w:spacing w:val="-4"/>
        </w:rPr>
        <w:t>企业合并形成母子公司关系的，母公司设置备查簿，记录企业合并中取得的子公司各项可辨认资产、负债及或有负债等</w:t>
      </w:r>
      <w:r>
        <w:rPr>
          <w:w w:val="101"/>
        </w:rPr>
        <w:t> </w:t>
      </w:r>
      <w:r>
        <w:rPr>
          <w:spacing w:val="-4"/>
        </w:rPr>
        <w:t>在购买日的公允价值。编制合并财务报表时，以购买日确定的各项可辨认资产、负债及或有负债的公允价值为基础对子公司</w:t>
      </w:r>
      <w:r>
        <w:rPr>
          <w:spacing w:val="44"/>
        </w:rPr>
        <w:t> </w:t>
      </w:r>
      <w:r>
        <w:rPr>
          <w:spacing w:val="44"/>
        </w:rPr>
      </w:r>
      <w:r>
        <w:rPr>
          <w:spacing w:val="-3"/>
        </w:rPr>
        <w:t>的财务报表进行调整，按照本集团制定的</w:t>
      </w:r>
      <w:r>
        <w:rPr>
          <w:rFonts w:ascii="Times New Roman" w:hAnsi="Times New Roman" w:cs="Times New Roman" w:eastAsia="Times New Roman" w:hint="default"/>
          <w:spacing w:val="-3"/>
        </w:rPr>
        <w:t>“</w:t>
      </w:r>
      <w:r>
        <w:rPr>
          <w:spacing w:val="-3"/>
        </w:rPr>
        <w:t>合并财务报表</w:t>
      </w:r>
      <w:r>
        <w:rPr>
          <w:rFonts w:ascii="Times New Roman" w:hAnsi="Times New Roman" w:cs="Times New Roman" w:eastAsia="Times New Roman" w:hint="default"/>
          <w:spacing w:val="-3"/>
        </w:rPr>
        <w:t>”</w:t>
      </w:r>
      <w:r>
        <w:rPr>
          <w:spacing w:val="-3"/>
        </w:rPr>
        <w:t>会计政策执行。</w:t>
      </w:r>
    </w:p>
    <w:p>
      <w:pPr>
        <w:pStyle w:val="BodyText"/>
        <w:spacing w:line="240" w:lineRule="auto" w:before="119"/>
        <w:ind w:left="513" w:right="855"/>
        <w:jc w:val="left"/>
      </w:pPr>
      <w:r>
        <w:rPr/>
        <w:t>（</w:t>
      </w:r>
      <w:r>
        <w:rPr>
          <w:rFonts w:ascii="Times New Roman" w:hAnsi="Times New Roman" w:cs="Times New Roman" w:eastAsia="Times New Roman" w:hint="default"/>
        </w:rPr>
        <w:t>3</w:t>
      </w:r>
      <w:r>
        <w:rPr/>
        <w:t>）分步实现企业合并</w:t>
      </w:r>
    </w:p>
    <w:p>
      <w:pPr>
        <w:spacing w:line="240" w:lineRule="auto" w:before="0"/>
        <w:rPr>
          <w:rFonts w:ascii="宋体" w:hAnsi="宋体" w:cs="宋体" w:eastAsia="宋体" w:hint="default"/>
          <w:sz w:val="14"/>
          <w:szCs w:val="14"/>
        </w:rPr>
      </w:pPr>
    </w:p>
    <w:p>
      <w:pPr>
        <w:pStyle w:val="BodyText"/>
        <w:spacing w:line="300" w:lineRule="auto"/>
        <w:ind w:right="1126" w:firstLine="360"/>
        <w:jc w:val="both"/>
      </w:pPr>
      <w:r>
        <w:rPr>
          <w:spacing w:val="-4"/>
        </w:rPr>
        <w:t>如果分步取得对子公司股权投资直至取得控制权的各项交易属于</w:t>
      </w:r>
      <w:r>
        <w:rPr>
          <w:rFonts w:ascii="Times New Roman" w:hAnsi="Times New Roman" w:cs="Times New Roman" w:eastAsia="Times New Roman" w:hint="default"/>
          <w:spacing w:val="-4"/>
        </w:rPr>
        <w:t>“</w:t>
      </w:r>
      <w:r>
        <w:rPr>
          <w:spacing w:val="-4"/>
        </w:rPr>
        <w:t>一揽子交易</w:t>
      </w:r>
      <w:r>
        <w:rPr>
          <w:rFonts w:ascii="Times New Roman" w:hAnsi="Times New Roman" w:cs="Times New Roman" w:eastAsia="Times New Roman" w:hint="default"/>
          <w:spacing w:val="-4"/>
        </w:rPr>
        <w:t>”</w:t>
      </w:r>
      <w:r>
        <w:rPr>
          <w:spacing w:val="-4"/>
        </w:rPr>
        <w:t>，应当将各项交易作为一项取得子公司控</w:t>
      </w:r>
      <w:r>
        <w:rPr>
          <w:w w:val="101"/>
        </w:rPr>
        <w:t> </w:t>
      </w:r>
      <w:r>
        <w:rPr>
          <w:spacing w:val="-3"/>
        </w:rPr>
        <w:t>制权的交易，并区分企业合并的类型分别进行会计处理。</w:t>
      </w:r>
    </w:p>
    <w:p>
      <w:pPr>
        <w:pStyle w:val="BodyText"/>
        <w:spacing w:line="432" w:lineRule="exact" w:before="16"/>
        <w:ind w:left="513" w:right="855"/>
        <w:jc w:val="left"/>
      </w:pPr>
      <w:r>
        <w:rPr>
          <w:rFonts w:ascii="Times New Roman" w:hAnsi="Times New Roman" w:cs="Times New Roman" w:eastAsia="Times New Roman" w:hint="default"/>
        </w:rPr>
        <w:t>1</w:t>
      </w:r>
      <w:r>
        <w:rPr/>
        <w:t>）分步实现同一控制下企业合并</w:t>
      </w:r>
      <w:r>
        <w:rPr>
          <w:spacing w:val="-86"/>
        </w:rPr>
        <w:t> </w:t>
      </w:r>
      <w:r>
        <w:rPr>
          <w:spacing w:val="-86"/>
        </w:rPr>
      </w:r>
      <w:r>
        <w:rPr>
          <w:spacing w:val="-4"/>
        </w:rPr>
        <w:t>如果不属于一揽子交易并形成同一控制下企业合并的，在取得控制权日，根据合并后应享有被合并方净资产在最终控制</w:t>
      </w:r>
    </w:p>
    <w:p>
      <w:pPr>
        <w:pStyle w:val="BodyText"/>
        <w:spacing w:line="316" w:lineRule="auto" w:before="15"/>
        <w:ind w:right="855"/>
        <w:jc w:val="left"/>
      </w:pPr>
      <w:r>
        <w:rPr>
          <w:spacing w:val="-4"/>
        </w:rPr>
        <w:t>方合并财务报表中的账面价值的份额，确定长期股权投资的初始投资成本。合并日长期股权投资的初始投资成本，与达到合</w:t>
      </w:r>
      <w:r>
        <w:rPr>
          <w:spacing w:val="44"/>
        </w:rPr>
        <w:t> </w:t>
      </w:r>
      <w:r>
        <w:rPr>
          <w:spacing w:val="44"/>
        </w:rPr>
      </w:r>
      <w:r>
        <w:rPr>
          <w:spacing w:val="-5"/>
        </w:rPr>
        <w:t>并前的长期股权投资账面价值加上合并日进一步取得股份新支付对价的账面价值之和的差额，调整资本公积（资本溢价或股</w:t>
      </w:r>
      <w:r>
        <w:rPr>
          <w:spacing w:val="6"/>
        </w:rPr>
        <w:t> </w:t>
      </w:r>
      <w:r>
        <w:rPr>
          <w:spacing w:val="6"/>
        </w:rPr>
      </w:r>
      <w:r>
        <w:rPr>
          <w:spacing w:val="-4"/>
        </w:rPr>
        <w:t>本溢价），资本公积不足冲减的，冲减留存收益。合并日之前持有的股权投资，因采用权益法核算或金融工具确认和计量准</w:t>
      </w:r>
      <w:r>
        <w:rPr>
          <w:spacing w:val="40"/>
        </w:rPr>
        <w:t> </w:t>
      </w:r>
      <w:r>
        <w:rPr>
          <w:spacing w:val="40"/>
        </w:rPr>
      </w:r>
      <w:r>
        <w:rPr>
          <w:spacing w:val="-5"/>
        </w:rPr>
        <w:t>则核算而确认的其他综合收益，暂不进行会计处理，直至处置该项投资时采用与被投资单位直接处置相关资产或负债相同的</w:t>
      </w:r>
      <w:r>
        <w:rPr>
          <w:spacing w:val="6"/>
        </w:rPr>
        <w:t> </w:t>
      </w:r>
      <w:r>
        <w:rPr>
          <w:spacing w:val="6"/>
        </w:rPr>
      </w:r>
      <w:r>
        <w:rPr>
          <w:spacing w:val="-4"/>
        </w:rPr>
        <w:t>基础进行会计处理；因采用权益法核算而确认的被投资单位净资产中除净损益、其他综合收益和利润分配以外的所有者权益</w:t>
      </w:r>
      <w:r>
        <w:rPr>
          <w:spacing w:val="43"/>
        </w:rPr>
        <w:t> </w:t>
      </w:r>
      <w:r>
        <w:rPr>
          <w:spacing w:val="43"/>
        </w:rPr>
      </w:r>
      <w:r>
        <w:rPr>
          <w:spacing w:val="-3"/>
        </w:rPr>
        <w:t>其他变动，暂不进行会计处理，直至处置该项投资时转入当期损益。其中，处置后的剩余股权采用成本法或权益法核算的，</w:t>
      </w:r>
      <w:r>
        <w:rPr>
          <w:spacing w:val="66"/>
        </w:rPr>
        <w:t> </w:t>
      </w:r>
      <w:r>
        <w:rPr>
          <w:spacing w:val="66"/>
        </w:rPr>
      </w:r>
      <w:r>
        <w:rPr>
          <w:spacing w:val="-4"/>
        </w:rPr>
        <w:t>其他综合收益和其他所有者权益应按比例结转，处置后的剩余股权改按金融工具确认和计量准则进行会计处理的，其他综合</w:t>
      </w:r>
      <w:r>
        <w:rPr>
          <w:spacing w:val="44"/>
        </w:rPr>
        <w:t> </w:t>
      </w:r>
      <w:r>
        <w:rPr>
          <w:spacing w:val="44"/>
        </w:rPr>
      </w:r>
      <w:r>
        <w:rPr>
          <w:spacing w:val="-3"/>
        </w:rPr>
        <w:t>收益和其他所有者权益应全部结转。</w:t>
      </w:r>
    </w:p>
    <w:p>
      <w:pPr>
        <w:pStyle w:val="BodyText"/>
        <w:spacing w:line="240" w:lineRule="auto" w:before="139"/>
        <w:ind w:left="513" w:right="855"/>
        <w:jc w:val="left"/>
      </w:pPr>
      <w:r>
        <w:rPr>
          <w:spacing w:val="-4"/>
        </w:rPr>
        <w:t>合并日应当按照《企业会计准则第</w:t>
      </w:r>
      <w:r>
        <w:rPr>
          <w:rFonts w:ascii="Times New Roman" w:hAnsi="Times New Roman" w:cs="Times New Roman" w:eastAsia="Times New Roman" w:hint="default"/>
          <w:spacing w:val="-4"/>
        </w:rPr>
        <w:t>20</w:t>
      </w:r>
      <w:r>
        <w:rPr>
          <w:spacing w:val="-4"/>
        </w:rPr>
        <w:t>号一一企业合并》和合并财务报表准则的规定编制合并财务报表。在编制合并财务</w:t>
      </w:r>
    </w:p>
    <w:p>
      <w:pPr>
        <w:spacing w:after="0" w:line="240" w:lineRule="auto"/>
        <w:jc w:val="left"/>
        <w:sectPr>
          <w:pgSz w:w="11910" w:h="16840"/>
          <w:pgMar w:header="746" w:footer="974" w:top="1060" w:bottom="1160" w:left="980" w:right="0"/>
        </w:sectPr>
      </w:pPr>
    </w:p>
    <w:p>
      <w:pPr>
        <w:spacing w:line="240" w:lineRule="auto" w:before="9"/>
        <w:rPr>
          <w:rFonts w:ascii="宋体" w:hAnsi="宋体" w:cs="宋体" w:eastAsia="宋体" w:hint="default"/>
          <w:sz w:val="25"/>
          <w:szCs w:val="25"/>
        </w:rPr>
      </w:pPr>
    </w:p>
    <w:p>
      <w:pPr>
        <w:pStyle w:val="BodyText"/>
        <w:spacing w:line="319" w:lineRule="auto" w:before="46"/>
        <w:ind w:right="855"/>
        <w:jc w:val="left"/>
      </w:pPr>
      <w:r>
        <w:rPr>
          <w:spacing w:val="-4"/>
        </w:rPr>
        <w:t>报表时，应视同参与合并的各方在最终控制方开始控制时即以目前的状态存在进行调整，在编制比较报表时，以不早于合并</w:t>
      </w:r>
      <w:r>
        <w:rPr>
          <w:spacing w:val="43"/>
        </w:rPr>
        <w:t> </w:t>
      </w:r>
      <w:r>
        <w:rPr>
          <w:spacing w:val="43"/>
        </w:rPr>
      </w:r>
      <w:r>
        <w:rPr>
          <w:spacing w:val="-4"/>
        </w:rPr>
        <w:t>方和被合并方同处于最终控制方的控制之下的时点为限，将被合并方的有关资产、负债并人合并方合并财务报表的比较报表</w:t>
      </w:r>
      <w:r>
        <w:rPr>
          <w:spacing w:val="46"/>
        </w:rPr>
        <w:t> </w:t>
      </w:r>
      <w:r>
        <w:rPr>
          <w:spacing w:val="46"/>
        </w:rPr>
      </w:r>
      <w:r>
        <w:rPr>
          <w:spacing w:val="-3"/>
        </w:rPr>
        <w:t>中，并将合并而增加的净资产在比较报表中调整所有者权益项下的相关项目。合并方在达到合并之前持有的长期股权投资，</w:t>
      </w:r>
      <w:r>
        <w:rPr>
          <w:spacing w:val="66"/>
        </w:rPr>
        <w:t> </w:t>
      </w:r>
      <w:r>
        <w:rPr>
          <w:spacing w:val="66"/>
        </w:rPr>
      </w:r>
      <w:r>
        <w:rPr>
          <w:spacing w:val="-4"/>
          <w:w w:val="101"/>
        </w:rPr>
        <w:t>在取得日与合并方与被合并方处于同一最终控制之日孰晚日与合并日之间已确认有关损益、其他综合收益和其他所有者权益</w:t>
      </w:r>
      <w:r>
        <w:rPr>
          <w:w w:val="101"/>
        </w:rPr>
        <w:t> </w:t>
      </w:r>
      <w:r>
        <w:rPr>
          <w:spacing w:val="-3"/>
        </w:rPr>
        <w:t>变动，应分别冲减比较报表期间的期初留存收益或当期损益。</w:t>
      </w:r>
    </w:p>
    <w:p>
      <w:pPr>
        <w:pStyle w:val="BodyText"/>
        <w:spacing w:line="432" w:lineRule="exact" w:before="1"/>
        <w:ind w:left="513" w:right="855"/>
        <w:jc w:val="left"/>
      </w:pPr>
      <w:r>
        <w:rPr>
          <w:rFonts w:ascii="Times New Roman" w:hAnsi="Times New Roman" w:cs="Times New Roman" w:eastAsia="Times New Roman" w:hint="default"/>
          <w:spacing w:val="-3"/>
        </w:rPr>
        <w:t>2</w:t>
      </w:r>
      <w:r>
        <w:rPr>
          <w:spacing w:val="-3"/>
        </w:rPr>
        <w:t>）分步实现非同一控制下企业合并</w:t>
      </w:r>
      <w:r>
        <w:rPr>
          <w:spacing w:val="-40"/>
        </w:rPr>
        <w:t> </w:t>
      </w:r>
      <w:r>
        <w:rPr>
          <w:spacing w:val="-40"/>
        </w:rPr>
      </w:r>
      <w:r>
        <w:rPr>
          <w:spacing w:val="-5"/>
        </w:rPr>
        <w:t>企业通过多次交易分步实现非同一控制下企业合并且不属于一揽子交易的，在编制个别财务报表时，应当按照原持有的</w:t>
      </w:r>
    </w:p>
    <w:p>
      <w:pPr>
        <w:pStyle w:val="BodyText"/>
        <w:spacing w:line="319" w:lineRule="auto" w:before="15"/>
        <w:ind w:right="1122"/>
        <w:jc w:val="both"/>
      </w:pPr>
      <w:r>
        <w:rPr>
          <w:spacing w:val="-4"/>
        </w:rPr>
        <w:t>股权投资的账面价值加上新增投资成本之和，作为改按成本法核算的初始投资成本。购买日之前持有的股权投资，采用金融</w:t>
      </w:r>
      <w:r>
        <w:rPr>
          <w:spacing w:val="44"/>
        </w:rPr>
        <w:t> </w:t>
      </w:r>
      <w:r>
        <w:rPr>
          <w:spacing w:val="44"/>
        </w:rPr>
      </w:r>
      <w:r>
        <w:rPr>
          <w:spacing w:val="-4"/>
        </w:rPr>
        <w:t>工具确认和计量准则进行会计处理的，应当将按照该准则确定的股权投资的公允价值加上新增投资成本之和，作为改按成本</w:t>
      </w:r>
      <w:r>
        <w:rPr>
          <w:spacing w:val="44"/>
        </w:rPr>
        <w:t> </w:t>
      </w:r>
      <w:r>
        <w:rPr>
          <w:spacing w:val="44"/>
        </w:rPr>
      </w:r>
      <w:r>
        <w:rPr>
          <w:spacing w:val="-4"/>
          <w:w w:val="101"/>
        </w:rPr>
        <w:t>法核算的初始投资成本，原持有股权的公允价值与账面价值之间的差额以及原计入其他综合收益的累计公允价值变动应当全</w:t>
      </w:r>
      <w:r>
        <w:rPr>
          <w:w w:val="101"/>
        </w:rPr>
        <w:t> </w:t>
      </w:r>
      <w:r>
        <w:rPr>
          <w:spacing w:val="-3"/>
        </w:rPr>
        <w:t>部转入改按成本法核算的当期投资收益。</w:t>
      </w:r>
    </w:p>
    <w:p>
      <w:pPr>
        <w:pStyle w:val="BodyText"/>
        <w:spacing w:line="319" w:lineRule="auto" w:before="137"/>
        <w:ind w:right="1124" w:firstLine="360"/>
        <w:jc w:val="both"/>
      </w:pPr>
      <w:r>
        <w:rPr>
          <w:spacing w:val="-4"/>
        </w:rPr>
        <w:t>编制合并报表时，购买日之前持有的被购买方的股权，应当按照该股权在购买日的公允价值进行重新计量，公允价值与</w:t>
      </w:r>
      <w:r>
        <w:rPr>
          <w:w w:val="101"/>
        </w:rPr>
        <w:t> </w:t>
      </w:r>
      <w:r>
        <w:rPr>
          <w:spacing w:val="-4"/>
        </w:rPr>
        <w:t>其账面价值的差额计人当期投资收益；购买日之前持有的被购买方的股权涉及权益法核算下的其他综合收益、其他所有者权</w:t>
      </w:r>
      <w:r>
        <w:rPr>
          <w:spacing w:val="44"/>
        </w:rPr>
        <w:t> </w:t>
      </w:r>
      <w:r>
        <w:rPr>
          <w:spacing w:val="44"/>
        </w:rPr>
      </w:r>
      <w:r>
        <w:rPr>
          <w:spacing w:val="-4"/>
        </w:rPr>
        <w:t>益变动的，应当转为购买日所属当期收益，由于被投资方重新计量设定受益计划净负债或净资产变动而产生的其他综合收益</w:t>
      </w:r>
      <w:r>
        <w:rPr>
          <w:spacing w:val="38"/>
        </w:rPr>
        <w:t> </w:t>
      </w:r>
      <w:r>
        <w:rPr>
          <w:spacing w:val="38"/>
        </w:rPr>
      </w:r>
      <w:r>
        <w:rPr/>
        <w:t>除外。</w:t>
      </w:r>
    </w:p>
    <w:p>
      <w:pPr>
        <w:spacing w:line="240" w:lineRule="auto" w:before="6"/>
        <w:rPr>
          <w:rFonts w:ascii="宋体" w:hAnsi="宋体" w:cs="宋体" w:eastAsia="宋体" w:hint="default"/>
          <w:sz w:val="22"/>
          <w:szCs w:val="22"/>
        </w:rPr>
      </w:pPr>
    </w:p>
    <w:p>
      <w:pPr>
        <w:pStyle w:val="Heading4"/>
        <w:spacing w:line="240" w:lineRule="auto"/>
        <w:ind w:right="0"/>
        <w:jc w:val="both"/>
        <w:rPr>
          <w:b w:val="0"/>
          <w:bCs w:val="0"/>
        </w:rPr>
      </w:pPr>
      <w:r>
        <w:rPr>
          <w:rFonts w:ascii="Times New Roman" w:hAnsi="Times New Roman" w:cs="Times New Roman" w:eastAsia="Times New Roman" w:hint="default"/>
        </w:rPr>
        <w:t>6</w:t>
      </w:r>
      <w:r>
        <w:rPr/>
        <w:t>、合并财务报表的编制方法</w:t>
      </w:r>
      <w:r>
        <w:rPr>
          <w:b w:val="0"/>
          <w:bCs w:val="0"/>
        </w:rPr>
      </w:r>
    </w:p>
    <w:p>
      <w:pPr>
        <w:spacing w:line="240" w:lineRule="auto" w:before="5"/>
        <w:rPr>
          <w:rFonts w:ascii="宋体" w:hAnsi="宋体" w:cs="宋体" w:eastAsia="宋体" w:hint="default"/>
          <w:b/>
          <w:bCs/>
          <w:sz w:val="26"/>
          <w:szCs w:val="26"/>
        </w:rPr>
      </w:pPr>
    </w:p>
    <w:p>
      <w:pPr>
        <w:pStyle w:val="BodyText"/>
        <w:spacing w:line="300" w:lineRule="auto"/>
        <w:ind w:left="513" w:right="855"/>
        <w:jc w:val="left"/>
      </w:pPr>
      <w:r>
        <w:rPr/>
        <w:t>（</w:t>
      </w:r>
      <w:r>
        <w:rPr>
          <w:rFonts w:ascii="Times New Roman" w:hAnsi="Times New Roman" w:cs="Times New Roman" w:eastAsia="Times New Roman" w:hint="default"/>
        </w:rPr>
        <w:t>1</w:t>
      </w:r>
      <w:r>
        <w:rPr/>
        <w:t>）合并范围</w:t>
      </w:r>
      <w:r>
        <w:rPr>
          <w:spacing w:val="-85"/>
        </w:rPr>
        <w:t> </w:t>
      </w:r>
      <w:r>
        <w:rPr>
          <w:spacing w:val="-85"/>
        </w:rPr>
      </w:r>
      <w:r>
        <w:rPr>
          <w:spacing w:val="-4"/>
        </w:rPr>
        <w:t>合并财务报表的合并范围以控制为基础予以确定，包括本公司及全部子公司截至</w:t>
      </w: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31</w:t>
      </w:r>
      <w:r>
        <w:rPr>
          <w:spacing w:val="-4"/>
        </w:rPr>
        <w:t>日止的年度财务报表。子</w:t>
      </w:r>
    </w:p>
    <w:p>
      <w:pPr>
        <w:pStyle w:val="BodyText"/>
        <w:spacing w:line="316" w:lineRule="auto" w:before="13"/>
        <w:ind w:right="1124"/>
        <w:jc w:val="both"/>
      </w:pPr>
      <w:r>
        <w:rPr>
          <w:spacing w:val="-4"/>
        </w:rPr>
        <w:t>公司，是指被本公司控制的主体（含企业、被投资单位中可分割的部分，以及本公司所控制的结构化主体等）。控制，是指</w:t>
      </w:r>
      <w:r>
        <w:rPr>
          <w:spacing w:val="40"/>
        </w:rPr>
        <w:t> </w:t>
      </w:r>
      <w:r>
        <w:rPr>
          <w:spacing w:val="40"/>
        </w:rPr>
      </w:r>
      <w:r>
        <w:rPr>
          <w:spacing w:val="-4"/>
        </w:rPr>
        <w:t>投资方拥有对被投资方的权力，通过参与被投资方的相关活动而享有可变回报，并且有能力运用对被投资方的权力影响其回</w:t>
      </w:r>
      <w:r>
        <w:rPr>
          <w:spacing w:val="42"/>
        </w:rPr>
        <w:t> </w:t>
      </w:r>
      <w:r>
        <w:rPr>
          <w:spacing w:val="42"/>
        </w:rPr>
      </w:r>
      <w:r>
        <w:rPr/>
        <w:t>报金额。</w:t>
      </w:r>
    </w:p>
    <w:p>
      <w:pPr>
        <w:pStyle w:val="BodyText"/>
        <w:spacing w:line="300" w:lineRule="auto" w:before="19"/>
        <w:ind w:left="513" w:right="2115"/>
        <w:jc w:val="left"/>
      </w:pPr>
      <w:r>
        <w:rPr/>
        <w:t>（</w:t>
      </w:r>
      <w:r>
        <w:rPr>
          <w:rFonts w:ascii="Times New Roman" w:hAnsi="Times New Roman" w:cs="Times New Roman" w:eastAsia="Times New Roman" w:hint="default"/>
        </w:rPr>
        <w:t>2</w:t>
      </w:r>
      <w:r>
        <w:rPr/>
        <w:t>）合并财务报表编制方法</w:t>
      </w:r>
      <w:r>
        <w:rPr>
          <w:spacing w:val="-85"/>
        </w:rPr>
        <w:t> </w:t>
      </w:r>
      <w:r>
        <w:rPr>
          <w:spacing w:val="-85"/>
        </w:rPr>
      </w:r>
      <w:r>
        <w:rPr>
          <w:spacing w:val="-3"/>
        </w:rPr>
        <w:t>本公司以自身和其子公司的财务报表为基础，根据其他有关资料，编制合并财务报表。</w:t>
      </w:r>
    </w:p>
    <w:p>
      <w:pPr>
        <w:pStyle w:val="BodyText"/>
        <w:spacing w:line="316" w:lineRule="auto" w:before="31"/>
        <w:ind w:right="1124" w:firstLine="360"/>
        <w:jc w:val="both"/>
      </w:pPr>
      <w:r>
        <w:rPr>
          <w:spacing w:val="-5"/>
        </w:rPr>
        <w:t>本公司编制合并财务报表，将整个企业集团视为一个会计主体，依据相关企业会计准则的确认、计量和列报要求，按照</w:t>
      </w:r>
      <w:r>
        <w:rPr>
          <w:w w:val="101"/>
        </w:rPr>
        <w:t> </w:t>
      </w:r>
      <w:r>
        <w:rPr>
          <w:spacing w:val="-3"/>
        </w:rPr>
        <w:t>统一的会计政策，反映企业集团整体财务状况、经营成果和现金流量。</w:t>
      </w:r>
    </w:p>
    <w:p>
      <w:pPr>
        <w:pStyle w:val="BodyText"/>
        <w:spacing w:line="319" w:lineRule="auto" w:before="19"/>
        <w:ind w:right="1124" w:firstLine="360"/>
        <w:jc w:val="both"/>
      </w:pPr>
      <w:r>
        <w:rPr>
          <w:spacing w:val="-4"/>
        </w:rPr>
        <w:t>在编制合并财务报表时，子公司与本公司采用的会计政策或会计期间不一致的，按照本公司的会计政策和会计期间对子</w:t>
      </w:r>
      <w:r>
        <w:rPr>
          <w:w w:val="101"/>
        </w:rPr>
        <w:t> </w:t>
      </w:r>
      <w:r>
        <w:rPr>
          <w:spacing w:val="-4"/>
        </w:rPr>
        <w:t>公司财务报表进行必要的调整。对于非同一控制下企业合并取得的子公司，以购买日可辨认净资产公允价值为基础对其财务</w:t>
      </w:r>
      <w:r>
        <w:rPr>
          <w:spacing w:val="42"/>
        </w:rPr>
        <w:t> </w:t>
      </w:r>
      <w:r>
        <w:rPr>
          <w:spacing w:val="42"/>
        </w:rPr>
      </w:r>
      <w:r>
        <w:rPr>
          <w:spacing w:val="-3"/>
        </w:rPr>
        <w:t>报表进行调整。</w:t>
      </w:r>
    </w:p>
    <w:p>
      <w:pPr>
        <w:pStyle w:val="BodyText"/>
        <w:spacing w:line="300" w:lineRule="auto" w:before="17"/>
        <w:ind w:left="513" w:right="855"/>
        <w:jc w:val="left"/>
      </w:pPr>
      <w:r>
        <w:rPr/>
        <w:t>（</w:t>
      </w:r>
      <w:r>
        <w:rPr>
          <w:rFonts w:ascii="Times New Roman" w:hAnsi="Times New Roman" w:cs="Times New Roman" w:eastAsia="Times New Roman" w:hint="default"/>
        </w:rPr>
        <w:t>3</w:t>
      </w:r>
      <w:r>
        <w:rPr/>
        <w:t>）少数股东权益和损益的列报</w:t>
      </w:r>
      <w:r>
        <w:rPr>
          <w:spacing w:val="-86"/>
        </w:rPr>
        <w:t> </w:t>
      </w:r>
      <w:r>
        <w:rPr>
          <w:spacing w:val="-86"/>
        </w:rPr>
      </w:r>
      <w:r>
        <w:rPr>
          <w:spacing w:val="-3"/>
        </w:rPr>
        <w:t>子公司所有者权益中不属于母公司的份额，作为少数股东权益，在合并资产负债表中所有者权益项目下以</w:t>
      </w:r>
      <w:r>
        <w:rPr>
          <w:rFonts w:ascii="Times New Roman" w:hAnsi="Times New Roman" w:cs="Times New Roman" w:eastAsia="Times New Roman" w:hint="default"/>
          <w:spacing w:val="-3"/>
        </w:rPr>
        <w:t>“</w:t>
      </w:r>
      <w:r>
        <w:rPr>
          <w:spacing w:val="-3"/>
        </w:rPr>
        <w:t>少数股东权</w:t>
      </w:r>
    </w:p>
    <w:p>
      <w:pPr>
        <w:pStyle w:val="BodyText"/>
        <w:spacing w:line="240" w:lineRule="auto" w:before="13"/>
        <w:ind w:right="0"/>
        <w:jc w:val="both"/>
      </w:pPr>
      <w:r>
        <w:rPr/>
        <w:t>益</w:t>
      </w:r>
      <w:r>
        <w:rPr>
          <w:rFonts w:ascii="Times New Roman" w:hAnsi="Times New Roman" w:cs="Times New Roman" w:eastAsia="Times New Roman" w:hint="default"/>
        </w:rPr>
        <w:t>”</w:t>
      </w:r>
      <w:r>
        <w:rPr/>
        <w:t>项目列示。</w:t>
      </w:r>
    </w:p>
    <w:p>
      <w:pPr>
        <w:pStyle w:val="BodyText"/>
        <w:spacing w:line="240" w:lineRule="auto" w:before="63"/>
        <w:ind w:left="513" w:right="855"/>
        <w:jc w:val="left"/>
      </w:pPr>
      <w:r>
        <w:rPr>
          <w:spacing w:val="-3"/>
        </w:rPr>
        <w:t>子公司当期净损益中属于少数股东权益的份额，在合并利润表中净利润项目下以</w:t>
      </w:r>
      <w:r>
        <w:rPr>
          <w:rFonts w:ascii="Times New Roman" w:hAnsi="Times New Roman" w:cs="Times New Roman" w:eastAsia="Times New Roman" w:hint="default"/>
          <w:spacing w:val="-3"/>
        </w:rPr>
        <w:t>“</w:t>
      </w:r>
      <w:r>
        <w:rPr>
          <w:spacing w:val="-3"/>
        </w:rPr>
        <w:t>少数股东损益</w:t>
      </w:r>
      <w:r>
        <w:rPr>
          <w:rFonts w:ascii="Times New Roman" w:hAnsi="Times New Roman" w:cs="Times New Roman" w:eastAsia="Times New Roman" w:hint="default"/>
          <w:spacing w:val="-3"/>
        </w:rPr>
        <w:t>”</w:t>
      </w:r>
      <w:r>
        <w:rPr>
          <w:spacing w:val="-3"/>
        </w:rPr>
        <w:t>项目列示。</w:t>
      </w:r>
    </w:p>
    <w:p>
      <w:pPr>
        <w:pStyle w:val="BodyText"/>
        <w:spacing w:line="300" w:lineRule="auto" w:before="63"/>
        <w:ind w:left="513" w:right="855"/>
        <w:jc w:val="left"/>
      </w:pPr>
      <w:r>
        <w:rPr/>
        <w:t>（</w:t>
      </w:r>
      <w:r>
        <w:rPr>
          <w:rFonts w:ascii="Times New Roman" w:hAnsi="Times New Roman" w:cs="Times New Roman" w:eastAsia="Times New Roman" w:hint="default"/>
        </w:rPr>
        <w:t>4</w:t>
      </w:r>
      <w:r>
        <w:rPr/>
        <w:t>）超额亏损的处理</w:t>
      </w:r>
      <w:r>
        <w:rPr>
          <w:spacing w:val="-88"/>
        </w:rPr>
        <w:t> </w:t>
      </w:r>
      <w:r>
        <w:rPr>
          <w:spacing w:val="-88"/>
        </w:rPr>
      </w:r>
      <w:r>
        <w:rPr>
          <w:spacing w:val="-4"/>
        </w:rPr>
        <w:t>在合并财务报表中，子公司少数股东分担的当期亏损超过了少数股东在该子公司期初所有者权益中所享有的份额的，其</w:t>
      </w:r>
    </w:p>
    <w:p>
      <w:pPr>
        <w:pStyle w:val="BodyText"/>
        <w:spacing w:line="240" w:lineRule="auto" w:before="31"/>
        <w:ind w:right="0"/>
        <w:jc w:val="both"/>
      </w:pPr>
      <w:r>
        <w:rPr>
          <w:spacing w:val="-3"/>
        </w:rPr>
        <w:t>余额仍冲减少数股东权益。</w:t>
      </w:r>
    </w:p>
    <w:p>
      <w:pPr>
        <w:pStyle w:val="BodyText"/>
        <w:spacing w:line="300" w:lineRule="auto" w:before="76"/>
        <w:ind w:left="513" w:right="855"/>
        <w:jc w:val="left"/>
      </w:pPr>
      <w:r>
        <w:rPr>
          <w:spacing w:val="-3"/>
        </w:rPr>
        <w:t>（</w:t>
      </w:r>
      <w:r>
        <w:rPr>
          <w:rFonts w:ascii="Times New Roman" w:hAnsi="Times New Roman" w:cs="Times New Roman" w:eastAsia="Times New Roman" w:hint="default"/>
          <w:spacing w:val="-3"/>
        </w:rPr>
        <w:t>5</w:t>
      </w:r>
      <w:r>
        <w:rPr>
          <w:spacing w:val="-3"/>
        </w:rPr>
        <w:t>）当期增加减少子公司的合并报表处理</w:t>
      </w:r>
      <w:r>
        <w:rPr>
          <w:spacing w:val="-29"/>
        </w:rPr>
        <w:t> </w:t>
      </w:r>
      <w:r>
        <w:rPr>
          <w:spacing w:val="-29"/>
        </w:rPr>
      </w:r>
      <w:r>
        <w:rPr>
          <w:spacing w:val="-4"/>
        </w:rPr>
        <w:t>在报告期内，因同一控制下企业合并增加的子公司，编制合并资产负债表时，调整合并资产负债表的年初余额。因非同</w:t>
      </w:r>
    </w:p>
    <w:p>
      <w:pPr>
        <w:pStyle w:val="BodyText"/>
        <w:spacing w:line="316" w:lineRule="auto" w:before="32"/>
        <w:ind w:right="1123"/>
        <w:jc w:val="both"/>
      </w:pPr>
      <w:r>
        <w:rPr>
          <w:spacing w:val="-4"/>
        </w:rPr>
        <w:t>一控制下企业合并增加的子公司，编制合并资产负债表时，不调整合并资产负债表的年初余额。在报告期内处置子公司，编</w:t>
      </w:r>
      <w:r>
        <w:rPr>
          <w:spacing w:val="40"/>
        </w:rPr>
        <w:t> </w:t>
      </w:r>
      <w:r>
        <w:rPr>
          <w:spacing w:val="40"/>
        </w:rPr>
      </w:r>
      <w:r>
        <w:rPr>
          <w:spacing w:val="-3"/>
        </w:rPr>
        <w:t>制合并资产负债表时，不调整合并资产负债表的年初余额。</w:t>
      </w:r>
    </w:p>
    <w:p>
      <w:pPr>
        <w:pStyle w:val="BodyText"/>
        <w:spacing w:line="316" w:lineRule="auto" w:before="19"/>
        <w:ind w:right="1037" w:firstLine="360"/>
        <w:jc w:val="both"/>
      </w:pPr>
      <w:r>
        <w:rPr>
          <w:spacing w:val="-5"/>
        </w:rPr>
        <w:t>在报告期内，因同一控制下企业合并增加的子公司，将该子公司在合并当期的期初至报告期末的收入、费用、利润纳入</w:t>
      </w:r>
      <w:r>
        <w:rPr>
          <w:w w:val="101"/>
        </w:rPr>
        <w:t> </w:t>
      </w:r>
      <w:r>
        <w:rPr>
          <w:spacing w:val="-6"/>
          <w:w w:val="101"/>
        </w:rPr>
        <w:t>合并利润表，将该子公司合并当期期初至报告期末的现金流量纳入合并现金流量表。因非同一控制下企业合并增加的子公司，</w:t>
      </w:r>
      <w:r>
        <w:rPr>
          <w:spacing w:val="-6"/>
        </w:rPr>
      </w:r>
    </w:p>
    <w:p>
      <w:pPr>
        <w:spacing w:after="0" w:line="316" w:lineRule="auto"/>
        <w:jc w:val="both"/>
        <w:sectPr>
          <w:pgSz w:w="11910" w:h="16840"/>
          <w:pgMar w:header="746" w:footer="974" w:top="1060" w:bottom="1160" w:left="980" w:right="0"/>
        </w:sectPr>
      </w:pPr>
    </w:p>
    <w:p>
      <w:pPr>
        <w:spacing w:line="240" w:lineRule="auto" w:before="9"/>
        <w:rPr>
          <w:rFonts w:ascii="宋体" w:hAnsi="宋体" w:cs="宋体" w:eastAsia="宋体" w:hint="default"/>
          <w:sz w:val="25"/>
          <w:szCs w:val="25"/>
        </w:rPr>
      </w:pPr>
    </w:p>
    <w:p>
      <w:pPr>
        <w:pStyle w:val="BodyText"/>
        <w:spacing w:line="316" w:lineRule="auto" w:before="46"/>
        <w:ind w:right="1123"/>
        <w:jc w:val="both"/>
      </w:pPr>
      <w:r>
        <w:rPr>
          <w:spacing w:val="-4"/>
        </w:rPr>
        <w:t>将该子公司自购买日至报告期末的收入、费用、利润纳入合并利润表，将该子公司购买日至报告期末的现金流量纳入合并现</w:t>
      </w:r>
      <w:r>
        <w:rPr>
          <w:spacing w:val="43"/>
        </w:rPr>
        <w:t> </w:t>
      </w:r>
      <w:r>
        <w:rPr>
          <w:spacing w:val="43"/>
        </w:rPr>
      </w:r>
      <w:r>
        <w:rPr>
          <w:spacing w:val="-4"/>
        </w:rPr>
        <w:t>金流量表。在报告期内处置子公司，将该子公司期初至处置日的收入、费用、利润纳入合并利润表，将该子公司期初至处置</w:t>
      </w:r>
      <w:r>
        <w:rPr>
          <w:spacing w:val="40"/>
        </w:rPr>
        <w:t> </w:t>
      </w:r>
      <w:r>
        <w:rPr>
          <w:spacing w:val="40"/>
        </w:rPr>
      </w:r>
      <w:r>
        <w:rPr>
          <w:spacing w:val="-3"/>
        </w:rPr>
        <w:t>日的现金流量纳入合并现金流量表。</w:t>
      </w:r>
    </w:p>
    <w:p>
      <w:pPr>
        <w:pStyle w:val="BodyText"/>
        <w:spacing w:line="316" w:lineRule="auto" w:before="19"/>
        <w:ind w:right="855" w:firstLine="360"/>
        <w:jc w:val="left"/>
      </w:pPr>
      <w:r>
        <w:rPr>
          <w:spacing w:val="-5"/>
        </w:rPr>
        <w:t>因处置部分股权投资或其他原因丧失了对原有子公司控制权时，对于处置后的剩余股权投资，按照其在丧失控制权日的</w:t>
      </w:r>
      <w:r>
        <w:rPr>
          <w:w w:val="101"/>
        </w:rPr>
        <w:t> </w:t>
      </w:r>
      <w:r>
        <w:rPr>
          <w:spacing w:val="-4"/>
        </w:rPr>
        <w:t>公允价值进行重新计量。处置股权取得的对价与剩余股权公允价值之和，减去按原持股比例计算应享有原有子公司自购买日</w:t>
      </w:r>
      <w:r>
        <w:rPr>
          <w:spacing w:val="44"/>
        </w:rPr>
        <w:t> </w:t>
      </w:r>
      <w:r>
        <w:rPr>
          <w:spacing w:val="44"/>
        </w:rPr>
      </w:r>
      <w:r>
        <w:rPr>
          <w:spacing w:val="-3"/>
        </w:rPr>
        <w:t>开始持续计算的净资产的份额之间的差额，计入丧失控制权当期的投资收益。与原有子公司股权投资相关的其他综合收益，</w:t>
      </w:r>
      <w:r>
        <w:rPr>
          <w:spacing w:val="66"/>
        </w:rPr>
        <w:t> </w:t>
      </w:r>
      <w:r>
        <w:rPr>
          <w:spacing w:val="66"/>
        </w:rPr>
      </w:r>
      <w:r>
        <w:rPr>
          <w:spacing w:val="-3"/>
        </w:rPr>
        <w:t>在丧失控制权时转为当期投资收益。</w:t>
      </w:r>
    </w:p>
    <w:p>
      <w:pPr>
        <w:pStyle w:val="BodyText"/>
        <w:spacing w:line="319" w:lineRule="auto" w:before="19"/>
        <w:ind w:right="1114" w:firstLine="360"/>
        <w:jc w:val="left"/>
      </w:pPr>
      <w:r>
        <w:rPr>
          <w:spacing w:val="-4"/>
          <w:w w:val="101"/>
        </w:rPr>
        <w:t>因购买少数股权新取得的长期股权投资与按照新增持股比例计算应享有子公司的可辨认净资产份额之间的差额，以及在</w:t>
      </w:r>
      <w:r>
        <w:rPr>
          <w:w w:val="101"/>
        </w:rPr>
        <w:t> </w:t>
      </w:r>
      <w:r>
        <w:rPr>
          <w:spacing w:val="-3"/>
        </w:rPr>
        <w:t>不丧失控制权的情况下因部分处置对子公司的股权投资而取得的处置价款与处置长期股权投资相对应享有子公司净资产份</w:t>
      </w:r>
      <w:r>
        <w:rPr>
          <w:spacing w:val="66"/>
        </w:rPr>
        <w:t> </w:t>
      </w:r>
      <w:r>
        <w:rPr>
          <w:spacing w:val="66"/>
        </w:rPr>
      </w:r>
      <w:r>
        <w:rPr>
          <w:spacing w:val="-3"/>
        </w:rPr>
        <w:t>额的差额，均调整合并资产负债表中的资本公积中的股本溢价，资本公积中的股本溢价不足冲减的，调整留存收益。</w:t>
      </w:r>
    </w:p>
    <w:p>
      <w:pPr>
        <w:pStyle w:val="BodyText"/>
        <w:spacing w:line="300" w:lineRule="auto" w:before="17"/>
        <w:ind w:left="513" w:right="855"/>
        <w:jc w:val="left"/>
      </w:pPr>
      <w:r>
        <w:rPr>
          <w:spacing w:val="-3"/>
        </w:rPr>
        <w:t>（</w:t>
      </w:r>
      <w:r>
        <w:rPr>
          <w:rFonts w:ascii="Times New Roman" w:hAnsi="Times New Roman" w:cs="Times New Roman" w:eastAsia="Times New Roman" w:hint="default"/>
          <w:spacing w:val="-3"/>
        </w:rPr>
        <w:t>6</w:t>
      </w:r>
      <w:r>
        <w:rPr>
          <w:spacing w:val="-3"/>
        </w:rPr>
        <w:t>）分步处置股权至丧失控制权的合并报表处理</w:t>
      </w:r>
      <w:r>
        <w:rPr>
          <w:spacing w:val="-23"/>
        </w:rPr>
        <w:t> </w:t>
      </w:r>
      <w:r>
        <w:rPr>
          <w:spacing w:val="-23"/>
        </w:rPr>
      </w:r>
      <w:r>
        <w:rPr>
          <w:spacing w:val="-5"/>
          <w:w w:val="101"/>
        </w:rPr>
        <w:t>处置对子公司股权投资直至丧失控制权的各项交易属于一揽子交易的，将各项交易作为一项处置子公司并丧失控制权的</w:t>
      </w:r>
      <w:r>
        <w:rPr>
          <w:spacing w:val="-5"/>
        </w:rPr>
      </w:r>
    </w:p>
    <w:p>
      <w:pPr>
        <w:pStyle w:val="BodyText"/>
        <w:spacing w:line="319" w:lineRule="auto" w:before="31"/>
        <w:ind w:right="1121"/>
        <w:jc w:val="both"/>
      </w:pPr>
      <w:r>
        <w:rPr>
          <w:spacing w:val="-4"/>
        </w:rPr>
        <w:t>交易进行会计处理；但是，在丧失控制权之前每一次处置价款与处置投资对应的享有该子公司净资产份额的差额，在合并财</w:t>
      </w:r>
      <w:r>
        <w:rPr>
          <w:spacing w:val="45"/>
        </w:rPr>
        <w:t> </w:t>
      </w:r>
      <w:r>
        <w:rPr>
          <w:spacing w:val="45"/>
        </w:rPr>
      </w:r>
      <w:r>
        <w:rPr>
          <w:spacing w:val="-4"/>
        </w:rPr>
        <w:t>务报表中确认为其他综合收益，在丧失控制权时一并转入丧失控制权当期的损益。不属于一揽子交易的，在丧失控制权之前</w:t>
      </w:r>
      <w:r>
        <w:rPr>
          <w:spacing w:val="43"/>
        </w:rPr>
        <w:t> </w:t>
      </w:r>
      <w:r>
        <w:rPr>
          <w:spacing w:val="43"/>
        </w:rPr>
      </w:r>
      <w:r>
        <w:rPr>
          <w:spacing w:val="-4"/>
          <w:w w:val="101"/>
        </w:rPr>
        <w:t>与丧失控制权时，按照前述不丧失控制权的情况下部分处置对子公司的股权投资与丧失对原有子公司控制权时的会计政策实</w:t>
      </w:r>
      <w:r>
        <w:rPr>
          <w:w w:val="101"/>
        </w:rPr>
        <w:t> </w:t>
      </w:r>
      <w:r>
        <w:rPr/>
        <w:t>施会计处理。</w:t>
      </w:r>
    </w:p>
    <w:p>
      <w:pPr>
        <w:pStyle w:val="BodyText"/>
        <w:spacing w:line="319" w:lineRule="auto" w:before="17"/>
        <w:ind w:right="1122" w:firstLine="360"/>
        <w:jc w:val="both"/>
      </w:pPr>
      <w:r>
        <w:rPr>
          <w:spacing w:val="-4"/>
        </w:rPr>
        <w:t>处置对子公司股权投资的各项交易的条款、条件以及经济影响符合以下一种或多种情况，表明将多次交易事项作为一揽</w:t>
      </w:r>
      <w:r>
        <w:rPr>
          <w:w w:val="101"/>
        </w:rPr>
        <w:t> </w:t>
      </w:r>
      <w:r>
        <w:rPr>
          <w:spacing w:val="-4"/>
        </w:rPr>
        <w:t>子交易进行会计处理：①这些交易是同时或者在考虑了彼此影响的情况下订立的；②这些交易整体才能达成一项完整的商业</w:t>
      </w:r>
      <w:r>
        <w:rPr>
          <w:spacing w:val="43"/>
        </w:rPr>
        <w:t> </w:t>
      </w:r>
      <w:r>
        <w:rPr>
          <w:spacing w:val="43"/>
        </w:rPr>
      </w:r>
      <w:r>
        <w:rPr>
          <w:spacing w:val="-4"/>
        </w:rPr>
        <w:t>结果；③一项交易的发生取决于其他至少一项交易的发生；④一项交易单独看是不经济的，但是和其他交易一并考虑时是经</w:t>
      </w:r>
      <w:r>
        <w:rPr>
          <w:spacing w:val="44"/>
        </w:rPr>
        <w:t> </w:t>
      </w:r>
      <w:r>
        <w:rPr>
          <w:spacing w:val="44"/>
        </w:rPr>
      </w:r>
      <w:r>
        <w:rPr/>
        <w:t>济的。</w:t>
      </w:r>
    </w:p>
    <w:p>
      <w:pPr>
        <w:pStyle w:val="BodyText"/>
        <w:spacing w:line="240" w:lineRule="auto" w:before="17"/>
        <w:ind w:left="513" w:right="855"/>
        <w:jc w:val="left"/>
      </w:pPr>
      <w:r>
        <w:rPr>
          <w:spacing w:val="-3"/>
        </w:rPr>
        <w:t>个别财务报表分步处置股权至丧失控制权按照处置长期股权投资的会计政策实施会计处理。</w:t>
      </w:r>
    </w:p>
    <w:p>
      <w:pPr>
        <w:spacing w:line="240" w:lineRule="auto" w:before="0"/>
        <w:rPr>
          <w:rFonts w:ascii="宋体" w:hAnsi="宋体" w:cs="宋体" w:eastAsia="宋体" w:hint="default"/>
          <w:sz w:val="18"/>
          <w:szCs w:val="18"/>
        </w:rPr>
      </w:pPr>
    </w:p>
    <w:p>
      <w:pPr>
        <w:pStyle w:val="Heading4"/>
        <w:spacing w:line="240" w:lineRule="auto" w:before="118"/>
        <w:ind w:right="0"/>
        <w:jc w:val="both"/>
        <w:rPr>
          <w:b w:val="0"/>
          <w:bCs w:val="0"/>
        </w:rPr>
      </w:pP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5"/>
        <w:rPr>
          <w:rFonts w:ascii="宋体" w:hAnsi="宋体" w:cs="宋体" w:eastAsia="宋体" w:hint="default"/>
          <w:b/>
          <w:bCs/>
          <w:sz w:val="26"/>
          <w:szCs w:val="26"/>
        </w:rPr>
      </w:pPr>
    </w:p>
    <w:p>
      <w:pPr>
        <w:pStyle w:val="BodyText"/>
        <w:spacing w:line="300" w:lineRule="auto"/>
        <w:ind w:left="513" w:right="855"/>
        <w:jc w:val="left"/>
      </w:pPr>
      <w:r>
        <w:rPr/>
        <w:t>（</w:t>
      </w:r>
      <w:r>
        <w:rPr>
          <w:rFonts w:ascii="Times New Roman" w:hAnsi="Times New Roman" w:cs="Times New Roman" w:eastAsia="Times New Roman" w:hint="default"/>
        </w:rPr>
        <w:t>1</w:t>
      </w:r>
      <w:r>
        <w:rPr/>
        <w:t>）合营安排的分类</w:t>
      </w:r>
      <w:r>
        <w:rPr>
          <w:spacing w:val="-88"/>
        </w:rPr>
        <w:t> </w:t>
      </w:r>
      <w:r>
        <w:rPr>
          <w:spacing w:val="-88"/>
        </w:rPr>
      </w:r>
      <w:r>
        <w:rPr>
          <w:spacing w:val="-4"/>
        </w:rPr>
        <w:t>合营安排，是指一项由两个或两个以上的参与方共同控制的安排。本集团将合营安排分为共同经营和合营企业。共同经</w:t>
      </w:r>
    </w:p>
    <w:p>
      <w:pPr>
        <w:pStyle w:val="BodyText"/>
        <w:spacing w:line="316" w:lineRule="auto" w:before="31"/>
        <w:ind w:right="1124"/>
        <w:jc w:val="both"/>
      </w:pPr>
      <w:r>
        <w:rPr>
          <w:spacing w:val="-4"/>
        </w:rPr>
        <w:t>营，是指合营方享有该安排相关资产且承担该安排相关负债的合营安排。合营企业，是指合营方仅对该安排的净资产享有权</w:t>
      </w:r>
      <w:r>
        <w:rPr>
          <w:spacing w:val="43"/>
        </w:rPr>
        <w:t> </w:t>
      </w:r>
      <w:r>
        <w:rPr>
          <w:spacing w:val="43"/>
        </w:rPr>
      </w:r>
      <w:r>
        <w:rPr>
          <w:spacing w:val="-3"/>
        </w:rPr>
        <w:t>利的合营安排。</w:t>
      </w:r>
    </w:p>
    <w:p>
      <w:pPr>
        <w:pStyle w:val="BodyText"/>
        <w:spacing w:line="319" w:lineRule="auto" w:before="19"/>
        <w:ind w:right="855" w:firstLine="360"/>
        <w:jc w:val="left"/>
      </w:pPr>
      <w:r>
        <w:rPr>
          <w:spacing w:val="-4"/>
        </w:rPr>
        <w:t>未通过单独主体达成的合营安排，划分为共同经营。单独主体，是指具有单独可辨认的财务架构的主体，包括单独的法</w:t>
      </w:r>
      <w:r>
        <w:rPr>
          <w:w w:val="101"/>
        </w:rPr>
        <w:t> </w:t>
      </w:r>
      <w:r>
        <w:rPr>
          <w:spacing w:val="-4"/>
        </w:rPr>
        <w:t>人主体和不具备法人主体资格但法律认可的主体。通过单独主体达成的合营安排，通常划分为合营企业，但有确凿证据表明</w:t>
      </w:r>
      <w:r>
        <w:rPr>
          <w:spacing w:val="43"/>
        </w:rPr>
        <w:t> </w:t>
      </w:r>
      <w:r>
        <w:rPr>
          <w:spacing w:val="43"/>
        </w:rPr>
      </w:r>
      <w:r>
        <w:rPr>
          <w:spacing w:val="-4"/>
        </w:rPr>
        <w:t>满足下列任一条件并且符合相关法律法规规定的合营安排应当划分为共同经营：合营安排的法律形式表明，合营方对该安排</w:t>
      </w:r>
      <w:r>
        <w:rPr>
          <w:spacing w:val="38"/>
        </w:rPr>
        <w:t> </w:t>
      </w:r>
      <w:r>
        <w:rPr>
          <w:spacing w:val="38"/>
        </w:rPr>
      </w:r>
      <w:r>
        <w:rPr>
          <w:spacing w:val="-4"/>
        </w:rPr>
        <w:t>中的相关资产和负债分别享有权利和承担义务；合营安排的合同条款约定，合营方对该安排中的相关资产和负债分别享有权</w:t>
      </w:r>
      <w:r>
        <w:rPr>
          <w:spacing w:val="43"/>
        </w:rPr>
        <w:t> </w:t>
      </w:r>
      <w:r>
        <w:rPr>
          <w:spacing w:val="43"/>
        </w:rPr>
      </w:r>
      <w:r>
        <w:rPr>
          <w:spacing w:val="-4"/>
        </w:rPr>
        <w:t>利和承担义务；其他相关事实和情况表明，合营方对该安排中的相关资产和负债分别享有权利和承担义务，如合营方享有与</w:t>
      </w:r>
      <w:r>
        <w:rPr>
          <w:spacing w:val="43"/>
        </w:rPr>
        <w:t> </w:t>
      </w:r>
      <w:r>
        <w:rPr>
          <w:spacing w:val="43"/>
        </w:rPr>
      </w:r>
      <w:r>
        <w:rPr>
          <w:spacing w:val="-4"/>
        </w:rPr>
        <w:t>合营安排相关的几乎所有产出，并且该安排中负债的清偿持续依赖于合营方的支持。不能仅凭合营方对合营安排提供债务担</w:t>
      </w:r>
      <w:r>
        <w:rPr>
          <w:spacing w:val="43"/>
        </w:rPr>
        <w:t> </w:t>
      </w:r>
      <w:r>
        <w:rPr>
          <w:spacing w:val="43"/>
        </w:rPr>
      </w:r>
      <w:r>
        <w:rPr>
          <w:spacing w:val="-6"/>
          <w:w w:val="101"/>
        </w:rPr>
        <w:t>保即将其视为合营方承担该安排相关负债。合营方承担向合营安排支付认缴出资义务的，不视为合营方承担该安排相关负债。</w:t>
      </w:r>
      <w:r>
        <w:rPr>
          <w:spacing w:val="-71"/>
          <w:w w:val="101"/>
        </w:rPr>
        <w:t> </w:t>
      </w:r>
      <w:r>
        <w:rPr>
          <w:spacing w:val="-71"/>
          <w:w w:val="101"/>
        </w:rPr>
      </w:r>
      <w:r>
        <w:rPr>
          <w:spacing w:val="-3"/>
        </w:rPr>
        <w:t>相关事实和情况变化导致合营方在合营安排中享有的权利和承担的义务发生变化的，本集团对合营安排的分类进行重新评</w:t>
      </w:r>
      <w:r>
        <w:rPr>
          <w:spacing w:val="66"/>
        </w:rPr>
        <w:t> </w:t>
      </w:r>
      <w:r>
        <w:rPr>
          <w:spacing w:val="66"/>
        </w:rPr>
      </w:r>
      <w:r>
        <w:rPr>
          <w:spacing w:val="-3"/>
        </w:rPr>
        <w:t>估。对于为完成不同活动而设立多项合营安排的一个框架性协议，本集团分别确定各项合营安排的分类。</w:t>
      </w:r>
    </w:p>
    <w:p>
      <w:pPr>
        <w:pStyle w:val="BodyText"/>
        <w:spacing w:line="300" w:lineRule="auto" w:before="17"/>
        <w:ind w:left="513" w:right="855"/>
        <w:jc w:val="left"/>
      </w:pPr>
      <w:r>
        <w:rPr>
          <w:spacing w:val="-3"/>
        </w:rPr>
        <w:t>（</w:t>
      </w:r>
      <w:r>
        <w:rPr>
          <w:rFonts w:ascii="Times New Roman" w:hAnsi="Times New Roman" w:cs="Times New Roman" w:eastAsia="Times New Roman" w:hint="default"/>
          <w:spacing w:val="-3"/>
        </w:rPr>
        <w:t>2</w:t>
      </w:r>
      <w:r>
        <w:rPr>
          <w:spacing w:val="-3"/>
        </w:rPr>
        <w:t>）共同经营的会计处理方法</w:t>
      </w:r>
      <w:r>
        <w:rPr>
          <w:spacing w:val="-46"/>
        </w:rPr>
        <w:t> </w:t>
      </w:r>
      <w:r>
        <w:rPr>
          <w:spacing w:val="-46"/>
        </w:rPr>
      </w:r>
      <w:r>
        <w:rPr>
          <w:spacing w:val="-4"/>
        </w:rPr>
        <w:t>本集团确认其与共同经营中利益份额相关的下列项目，并按照相关企业会计准则的规定进行会计处理：确认单独所持有</w:t>
      </w:r>
    </w:p>
    <w:p>
      <w:pPr>
        <w:pStyle w:val="BodyText"/>
        <w:spacing w:line="319" w:lineRule="auto" w:before="31"/>
        <w:ind w:right="1124"/>
        <w:jc w:val="both"/>
      </w:pPr>
      <w:r>
        <w:rPr>
          <w:spacing w:val="-4"/>
        </w:rPr>
        <w:t>的资产，以及按其份额确认共同持有的资产；确认单独所承担的负债，以及按其份额确认共同承担的负债；确认出售其享有</w:t>
      </w:r>
      <w:r>
        <w:rPr>
          <w:spacing w:val="39"/>
        </w:rPr>
        <w:t> </w:t>
      </w:r>
      <w:r>
        <w:rPr>
          <w:spacing w:val="39"/>
        </w:rPr>
      </w:r>
      <w:r>
        <w:rPr>
          <w:spacing w:val="-4"/>
        </w:rPr>
        <w:t>的共同经营产出份额所产生的收入；按其份额确认共同经营因出售产出所产生的收入；确认单独所发生的费用，以及按其份</w:t>
      </w:r>
      <w:r>
        <w:rPr>
          <w:spacing w:val="43"/>
        </w:rPr>
        <w:t> </w:t>
      </w:r>
      <w:r>
        <w:rPr>
          <w:spacing w:val="43"/>
        </w:rPr>
      </w:r>
      <w:r>
        <w:rPr>
          <w:spacing w:val="-3"/>
        </w:rPr>
        <w:t>额确认共同经营发生的费用。</w:t>
      </w:r>
    </w:p>
    <w:p>
      <w:pPr>
        <w:pStyle w:val="BodyText"/>
        <w:spacing w:line="316" w:lineRule="auto" w:before="17"/>
        <w:ind w:right="855" w:firstLine="360"/>
        <w:jc w:val="left"/>
      </w:pPr>
      <w:r>
        <w:rPr>
          <w:spacing w:val="-5"/>
        </w:rPr>
        <w:t>本集团向共同经营投出或出售资产等（该资产构成业务的除外），在该资产等由共同经营出售给第三方之前，仅确认因</w:t>
      </w:r>
      <w:r>
        <w:rPr>
          <w:w w:val="101"/>
        </w:rPr>
        <w:t> </w:t>
      </w:r>
      <w:r>
        <w:rPr>
          <w:spacing w:val="-3"/>
        </w:rPr>
        <w:t>该交易产生的损益中归属于共同经营其他参与方的部分。投出或出售的资产发生符合《企业会计准则第</w:t>
      </w:r>
      <w:r>
        <w:rPr>
          <w:rFonts w:ascii="Times New Roman" w:hAnsi="Times New Roman" w:cs="Times New Roman" w:eastAsia="Times New Roman" w:hint="default"/>
          <w:spacing w:val="-3"/>
        </w:rPr>
        <w:t>8</w:t>
      </w:r>
      <w:r>
        <w:rPr>
          <w:spacing w:val="-3"/>
        </w:rPr>
        <w:t>号</w:t>
      </w:r>
      <w:r>
        <w:rPr>
          <w:rFonts w:ascii="Times New Roman" w:hAnsi="Times New Roman" w:cs="Times New Roman" w:eastAsia="Times New Roman" w:hint="default"/>
          <w:spacing w:val="-3"/>
        </w:rPr>
        <w:t>——</w:t>
      </w:r>
      <w:r>
        <w:rPr>
          <w:spacing w:val="-3"/>
        </w:rPr>
        <w:t>资产减值》</w:t>
      </w:r>
    </w:p>
    <w:p>
      <w:pPr>
        <w:spacing w:after="0" w:line="316" w:lineRule="auto"/>
        <w:jc w:val="left"/>
        <w:sectPr>
          <w:pgSz w:w="11910" w:h="16840"/>
          <w:pgMar w:header="746" w:footer="974" w:top="1060" w:bottom="1160" w:left="980" w:right="0"/>
        </w:sectPr>
      </w:pPr>
    </w:p>
    <w:p>
      <w:pPr>
        <w:spacing w:line="240" w:lineRule="auto" w:before="9"/>
        <w:rPr>
          <w:rFonts w:ascii="宋体" w:hAnsi="宋体" w:cs="宋体" w:eastAsia="宋体" w:hint="default"/>
          <w:sz w:val="25"/>
          <w:szCs w:val="25"/>
        </w:rPr>
      </w:pPr>
    </w:p>
    <w:p>
      <w:pPr>
        <w:pStyle w:val="BodyText"/>
        <w:spacing w:line="316" w:lineRule="auto" w:before="46"/>
        <w:ind w:right="1122"/>
        <w:jc w:val="both"/>
      </w:pPr>
      <w:r>
        <w:rPr>
          <w:spacing w:val="-4"/>
        </w:rPr>
        <w:t>等规定的资产减值损失的，本集团全额确认该损失。本集团自共同经营购买资产等（该资产构成业务的除外），在将该资产</w:t>
      </w:r>
      <w:r>
        <w:rPr>
          <w:spacing w:val="41"/>
        </w:rPr>
        <w:t> </w:t>
      </w:r>
      <w:r>
        <w:rPr>
          <w:spacing w:val="41"/>
        </w:rPr>
      </w:r>
      <w:r>
        <w:rPr>
          <w:spacing w:val="-4"/>
        </w:rPr>
        <w:t>等出售给第三方之前，仅确认因该交易产生的损益中归属于共同经营其他参与方的部分。购入的资产发生符合《企业会计准</w:t>
      </w:r>
      <w:r>
        <w:rPr>
          <w:spacing w:val="43"/>
        </w:rPr>
        <w:t> </w:t>
      </w:r>
      <w:r>
        <w:rPr>
          <w:spacing w:val="43"/>
        </w:rPr>
      </w:r>
      <w:r>
        <w:rPr>
          <w:spacing w:val="-3"/>
        </w:rPr>
        <w:t>则第</w:t>
      </w:r>
      <w:r>
        <w:rPr>
          <w:rFonts w:ascii="Times New Roman" w:hAnsi="Times New Roman" w:cs="Times New Roman" w:eastAsia="Times New Roman" w:hint="default"/>
          <w:spacing w:val="-3"/>
        </w:rPr>
        <w:t>8</w:t>
      </w:r>
      <w:r>
        <w:rPr>
          <w:spacing w:val="-3"/>
        </w:rPr>
        <w:t>号</w:t>
      </w:r>
      <w:r>
        <w:rPr>
          <w:rFonts w:ascii="Times New Roman" w:hAnsi="Times New Roman" w:cs="Times New Roman" w:eastAsia="Times New Roman" w:hint="default"/>
          <w:spacing w:val="-3"/>
        </w:rPr>
        <w:t>——</w:t>
      </w:r>
      <w:r>
        <w:rPr>
          <w:spacing w:val="-3"/>
        </w:rPr>
        <w:t>资产减值》等规定的资产减值损失的，本集团按其承担的份额确认该部分损失。</w:t>
      </w:r>
    </w:p>
    <w:p>
      <w:pPr>
        <w:pStyle w:val="BodyText"/>
        <w:spacing w:line="316" w:lineRule="auto"/>
        <w:ind w:right="1124" w:firstLine="360"/>
        <w:jc w:val="both"/>
      </w:pPr>
      <w:r>
        <w:rPr>
          <w:spacing w:val="-4"/>
        </w:rPr>
        <w:t>本集团属于对共同经营不享有共同控制的参与方的，如果享有该共同经营相关资产且承担该共同经营相关负债的，按照</w:t>
      </w:r>
      <w:r>
        <w:rPr>
          <w:w w:val="101"/>
        </w:rPr>
        <w:t> </w:t>
      </w:r>
      <w:r>
        <w:rPr>
          <w:spacing w:val="-3"/>
        </w:rPr>
        <w:t>上述原则进行会计处理；否则，按照本集团制定的金融工具或长期股权投资计量的会计政策进行会计处理。</w:t>
      </w:r>
    </w:p>
    <w:p>
      <w:pPr>
        <w:spacing w:line="240" w:lineRule="auto" w:before="8"/>
        <w:rPr>
          <w:rFonts w:ascii="宋体" w:hAnsi="宋体" w:cs="宋体" w:eastAsia="宋体" w:hint="default"/>
          <w:sz w:val="22"/>
          <w:szCs w:val="22"/>
        </w:rPr>
      </w:pPr>
    </w:p>
    <w:p>
      <w:pPr>
        <w:pStyle w:val="Heading4"/>
        <w:spacing w:line="240" w:lineRule="auto"/>
        <w:ind w:right="0"/>
        <w:jc w:val="both"/>
        <w:rPr>
          <w:b w:val="0"/>
          <w:bCs w:val="0"/>
        </w:rPr>
      </w:pPr>
      <w:r>
        <w:rPr>
          <w:rFonts w:ascii="Times New Roman" w:hAnsi="Times New Roman" w:cs="Times New Roman" w:eastAsia="Times New Roman" w:hint="default"/>
        </w:rPr>
        <w:t>8</w:t>
      </w:r>
      <w:r>
        <w:rPr/>
        <w:t>、现金及现金等价物的确定标准</w:t>
      </w:r>
      <w:r>
        <w:rPr>
          <w:b w:val="0"/>
          <w:bCs w:val="0"/>
        </w:rPr>
      </w:r>
    </w:p>
    <w:p>
      <w:pPr>
        <w:spacing w:line="240" w:lineRule="auto" w:before="5"/>
        <w:rPr>
          <w:rFonts w:ascii="宋体" w:hAnsi="宋体" w:cs="宋体" w:eastAsia="宋体" w:hint="default"/>
          <w:b/>
          <w:bCs/>
          <w:sz w:val="26"/>
          <w:szCs w:val="26"/>
        </w:rPr>
      </w:pPr>
    </w:p>
    <w:p>
      <w:pPr>
        <w:pStyle w:val="BodyText"/>
        <w:spacing w:line="300" w:lineRule="auto"/>
        <w:ind w:right="1035" w:firstLine="360"/>
        <w:jc w:val="both"/>
      </w:pPr>
      <w:r>
        <w:rPr>
          <w:spacing w:val="-4"/>
          <w:w w:val="101"/>
        </w:rPr>
        <w:t>本集团现金流量表之现金指库存现金以及可以随时用于支付的存款。现金流量表之现金等价物指持有期限不超过</w:t>
      </w:r>
      <w:r>
        <w:rPr>
          <w:rFonts w:ascii="Times New Roman" w:hAnsi="Times New Roman" w:cs="Times New Roman" w:eastAsia="Times New Roman" w:hint="default"/>
          <w:spacing w:val="-4"/>
          <w:w w:val="101"/>
        </w:rPr>
        <w:t>3</w:t>
      </w:r>
      <w:r>
        <w:rPr>
          <w:spacing w:val="-4"/>
          <w:w w:val="101"/>
        </w:rPr>
        <w:t>个月、</w:t>
      </w:r>
      <w:r>
        <w:rPr>
          <w:w w:val="101"/>
        </w:rPr>
        <w:t> </w:t>
      </w:r>
      <w:r>
        <w:rPr>
          <w:spacing w:val="-3"/>
        </w:rPr>
        <w:t>流动性强、易于转换为已知金额现金且价值变动风险很小的投资。</w:t>
      </w:r>
    </w:p>
    <w:p>
      <w:pPr>
        <w:spacing w:line="240" w:lineRule="auto" w:before="7"/>
        <w:rPr>
          <w:rFonts w:ascii="宋体" w:hAnsi="宋体" w:cs="宋体" w:eastAsia="宋体" w:hint="default"/>
          <w:sz w:val="23"/>
          <w:szCs w:val="23"/>
        </w:rPr>
      </w:pPr>
    </w:p>
    <w:p>
      <w:pPr>
        <w:pStyle w:val="Heading4"/>
        <w:spacing w:line="240" w:lineRule="auto"/>
        <w:ind w:right="0"/>
        <w:jc w:val="both"/>
        <w:rPr>
          <w:b w:val="0"/>
          <w:bCs w:val="0"/>
        </w:rPr>
      </w:pPr>
      <w:r>
        <w:rPr>
          <w:rFonts w:ascii="Times New Roman" w:hAnsi="Times New Roman" w:cs="Times New Roman" w:eastAsia="Times New Roman" w:hint="default"/>
        </w:rPr>
        <w:t>9</w:t>
      </w:r>
      <w:r>
        <w:rPr/>
        <w:t>、外币业务和外币报表折算</w:t>
      </w:r>
      <w:r>
        <w:rPr>
          <w:b w:val="0"/>
          <w:bCs w:val="0"/>
        </w:rPr>
      </w:r>
    </w:p>
    <w:p>
      <w:pPr>
        <w:spacing w:line="240" w:lineRule="auto" w:before="9"/>
        <w:rPr>
          <w:rFonts w:ascii="宋体" w:hAnsi="宋体" w:cs="宋体" w:eastAsia="宋体" w:hint="default"/>
          <w:b/>
          <w:bCs/>
          <w:sz w:val="26"/>
          <w:szCs w:val="26"/>
        </w:rPr>
      </w:pPr>
    </w:p>
    <w:p>
      <w:pPr>
        <w:pStyle w:val="BodyText"/>
        <w:spacing w:line="319" w:lineRule="auto"/>
        <w:ind w:right="1128" w:firstLine="292"/>
        <w:jc w:val="both"/>
      </w:pPr>
      <w:r>
        <w:rPr>
          <w:spacing w:val="-3"/>
        </w:rPr>
        <w:t>本集团外币交易按交易发生日的月初汇率将外币金额折算为人民币金额。于资产负债表日，外币货币性项目采用资产负</w:t>
      </w:r>
      <w:r>
        <w:rPr>
          <w:w w:val="101"/>
        </w:rPr>
        <w:t> </w:t>
      </w:r>
      <w:r>
        <w:rPr>
          <w:spacing w:val="-3"/>
        </w:rPr>
        <w:t>债表日的即期汇率折算为人民币，所产生的折算差额除了为购建或生产符合资 本化条件的资产而借入的外币专门借款产生</w:t>
      </w:r>
      <w:r>
        <w:rPr>
          <w:spacing w:val="-35"/>
        </w:rPr>
        <w:t> </w:t>
      </w:r>
      <w:r>
        <w:rPr>
          <w:spacing w:val="-35"/>
        </w:rPr>
      </w:r>
      <w:r>
        <w:rPr>
          <w:spacing w:val="-3"/>
        </w:rPr>
        <w:t>的汇兑差额按资本化的原则处理外，直接计入当期损益。</w:t>
      </w:r>
    </w:p>
    <w:p>
      <w:pPr>
        <w:spacing w:line="240" w:lineRule="auto" w:before="6"/>
        <w:rPr>
          <w:rFonts w:ascii="宋体" w:hAnsi="宋体" w:cs="宋体" w:eastAsia="宋体" w:hint="default"/>
          <w:sz w:val="22"/>
          <w:szCs w:val="22"/>
        </w:rPr>
      </w:pPr>
    </w:p>
    <w:p>
      <w:pPr>
        <w:pStyle w:val="Heading4"/>
        <w:spacing w:line="240" w:lineRule="auto"/>
        <w:ind w:right="0"/>
        <w:jc w:val="both"/>
        <w:rPr>
          <w:b w:val="0"/>
          <w:bCs w:val="0"/>
        </w:rPr>
      </w:pPr>
      <w:r>
        <w:rPr>
          <w:rFonts w:ascii="Times New Roman" w:hAnsi="Times New Roman" w:cs="Times New Roman" w:eastAsia="Times New Roman" w:hint="default"/>
        </w:rPr>
        <w:t>10</w:t>
      </w:r>
      <w:r>
        <w:rPr/>
        <w:t>、金融工具</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513" w:right="855"/>
        <w:jc w:val="left"/>
      </w:pPr>
      <w:r>
        <w:rPr>
          <w:spacing w:val="-3"/>
        </w:rPr>
        <w:t>本集团成为金融工具合同的一方时确认一项金融资产或金融负债。</w:t>
      </w:r>
    </w:p>
    <w:p>
      <w:pPr>
        <w:pStyle w:val="BodyText"/>
        <w:spacing w:line="240" w:lineRule="auto" w:before="76"/>
        <w:ind w:left="513" w:right="855"/>
        <w:jc w:val="left"/>
      </w:pPr>
      <w:r>
        <w:rPr/>
        <w:t>（</w:t>
      </w:r>
      <w:r>
        <w:rPr>
          <w:rFonts w:ascii="Times New Roman" w:hAnsi="Times New Roman" w:cs="Times New Roman" w:eastAsia="Times New Roman" w:hint="default"/>
        </w:rPr>
        <w:t>1</w:t>
      </w:r>
      <w:r>
        <w:rPr/>
        <w:t>）金融资产</w:t>
      </w:r>
    </w:p>
    <w:p>
      <w:pPr>
        <w:pStyle w:val="BodyText"/>
        <w:spacing w:line="300" w:lineRule="auto" w:before="63"/>
        <w:ind w:left="513" w:right="855"/>
        <w:jc w:val="left"/>
      </w:pPr>
      <w:r>
        <w:rPr>
          <w:rFonts w:ascii="Times New Roman" w:hAnsi="Times New Roman" w:cs="Times New Roman" w:eastAsia="Times New Roman" w:hint="default"/>
          <w:spacing w:val="-3"/>
        </w:rPr>
        <w:t>1</w:t>
      </w:r>
      <w:r>
        <w:rPr>
          <w:spacing w:val="-3"/>
        </w:rPr>
        <w:t>）金融资产分类、确认依据和计量方法</w:t>
      </w:r>
      <w:r>
        <w:rPr>
          <w:spacing w:val="-34"/>
        </w:rPr>
        <w:t> </w:t>
      </w:r>
      <w:r>
        <w:rPr>
          <w:spacing w:val="-34"/>
        </w:rPr>
      </w:r>
      <w:r>
        <w:rPr>
          <w:spacing w:val="-5"/>
        </w:rPr>
        <w:t>本集团根据管理金融资产的业务模式和金融资产的合同现金流特征，将金融资产分类为以摊余成本计量的金融资产、以</w:t>
      </w:r>
    </w:p>
    <w:p>
      <w:pPr>
        <w:pStyle w:val="BodyText"/>
        <w:spacing w:line="316" w:lineRule="auto" w:before="31"/>
        <w:ind w:left="513" w:right="855" w:hanging="360"/>
        <w:jc w:val="left"/>
      </w:pPr>
      <w:r>
        <w:rPr>
          <w:spacing w:val="-3"/>
        </w:rPr>
        <w:t>公允价值计量且其变动计入其他综合收益的金融资产、以公允价值计量且其变动计入当期损益的金融资产。</w:t>
      </w:r>
      <w:r>
        <w:rPr>
          <w:spacing w:val="48"/>
        </w:rPr>
        <w:t> </w:t>
      </w:r>
      <w:r>
        <w:rPr>
          <w:spacing w:val="48"/>
        </w:rPr>
      </w:r>
      <w:r>
        <w:rPr>
          <w:spacing w:val="-5"/>
          <w:w w:val="101"/>
        </w:rPr>
        <w:t>本集团将同时符合下列条件的金融资产分类为以摊余成本计量的金融资产：①管理该金融资产的业务模式是以收取合同</w:t>
      </w:r>
      <w:r>
        <w:rPr>
          <w:spacing w:val="-5"/>
        </w:rPr>
      </w:r>
    </w:p>
    <w:p>
      <w:pPr>
        <w:pStyle w:val="BodyText"/>
        <w:spacing w:line="316" w:lineRule="auto" w:before="19"/>
        <w:ind w:right="1122"/>
        <w:jc w:val="both"/>
      </w:pPr>
      <w:r>
        <w:rPr>
          <w:spacing w:val="-4"/>
        </w:rPr>
        <w:t>现金流量为目标。②该金融资产的合同条款规定，在特定日期产生的现金流量，仅为对本金和以未偿付本金金额为基础的利</w:t>
      </w:r>
      <w:r>
        <w:rPr>
          <w:spacing w:val="43"/>
        </w:rPr>
        <w:t> </w:t>
      </w:r>
      <w:r>
        <w:rPr>
          <w:spacing w:val="43"/>
        </w:rPr>
      </w:r>
      <w:r>
        <w:rPr>
          <w:spacing w:val="-4"/>
        </w:rPr>
        <w:t>息的支付。此类金融资产按照公允价值进行初始计量，相关交易费用计入初始确认金额；以摊余成本进行后续计量。除被指</w:t>
      </w:r>
      <w:r>
        <w:rPr>
          <w:spacing w:val="41"/>
        </w:rPr>
        <w:t> </w:t>
      </w:r>
      <w:r>
        <w:rPr>
          <w:spacing w:val="41"/>
        </w:rPr>
      </w:r>
      <w:r>
        <w:rPr>
          <w:spacing w:val="-4"/>
        </w:rPr>
        <w:t>定为被套期项目的，按照实际利率法摊销初始金额与到期金额之间的差额，其摊销、减值、汇兑损益以及终止确认时产生的</w:t>
      </w:r>
      <w:r>
        <w:rPr>
          <w:spacing w:val="40"/>
        </w:rPr>
        <w:t> </w:t>
      </w:r>
      <w:r>
        <w:rPr>
          <w:spacing w:val="40"/>
        </w:rPr>
      </w:r>
      <w:r>
        <w:rPr>
          <w:spacing w:val="-3"/>
        </w:rPr>
        <w:t>利得或损失，计入当期损益。</w:t>
      </w:r>
    </w:p>
    <w:p>
      <w:pPr>
        <w:pStyle w:val="BodyText"/>
        <w:spacing w:line="319" w:lineRule="auto" w:before="19"/>
        <w:ind w:right="1124" w:firstLine="360"/>
        <w:jc w:val="both"/>
      </w:pPr>
      <w:r>
        <w:rPr>
          <w:spacing w:val="-5"/>
          <w:w w:val="101"/>
        </w:rPr>
        <w:t>本集团将同时符合下列条件的金融资产分类为以公允价值计量且其变动计入其他综合收益的金融资产：①管理该金融资</w:t>
      </w:r>
      <w:r>
        <w:rPr>
          <w:w w:val="101"/>
        </w:rPr>
        <w:t> </w:t>
      </w:r>
      <w:r>
        <w:rPr>
          <w:spacing w:val="-4"/>
        </w:rPr>
        <w:t>产的业务模式既以收取合同现金流量为目标又以出售该金融资产为目标。②该金融资产的合同条款规定，在特定日期产生的</w:t>
      </w:r>
      <w:r>
        <w:rPr>
          <w:spacing w:val="38"/>
        </w:rPr>
        <w:t> </w:t>
      </w:r>
      <w:r>
        <w:rPr>
          <w:spacing w:val="38"/>
        </w:rPr>
      </w:r>
      <w:r>
        <w:rPr>
          <w:spacing w:val="-4"/>
        </w:rPr>
        <w:t>现金流量，仅为对本金和以未偿付本金金额为基础的利息的支付。此类金融资产按照公允价值进行初始计量，相关交易费用</w:t>
      </w:r>
      <w:r>
        <w:rPr>
          <w:spacing w:val="43"/>
        </w:rPr>
        <w:t> </w:t>
      </w:r>
      <w:r>
        <w:rPr>
          <w:spacing w:val="43"/>
        </w:rPr>
      </w:r>
      <w:r>
        <w:rPr>
          <w:spacing w:val="-4"/>
        </w:rPr>
        <w:t>计入初始确认金额。除被指定为被套期项目的，此类金融资产，除信用减值损失或利得、汇兑损益和按照实际利率法计算的</w:t>
      </w:r>
      <w:r>
        <w:rPr>
          <w:spacing w:val="39"/>
        </w:rPr>
        <w:t> </w:t>
      </w:r>
      <w:r>
        <w:rPr>
          <w:spacing w:val="39"/>
        </w:rPr>
      </w:r>
      <w:r>
        <w:rPr>
          <w:spacing w:val="-4"/>
        </w:rPr>
        <w:t>该金融资产利息之外，所产生的其他利得或损失，均计入其他综合收益；金融资产终止确认时，之前计入其他综合收益的累</w:t>
      </w:r>
      <w:r>
        <w:rPr>
          <w:spacing w:val="40"/>
        </w:rPr>
        <w:t> </w:t>
      </w:r>
      <w:r>
        <w:rPr>
          <w:spacing w:val="40"/>
        </w:rPr>
      </w:r>
      <w:r>
        <w:rPr>
          <w:spacing w:val="-3"/>
        </w:rPr>
        <w:t>计利得或损失应当从其他综合收益中转出，计入当期损益。</w:t>
      </w:r>
    </w:p>
    <w:p>
      <w:pPr>
        <w:pStyle w:val="BodyText"/>
        <w:spacing w:line="316" w:lineRule="auto" w:before="17"/>
        <w:ind w:right="1123" w:firstLine="360"/>
        <w:jc w:val="both"/>
      </w:pPr>
      <w:r>
        <w:rPr>
          <w:spacing w:val="-4"/>
        </w:rPr>
        <w:t>本集团按照实际利率法确认利息收入。利息收入根据金融资产账面余额乘以实际利率计算确定，但下列情况除外：①对</w:t>
      </w:r>
      <w:r>
        <w:rPr>
          <w:w w:val="101"/>
        </w:rPr>
        <w:t> </w:t>
      </w:r>
      <w:r>
        <w:rPr>
          <w:spacing w:val="-4"/>
        </w:rPr>
        <w:t>于购入或源生的已发生信用减值的金融资产，自初始确认起，按照该金融资产的摊余成本和经信用调整的实际利率计算确定</w:t>
      </w:r>
      <w:r>
        <w:rPr>
          <w:spacing w:val="38"/>
        </w:rPr>
        <w:t> </w:t>
      </w:r>
      <w:r>
        <w:rPr>
          <w:spacing w:val="38"/>
        </w:rPr>
      </w:r>
      <w:r>
        <w:rPr>
          <w:spacing w:val="-4"/>
        </w:rPr>
        <w:t>其利息收入。②对于购入或源生的未发生信用减值、但在后续期间成为已发生信用减值的金融资产，在后续期间，按照该金</w:t>
      </w:r>
      <w:r>
        <w:rPr>
          <w:spacing w:val="41"/>
        </w:rPr>
        <w:t> </w:t>
      </w:r>
      <w:r>
        <w:rPr>
          <w:spacing w:val="41"/>
        </w:rPr>
      </w:r>
      <w:r>
        <w:rPr>
          <w:spacing w:val="-3"/>
        </w:rPr>
        <w:t>融资产的摊余成本和实际利率计算确定其利息收入。</w:t>
      </w:r>
    </w:p>
    <w:p>
      <w:pPr>
        <w:pStyle w:val="BodyText"/>
        <w:spacing w:line="319" w:lineRule="auto" w:before="19"/>
        <w:ind w:right="1122" w:firstLine="360"/>
        <w:jc w:val="both"/>
      </w:pPr>
      <w:r>
        <w:rPr>
          <w:spacing w:val="-5"/>
        </w:rPr>
        <w:t>本集团将非交易性权益工具投资指定为以公允价值计量且其变动计入其他综合收益的金融资产。该指定一经作出，不得</w:t>
      </w:r>
      <w:r>
        <w:rPr>
          <w:w w:val="101"/>
        </w:rPr>
        <w:t> </w:t>
      </w:r>
      <w:r>
        <w:rPr>
          <w:spacing w:val="-4"/>
        </w:rPr>
        <w:t>撤销。本集团指定的以公允价值计量且其变动计入其他综合收益的非交易性权益工具投资，按照公允价值进行初始计量，相</w:t>
      </w:r>
      <w:r>
        <w:rPr>
          <w:spacing w:val="43"/>
        </w:rPr>
        <w:t> </w:t>
      </w:r>
      <w:r>
        <w:rPr>
          <w:spacing w:val="43"/>
        </w:rPr>
      </w:r>
      <w:r>
        <w:rPr>
          <w:spacing w:val="-8"/>
        </w:rPr>
        <w:t>关交易费用计入初始确认金额；除了获得股利（属于投资成本收回部分的除外）计入当期损益外，其他相关的利得和损失（包</w:t>
      </w:r>
      <w:r>
        <w:rPr>
          <w:spacing w:val="5"/>
        </w:rPr>
        <w:t> </w:t>
      </w:r>
      <w:r>
        <w:rPr>
          <w:spacing w:val="5"/>
        </w:rPr>
      </w:r>
      <w:r>
        <w:rPr>
          <w:spacing w:val="-4"/>
        </w:rPr>
        <w:t>括汇兑损益）均计入其他综合收益，且后续不得转入当期损益。当其终止确认时，之前计入其他综合收益的累计利得或损失</w:t>
      </w:r>
      <w:r>
        <w:rPr>
          <w:spacing w:val="41"/>
        </w:rPr>
        <w:t> </w:t>
      </w:r>
      <w:r>
        <w:rPr>
          <w:spacing w:val="41"/>
        </w:rPr>
      </w:r>
      <w:r>
        <w:rPr>
          <w:spacing w:val="-3"/>
        </w:rPr>
        <w:t>从其他综合收益中转出，计入留存收益。</w:t>
      </w:r>
    </w:p>
    <w:p>
      <w:pPr>
        <w:pStyle w:val="BodyText"/>
        <w:spacing w:line="240" w:lineRule="auto" w:before="17"/>
        <w:ind w:left="513" w:right="855"/>
        <w:jc w:val="left"/>
      </w:pPr>
      <w:r>
        <w:rPr>
          <w:spacing w:val="-3"/>
        </w:rPr>
        <w:t>除上述分类为以摊余成本计量的金融资产和分类为以公允价值计量且其变动计入其他综合收益的金融资产之外的金融</w:t>
      </w:r>
    </w:p>
    <w:p>
      <w:pPr>
        <w:spacing w:after="0" w:line="240" w:lineRule="auto"/>
        <w:jc w:val="left"/>
        <w:sectPr>
          <w:pgSz w:w="11910" w:h="16840"/>
          <w:pgMar w:header="746" w:footer="974" w:top="1060" w:bottom="1160" w:left="980" w:right="0"/>
        </w:sectPr>
      </w:pPr>
    </w:p>
    <w:p>
      <w:pPr>
        <w:spacing w:line="240" w:lineRule="auto" w:before="9"/>
        <w:rPr>
          <w:rFonts w:ascii="宋体" w:hAnsi="宋体" w:cs="宋体" w:eastAsia="宋体" w:hint="default"/>
          <w:sz w:val="25"/>
          <w:szCs w:val="25"/>
        </w:rPr>
      </w:pPr>
    </w:p>
    <w:p>
      <w:pPr>
        <w:pStyle w:val="BodyText"/>
        <w:spacing w:line="316" w:lineRule="auto" w:before="46"/>
        <w:ind w:right="1124"/>
        <w:jc w:val="both"/>
      </w:pPr>
      <w:r>
        <w:rPr>
          <w:spacing w:val="-4"/>
        </w:rPr>
        <w:t>资产，集团将其分类为以公允价值计量且其变动计入当期损益的金融资产。此类金融资产按照公允价值进行初始计量，相关</w:t>
      </w:r>
      <w:r>
        <w:rPr>
          <w:spacing w:val="43"/>
        </w:rPr>
        <w:t> </w:t>
      </w:r>
      <w:r>
        <w:rPr>
          <w:spacing w:val="43"/>
        </w:rPr>
      </w:r>
      <w:r>
        <w:rPr>
          <w:spacing w:val="-3"/>
        </w:rPr>
        <w:t>交易费用直接计入当期损益。此类金融资产的利得或损失，计入当期损益。</w:t>
      </w:r>
    </w:p>
    <w:p>
      <w:pPr>
        <w:pStyle w:val="BodyText"/>
        <w:spacing w:line="319" w:lineRule="auto" w:before="19"/>
        <w:ind w:right="855" w:firstLine="360"/>
        <w:jc w:val="left"/>
      </w:pPr>
      <w:r>
        <w:rPr>
          <w:spacing w:val="-5"/>
          <w:w w:val="101"/>
        </w:rPr>
        <w:t>本集团在非同一控制下的企业合并中确认的或有对价构成金融资产的，该金融资产分类为以公允价值计量且其变动计入</w:t>
      </w:r>
      <w:r>
        <w:rPr>
          <w:w w:val="101"/>
        </w:rPr>
        <w:t> </w:t>
      </w:r>
      <w:r>
        <w:rPr/>
        <w:t>当期损益的金融资产。</w:t>
      </w:r>
    </w:p>
    <w:p>
      <w:pPr>
        <w:pStyle w:val="BodyText"/>
        <w:spacing w:line="300" w:lineRule="auto" w:before="17"/>
        <w:ind w:left="513" w:right="855"/>
        <w:jc w:val="left"/>
      </w:pPr>
      <w:r>
        <w:rPr>
          <w:rFonts w:ascii="Times New Roman" w:hAnsi="Times New Roman" w:cs="Times New Roman" w:eastAsia="Times New Roman" w:hint="default"/>
          <w:spacing w:val="-3"/>
        </w:rPr>
        <w:t>2</w:t>
      </w:r>
      <w:r>
        <w:rPr>
          <w:spacing w:val="-3"/>
        </w:rPr>
        <w:t>）金融资产转移的确认依据和计量方法</w:t>
      </w:r>
      <w:r>
        <w:rPr>
          <w:spacing w:val="-33"/>
        </w:rPr>
        <w:t> </w:t>
      </w:r>
      <w:r>
        <w:rPr>
          <w:spacing w:val="-33"/>
        </w:rPr>
      </w:r>
      <w:r>
        <w:rPr>
          <w:spacing w:val="-4"/>
        </w:rPr>
        <w:t>本集团将满足下列条件之一的金融资产予以终止确认：①收取该金融资产现金流量的合同权利终止；②金融资产发生转</w:t>
      </w:r>
    </w:p>
    <w:p>
      <w:pPr>
        <w:pStyle w:val="BodyText"/>
        <w:spacing w:line="316" w:lineRule="auto" w:before="31"/>
        <w:ind w:right="1124"/>
        <w:jc w:val="both"/>
      </w:pPr>
      <w:r>
        <w:rPr>
          <w:spacing w:val="-4"/>
        </w:rPr>
        <w:t>移，本集团转移了金融资产所有权上几乎所有风险和报酬；③金融资产发生转移，本集团既没有转移也没有保留金融资产所</w:t>
      </w:r>
      <w:r>
        <w:rPr>
          <w:spacing w:val="43"/>
        </w:rPr>
        <w:t> </w:t>
      </w:r>
      <w:r>
        <w:rPr>
          <w:spacing w:val="43"/>
        </w:rPr>
      </w:r>
      <w:r>
        <w:rPr>
          <w:spacing w:val="-3"/>
        </w:rPr>
        <w:t>有权上几乎所有风险和报酬，且未保留对该金融资产控制的。</w:t>
      </w:r>
    </w:p>
    <w:p>
      <w:pPr>
        <w:pStyle w:val="BodyText"/>
        <w:spacing w:line="316" w:lineRule="auto" w:before="19"/>
        <w:ind w:right="855" w:firstLine="360"/>
        <w:jc w:val="left"/>
      </w:pPr>
      <w:r>
        <w:rPr>
          <w:spacing w:val="-4"/>
        </w:rPr>
        <w:t>金融资产整体转移满足终止确认条件的，将所转移金融资产的账面价值，与因转移而收到的对价及原直接计入其他综合</w:t>
      </w:r>
      <w:r>
        <w:rPr>
          <w:w w:val="101"/>
        </w:rPr>
        <w:t> </w:t>
      </w:r>
      <w:r>
        <w:rPr>
          <w:spacing w:val="-6"/>
          <w:w w:val="101"/>
        </w:rPr>
        <w:t>收益的公允价值变动累计额中对应终止确认部分的金额（涉及转移的金融资产的合同条款规定，在特定日期产生的现金流量，</w:t>
      </w:r>
      <w:r>
        <w:rPr>
          <w:spacing w:val="-71"/>
          <w:w w:val="101"/>
        </w:rPr>
        <w:t> </w:t>
      </w:r>
      <w:r>
        <w:rPr>
          <w:spacing w:val="-71"/>
          <w:w w:val="101"/>
        </w:rPr>
      </w:r>
      <w:r>
        <w:rPr>
          <w:spacing w:val="-3"/>
        </w:rPr>
        <w:t>仅为对本金和以未偿付本金金额为基础的利息的支付）之和的差额计入当期损益。</w:t>
      </w:r>
    </w:p>
    <w:p>
      <w:pPr>
        <w:pStyle w:val="BodyText"/>
        <w:spacing w:line="319" w:lineRule="auto" w:before="19"/>
        <w:ind w:right="855" w:firstLine="360"/>
        <w:jc w:val="left"/>
      </w:pPr>
      <w:r>
        <w:rPr>
          <w:spacing w:val="-3"/>
        </w:rPr>
        <w:t>金融资产部分转移满足终止确认条件的，将所转移金融资产整体的账面价值，在终止确认部分和未终止确认部分之间，</w:t>
      </w:r>
      <w:r>
        <w:rPr>
          <w:w w:val="101"/>
        </w:rPr>
        <w:t> </w:t>
      </w:r>
      <w:r>
        <w:rPr>
          <w:spacing w:val="-4"/>
          <w:w w:val="101"/>
        </w:rPr>
        <w:t>按照各自的相对公允价值进行分摊，并将因转移而收到的对价及应分摊至终止确认部分的原计入其他综合收益的公允价值变</w:t>
      </w:r>
      <w:r>
        <w:rPr>
          <w:w w:val="101"/>
        </w:rPr>
        <w:t> </w:t>
      </w:r>
      <w:r>
        <w:rPr>
          <w:spacing w:val="-4"/>
        </w:rPr>
        <w:t>动累计额中对应终止确认部分的金额（涉及转移的金融资产的合同条款规定，在特定日期产生的现金流量，仅为对本金和以</w:t>
      </w:r>
      <w:r>
        <w:rPr>
          <w:spacing w:val="43"/>
        </w:rPr>
        <w:t> </w:t>
      </w:r>
      <w:r>
        <w:rPr>
          <w:spacing w:val="43"/>
        </w:rPr>
      </w:r>
      <w:r>
        <w:rPr>
          <w:spacing w:val="-3"/>
        </w:rPr>
        <w:t>未偿付本金金额为基础的利息的支付）之和，与分摊的前述金融资产整体账面价值的差额计入当期损益。</w:t>
      </w:r>
    </w:p>
    <w:p>
      <w:pPr>
        <w:pStyle w:val="BodyText"/>
        <w:spacing w:line="240" w:lineRule="auto" w:before="17"/>
        <w:ind w:left="513" w:right="855"/>
        <w:jc w:val="left"/>
      </w:pPr>
      <w:r>
        <w:rPr/>
        <w:t>（</w:t>
      </w:r>
      <w:r>
        <w:rPr>
          <w:rFonts w:ascii="Times New Roman" w:hAnsi="Times New Roman" w:cs="Times New Roman" w:eastAsia="Times New Roman" w:hint="default"/>
        </w:rPr>
        <w:t>2</w:t>
      </w:r>
      <w:r>
        <w:rPr/>
        <w:t>）金融负债</w:t>
      </w:r>
    </w:p>
    <w:p>
      <w:pPr>
        <w:pStyle w:val="BodyText"/>
        <w:spacing w:line="309" w:lineRule="auto" w:before="63"/>
        <w:ind w:left="513" w:right="855"/>
        <w:jc w:val="left"/>
      </w:pPr>
      <w:r>
        <w:rPr>
          <w:rFonts w:ascii="Times New Roman" w:hAnsi="Times New Roman" w:cs="Times New Roman" w:eastAsia="Times New Roman" w:hint="default"/>
          <w:spacing w:val="-3"/>
        </w:rPr>
        <w:t>1</w:t>
      </w:r>
      <w:r>
        <w:rPr>
          <w:spacing w:val="-3"/>
        </w:rPr>
        <w:t>）金融负债分类、确认依据和计量方法</w:t>
      </w:r>
      <w:r>
        <w:rPr>
          <w:spacing w:val="-34"/>
        </w:rPr>
        <w:t> </w:t>
      </w:r>
      <w:r>
        <w:rPr>
          <w:spacing w:val="-34"/>
        </w:rPr>
      </w:r>
      <w:r>
        <w:rPr>
          <w:spacing w:val="-3"/>
        </w:rPr>
        <w:t>本集团的金融负债于初始确认时分类为以公允价值计量且其变动计入当期损益的金融负债和其他金融负债。</w:t>
      </w:r>
      <w:r>
        <w:rPr>
          <w:spacing w:val="48"/>
        </w:rPr>
        <w:t> </w:t>
      </w:r>
      <w:r>
        <w:rPr>
          <w:spacing w:val="48"/>
        </w:rPr>
      </w:r>
      <w:r>
        <w:rPr>
          <w:spacing w:val="-5"/>
          <w:w w:val="101"/>
        </w:rPr>
        <w:t>以公允价值计量且其变动计入当期损益的金融负债，包括交易性金融负债和初始确认时指定为以公允价值计量且其变动</w:t>
      </w:r>
      <w:r>
        <w:rPr>
          <w:spacing w:val="-5"/>
        </w:rPr>
      </w:r>
    </w:p>
    <w:p>
      <w:pPr>
        <w:pStyle w:val="BodyText"/>
        <w:spacing w:line="316" w:lineRule="auto" w:before="24"/>
        <w:ind w:right="1128"/>
        <w:jc w:val="both"/>
      </w:pPr>
      <w:r>
        <w:rPr>
          <w:spacing w:val="-5"/>
        </w:rPr>
        <w:t>计入当期损益的金融负债。按照公允价值进行后续计量，公允价值变动形成的利得或损失以及与该金融负债相关的股利和利</w:t>
      </w:r>
      <w:r>
        <w:rPr>
          <w:spacing w:val="6"/>
        </w:rPr>
        <w:t> </w:t>
      </w:r>
      <w:r>
        <w:rPr>
          <w:spacing w:val="6"/>
        </w:rPr>
      </w:r>
      <w:r>
        <w:rPr/>
        <w:t>息支出计入当期损益。</w:t>
      </w:r>
    </w:p>
    <w:p>
      <w:pPr>
        <w:pStyle w:val="BodyText"/>
        <w:spacing w:line="319" w:lineRule="auto" w:before="19"/>
        <w:ind w:right="1031" w:firstLine="360"/>
        <w:jc w:val="left"/>
      </w:pPr>
      <w:r>
        <w:rPr>
          <w:spacing w:val="-5"/>
        </w:rPr>
        <w:t>其他金融负债。采用实际利率法，按照摊余成本进行后续计量。除下列各项外，本集团将金融负债分类为以摊余成本计</w:t>
      </w:r>
      <w:r>
        <w:rPr>
          <w:w w:val="101"/>
        </w:rPr>
        <w:t> </w:t>
      </w:r>
      <w:r>
        <w:rPr>
          <w:spacing w:val="-3"/>
        </w:rPr>
        <w:t>量的金融负债：①以公允价值计量且其变动计入当期损益的金融负债，包括交易性金融负债（含属于金融负债的衍生工具）</w:t>
      </w:r>
      <w:r>
        <w:rPr>
          <w:spacing w:val="67"/>
        </w:rPr>
        <w:t> </w:t>
      </w:r>
      <w:r>
        <w:rPr>
          <w:spacing w:val="67"/>
        </w:rPr>
      </w:r>
      <w:r>
        <w:rPr>
          <w:spacing w:val="-4"/>
          <w:w w:val="101"/>
        </w:rPr>
        <w:t>和指定为以公允价值计量且其变动计入当期损益的金融负债。②不符合终止确认条件的金融资产转移或继续涉入被转移金融</w:t>
      </w:r>
      <w:r>
        <w:rPr>
          <w:w w:val="101"/>
        </w:rPr>
        <w:t> </w:t>
      </w:r>
      <w:r>
        <w:rPr>
          <w:spacing w:val="-4"/>
        </w:rPr>
        <w:t>资产所形成的金融负债。③不属于以上①或②情形的财务担保合同，以及不属于以上①情形的以低于市场利率贷款的贷款承</w:t>
      </w:r>
      <w:r>
        <w:rPr>
          <w:spacing w:val="44"/>
        </w:rPr>
        <w:t> </w:t>
      </w:r>
      <w:r>
        <w:rPr>
          <w:spacing w:val="44"/>
        </w:rPr>
      </w:r>
      <w:r>
        <w:rPr/>
        <w:t>诺。</w:t>
      </w:r>
    </w:p>
    <w:p>
      <w:pPr>
        <w:pStyle w:val="BodyText"/>
        <w:spacing w:line="316" w:lineRule="auto" w:before="17"/>
        <w:ind w:right="855" w:firstLine="360"/>
        <w:jc w:val="left"/>
      </w:pPr>
      <w:r>
        <w:rPr>
          <w:spacing w:val="-5"/>
          <w:w w:val="101"/>
        </w:rPr>
        <w:t>本集团将在非同一控制下的企业合并中作为购买方确认的或有对价形成金融负债的，按照以公允价值计量且其变动计入</w:t>
      </w:r>
      <w:r>
        <w:rPr>
          <w:w w:val="101"/>
        </w:rPr>
        <w:t> </w:t>
      </w:r>
      <w:r>
        <w:rPr>
          <w:spacing w:val="-3"/>
        </w:rPr>
        <w:t>当期损益进行会计处理。</w:t>
      </w:r>
    </w:p>
    <w:p>
      <w:pPr>
        <w:pStyle w:val="BodyText"/>
        <w:spacing w:line="300" w:lineRule="auto" w:before="19"/>
        <w:ind w:left="513" w:right="855"/>
        <w:jc w:val="left"/>
      </w:pPr>
      <w:r>
        <w:rPr>
          <w:rFonts w:ascii="Times New Roman" w:hAnsi="Times New Roman" w:cs="Times New Roman" w:eastAsia="Times New Roman" w:hint="default"/>
          <w:spacing w:val="-3"/>
        </w:rPr>
        <w:t>2</w:t>
      </w:r>
      <w:r>
        <w:rPr>
          <w:spacing w:val="-3"/>
        </w:rPr>
        <w:t>）金融负债终止确认条件</w:t>
      </w:r>
      <w:r>
        <w:rPr>
          <w:spacing w:val="-52"/>
        </w:rPr>
        <w:t> </w:t>
      </w:r>
      <w:r>
        <w:rPr>
          <w:spacing w:val="-52"/>
        </w:rPr>
      </w:r>
      <w:r>
        <w:rPr>
          <w:spacing w:val="-4"/>
        </w:rPr>
        <w:t>当金融负债的现时义务全部或部分已经解除时，终止确认该金融负债或义务已解除的部分。本集团与债权人之间签订协</w:t>
      </w:r>
    </w:p>
    <w:p>
      <w:pPr>
        <w:pStyle w:val="BodyText"/>
        <w:spacing w:line="316" w:lineRule="auto" w:before="32"/>
        <w:ind w:right="1124"/>
        <w:jc w:val="both"/>
      </w:pPr>
      <w:r>
        <w:rPr>
          <w:spacing w:val="-4"/>
        </w:rPr>
        <w:t>议，以承担新金融负债方式替换现存金融负债，且新金融负债与现存金融负债的合同条款实质上不同的，终止确认现存金融</w:t>
      </w:r>
      <w:r>
        <w:rPr>
          <w:spacing w:val="43"/>
        </w:rPr>
        <w:t> </w:t>
      </w:r>
      <w:r>
        <w:rPr>
          <w:spacing w:val="43"/>
        </w:rPr>
      </w:r>
      <w:r>
        <w:rPr>
          <w:spacing w:val="-4"/>
        </w:rPr>
        <w:t>负债，并同时确认新金融负债。本集团对现存金融负债全部或部分的合同条款作出实质性修改的，终止确认现存金融负债或</w:t>
      </w:r>
      <w:r>
        <w:rPr>
          <w:spacing w:val="43"/>
        </w:rPr>
        <w:t> </w:t>
      </w:r>
      <w:r>
        <w:rPr>
          <w:spacing w:val="43"/>
        </w:rPr>
      </w:r>
      <w:r>
        <w:rPr>
          <w:spacing w:val="-4"/>
        </w:rPr>
        <w:t>其一部分，同时将修改条款后的金融负债确认为一项新金融负债。终止确认部分的账面价值与支付的对价之间的差额，计入</w:t>
      </w:r>
      <w:r>
        <w:rPr>
          <w:spacing w:val="43"/>
        </w:rPr>
        <w:t> </w:t>
      </w:r>
      <w:r>
        <w:rPr>
          <w:spacing w:val="43"/>
        </w:rPr>
      </w:r>
      <w:r>
        <w:rPr/>
        <w:t>当期损益。</w:t>
      </w:r>
    </w:p>
    <w:p>
      <w:pPr>
        <w:pStyle w:val="BodyText"/>
        <w:spacing w:line="300" w:lineRule="auto" w:before="19"/>
        <w:ind w:left="513" w:right="855"/>
        <w:jc w:val="left"/>
      </w:pPr>
      <w:r>
        <w:rPr>
          <w:spacing w:val="-3"/>
        </w:rPr>
        <w:t>（</w:t>
      </w:r>
      <w:r>
        <w:rPr>
          <w:rFonts w:ascii="Times New Roman" w:hAnsi="Times New Roman" w:cs="Times New Roman" w:eastAsia="Times New Roman" w:hint="default"/>
          <w:spacing w:val="-3"/>
        </w:rPr>
        <w:t>3</w:t>
      </w:r>
      <w:r>
        <w:rPr>
          <w:spacing w:val="-3"/>
        </w:rPr>
        <w:t>）金融资产和金融负债的公允价值确定方法</w:t>
      </w:r>
      <w:r>
        <w:rPr>
          <w:spacing w:val="-23"/>
        </w:rPr>
        <w:t> </w:t>
      </w:r>
      <w:r>
        <w:rPr>
          <w:spacing w:val="-23"/>
        </w:rPr>
      </w:r>
      <w:r>
        <w:rPr>
          <w:spacing w:val="-5"/>
        </w:rPr>
        <w:t>本集团以主要市场的价格计量金融资产和金融负债的公允价值，不存在主要市场的，以最有利市场的价格计量金融资产</w:t>
      </w:r>
    </w:p>
    <w:p>
      <w:pPr>
        <w:pStyle w:val="BodyText"/>
        <w:spacing w:line="319" w:lineRule="auto" w:before="31"/>
        <w:ind w:right="1123"/>
        <w:jc w:val="both"/>
      </w:pPr>
      <w:r>
        <w:rPr>
          <w:spacing w:val="-4"/>
        </w:rPr>
        <w:t>和金融负债的公允价值，并且采用当时适用并且有足够可利用数据和其他信息支持的估值技术。公允价值计量所使用的输入</w:t>
      </w:r>
      <w:r>
        <w:rPr>
          <w:spacing w:val="44"/>
        </w:rPr>
        <w:t> </w:t>
      </w:r>
      <w:r>
        <w:rPr>
          <w:spacing w:val="44"/>
        </w:rPr>
      </w:r>
      <w:r>
        <w:rPr>
          <w:spacing w:val="-4"/>
        </w:rPr>
        <w:t>值分为三个层次，即第一层次输入值是计量日能够取得的相同资产或负债在活跃市场上未经调整的报价；第二层次输入值是</w:t>
      </w:r>
      <w:r>
        <w:rPr>
          <w:spacing w:val="43"/>
        </w:rPr>
        <w:t> </w:t>
      </w:r>
      <w:r>
        <w:rPr>
          <w:spacing w:val="43"/>
        </w:rPr>
      </w:r>
      <w:r>
        <w:rPr>
          <w:spacing w:val="-4"/>
        </w:rPr>
        <w:t>除第一层次输入值外相关资产或负债直接或间接可观察的输入值；第三层次输入值是相关资产或负债的不可观察输入值。本</w:t>
      </w:r>
      <w:r>
        <w:rPr>
          <w:spacing w:val="38"/>
        </w:rPr>
        <w:t> </w:t>
      </w:r>
      <w:r>
        <w:rPr>
          <w:spacing w:val="38"/>
        </w:rPr>
      </w:r>
      <w:r>
        <w:rPr>
          <w:spacing w:val="-4"/>
        </w:rPr>
        <w:t>集团优先使用第一层次输入值，最后再使用第三层次输入值。公允价值计量结果所属的层次，由对公允价值计量整体而言具</w:t>
      </w:r>
      <w:r>
        <w:rPr>
          <w:spacing w:val="43"/>
        </w:rPr>
        <w:t> </w:t>
      </w:r>
      <w:r>
        <w:rPr>
          <w:spacing w:val="43"/>
        </w:rPr>
      </w:r>
      <w:r>
        <w:rPr>
          <w:spacing w:val="-3"/>
        </w:rPr>
        <w:t>有重大意义的输入值所属的最低层次决定。</w:t>
      </w:r>
    </w:p>
    <w:p>
      <w:pPr>
        <w:pStyle w:val="BodyText"/>
        <w:spacing w:line="316" w:lineRule="auto" w:before="17"/>
        <w:ind w:right="1122" w:firstLine="360"/>
        <w:jc w:val="both"/>
      </w:pPr>
      <w:r>
        <w:rPr>
          <w:spacing w:val="-4"/>
        </w:rPr>
        <w:t>本集团对权益工具的投资以公允价值计量。但在有限情况下，如果用以确定公允价值的近期信息不足，或者公允价值的</w:t>
      </w:r>
      <w:r>
        <w:rPr>
          <w:w w:val="101"/>
        </w:rPr>
        <w:t> </w:t>
      </w:r>
      <w:r>
        <w:rPr>
          <w:spacing w:val="-4"/>
        </w:rPr>
        <w:t>可能估计金额分布范围很广，而成本代表了该范围内对公允价值的最佳估计的，该成本可代表其在该分布范围内对公允价值</w:t>
      </w:r>
      <w:r>
        <w:rPr>
          <w:spacing w:val="43"/>
        </w:rPr>
        <w:t> </w:t>
      </w:r>
      <w:r>
        <w:rPr>
          <w:spacing w:val="43"/>
        </w:rPr>
      </w:r>
      <w:r>
        <w:rPr/>
        <w:t>的恰当估计。</w:t>
      </w:r>
    </w:p>
    <w:p>
      <w:pPr>
        <w:spacing w:after="0" w:line="316" w:lineRule="auto"/>
        <w:jc w:val="both"/>
        <w:sectPr>
          <w:pgSz w:w="11910" w:h="16840"/>
          <w:pgMar w:header="746" w:footer="974" w:top="1060" w:bottom="1160" w:left="980" w:right="0"/>
        </w:sectPr>
      </w:pPr>
    </w:p>
    <w:p>
      <w:pPr>
        <w:spacing w:line="240" w:lineRule="auto" w:before="9"/>
        <w:rPr>
          <w:rFonts w:ascii="宋体" w:hAnsi="宋体" w:cs="宋体" w:eastAsia="宋体" w:hint="default"/>
          <w:sz w:val="25"/>
          <w:szCs w:val="25"/>
        </w:rPr>
      </w:pPr>
    </w:p>
    <w:p>
      <w:pPr>
        <w:pStyle w:val="BodyText"/>
        <w:spacing w:line="300" w:lineRule="auto" w:before="46"/>
        <w:ind w:left="513" w:right="855"/>
        <w:jc w:val="left"/>
      </w:pPr>
      <w:r>
        <w:rPr/>
        <w:t>（</w:t>
      </w:r>
      <w:r>
        <w:rPr>
          <w:rFonts w:ascii="Times New Roman" w:hAnsi="Times New Roman" w:cs="Times New Roman" w:eastAsia="Times New Roman" w:hint="default"/>
        </w:rPr>
        <w:t>4</w:t>
      </w:r>
      <w:r>
        <w:rPr/>
        <w:t>）金融资产和金融负债的抵销</w:t>
      </w:r>
      <w:r>
        <w:rPr>
          <w:spacing w:val="-86"/>
        </w:rPr>
        <w:t> </w:t>
      </w:r>
      <w:r>
        <w:rPr>
          <w:spacing w:val="-86"/>
        </w:rPr>
      </w:r>
      <w:r>
        <w:rPr>
          <w:spacing w:val="-4"/>
        </w:rPr>
        <w:t>本集团的金融资产和金融负债在资产负债表内分别列示，不相互抵销。但同时满足下列条件时，以相互抵销后的净额在</w:t>
      </w:r>
    </w:p>
    <w:p>
      <w:pPr>
        <w:pStyle w:val="BodyText"/>
        <w:spacing w:line="300" w:lineRule="auto" w:before="31"/>
        <w:ind w:right="855"/>
        <w:jc w:val="left"/>
      </w:pPr>
      <w:r>
        <w:rPr>
          <w:spacing w:val="-4"/>
        </w:rPr>
        <w:t>资产负债表内列示：（</w:t>
      </w:r>
      <w:r>
        <w:rPr>
          <w:rFonts w:ascii="Times New Roman" w:hAnsi="Times New Roman" w:cs="Times New Roman" w:eastAsia="Times New Roman" w:hint="default"/>
          <w:spacing w:val="-4"/>
        </w:rPr>
        <w:t>1</w:t>
      </w:r>
      <w:r>
        <w:rPr>
          <w:spacing w:val="-4"/>
        </w:rPr>
        <w:t>）本集团具有抵销已确认金额的法定权利，且该种法定权利是当前可执行的；（</w:t>
      </w:r>
      <w:r>
        <w:rPr>
          <w:rFonts w:ascii="Times New Roman" w:hAnsi="Times New Roman" w:cs="Times New Roman" w:eastAsia="Times New Roman" w:hint="default"/>
          <w:spacing w:val="-4"/>
        </w:rPr>
        <w:t>2</w:t>
      </w:r>
      <w:r>
        <w:rPr>
          <w:spacing w:val="-4"/>
        </w:rPr>
        <w:t>）本集团计划以净</w:t>
      </w:r>
      <w:r>
        <w:rPr>
          <w:spacing w:val="40"/>
        </w:rPr>
        <w:t> </w:t>
      </w:r>
      <w:r>
        <w:rPr>
          <w:spacing w:val="40"/>
        </w:rPr>
      </w:r>
      <w:r>
        <w:rPr>
          <w:spacing w:val="-3"/>
        </w:rPr>
        <w:t>额结算，或同时变现该金融资产和清偿该金融负债。</w:t>
      </w:r>
    </w:p>
    <w:p>
      <w:pPr>
        <w:pStyle w:val="BodyText"/>
        <w:spacing w:line="300" w:lineRule="auto" w:before="31"/>
        <w:ind w:left="513" w:right="855"/>
        <w:jc w:val="left"/>
      </w:pPr>
      <w:r>
        <w:rPr>
          <w:spacing w:val="-3"/>
        </w:rPr>
        <w:t>（</w:t>
      </w:r>
      <w:r>
        <w:rPr>
          <w:rFonts w:ascii="Times New Roman" w:hAnsi="Times New Roman" w:cs="Times New Roman" w:eastAsia="Times New Roman" w:hint="default"/>
          <w:spacing w:val="-3"/>
        </w:rPr>
        <w:t>5</w:t>
      </w:r>
      <w:r>
        <w:rPr>
          <w:spacing w:val="-3"/>
        </w:rPr>
        <w:t>）金融负债与权益工具的区分及相关处理方法</w:t>
      </w:r>
      <w:r>
        <w:rPr>
          <w:spacing w:val="-23"/>
        </w:rPr>
        <w:t> </w:t>
      </w:r>
      <w:r>
        <w:rPr>
          <w:spacing w:val="-23"/>
        </w:rPr>
      </w:r>
      <w:r>
        <w:rPr>
          <w:spacing w:val="-3"/>
        </w:rPr>
        <w:t>本集团按照以下原则区分金融负债与权益工具：（</w:t>
      </w:r>
      <w:r>
        <w:rPr>
          <w:rFonts w:ascii="Times New Roman" w:hAnsi="Times New Roman" w:cs="Times New Roman" w:eastAsia="Times New Roman" w:hint="default"/>
          <w:spacing w:val="-3"/>
        </w:rPr>
        <w:t>1</w:t>
      </w:r>
      <w:r>
        <w:rPr>
          <w:spacing w:val="-3"/>
        </w:rPr>
        <w:t>）如果本集团不能无条件地避免以交付现金或其他金融资产来履行</w:t>
      </w:r>
    </w:p>
    <w:p>
      <w:pPr>
        <w:pStyle w:val="BodyText"/>
        <w:spacing w:line="314" w:lineRule="auto" w:before="13"/>
        <w:ind w:right="855"/>
        <w:jc w:val="left"/>
      </w:pPr>
      <w:r>
        <w:rPr>
          <w:spacing w:val="-4"/>
        </w:rPr>
        <w:t>一项合同义务，则该合同义务符合金融负债的定义。有些金融工具虽然没有明确地包含交付现金或其他金融资产义务的条款</w:t>
      </w:r>
      <w:r>
        <w:rPr>
          <w:spacing w:val="38"/>
        </w:rPr>
        <w:t> </w:t>
      </w:r>
      <w:r>
        <w:rPr>
          <w:spacing w:val="38"/>
        </w:rPr>
      </w:r>
      <w:r>
        <w:rPr>
          <w:spacing w:val="-3"/>
        </w:rPr>
        <w:t>和条件，但有可能通过其他条款和条件间接地形成合同义务。（</w:t>
      </w:r>
      <w:r>
        <w:rPr>
          <w:rFonts w:ascii="Times New Roman" w:hAnsi="Times New Roman" w:cs="Times New Roman" w:eastAsia="Times New Roman" w:hint="default"/>
          <w:spacing w:val="-3"/>
        </w:rPr>
        <w:t>2</w:t>
      </w:r>
      <w:r>
        <w:rPr>
          <w:spacing w:val="-3"/>
        </w:rPr>
        <w:t>）如果一项金融工具须用或可用本集团自身权益工具进行</w:t>
      </w:r>
      <w:r>
        <w:rPr>
          <w:spacing w:val="71"/>
        </w:rPr>
        <w:t> </w:t>
      </w:r>
      <w:r>
        <w:rPr>
          <w:spacing w:val="71"/>
        </w:rPr>
      </w:r>
      <w:r>
        <w:rPr>
          <w:spacing w:val="-4"/>
        </w:rPr>
        <w:t>结算，需要考虑用于结算该工具的本集团自身权益工具，是作为现金或其他金融资产的替代品，还是为了使该工具持有方享</w:t>
      </w:r>
      <w:r>
        <w:rPr>
          <w:spacing w:val="43"/>
        </w:rPr>
        <w:t> </w:t>
      </w:r>
      <w:r>
        <w:rPr>
          <w:spacing w:val="43"/>
        </w:rPr>
      </w:r>
      <w:r>
        <w:rPr>
          <w:spacing w:val="-4"/>
        </w:rPr>
        <w:t>有在发行方扣除所有负债后的资产中的剩余权益。如果是前者，该工具是发行方的金融负债；如果是后者，该工具是发行方</w:t>
      </w:r>
      <w:r>
        <w:rPr>
          <w:spacing w:val="42"/>
        </w:rPr>
        <w:t> </w:t>
      </w:r>
      <w:r>
        <w:rPr>
          <w:spacing w:val="42"/>
        </w:rPr>
      </w:r>
      <w:r>
        <w:rPr>
          <w:spacing w:val="-4"/>
        </w:rPr>
        <w:t>的权益工具。在某些情况下，一项金融工具合同规定本集团须用或可用自身权益工具结算该金融工具，其中合同权利或合同</w:t>
      </w:r>
      <w:r>
        <w:rPr>
          <w:spacing w:val="43"/>
        </w:rPr>
        <w:t> </w:t>
      </w:r>
      <w:r>
        <w:rPr>
          <w:spacing w:val="43"/>
        </w:rPr>
      </w:r>
      <w:r>
        <w:rPr>
          <w:spacing w:val="-3"/>
        </w:rPr>
        <w:t>义务的金额等于可获取或需交付的自身权益工具的数量乘以其结算时的公允价值，则无论该合同权利或义务的金额是固定</w:t>
      </w:r>
      <w:r>
        <w:rPr>
          <w:spacing w:val="66"/>
        </w:rPr>
        <w:t> </w:t>
      </w:r>
      <w:r>
        <w:rPr>
          <w:spacing w:val="66"/>
        </w:rPr>
      </w:r>
      <w:r>
        <w:rPr>
          <w:spacing w:val="-4"/>
        </w:rPr>
        <w:t>的，还是完全或部分地基于除本集团自身权益工具的市场价格以外的变量（例如利率、某种商品的价格或某项金融工具的价</w:t>
      </w:r>
      <w:r>
        <w:rPr>
          <w:spacing w:val="43"/>
        </w:rPr>
        <w:t> </w:t>
      </w:r>
      <w:r>
        <w:rPr>
          <w:spacing w:val="43"/>
        </w:rPr>
      </w:r>
      <w:r>
        <w:rPr>
          <w:spacing w:val="-3"/>
        </w:rPr>
        <w:t>格）的变动而变动，该合同分类为金融负债。</w:t>
      </w:r>
    </w:p>
    <w:p>
      <w:pPr>
        <w:pStyle w:val="BodyText"/>
        <w:spacing w:line="316" w:lineRule="auto" w:before="21"/>
        <w:ind w:right="1123" w:firstLine="360"/>
        <w:jc w:val="both"/>
      </w:pPr>
      <w:r>
        <w:rPr>
          <w:spacing w:val="-4"/>
        </w:rPr>
        <w:t>本集团在合并报表中对金融工具（或其组成部分）进行分类时，考虑了集团成员和金融工具持有方之间达成的所有条款</w:t>
      </w:r>
      <w:r>
        <w:rPr>
          <w:w w:val="101"/>
        </w:rPr>
        <w:t> </w:t>
      </w:r>
      <w:r>
        <w:rPr>
          <w:spacing w:val="-4"/>
        </w:rPr>
        <w:t>和条件。如果集团作为一个整体由于该工具而承担了交付现金、其他金融资产或者以其他导致该工具成为金融负债的方式进</w:t>
      </w:r>
      <w:r>
        <w:rPr>
          <w:spacing w:val="42"/>
        </w:rPr>
        <w:t> </w:t>
      </w:r>
      <w:r>
        <w:rPr>
          <w:spacing w:val="42"/>
        </w:rPr>
      </w:r>
      <w:r>
        <w:rPr>
          <w:spacing w:val="-3"/>
        </w:rPr>
        <w:t>行结算的义务，则该工具应当分类为金融负债。</w:t>
      </w:r>
    </w:p>
    <w:p>
      <w:pPr>
        <w:pStyle w:val="BodyText"/>
        <w:spacing w:line="316" w:lineRule="auto" w:before="19"/>
        <w:ind w:right="1124" w:firstLine="360"/>
        <w:jc w:val="both"/>
      </w:pPr>
      <w:r>
        <w:rPr>
          <w:spacing w:val="-5"/>
        </w:rPr>
        <w:t>金融工具或其组成部分属于金融负债的，相关利息、股利（或股息）、利得或损失，以及赎回或再融资产生的利得或损</w:t>
      </w:r>
      <w:r>
        <w:rPr>
          <w:w w:val="101"/>
        </w:rPr>
        <w:t> </w:t>
      </w:r>
      <w:r>
        <w:rPr>
          <w:spacing w:val="-3"/>
        </w:rPr>
        <w:t>失等，本集团计入当期损益。</w:t>
      </w:r>
    </w:p>
    <w:p>
      <w:pPr>
        <w:pStyle w:val="BodyText"/>
        <w:spacing w:line="316" w:lineRule="auto" w:before="19"/>
        <w:ind w:right="1124" w:firstLine="360"/>
        <w:jc w:val="both"/>
      </w:pPr>
      <w:r>
        <w:rPr>
          <w:spacing w:val="-5"/>
        </w:rPr>
        <w:t>金融工具或其组成部分属于权益工具的，其发行（含再融资）、回购、出售或注销时，本集团作为权益的变动处理，不</w:t>
      </w:r>
      <w:r>
        <w:rPr>
          <w:w w:val="101"/>
        </w:rPr>
        <w:t> </w:t>
      </w:r>
      <w:r>
        <w:rPr>
          <w:spacing w:val="-3"/>
        </w:rPr>
        <w:t>确认权益工具的公允价值变动。</w:t>
      </w:r>
    </w:p>
    <w:p>
      <w:pPr>
        <w:spacing w:line="240" w:lineRule="auto" w:before="8"/>
        <w:rPr>
          <w:rFonts w:ascii="宋体" w:hAnsi="宋体" w:cs="宋体" w:eastAsia="宋体" w:hint="default"/>
          <w:sz w:val="22"/>
          <w:szCs w:val="22"/>
        </w:rPr>
      </w:pPr>
    </w:p>
    <w:p>
      <w:pPr>
        <w:pStyle w:val="Heading4"/>
        <w:spacing w:line="240" w:lineRule="auto"/>
        <w:ind w:right="855"/>
        <w:jc w:val="left"/>
        <w:rPr>
          <w:b w:val="0"/>
          <w:bCs w:val="0"/>
        </w:rPr>
      </w:pPr>
      <w:r>
        <w:rPr>
          <w:rFonts w:ascii="Times New Roman" w:hAnsi="Times New Roman" w:cs="Times New Roman" w:eastAsia="Times New Roman" w:hint="default"/>
        </w:rPr>
        <w:t>11</w:t>
      </w:r>
      <w:r>
        <w:rPr/>
        <w:t>、应收票据</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right="1128" w:firstLine="360"/>
        <w:jc w:val="both"/>
      </w:pPr>
      <w:r>
        <w:rPr>
          <w:spacing w:val="-5"/>
          <w:w w:val="101"/>
        </w:rPr>
        <w:t>应收票据的预期信用损失的确定方法及会计处理方法：本集团对于应收票据始终按照相当于整个存续期内预期信用损失</w:t>
      </w:r>
      <w:r>
        <w:rPr>
          <w:w w:val="101"/>
        </w:rPr>
        <w:t> </w:t>
      </w:r>
      <w:r>
        <w:rPr>
          <w:spacing w:val="-3"/>
        </w:rPr>
        <w:t>的金额计量其损失准备。</w:t>
      </w:r>
    </w:p>
    <w:p>
      <w:pPr>
        <w:pStyle w:val="BodyText"/>
        <w:spacing w:line="316" w:lineRule="auto" w:before="19"/>
        <w:ind w:right="1047" w:firstLine="360"/>
        <w:jc w:val="both"/>
      </w:pPr>
      <w:r>
        <w:rPr>
          <w:spacing w:val="-5"/>
          <w:w w:val="101"/>
        </w:rPr>
        <w:t>信用风险自初始确认后是否显著增加的判断：本集团通过比较金融工具在初始确认时所确定的预计存续期内的违约概率</w:t>
      </w:r>
      <w:r>
        <w:rPr>
          <w:w w:val="101"/>
        </w:rPr>
        <w:t> </w:t>
      </w:r>
      <w:r>
        <w:rPr>
          <w:spacing w:val="-4"/>
        </w:rPr>
        <w:t>和该工具在资产负债表日所确定的预计存续期内的违约概率，来判定金融工具本集团信用风险是否显著增加。但是，如果本</w:t>
      </w:r>
      <w:r>
        <w:rPr>
          <w:spacing w:val="43"/>
        </w:rPr>
        <w:t> </w:t>
      </w:r>
      <w:r>
        <w:rPr>
          <w:spacing w:val="43"/>
        </w:rPr>
      </w:r>
      <w:r>
        <w:rPr>
          <w:spacing w:val="-3"/>
        </w:rPr>
        <w:t>集团确定金融工具在资产负债表日只具有较低的信用风险的，可以假设该金融工具的信用风险自初始确认后并未显著增加。</w:t>
      </w:r>
    </w:p>
    <w:p>
      <w:pPr>
        <w:pStyle w:val="BodyText"/>
        <w:spacing w:line="319" w:lineRule="auto" w:before="19"/>
        <w:ind w:right="1122" w:firstLine="360"/>
        <w:jc w:val="both"/>
      </w:pPr>
      <w:r>
        <w:rPr>
          <w:spacing w:val="-4"/>
        </w:rPr>
        <w:t>以组合为基础的评估。对于应收票据，在单项工具层面无法以合理成本获得关于信用风险显著增加的充分证据，而在组</w:t>
      </w:r>
      <w:r>
        <w:rPr>
          <w:w w:val="101"/>
        </w:rPr>
        <w:t> </w:t>
      </w:r>
      <w:r>
        <w:rPr>
          <w:spacing w:val="-4"/>
        </w:rPr>
        <w:t>合的基础上评估信用风险是否显著增加是可行，所以本集团按照票据类本集团型为共同风险特征，对应收票据进行分组并以</w:t>
      </w:r>
      <w:r>
        <w:rPr>
          <w:spacing w:val="44"/>
        </w:rPr>
        <w:t> </w:t>
      </w:r>
      <w:r>
        <w:rPr>
          <w:spacing w:val="44"/>
        </w:rPr>
      </w:r>
      <w:r>
        <w:rPr>
          <w:spacing w:val="-3"/>
        </w:rPr>
        <w:t>组合为基础考虑评估信用风险是否显著增加。</w:t>
      </w:r>
    </w:p>
    <w:p>
      <w:pPr>
        <w:pStyle w:val="BodyText"/>
        <w:spacing w:line="316" w:lineRule="auto" w:before="17"/>
        <w:ind w:right="1037" w:firstLine="360"/>
        <w:jc w:val="both"/>
      </w:pPr>
      <w:r>
        <w:rPr>
          <w:spacing w:val="-5"/>
        </w:rPr>
        <w:t>预期信用损失计量。预期信用损失，是指以发生违约的风险为权重的金融工具信用损失的加权平均值。信用损失，是指</w:t>
      </w:r>
      <w:r>
        <w:rPr>
          <w:w w:val="101"/>
        </w:rPr>
        <w:t> </w:t>
      </w:r>
      <w:r>
        <w:rPr>
          <w:spacing w:val="-6"/>
          <w:w w:val="101"/>
        </w:rPr>
        <w:t>按照原实际利率折现的、根据合同应收的所有合同现金流量与预期收取的所有现金流量之间的差额，即全部现金短缺的现值。</w:t>
      </w:r>
      <w:r>
        <w:rPr>
          <w:spacing w:val="-6"/>
        </w:rPr>
      </w:r>
    </w:p>
    <w:p>
      <w:pPr>
        <w:pStyle w:val="BodyText"/>
        <w:spacing w:line="319" w:lineRule="auto" w:before="19"/>
        <w:ind w:right="1030" w:firstLine="360"/>
        <w:jc w:val="both"/>
      </w:pPr>
      <w:r>
        <w:rPr>
          <w:spacing w:val="-4"/>
        </w:rPr>
        <w:t>本集团在资产负债表日计算应收票据预期信用损失，如果该预期信用损失大于当前应收票据减值准备的账面金额，将其</w:t>
      </w:r>
      <w:r>
        <w:rPr>
          <w:w w:val="101"/>
        </w:rPr>
        <w:t> </w:t>
      </w:r>
      <w:r>
        <w:rPr>
          <w:spacing w:val="-5"/>
        </w:rPr>
        <w:t>差额确认为应收票据减值损失，借记</w:t>
      </w:r>
      <w:r>
        <w:rPr>
          <w:rFonts w:ascii="Times New Roman" w:hAnsi="Times New Roman" w:cs="Times New Roman" w:eastAsia="Times New Roman" w:hint="default"/>
          <w:spacing w:val="-5"/>
        </w:rPr>
        <w:t>“</w:t>
      </w:r>
      <w:r>
        <w:rPr>
          <w:spacing w:val="-5"/>
        </w:rPr>
        <w:t>信用减值损失</w:t>
      </w:r>
      <w:r>
        <w:rPr>
          <w:rFonts w:ascii="Times New Roman" w:hAnsi="Times New Roman" w:cs="Times New Roman" w:eastAsia="Times New Roman" w:hint="default"/>
          <w:spacing w:val="-5"/>
        </w:rPr>
        <w:t>”</w:t>
      </w:r>
      <w:r>
        <w:rPr>
          <w:spacing w:val="-5"/>
        </w:rPr>
        <w:t>，贷记</w:t>
      </w:r>
      <w:r>
        <w:rPr>
          <w:rFonts w:ascii="Times New Roman" w:hAnsi="Times New Roman" w:cs="Times New Roman" w:eastAsia="Times New Roman" w:hint="default"/>
          <w:spacing w:val="-5"/>
        </w:rPr>
        <w:t>“</w:t>
      </w:r>
      <w:r>
        <w:rPr>
          <w:spacing w:val="-5"/>
        </w:rPr>
        <w:t>坏账准备</w:t>
      </w:r>
      <w:r>
        <w:rPr>
          <w:rFonts w:ascii="Times New Roman" w:hAnsi="Times New Roman" w:cs="Times New Roman" w:eastAsia="Times New Roman" w:hint="default"/>
          <w:spacing w:val="-5"/>
        </w:rPr>
        <w:t>”</w:t>
      </w:r>
      <w:r>
        <w:rPr>
          <w:spacing w:val="-5"/>
        </w:rPr>
        <w:t>。相反，将差额确认为减值利得，做相反的会计记录。</w:t>
      </w:r>
    </w:p>
    <w:p>
      <w:pPr>
        <w:pStyle w:val="BodyText"/>
        <w:spacing w:line="319" w:lineRule="auto"/>
        <w:ind w:right="855" w:firstLine="360"/>
        <w:jc w:val="left"/>
      </w:pPr>
      <w:r>
        <w:rPr>
          <w:spacing w:val="-3"/>
        </w:rPr>
        <w:t>本集团实际发生信用损失，认定相关应收票据无法收回，经批准予以核销的，根据批准的核销金本集团额，借记</w:t>
      </w:r>
      <w:r>
        <w:rPr>
          <w:rFonts w:ascii="Times New Roman" w:hAnsi="Times New Roman" w:cs="Times New Roman" w:eastAsia="Times New Roman" w:hint="default"/>
          <w:spacing w:val="-3"/>
        </w:rPr>
        <w:t>“</w:t>
      </w:r>
      <w:r>
        <w:rPr>
          <w:spacing w:val="-3"/>
        </w:rPr>
        <w:t>坏账</w:t>
      </w:r>
      <w:r>
        <w:rPr>
          <w:w w:val="101"/>
        </w:rPr>
        <w:t> </w:t>
      </w:r>
      <w:r>
        <w:rPr>
          <w:spacing w:val="-3"/>
        </w:rPr>
        <w:t>准备</w:t>
      </w:r>
      <w:r>
        <w:rPr>
          <w:rFonts w:ascii="Times New Roman" w:hAnsi="Times New Roman" w:cs="Times New Roman" w:eastAsia="Times New Roman" w:hint="default"/>
          <w:spacing w:val="-3"/>
        </w:rPr>
        <w:t>”</w:t>
      </w:r>
      <w:r>
        <w:rPr>
          <w:spacing w:val="-3"/>
        </w:rPr>
        <w:t>，贷记</w:t>
      </w:r>
      <w:r>
        <w:rPr>
          <w:rFonts w:ascii="Times New Roman" w:hAnsi="Times New Roman" w:cs="Times New Roman" w:eastAsia="Times New Roman" w:hint="default"/>
          <w:spacing w:val="-3"/>
        </w:rPr>
        <w:t>“</w:t>
      </w:r>
      <w:r>
        <w:rPr>
          <w:spacing w:val="-3"/>
        </w:rPr>
        <w:t>应收票据</w:t>
      </w:r>
      <w:r>
        <w:rPr>
          <w:rFonts w:ascii="Times New Roman" w:hAnsi="Times New Roman" w:cs="Times New Roman" w:eastAsia="Times New Roman" w:hint="default"/>
          <w:spacing w:val="-3"/>
        </w:rPr>
        <w:t>”</w:t>
      </w:r>
      <w:r>
        <w:rPr>
          <w:spacing w:val="-3"/>
        </w:rPr>
        <w:t>。若核销金额大于已计提的损失准备，按期差额借记</w:t>
      </w:r>
      <w:r>
        <w:rPr>
          <w:rFonts w:ascii="Times New Roman" w:hAnsi="Times New Roman" w:cs="Times New Roman" w:eastAsia="Times New Roman" w:hint="default"/>
          <w:spacing w:val="-3"/>
        </w:rPr>
        <w:t>“</w:t>
      </w:r>
      <w:r>
        <w:rPr>
          <w:spacing w:val="-3"/>
        </w:rPr>
        <w:t>信用减值损失</w:t>
      </w:r>
      <w:r>
        <w:rPr>
          <w:rFonts w:ascii="Times New Roman" w:hAnsi="Times New Roman" w:cs="Times New Roman" w:eastAsia="Times New Roman" w:hint="default"/>
          <w:spacing w:val="-3"/>
        </w:rPr>
        <w:t>”</w:t>
      </w:r>
      <w:r>
        <w:rPr>
          <w:spacing w:val="-3"/>
        </w:rPr>
        <w:t>。</w:t>
      </w:r>
      <w:r>
        <w:rPr>
          <w:spacing w:val="36"/>
        </w:rPr>
        <w:t> </w:t>
      </w:r>
      <w:r>
        <w:rPr>
          <w:spacing w:val="-4"/>
        </w:rPr>
        <w:t>本集团根据以前年度的实际信用损失，并考虑本年的前瞻性信息，计量预期信用损失的会计估计政策为：采用以票据性质为</w:t>
      </w:r>
      <w:r>
        <w:rPr>
          <w:spacing w:val="43"/>
        </w:rPr>
        <w:t> </w:t>
      </w:r>
      <w:r>
        <w:rPr>
          <w:spacing w:val="43"/>
        </w:rPr>
      </w:r>
      <w:r>
        <w:rPr>
          <w:spacing w:val="-4"/>
        </w:rPr>
        <w:t>基础的预期信用损失模型，通过应收票据违约风险敞口和预期信用本集团损失率计算应收账款预期信用损失，并基于违约概</w:t>
      </w:r>
      <w:r>
        <w:rPr>
          <w:spacing w:val="43"/>
        </w:rPr>
        <w:t> </w:t>
      </w:r>
      <w:r>
        <w:rPr>
          <w:spacing w:val="43"/>
        </w:rPr>
      </w:r>
      <w:r>
        <w:rPr>
          <w:spacing w:val="-3"/>
        </w:rPr>
        <w:t>率和违约损失率确定预期信用损失率。</w:t>
      </w:r>
    </w:p>
    <w:p>
      <w:pPr>
        <w:spacing w:after="0" w:line="319" w:lineRule="auto"/>
        <w:jc w:val="left"/>
        <w:sectPr>
          <w:pgSz w:w="11910" w:h="16840"/>
          <w:pgMar w:header="746" w:footer="974" w:top="1060" w:bottom="1160" w:left="980" w:right="0"/>
        </w:sectPr>
      </w:pPr>
    </w:p>
    <w:p>
      <w:pPr>
        <w:spacing w:line="240" w:lineRule="auto" w:before="7"/>
        <w:rPr>
          <w:rFonts w:ascii="宋体" w:hAnsi="宋体" w:cs="宋体" w:eastAsia="宋体" w:hint="default"/>
          <w:sz w:val="24"/>
          <w:szCs w:val="24"/>
        </w:rPr>
      </w:pPr>
    </w:p>
    <w:p>
      <w:pPr>
        <w:pStyle w:val="Heading4"/>
        <w:spacing w:line="240" w:lineRule="auto" w:before="36"/>
        <w:ind w:right="855"/>
        <w:jc w:val="left"/>
        <w:rPr>
          <w:b w:val="0"/>
          <w:bCs w:val="0"/>
        </w:rPr>
      </w:pPr>
      <w:r>
        <w:rPr>
          <w:rFonts w:ascii="Times New Roman" w:hAnsi="Times New Roman" w:cs="Times New Roman" w:eastAsia="Times New Roman" w:hint="default"/>
        </w:rPr>
        <w:t>12</w:t>
      </w:r>
      <w:r>
        <w:rPr/>
        <w:t>、应收账款</w:t>
      </w:r>
      <w:r>
        <w:rPr>
          <w:b w:val="0"/>
          <w:bCs w:val="0"/>
        </w:rPr>
      </w:r>
    </w:p>
    <w:p>
      <w:pPr>
        <w:spacing w:line="240" w:lineRule="auto" w:before="9"/>
        <w:rPr>
          <w:rFonts w:ascii="宋体" w:hAnsi="宋体" w:cs="宋体" w:eastAsia="宋体" w:hint="default"/>
          <w:b/>
          <w:bCs/>
          <w:sz w:val="26"/>
          <w:szCs w:val="26"/>
        </w:rPr>
      </w:pPr>
    </w:p>
    <w:p>
      <w:pPr>
        <w:pStyle w:val="BodyText"/>
        <w:spacing w:line="300" w:lineRule="auto"/>
        <w:ind w:right="1165" w:firstLine="360"/>
        <w:jc w:val="both"/>
      </w:pPr>
      <w:r>
        <w:rPr>
          <w:spacing w:val="-3"/>
        </w:rPr>
        <w:t>应收账款的预期信用损失的确定方法及会计处理方法：本集团对于《企业会计准则第</w:t>
      </w:r>
      <w:r>
        <w:rPr>
          <w:rFonts w:ascii="Times New Roman" w:hAnsi="Times New Roman" w:cs="Times New Roman" w:eastAsia="Times New Roman" w:hint="default"/>
          <w:spacing w:val="-3"/>
        </w:rPr>
        <w:t>14</w:t>
      </w:r>
      <w:r>
        <w:rPr>
          <w:spacing w:val="-3"/>
        </w:rPr>
        <w:t>号</w:t>
      </w:r>
      <w:r>
        <w:rPr>
          <w:rFonts w:ascii="Times New Roman" w:hAnsi="Times New Roman" w:cs="Times New Roman" w:eastAsia="Times New Roman" w:hint="default"/>
          <w:spacing w:val="-3"/>
        </w:rPr>
        <w:t>-</w:t>
      </w:r>
      <w:r>
        <w:rPr>
          <w:spacing w:val="-3"/>
        </w:rPr>
        <w:t>收入准则》规范的交易形成</w:t>
      </w:r>
      <w:r>
        <w:rPr>
          <w:w w:val="101"/>
        </w:rPr>
        <w:t> </w:t>
      </w:r>
      <w:r>
        <w:rPr>
          <w:spacing w:val="-3"/>
        </w:rPr>
        <w:t>且不含重大融资成分的应收账款，始终按照相当于整个存续期内预期信用损失的金额计量其损失准备。</w:t>
      </w:r>
    </w:p>
    <w:p>
      <w:pPr>
        <w:pStyle w:val="BodyText"/>
        <w:spacing w:line="312" w:lineRule="auto" w:before="31"/>
        <w:ind w:right="1047" w:firstLine="360"/>
        <w:jc w:val="both"/>
      </w:pPr>
      <w:r>
        <w:rPr>
          <w:spacing w:val="-5"/>
          <w:w w:val="101"/>
        </w:rPr>
        <w:t>信用风险自初始确认后是否显著增加的判断：本集团通过比较金融工具在初始确认时所确定的预计存续期内的违约概率</w:t>
      </w:r>
      <w:r>
        <w:rPr>
          <w:w w:val="101"/>
        </w:rPr>
        <w:t> </w:t>
      </w:r>
      <w:r>
        <w:rPr>
          <w:spacing w:val="-4"/>
        </w:rPr>
        <w:t>额该工具在资产负债表日所确定的预计存续期内的违约概率，来判定金融工具信用风险是否显著增加。但是，如果本集团确</w:t>
      </w:r>
      <w:r>
        <w:rPr>
          <w:spacing w:val="43"/>
        </w:rPr>
        <w:t> </w:t>
      </w:r>
      <w:r>
        <w:rPr>
          <w:spacing w:val="43"/>
        </w:rPr>
      </w:r>
      <w:r>
        <w:rPr>
          <w:spacing w:val="-4"/>
        </w:rPr>
        <w:t>定金融工具在资产负债表日只具有较低的信用风险的，可以假设该金融工具的信用风险自初始确认后并未显著增加。通常情</w:t>
      </w:r>
      <w:r>
        <w:rPr>
          <w:spacing w:val="42"/>
        </w:rPr>
        <w:t> </w:t>
      </w:r>
      <w:r>
        <w:rPr>
          <w:spacing w:val="42"/>
        </w:rPr>
      </w:r>
      <w:r>
        <w:rPr>
          <w:spacing w:val="-4"/>
        </w:rPr>
        <w:t>况下，如果逾期超过</w:t>
      </w:r>
      <w:r>
        <w:rPr>
          <w:rFonts w:ascii="Times New Roman" w:hAnsi="Times New Roman" w:cs="Times New Roman" w:eastAsia="Times New Roman" w:hint="default"/>
          <w:spacing w:val="-4"/>
        </w:rPr>
        <w:t>30</w:t>
      </w:r>
      <w:r>
        <w:rPr>
          <w:spacing w:val="-4"/>
        </w:rPr>
        <w:t>日，则表明金融工具的信用风险已经显著增加。除非本集团在无须付出不必要的额外成本或努力的情</w:t>
      </w:r>
      <w:r>
        <w:rPr>
          <w:spacing w:val="46"/>
        </w:rPr>
        <w:t> </w:t>
      </w:r>
      <w:r>
        <w:rPr>
          <w:spacing w:val="46"/>
        </w:rPr>
      </w:r>
      <w:r>
        <w:rPr>
          <w:spacing w:val="-4"/>
        </w:rPr>
        <w:t>况下即可获得合理且有依据的信息，证明即使逾期超过</w:t>
      </w:r>
      <w:r>
        <w:rPr>
          <w:rFonts w:ascii="Times New Roman" w:hAnsi="Times New Roman" w:cs="Times New Roman" w:eastAsia="Times New Roman" w:hint="default"/>
          <w:spacing w:val="-4"/>
        </w:rPr>
        <w:t>30</w:t>
      </w:r>
      <w:r>
        <w:rPr>
          <w:spacing w:val="-4"/>
        </w:rPr>
        <w:t>日，信用风险自初始确认后仍未显著增加。在确定信用风险自初始</w:t>
      </w:r>
      <w:r>
        <w:rPr>
          <w:spacing w:val="48"/>
        </w:rPr>
        <w:t> </w:t>
      </w:r>
      <w:r>
        <w:rPr>
          <w:spacing w:val="48"/>
        </w:rPr>
      </w:r>
      <w:r>
        <w:rPr>
          <w:spacing w:val="-3"/>
        </w:rPr>
        <w:t>确认后是否显著增加时，本集团考虑无须付出不必要的额外成本或努力即可获得的合理且有依据的信息，包括前瞻性信息。</w:t>
      </w:r>
    </w:p>
    <w:p>
      <w:pPr>
        <w:pStyle w:val="BodyText"/>
        <w:spacing w:line="316" w:lineRule="auto" w:before="22"/>
        <w:ind w:right="855" w:firstLine="360"/>
        <w:jc w:val="left"/>
      </w:pPr>
      <w:r>
        <w:rPr>
          <w:spacing w:val="-3"/>
        </w:rPr>
        <w:t>以组合为基础的评估。对于应收账款，本集团在单项工具层面无法以合理成本获得关于信用风险显著增加的充分证据，</w:t>
      </w:r>
      <w:r>
        <w:rPr>
          <w:w w:val="101"/>
        </w:rPr>
        <w:t> </w:t>
      </w:r>
      <w:r>
        <w:rPr>
          <w:spacing w:val="-4"/>
        </w:rPr>
        <w:t>而在组合的基础上评估信用风险是否显著增加是可行，所以本集团按照金融工具类型、信用风险评级、与公司的关联关系为</w:t>
      </w:r>
      <w:r>
        <w:rPr>
          <w:spacing w:val="45"/>
        </w:rPr>
        <w:t> </w:t>
      </w:r>
      <w:r>
        <w:rPr>
          <w:spacing w:val="45"/>
        </w:rPr>
      </w:r>
      <w:r>
        <w:rPr>
          <w:spacing w:val="-3"/>
        </w:rPr>
        <w:t>共同风险特征，对应收账款进行分组并以组合为基础考虑评估信用风险是否显著增加。</w:t>
      </w:r>
    </w:p>
    <w:p>
      <w:pPr>
        <w:pStyle w:val="BodyText"/>
        <w:spacing w:line="319" w:lineRule="auto" w:before="19"/>
        <w:ind w:right="1124" w:firstLine="360"/>
        <w:jc w:val="both"/>
      </w:pPr>
      <w:r>
        <w:rPr>
          <w:spacing w:val="-5"/>
        </w:rPr>
        <w:t>预期信用损失计量。预期信用损失，是指以发生违约的风险为权重的金融工具信用损失的加权平均值。信用损失，是指</w:t>
      </w:r>
      <w:r>
        <w:rPr>
          <w:w w:val="101"/>
        </w:rPr>
        <w:t> </w:t>
      </w:r>
      <w:r>
        <w:rPr>
          <w:spacing w:val="-4"/>
        </w:rPr>
        <w:t>本集团按照原实际利率折现的、根据合同应收的所有合同现金流量与预期收取的所有现金流量之间的差额，即全部现金短缺</w:t>
      </w:r>
      <w:r>
        <w:rPr>
          <w:spacing w:val="42"/>
        </w:rPr>
        <w:t> </w:t>
      </w:r>
      <w:r>
        <w:rPr>
          <w:spacing w:val="42"/>
        </w:rPr>
      </w:r>
      <w:r>
        <w:rPr/>
        <w:t>的现值。</w:t>
      </w:r>
    </w:p>
    <w:p>
      <w:pPr>
        <w:pStyle w:val="BodyText"/>
        <w:spacing w:line="316" w:lineRule="auto" w:before="17"/>
        <w:ind w:right="1030" w:firstLine="360"/>
        <w:jc w:val="both"/>
      </w:pPr>
      <w:r>
        <w:rPr>
          <w:spacing w:val="-4"/>
        </w:rPr>
        <w:t>本集团在资产负债表日计算应收账款预期信用损失，如果该预期信用损失大于当前应收账款减值准备的账面金额，将其</w:t>
      </w:r>
      <w:r>
        <w:rPr>
          <w:w w:val="101"/>
        </w:rPr>
        <w:t> </w:t>
      </w:r>
      <w:r>
        <w:rPr>
          <w:spacing w:val="-5"/>
        </w:rPr>
        <w:t>差额确认为应收账款减值损失，借记</w:t>
      </w:r>
      <w:r>
        <w:rPr>
          <w:rFonts w:ascii="Times New Roman" w:hAnsi="Times New Roman" w:cs="Times New Roman" w:eastAsia="Times New Roman" w:hint="default"/>
          <w:spacing w:val="-5"/>
        </w:rPr>
        <w:t>“</w:t>
      </w:r>
      <w:r>
        <w:rPr>
          <w:spacing w:val="-5"/>
        </w:rPr>
        <w:t>信用减值损失</w:t>
      </w:r>
      <w:r>
        <w:rPr>
          <w:rFonts w:ascii="Times New Roman" w:hAnsi="Times New Roman" w:cs="Times New Roman" w:eastAsia="Times New Roman" w:hint="default"/>
          <w:spacing w:val="-5"/>
        </w:rPr>
        <w:t>”</w:t>
      </w:r>
      <w:r>
        <w:rPr>
          <w:spacing w:val="-5"/>
        </w:rPr>
        <w:t>，贷记</w:t>
      </w:r>
      <w:r>
        <w:rPr>
          <w:rFonts w:ascii="Times New Roman" w:hAnsi="Times New Roman" w:cs="Times New Roman" w:eastAsia="Times New Roman" w:hint="default"/>
          <w:spacing w:val="-5"/>
        </w:rPr>
        <w:t>“</w:t>
      </w:r>
      <w:r>
        <w:rPr>
          <w:spacing w:val="-5"/>
        </w:rPr>
        <w:t>坏账准备</w:t>
      </w:r>
      <w:r>
        <w:rPr>
          <w:rFonts w:ascii="Times New Roman" w:hAnsi="Times New Roman" w:cs="Times New Roman" w:eastAsia="Times New Roman" w:hint="default"/>
          <w:spacing w:val="-5"/>
        </w:rPr>
        <w:t>”</w:t>
      </w:r>
      <w:r>
        <w:rPr>
          <w:spacing w:val="-5"/>
        </w:rPr>
        <w:t>。相反，将差额确认为减值利得，做相反的会计记录。</w:t>
      </w:r>
    </w:p>
    <w:p>
      <w:pPr>
        <w:pStyle w:val="BodyText"/>
        <w:spacing w:line="300" w:lineRule="auto"/>
        <w:ind w:right="1064" w:firstLine="360"/>
        <w:jc w:val="both"/>
      </w:pPr>
      <w:r>
        <w:rPr>
          <w:spacing w:val="-3"/>
        </w:rPr>
        <w:t>本集团实际发生信用损失，认定相关应收账款无法收回，经批准予以核销的，根据批准的核销金额，借记</w:t>
      </w:r>
      <w:r>
        <w:rPr>
          <w:rFonts w:ascii="Times New Roman" w:hAnsi="Times New Roman" w:cs="Times New Roman" w:eastAsia="Times New Roman" w:hint="default"/>
          <w:spacing w:val="-3"/>
        </w:rPr>
        <w:t>“</w:t>
      </w:r>
      <w:r>
        <w:rPr>
          <w:spacing w:val="-3"/>
        </w:rPr>
        <w:t>坏账准备</w:t>
      </w:r>
      <w:r>
        <w:rPr>
          <w:rFonts w:ascii="Times New Roman" w:hAnsi="Times New Roman" w:cs="Times New Roman" w:eastAsia="Times New Roman" w:hint="default"/>
          <w:spacing w:val="-3"/>
        </w:rPr>
        <w:t>”</w:t>
      </w:r>
      <w:r>
        <w:rPr>
          <w:spacing w:val="-3"/>
        </w:rPr>
        <w:t>，</w:t>
      </w:r>
      <w:r>
        <w:rPr>
          <w:w w:val="101"/>
        </w:rPr>
        <w:t> </w:t>
      </w:r>
      <w:r>
        <w:rPr>
          <w:spacing w:val="-3"/>
        </w:rPr>
        <w:t>贷记</w:t>
      </w:r>
      <w:r>
        <w:rPr>
          <w:rFonts w:ascii="Times New Roman" w:hAnsi="Times New Roman" w:cs="Times New Roman" w:eastAsia="Times New Roman" w:hint="default"/>
          <w:spacing w:val="-3"/>
        </w:rPr>
        <w:t>“</w:t>
      </w:r>
      <w:r>
        <w:rPr>
          <w:spacing w:val="-3"/>
        </w:rPr>
        <w:t>应收账款</w:t>
      </w:r>
      <w:r>
        <w:rPr>
          <w:rFonts w:ascii="Times New Roman" w:hAnsi="Times New Roman" w:cs="Times New Roman" w:eastAsia="Times New Roman" w:hint="default"/>
          <w:spacing w:val="-3"/>
        </w:rPr>
        <w:t>”</w:t>
      </w:r>
      <w:r>
        <w:rPr>
          <w:spacing w:val="-3"/>
        </w:rPr>
        <w:t>。若核销金额大于已计提的损失准备，按期差额借记</w:t>
      </w:r>
      <w:r>
        <w:rPr>
          <w:rFonts w:ascii="Times New Roman" w:hAnsi="Times New Roman" w:cs="Times New Roman" w:eastAsia="Times New Roman" w:hint="default"/>
          <w:spacing w:val="-3"/>
        </w:rPr>
        <w:t>“</w:t>
      </w:r>
      <w:r>
        <w:rPr>
          <w:spacing w:val="-3"/>
        </w:rPr>
        <w:t>信用减值损失</w:t>
      </w:r>
      <w:r>
        <w:rPr>
          <w:rFonts w:ascii="Times New Roman" w:hAnsi="Times New Roman" w:cs="Times New Roman" w:eastAsia="Times New Roman" w:hint="default"/>
          <w:spacing w:val="-3"/>
        </w:rPr>
        <w:t>”</w:t>
      </w:r>
      <w:r>
        <w:rPr>
          <w:spacing w:val="-3"/>
        </w:rPr>
        <w:t>。</w:t>
      </w:r>
    </w:p>
    <w:p>
      <w:pPr>
        <w:pStyle w:val="BodyText"/>
        <w:spacing w:line="316" w:lineRule="auto" w:before="13"/>
        <w:ind w:right="1121" w:firstLine="360"/>
        <w:jc w:val="both"/>
      </w:pPr>
      <w:r>
        <w:rPr>
          <w:spacing w:val="-4"/>
        </w:rPr>
        <w:t>本集团根据以前年度的实际信用损失，并考虑本年的前瞻性信息，计量预期信用损失的会计估计政策为：对信用风险显</w:t>
      </w:r>
      <w:r>
        <w:rPr>
          <w:w w:val="101"/>
        </w:rPr>
        <w:t> </w:t>
      </w:r>
      <w:r>
        <w:rPr>
          <w:spacing w:val="-4"/>
        </w:rPr>
        <w:t>著不同的应收账款单项确定预期信用损失率；除了单项确定预期信用损失率的应收账款外，采用以账龄特征为基础的预期信</w:t>
      </w:r>
      <w:r>
        <w:rPr>
          <w:spacing w:val="43"/>
        </w:rPr>
        <w:t> </w:t>
      </w:r>
      <w:r>
        <w:rPr>
          <w:spacing w:val="43"/>
        </w:rPr>
      </w:r>
      <w:r>
        <w:rPr>
          <w:spacing w:val="-4"/>
        </w:rPr>
        <w:t>用损失模型，通过应收账款违约风险敞口和预期信用损失率计算应收账款预期信用损失，并基于违约概率和违约损失率确定</w:t>
      </w:r>
      <w:r>
        <w:rPr>
          <w:spacing w:val="44"/>
        </w:rPr>
        <w:t> </w:t>
      </w:r>
      <w:r>
        <w:rPr>
          <w:spacing w:val="44"/>
        </w:rPr>
      </w:r>
      <w:r>
        <w:rPr/>
        <w:t>预期信用损失率。</w:t>
      </w:r>
    </w:p>
    <w:p>
      <w:pPr>
        <w:spacing w:line="240" w:lineRule="auto" w:before="8"/>
        <w:rPr>
          <w:rFonts w:ascii="宋体" w:hAnsi="宋体" w:cs="宋体" w:eastAsia="宋体" w:hint="default"/>
          <w:sz w:val="22"/>
          <w:szCs w:val="22"/>
        </w:rPr>
      </w:pPr>
    </w:p>
    <w:p>
      <w:pPr>
        <w:pStyle w:val="Heading4"/>
        <w:spacing w:line="240" w:lineRule="auto"/>
        <w:ind w:right="855"/>
        <w:jc w:val="left"/>
        <w:rPr>
          <w:b w:val="0"/>
          <w:bCs w:val="0"/>
        </w:rPr>
      </w:pPr>
      <w:r>
        <w:rPr>
          <w:rFonts w:ascii="Times New Roman" w:hAnsi="Times New Roman" w:cs="Times New Roman" w:eastAsia="Times New Roman" w:hint="default"/>
        </w:rPr>
        <w:t>13</w:t>
      </w:r>
      <w:r>
        <w:rPr/>
        <w:t>、其他应收款</w:t>
      </w:r>
      <w:r>
        <w:rPr>
          <w:b w:val="0"/>
          <w:bCs w:val="0"/>
        </w:rPr>
      </w:r>
    </w:p>
    <w:p>
      <w:pPr>
        <w:spacing w:line="240" w:lineRule="auto" w:before="4"/>
        <w:rPr>
          <w:rFonts w:ascii="宋体" w:hAnsi="宋体" w:cs="宋体" w:eastAsia="宋体" w:hint="default"/>
          <w:b/>
          <w:bCs/>
          <w:sz w:val="26"/>
          <w:szCs w:val="26"/>
        </w:rPr>
      </w:pPr>
    </w:p>
    <w:p>
      <w:pPr>
        <w:pStyle w:val="BodyText"/>
        <w:spacing w:line="312" w:lineRule="auto"/>
        <w:ind w:right="1123" w:firstLine="360"/>
        <w:jc w:val="both"/>
      </w:pPr>
      <w:r>
        <w:rPr>
          <w:spacing w:val="-4"/>
        </w:rPr>
        <w:t>其他应收款的预期信用损失的确定方法及会计处理方法。本集团按照下列情形计量其他应收款损失准备：①信用风险自</w:t>
      </w:r>
      <w:r>
        <w:rPr>
          <w:w w:val="101"/>
        </w:rPr>
        <w:t> </w:t>
      </w:r>
      <w:r>
        <w:rPr>
          <w:spacing w:val="-4"/>
        </w:rPr>
        <w:t>初始确认后未显著增加的金融资产，按照未来</w:t>
      </w:r>
      <w:r>
        <w:rPr>
          <w:rFonts w:ascii="Times New Roman" w:hAnsi="Times New Roman" w:cs="Times New Roman" w:eastAsia="Times New Roman" w:hint="default"/>
          <w:spacing w:val="-4"/>
        </w:rPr>
        <w:t>12</w:t>
      </w:r>
      <w:r>
        <w:rPr>
          <w:spacing w:val="-4"/>
        </w:rPr>
        <w:t>个月的预期信用损失的金额计量损失准备；②信用风险自初始确认后已显著</w:t>
      </w:r>
      <w:r>
        <w:rPr>
          <w:spacing w:val="48"/>
        </w:rPr>
        <w:t> </w:t>
      </w:r>
      <w:r>
        <w:rPr>
          <w:spacing w:val="48"/>
        </w:rPr>
      </w:r>
      <w:r>
        <w:rPr>
          <w:spacing w:val="-4"/>
        </w:rPr>
        <w:t>增加的金融资产，按照相当于该金融工具整个存续期内预期信用损失的金额计量损失准备；③购买或源生已发生信用减值的</w:t>
      </w:r>
      <w:r>
        <w:rPr>
          <w:spacing w:val="43"/>
        </w:rPr>
        <w:t> </w:t>
      </w:r>
      <w:r>
        <w:rPr>
          <w:spacing w:val="43"/>
        </w:rPr>
      </w:r>
      <w:r>
        <w:rPr>
          <w:spacing w:val="-3"/>
        </w:rPr>
        <w:t>金融资产，按照相当于整个存续期内预期信用损失的金额计量损失准备。</w:t>
      </w:r>
    </w:p>
    <w:p>
      <w:pPr>
        <w:pStyle w:val="BodyText"/>
        <w:spacing w:line="316" w:lineRule="auto" w:before="22"/>
        <w:ind w:right="1123" w:firstLine="360"/>
        <w:jc w:val="both"/>
      </w:pPr>
      <w:r>
        <w:rPr>
          <w:spacing w:val="-4"/>
        </w:rPr>
        <w:t>以组合为基础的评估。对于其他应收款，在单项工具层面无法以合理成本获得关于信用风险显著增加的充分证据，而在</w:t>
      </w:r>
      <w:r>
        <w:rPr>
          <w:w w:val="101"/>
        </w:rPr>
        <w:t> </w:t>
      </w:r>
      <w:r>
        <w:rPr>
          <w:spacing w:val="-4"/>
        </w:rPr>
        <w:t>组合的基础上评估信用风险是否显著增加是可行，所以本集团按照金融工具类型、信用风险评级、与关联方关系为共同风险</w:t>
      </w:r>
      <w:r>
        <w:rPr>
          <w:spacing w:val="43"/>
        </w:rPr>
        <w:t> </w:t>
      </w:r>
      <w:r>
        <w:rPr>
          <w:spacing w:val="43"/>
        </w:rPr>
      </w:r>
      <w:r>
        <w:rPr>
          <w:spacing w:val="-3"/>
        </w:rPr>
        <w:t>特征，对其他应收款进行分组并以组合为基础考虑评估信用风险是否显著增加。</w:t>
      </w:r>
    </w:p>
    <w:p>
      <w:pPr>
        <w:pStyle w:val="BodyText"/>
        <w:spacing w:line="309" w:lineRule="auto" w:before="19"/>
        <w:ind w:right="1122" w:firstLine="360"/>
        <w:jc w:val="both"/>
      </w:pPr>
      <w:r>
        <w:rPr>
          <w:spacing w:val="-4"/>
        </w:rPr>
        <w:t>预期信用损失计量。本集团在资产负债表日计算其他应收款预期信用损失，如果该预期信用损失大于当前其他应收款减</w:t>
      </w:r>
      <w:r>
        <w:rPr>
          <w:w w:val="101"/>
        </w:rPr>
        <w:t> </w:t>
      </w:r>
      <w:r>
        <w:rPr>
          <w:spacing w:val="-4"/>
        </w:rPr>
        <w:t>值准备的账面金额，将其差额确认为其他应收款减值损失，借记</w:t>
      </w:r>
      <w:r>
        <w:rPr>
          <w:rFonts w:ascii="Times New Roman" w:hAnsi="Times New Roman" w:cs="Times New Roman" w:eastAsia="Times New Roman" w:hint="default"/>
          <w:spacing w:val="-4"/>
        </w:rPr>
        <w:t>“</w:t>
      </w:r>
      <w:r>
        <w:rPr>
          <w:spacing w:val="-4"/>
        </w:rPr>
        <w:t>信用减值损失</w:t>
      </w:r>
      <w:r>
        <w:rPr>
          <w:rFonts w:ascii="Times New Roman" w:hAnsi="Times New Roman" w:cs="Times New Roman" w:eastAsia="Times New Roman" w:hint="default"/>
          <w:spacing w:val="-4"/>
        </w:rPr>
        <w:t>”</w:t>
      </w:r>
      <w:r>
        <w:rPr>
          <w:spacing w:val="-4"/>
        </w:rPr>
        <w:t>，贷记</w:t>
      </w:r>
      <w:r>
        <w:rPr>
          <w:rFonts w:ascii="Times New Roman" w:hAnsi="Times New Roman" w:cs="Times New Roman" w:eastAsia="Times New Roman" w:hint="default"/>
          <w:spacing w:val="-4"/>
        </w:rPr>
        <w:t>“</w:t>
      </w:r>
      <w:r>
        <w:rPr>
          <w:spacing w:val="-4"/>
        </w:rPr>
        <w:t>坏账准备</w:t>
      </w:r>
      <w:r>
        <w:rPr>
          <w:rFonts w:ascii="Times New Roman" w:hAnsi="Times New Roman" w:cs="Times New Roman" w:eastAsia="Times New Roman" w:hint="default"/>
          <w:spacing w:val="-4"/>
        </w:rPr>
        <w:t>”</w:t>
      </w:r>
      <w:r>
        <w:rPr>
          <w:spacing w:val="-4"/>
        </w:rPr>
        <w:t>。相反，将差额确认为减</w:t>
      </w:r>
      <w:r>
        <w:rPr>
          <w:spacing w:val="3"/>
        </w:rPr>
        <w:t> </w:t>
      </w:r>
      <w:r>
        <w:rPr>
          <w:spacing w:val="3"/>
        </w:rPr>
      </w:r>
      <w:r>
        <w:rPr>
          <w:spacing w:val="-3"/>
        </w:rPr>
        <w:t>值利得，做相反的会计记录。</w:t>
      </w:r>
    </w:p>
    <w:p>
      <w:pPr>
        <w:pStyle w:val="BodyText"/>
        <w:spacing w:line="300" w:lineRule="auto" w:before="24"/>
        <w:ind w:right="1030" w:firstLine="360"/>
        <w:jc w:val="both"/>
      </w:pPr>
      <w:r>
        <w:rPr>
          <w:spacing w:val="-6"/>
        </w:rPr>
        <w:t>本集团实际发生信用损失，认定相关其他应收款无法收回，经批准予以核销的，根据批准的核销金额，借记</w:t>
      </w:r>
      <w:r>
        <w:rPr>
          <w:rFonts w:ascii="Times New Roman" w:hAnsi="Times New Roman" w:cs="Times New Roman" w:eastAsia="Times New Roman" w:hint="default"/>
          <w:spacing w:val="-6"/>
        </w:rPr>
        <w:t>“</w:t>
      </w:r>
      <w:r>
        <w:rPr>
          <w:spacing w:val="-6"/>
        </w:rPr>
        <w:t>坏账准备</w:t>
      </w:r>
      <w:r>
        <w:rPr>
          <w:rFonts w:ascii="Times New Roman" w:hAnsi="Times New Roman" w:cs="Times New Roman" w:eastAsia="Times New Roman" w:hint="default"/>
          <w:spacing w:val="-6"/>
        </w:rPr>
        <w:t>”</w:t>
      </w:r>
      <w:r>
        <w:rPr>
          <w:spacing w:val="-6"/>
        </w:rPr>
        <w:t>，</w:t>
      </w:r>
      <w:r>
        <w:rPr>
          <w:w w:val="101"/>
        </w:rPr>
        <w:t> </w:t>
      </w:r>
      <w:r>
        <w:rPr>
          <w:spacing w:val="-3"/>
        </w:rPr>
        <w:t>贷记</w:t>
      </w:r>
      <w:r>
        <w:rPr>
          <w:rFonts w:ascii="Times New Roman" w:hAnsi="Times New Roman" w:cs="Times New Roman" w:eastAsia="Times New Roman" w:hint="default"/>
          <w:spacing w:val="-3"/>
        </w:rPr>
        <w:t>“</w:t>
      </w:r>
      <w:r>
        <w:rPr>
          <w:spacing w:val="-3"/>
        </w:rPr>
        <w:t>其他应收款</w:t>
      </w:r>
      <w:r>
        <w:rPr>
          <w:rFonts w:ascii="Times New Roman" w:hAnsi="Times New Roman" w:cs="Times New Roman" w:eastAsia="Times New Roman" w:hint="default"/>
          <w:spacing w:val="-3"/>
        </w:rPr>
        <w:t>”</w:t>
      </w:r>
      <w:r>
        <w:rPr>
          <w:spacing w:val="-3"/>
        </w:rPr>
        <w:t>。若核销金额大于已计提的损失准备，按期差额借记</w:t>
      </w:r>
      <w:r>
        <w:rPr>
          <w:rFonts w:ascii="Times New Roman" w:hAnsi="Times New Roman" w:cs="Times New Roman" w:eastAsia="Times New Roman" w:hint="default"/>
          <w:spacing w:val="-3"/>
        </w:rPr>
        <w:t>“</w:t>
      </w:r>
      <w:r>
        <w:rPr>
          <w:spacing w:val="-3"/>
        </w:rPr>
        <w:t>信用减值损失</w:t>
      </w:r>
      <w:r>
        <w:rPr>
          <w:rFonts w:ascii="Times New Roman" w:hAnsi="Times New Roman" w:cs="Times New Roman" w:eastAsia="Times New Roman" w:hint="default"/>
          <w:spacing w:val="-3"/>
        </w:rPr>
        <w:t>”</w:t>
      </w:r>
      <w:r>
        <w:rPr>
          <w:spacing w:val="-3"/>
        </w:rPr>
        <w:t>。</w:t>
      </w:r>
    </w:p>
    <w:p>
      <w:pPr>
        <w:pStyle w:val="BodyText"/>
        <w:spacing w:line="309" w:lineRule="auto" w:before="13"/>
        <w:ind w:right="1122" w:firstLine="360"/>
        <w:jc w:val="both"/>
      </w:pPr>
      <w:r>
        <w:rPr>
          <w:spacing w:val="-4"/>
        </w:rPr>
        <w:t>本集团根据以前年度的实际信用损失，并考虑本年的前瞻性信息，计量预期信用损失的会计估计政策为：参考历史信用</w:t>
      </w:r>
      <w:r>
        <w:rPr>
          <w:w w:val="101"/>
        </w:rPr>
        <w:t> </w:t>
      </w:r>
      <w:r>
        <w:rPr>
          <w:spacing w:val="-4"/>
        </w:rPr>
        <w:t>损失经验，结合当前状况以及对未来经济状况的预测，通过违约风险敞口和未来</w:t>
      </w:r>
      <w:r>
        <w:rPr>
          <w:rFonts w:ascii="Times New Roman" w:hAnsi="Times New Roman" w:cs="Times New Roman" w:eastAsia="Times New Roman" w:hint="default"/>
          <w:spacing w:val="-4"/>
        </w:rPr>
        <w:t>12</w:t>
      </w:r>
      <w:r>
        <w:rPr>
          <w:spacing w:val="-4"/>
        </w:rPr>
        <w:t>个月内或整个存续期预期信用损失率，计</w:t>
      </w:r>
      <w:r>
        <w:rPr>
          <w:spacing w:val="48"/>
        </w:rPr>
        <w:t> </w:t>
      </w:r>
      <w:r>
        <w:rPr>
          <w:spacing w:val="48"/>
        </w:rPr>
      </w:r>
      <w:r>
        <w:rPr/>
        <w:t>算预期信用损失。</w:t>
      </w:r>
    </w:p>
    <w:p>
      <w:pPr>
        <w:spacing w:after="0" w:line="309" w:lineRule="auto"/>
        <w:jc w:val="both"/>
        <w:sectPr>
          <w:pgSz w:w="11910" w:h="16840"/>
          <w:pgMar w:header="746" w:footer="974" w:top="1060" w:bottom="1160" w:left="980" w:right="0"/>
        </w:sectPr>
      </w:pPr>
    </w:p>
    <w:p>
      <w:pPr>
        <w:spacing w:line="240" w:lineRule="auto" w:before="12"/>
        <w:rPr>
          <w:rFonts w:ascii="宋体" w:hAnsi="宋体" w:cs="宋体" w:eastAsia="宋体" w:hint="default"/>
          <w:sz w:val="24"/>
          <w:szCs w:val="24"/>
        </w:rPr>
      </w:pPr>
    </w:p>
    <w:p>
      <w:pPr>
        <w:pStyle w:val="Heading4"/>
        <w:spacing w:line="240" w:lineRule="auto" w:before="36"/>
        <w:ind w:right="0"/>
        <w:jc w:val="both"/>
        <w:rPr>
          <w:b w:val="0"/>
          <w:bCs w:val="0"/>
        </w:rPr>
      </w:pPr>
      <w:r>
        <w:rPr>
          <w:rFonts w:ascii="Times New Roman" w:hAnsi="Times New Roman" w:cs="Times New Roman" w:eastAsia="Times New Roman" w:hint="default"/>
        </w:rPr>
        <w:t>14</w:t>
      </w:r>
      <w:r>
        <w:rPr/>
        <w:t>、存货</w:t>
      </w:r>
      <w:r>
        <w:rPr>
          <w:b w:val="0"/>
          <w:bCs w:val="0"/>
        </w:rPr>
      </w:r>
    </w:p>
    <w:p>
      <w:pPr>
        <w:spacing w:line="240" w:lineRule="auto" w:before="4"/>
        <w:rPr>
          <w:rFonts w:ascii="宋体" w:hAnsi="宋体" w:cs="宋体" w:eastAsia="宋体" w:hint="default"/>
          <w:b/>
          <w:bCs/>
          <w:sz w:val="26"/>
          <w:szCs w:val="26"/>
        </w:rPr>
      </w:pPr>
    </w:p>
    <w:p>
      <w:pPr>
        <w:pStyle w:val="BodyText"/>
        <w:spacing w:line="357" w:lineRule="auto"/>
        <w:ind w:left="513" w:right="855"/>
        <w:jc w:val="left"/>
      </w:pPr>
      <w:r>
        <w:rPr>
          <w:spacing w:val="-3"/>
        </w:rPr>
        <w:t>本集团存货主要包括原材料、低值易耗品、在产品、半成品、库存商品等。</w:t>
      </w:r>
      <w:r>
        <w:rPr>
          <w:spacing w:val="8"/>
        </w:rPr>
        <w:t> </w:t>
      </w:r>
      <w:r>
        <w:rPr>
          <w:spacing w:val="8"/>
        </w:rPr>
      </w:r>
      <w:r>
        <w:rPr>
          <w:spacing w:val="-4"/>
        </w:rPr>
        <w:t>存货实行永续盘存制，存货在取得时按实际成本计价；领用或发出存货，采用月末一次加权平均法确定其实际成本。低</w:t>
      </w:r>
    </w:p>
    <w:p>
      <w:pPr>
        <w:pStyle w:val="BodyText"/>
        <w:spacing w:line="224" w:lineRule="exact"/>
        <w:ind w:right="0"/>
        <w:jc w:val="both"/>
      </w:pPr>
      <w:r>
        <w:rPr>
          <w:spacing w:val="-3"/>
        </w:rPr>
        <w:t>值易耗品和包装物采用一次转销法进行摊销。</w:t>
      </w:r>
    </w:p>
    <w:p>
      <w:pPr>
        <w:pStyle w:val="BodyText"/>
        <w:spacing w:line="316" w:lineRule="auto" w:before="115"/>
        <w:ind w:right="855" w:firstLine="360"/>
        <w:jc w:val="left"/>
      </w:pPr>
      <w:r>
        <w:rPr>
          <w:spacing w:val="-3"/>
        </w:rPr>
        <w:t>年末存货按成本与可变现净值孰低原则计价，对于存货因遭受毁损、全部或部分陈旧过时或销售价格低于成本等原因，</w:t>
      </w:r>
      <w:r>
        <w:rPr>
          <w:w w:val="101"/>
        </w:rPr>
        <w:t> </w:t>
      </w:r>
      <w:r>
        <w:rPr>
          <w:spacing w:val="-4"/>
        </w:rPr>
        <w:t>预计其成本不可收回的部分，提取存货跌价准备。库存商品及大宗原材料的存货跌价准备按单个存货项目的成本高于其可变</w:t>
      </w:r>
      <w:r>
        <w:rPr>
          <w:spacing w:val="39"/>
        </w:rPr>
        <w:t> </w:t>
      </w:r>
      <w:r>
        <w:rPr>
          <w:spacing w:val="39"/>
        </w:rPr>
      </w:r>
      <w:r>
        <w:rPr>
          <w:spacing w:val="-3"/>
        </w:rPr>
        <w:t>现净值的差额提取；其他数量繁多、单价较低的原辅材料按类别提取存货跌价准备。</w:t>
      </w:r>
    </w:p>
    <w:p>
      <w:pPr>
        <w:pStyle w:val="BodyText"/>
        <w:spacing w:line="316" w:lineRule="auto" w:before="62"/>
        <w:ind w:right="1124" w:firstLine="360"/>
        <w:jc w:val="both"/>
      </w:pPr>
      <w:r>
        <w:rPr>
          <w:spacing w:val="-4"/>
        </w:rPr>
        <w:t>库存商品、在产品和用于出售的材料等直接用于出售的商品存货，其可变现净值按该存货的估计售价减去估计的销售费</w:t>
      </w:r>
      <w:r>
        <w:rPr>
          <w:w w:val="101"/>
        </w:rPr>
        <w:t> </w:t>
      </w:r>
      <w:r>
        <w:rPr>
          <w:spacing w:val="-4"/>
        </w:rPr>
        <w:t>用和相关税费后的金额确定；用于生产而持有的材料存货，其可变现净值按所生产的产成品的估计售价减去至完工时估计将</w:t>
      </w:r>
      <w:r>
        <w:rPr>
          <w:spacing w:val="40"/>
        </w:rPr>
        <w:t> </w:t>
      </w:r>
      <w:r>
        <w:rPr>
          <w:spacing w:val="40"/>
        </w:rPr>
      </w:r>
      <w:r>
        <w:rPr>
          <w:spacing w:val="-3"/>
        </w:rPr>
        <w:t>要发生的成本、估计的销售费用和相关税费后的金额确定。</w:t>
      </w:r>
    </w:p>
    <w:p>
      <w:pPr>
        <w:pStyle w:val="BodyText"/>
        <w:spacing w:line="319" w:lineRule="auto" w:before="57"/>
        <w:ind w:right="1122" w:firstLine="360"/>
        <w:jc w:val="both"/>
      </w:pPr>
      <w:r>
        <w:rPr>
          <w:spacing w:val="-4"/>
        </w:rPr>
        <w:t>本集团定期估计存货的可变现净值，并对存货成本高于可变现净值的差额确认存货跌价损失。本集团在估计存货的可变</w:t>
      </w:r>
      <w:r>
        <w:rPr>
          <w:w w:val="101"/>
        </w:rPr>
        <w:t> </w:t>
      </w:r>
      <w:r>
        <w:rPr>
          <w:spacing w:val="-4"/>
        </w:rPr>
        <w:t>现净值时，以同类货物的预计售价减去完工时将要发生的成本、销售费用以及相关税费后的金额确定。当实际售价或成本费</w:t>
      </w:r>
      <w:r>
        <w:rPr>
          <w:spacing w:val="43"/>
        </w:rPr>
        <w:t> </w:t>
      </w:r>
      <w:r>
        <w:rPr>
          <w:spacing w:val="43"/>
        </w:rPr>
      </w:r>
      <w:r>
        <w:rPr>
          <w:spacing w:val="-4"/>
        </w:rPr>
        <w:t>用与以前估计不同时，管理层将会对可变现净值进行相应的调整。因此根据现有经验进行估计的结果可能会与之后实际结果</w:t>
      </w:r>
      <w:r>
        <w:rPr>
          <w:spacing w:val="42"/>
        </w:rPr>
        <w:t> </w:t>
      </w:r>
      <w:r>
        <w:rPr>
          <w:spacing w:val="42"/>
        </w:rPr>
      </w:r>
      <w:r>
        <w:rPr>
          <w:spacing w:val="-4"/>
        </w:rPr>
        <w:t>有所不同，可能导致对资产负债表中的存货账面价值的调整。因此存货跌价准备的金额可能会随上述原因而发生变化。对存</w:t>
      </w:r>
      <w:r>
        <w:rPr>
          <w:spacing w:val="44"/>
        </w:rPr>
        <w:t> </w:t>
      </w:r>
      <w:r>
        <w:rPr>
          <w:spacing w:val="44"/>
        </w:rPr>
      </w:r>
      <w:r>
        <w:rPr>
          <w:spacing w:val="-3"/>
        </w:rPr>
        <w:t>货跌价准备的调整将影响估计变更当期的损益。</w:t>
      </w:r>
    </w:p>
    <w:p>
      <w:pPr>
        <w:spacing w:line="240" w:lineRule="auto" w:before="1"/>
        <w:rPr>
          <w:rFonts w:ascii="宋体" w:hAnsi="宋体" w:cs="宋体" w:eastAsia="宋体" w:hint="default"/>
          <w:sz w:val="22"/>
          <w:szCs w:val="22"/>
        </w:rPr>
      </w:pPr>
    </w:p>
    <w:p>
      <w:pPr>
        <w:pStyle w:val="Heading4"/>
        <w:spacing w:line="240" w:lineRule="auto"/>
        <w:ind w:right="0"/>
        <w:jc w:val="both"/>
        <w:rPr>
          <w:b w:val="0"/>
          <w:bCs w:val="0"/>
        </w:rPr>
      </w:pPr>
      <w:r>
        <w:rPr>
          <w:rFonts w:ascii="Times New Roman" w:hAnsi="Times New Roman" w:cs="Times New Roman" w:eastAsia="Times New Roman" w:hint="default"/>
        </w:rPr>
        <w:t>15</w:t>
      </w:r>
      <w:r>
        <w:rPr/>
        <w:t>、长期股权投资</w:t>
      </w:r>
      <w:r>
        <w:rPr>
          <w:b w:val="0"/>
          <w:bCs w:val="0"/>
        </w:rPr>
      </w:r>
    </w:p>
    <w:p>
      <w:pPr>
        <w:spacing w:line="240" w:lineRule="auto" w:before="9"/>
        <w:rPr>
          <w:rFonts w:ascii="宋体" w:hAnsi="宋体" w:cs="宋体" w:eastAsia="宋体" w:hint="default"/>
          <w:b/>
          <w:bCs/>
          <w:sz w:val="26"/>
          <w:szCs w:val="26"/>
        </w:rPr>
      </w:pPr>
    </w:p>
    <w:p>
      <w:pPr>
        <w:pStyle w:val="BodyText"/>
        <w:spacing w:line="316" w:lineRule="auto"/>
        <w:ind w:left="513" w:right="855"/>
        <w:jc w:val="left"/>
      </w:pPr>
      <w:r>
        <w:rPr>
          <w:spacing w:val="-3"/>
        </w:rPr>
        <w:t>本集团长期股权投资主要是对子公司的投资、对联营企业的投资和对合营企业的投资。</w:t>
      </w:r>
      <w:r>
        <w:rPr>
          <w:spacing w:val="20"/>
        </w:rPr>
        <w:t> </w:t>
      </w:r>
      <w:r>
        <w:rPr>
          <w:spacing w:val="20"/>
        </w:rPr>
      </w:r>
      <w:r>
        <w:rPr>
          <w:spacing w:val="-5"/>
          <w:w w:val="101"/>
        </w:rPr>
        <w:t>本集团对共同控制的判断依据是所有参与方或参与方组合集体控制该安排，并且该安排相关活动的政策必须经过这些集</w:t>
      </w:r>
      <w:r>
        <w:rPr>
          <w:spacing w:val="-5"/>
        </w:rPr>
      </w:r>
    </w:p>
    <w:p>
      <w:pPr>
        <w:pStyle w:val="BodyText"/>
        <w:spacing w:line="316" w:lineRule="auto" w:before="19"/>
        <w:ind w:left="513" w:right="855" w:hanging="360"/>
        <w:jc w:val="left"/>
      </w:pPr>
      <w:r>
        <w:rPr>
          <w:spacing w:val="-3"/>
        </w:rPr>
        <w:t>体控制该安排的参与方一致同意。</w:t>
      </w:r>
      <w:r>
        <w:rPr>
          <w:spacing w:val="-44"/>
        </w:rPr>
        <w:t> </w:t>
      </w:r>
      <w:r>
        <w:rPr>
          <w:spacing w:val="-44"/>
        </w:rPr>
      </w:r>
      <w:r>
        <w:rPr>
          <w:spacing w:val="-3"/>
        </w:rPr>
        <w:t>本集团直接或通过子公司间接拥有被投资单位</w:t>
      </w:r>
      <w:r>
        <w:rPr>
          <w:rFonts w:ascii="Times New Roman" w:hAnsi="Times New Roman" w:cs="Times New Roman" w:eastAsia="Times New Roman" w:hint="default"/>
          <w:spacing w:val="-3"/>
        </w:rPr>
        <w:t>20%</w:t>
      </w:r>
      <w:r>
        <w:rPr>
          <w:spacing w:val="-3"/>
        </w:rPr>
        <w:t>（含）以上但低于</w:t>
      </w:r>
      <w:r>
        <w:rPr>
          <w:rFonts w:ascii="Times New Roman" w:hAnsi="Times New Roman" w:cs="Times New Roman" w:eastAsia="Times New Roman" w:hint="default"/>
          <w:spacing w:val="-3"/>
        </w:rPr>
        <w:t>50%</w:t>
      </w:r>
      <w:r>
        <w:rPr>
          <w:spacing w:val="-3"/>
        </w:rPr>
        <w:t>的表决权时，通常认为对被投资单位具有重大</w:t>
      </w:r>
    </w:p>
    <w:p>
      <w:pPr>
        <w:pStyle w:val="BodyText"/>
        <w:spacing w:line="309" w:lineRule="auto"/>
        <w:ind w:right="1121"/>
        <w:jc w:val="both"/>
      </w:pPr>
      <w:r>
        <w:rPr>
          <w:spacing w:val="-4"/>
        </w:rPr>
        <w:t>影响。持有被投资单位</w:t>
      </w:r>
      <w:r>
        <w:rPr>
          <w:rFonts w:ascii="Times New Roman" w:hAnsi="Times New Roman" w:cs="Times New Roman" w:eastAsia="Times New Roman" w:hint="default"/>
          <w:spacing w:val="-4"/>
        </w:rPr>
        <w:t>20%</w:t>
      </w:r>
      <w:r>
        <w:rPr>
          <w:spacing w:val="-4"/>
        </w:rPr>
        <w:t>以下表决权的，还需要综合考虑在被投资单位的董事会或类似权力机构中派有代表、或参与被投</w:t>
      </w:r>
      <w:r>
        <w:rPr>
          <w:spacing w:val="76"/>
        </w:rPr>
        <w:t> </w:t>
      </w:r>
      <w:r>
        <w:rPr>
          <w:spacing w:val="76"/>
        </w:rPr>
      </w:r>
      <w:r>
        <w:rPr>
          <w:spacing w:val="-4"/>
        </w:rPr>
        <w:t>资单位财务和经营政策制定过程、或与被投资单位之间发生重要交易、或向被投资单位派出管理人员、或向被投资单位提供</w:t>
      </w:r>
      <w:r>
        <w:rPr>
          <w:spacing w:val="43"/>
        </w:rPr>
        <w:t> </w:t>
      </w:r>
      <w:r>
        <w:rPr>
          <w:spacing w:val="43"/>
        </w:rPr>
      </w:r>
      <w:r>
        <w:rPr>
          <w:spacing w:val="-3"/>
        </w:rPr>
        <w:t>关键技术资料等事实和情况判断对被投资单位具有重大影响。</w:t>
      </w:r>
    </w:p>
    <w:p>
      <w:pPr>
        <w:pStyle w:val="BodyText"/>
        <w:spacing w:line="316" w:lineRule="auto" w:before="24"/>
        <w:ind w:right="1124" w:firstLine="360"/>
        <w:jc w:val="both"/>
      </w:pPr>
      <w:r>
        <w:rPr>
          <w:spacing w:val="-4"/>
        </w:rPr>
        <w:t>对被投资单位形成控制的，为本集团的子公司。通过同一控制下的企业合并取得的长期股权投资，在合并日按照取得被</w:t>
      </w:r>
      <w:r>
        <w:rPr>
          <w:w w:val="101"/>
        </w:rPr>
        <w:t> </w:t>
      </w:r>
      <w:r>
        <w:rPr>
          <w:spacing w:val="-4"/>
          <w:w w:val="101"/>
        </w:rPr>
        <w:t>合并方在最终控制方合并报表中净资产的账面价值的份额作为长期股权投资的初始投资成本。被合并方在合并日的净资产账</w:t>
      </w:r>
      <w:r>
        <w:rPr>
          <w:w w:val="101"/>
        </w:rPr>
        <w:t> </w:t>
      </w:r>
      <w:r>
        <w:rPr>
          <w:spacing w:val="-3"/>
        </w:rPr>
        <w:t>面价值为负数的，长期股权投资成本按零确定。</w:t>
      </w:r>
    </w:p>
    <w:p>
      <w:pPr>
        <w:pStyle w:val="BodyText"/>
        <w:spacing w:line="316" w:lineRule="auto" w:before="19"/>
        <w:ind w:right="1122" w:firstLine="360"/>
        <w:jc w:val="both"/>
      </w:pPr>
      <w:r>
        <w:rPr>
          <w:spacing w:val="-4"/>
        </w:rPr>
        <w:t>通过多次交易分步取得同一控制下被投资单位的股权，最终形成企业合并，属于一揽子交易的，本集团将各项交易作为</w:t>
      </w:r>
      <w:r>
        <w:rPr>
          <w:w w:val="101"/>
        </w:rPr>
        <w:t> </w:t>
      </w:r>
      <w:r>
        <w:rPr>
          <w:spacing w:val="-4"/>
        </w:rPr>
        <w:t>一项取得控制权的交易进行会计处理。不属于一览交易的，在合并日，根据合并后享有被合并方净资产在最终控制方合并财</w:t>
      </w:r>
      <w:r>
        <w:rPr>
          <w:spacing w:val="43"/>
        </w:rPr>
        <w:t> </w:t>
      </w:r>
      <w:r>
        <w:rPr>
          <w:spacing w:val="43"/>
        </w:rPr>
      </w:r>
      <w:r>
        <w:rPr>
          <w:spacing w:val="-4"/>
          <w:w w:val="101"/>
        </w:rPr>
        <w:t>务报表中的账面价值的份额作为长期股权投资的的初始投资成本。初始投资成本与达到合并前的长期股权投资账面价值加上</w:t>
      </w:r>
      <w:r>
        <w:rPr>
          <w:w w:val="101"/>
        </w:rPr>
        <w:t> </w:t>
      </w:r>
      <w:r>
        <w:rPr>
          <w:spacing w:val="-3"/>
        </w:rPr>
        <w:t>合并日进一步取得股份新支付对价的账面价值之和的差额，调整资本公积，资本公积不足冲减的，冲减留存收益。</w:t>
      </w:r>
    </w:p>
    <w:p>
      <w:pPr>
        <w:pStyle w:val="BodyText"/>
        <w:spacing w:line="319" w:lineRule="auto" w:before="19"/>
        <w:ind w:left="513" w:right="855"/>
        <w:jc w:val="left"/>
      </w:pPr>
      <w:r>
        <w:rPr>
          <w:spacing w:val="-3"/>
        </w:rPr>
        <w:t>通过非同一控制下的企业合并取得的长期股权投资，以合并成本作为初始投资成本。</w:t>
      </w:r>
      <w:r>
        <w:rPr>
          <w:spacing w:val="19"/>
        </w:rPr>
        <w:t> </w:t>
      </w:r>
      <w:r>
        <w:rPr>
          <w:spacing w:val="19"/>
        </w:rPr>
      </w:r>
      <w:r>
        <w:rPr>
          <w:spacing w:val="-4"/>
        </w:rPr>
        <w:t>通过多次交易分步取得非同一控制下被投资单位的股权，最终形成企业合并，属于一揽子交易的，本集团将各项交易作</w:t>
      </w:r>
    </w:p>
    <w:p>
      <w:pPr>
        <w:pStyle w:val="BodyText"/>
        <w:spacing w:line="316" w:lineRule="auto" w:before="17"/>
        <w:ind w:right="1124"/>
        <w:jc w:val="both"/>
      </w:pPr>
      <w:r>
        <w:rPr>
          <w:spacing w:val="-4"/>
        </w:rPr>
        <w:t>为一项取得控制权的交易进行会计处理。不属于一揽子交易的，按照原持有的股权投资账面价值加上新增投资成本之和，作</w:t>
      </w:r>
      <w:r>
        <w:rPr>
          <w:spacing w:val="43"/>
        </w:rPr>
        <w:t> </w:t>
      </w:r>
      <w:r>
        <w:rPr>
          <w:spacing w:val="43"/>
        </w:rPr>
      </w:r>
      <w:r>
        <w:rPr>
          <w:spacing w:val="-4"/>
        </w:rPr>
        <w:t>为改按成本法核算的初始投资成本。购买日之前持有的股权采用权益法核算的，原权益法核算的相关其他综合收益暂不做调</w:t>
      </w:r>
      <w:r>
        <w:rPr>
          <w:spacing w:val="42"/>
        </w:rPr>
        <w:t> </w:t>
      </w:r>
      <w:r>
        <w:rPr>
          <w:spacing w:val="42"/>
        </w:rPr>
      </w:r>
      <w:r>
        <w:rPr>
          <w:spacing w:val="-4"/>
        </w:rPr>
        <w:t>整，在处置该项投资时采用与被投资单位直接处置相关资产或负债相同的基础进行会计处理。购买日之前持有的股权在可供</w:t>
      </w:r>
      <w:r>
        <w:rPr>
          <w:spacing w:val="42"/>
        </w:rPr>
        <w:t> </w:t>
      </w:r>
      <w:r>
        <w:rPr>
          <w:spacing w:val="42"/>
        </w:rPr>
      </w:r>
      <w:r>
        <w:rPr>
          <w:spacing w:val="-3"/>
        </w:rPr>
        <w:t>出售金融资产中采用公允价值核算的，原计入其他综合收益的累计公允价值变动在合并日转入当期投资损益。</w:t>
      </w:r>
    </w:p>
    <w:p>
      <w:pPr>
        <w:pStyle w:val="BodyText"/>
        <w:spacing w:line="319" w:lineRule="auto" w:before="19"/>
        <w:ind w:right="855" w:firstLine="360"/>
        <w:jc w:val="left"/>
      </w:pPr>
      <w:r>
        <w:rPr>
          <w:spacing w:val="-6"/>
          <w:w w:val="101"/>
        </w:rPr>
        <w:t>除上述通过企业合并取得的长期股权投资外，以支付现金取得的长期股权投资，按照实际支付的购买价款作为投资成本；</w:t>
      </w:r>
      <w:r>
        <w:rPr>
          <w:w w:val="101"/>
        </w:rPr>
        <w:t> </w:t>
      </w:r>
      <w:r>
        <w:rPr>
          <w:spacing w:val="-4"/>
        </w:rPr>
        <w:t>以发行权益性证券取得的长期股权投资，按照发行权益性证券的公允价值作为投资成本；投资者投入的长期股权投资，按照</w:t>
      </w:r>
      <w:r>
        <w:rPr>
          <w:spacing w:val="43"/>
        </w:rPr>
        <w:t> </w:t>
      </w:r>
      <w:r>
        <w:rPr>
          <w:spacing w:val="43"/>
        </w:rPr>
      </w:r>
      <w:r>
        <w:rPr>
          <w:spacing w:val="-3"/>
        </w:rPr>
        <w:t>投资合同或协议约定的价值作为投资成本。</w:t>
      </w:r>
    </w:p>
    <w:p>
      <w:pPr>
        <w:pStyle w:val="BodyText"/>
        <w:spacing w:line="316" w:lineRule="auto" w:before="17"/>
        <w:ind w:left="513" w:right="855"/>
        <w:jc w:val="left"/>
      </w:pPr>
      <w:r>
        <w:rPr>
          <w:spacing w:val="-3"/>
        </w:rPr>
        <w:t>本集团对子公司投资采用成本法核算，对合营企业及联营企业投资采用权益法核算。</w:t>
      </w:r>
      <w:r>
        <w:rPr>
          <w:spacing w:val="19"/>
        </w:rPr>
        <w:t> </w:t>
      </w:r>
      <w:r>
        <w:rPr>
          <w:spacing w:val="19"/>
        </w:rPr>
      </w:r>
      <w:r>
        <w:rPr>
          <w:spacing w:val="-5"/>
        </w:rPr>
        <w:t>后续计量采用成本法核算的长期股权投资，在追加投资时，按照追加投资支付的成本额公允价值及发生的相关交易费用</w:t>
      </w:r>
    </w:p>
    <w:p>
      <w:pPr>
        <w:spacing w:after="0" w:line="316" w:lineRule="auto"/>
        <w:jc w:val="left"/>
        <w:sectPr>
          <w:pgSz w:w="11910" w:h="16840"/>
          <w:pgMar w:header="746" w:footer="974" w:top="1060" w:bottom="1160" w:left="980" w:right="0"/>
        </w:sectPr>
      </w:pPr>
    </w:p>
    <w:p>
      <w:pPr>
        <w:spacing w:line="240" w:lineRule="auto" w:before="9"/>
        <w:rPr>
          <w:rFonts w:ascii="宋体" w:hAnsi="宋体" w:cs="宋体" w:eastAsia="宋体" w:hint="default"/>
          <w:sz w:val="25"/>
          <w:szCs w:val="25"/>
        </w:rPr>
      </w:pPr>
    </w:p>
    <w:p>
      <w:pPr>
        <w:pStyle w:val="BodyText"/>
        <w:spacing w:line="316" w:lineRule="auto" w:before="46"/>
        <w:ind w:left="513" w:right="1114" w:hanging="360"/>
        <w:jc w:val="left"/>
      </w:pPr>
      <w:r>
        <w:rPr>
          <w:spacing w:val="-3"/>
        </w:rPr>
        <w:t>增加长期股权投资成本的账面价值。被投资单位宣告分派的现金股利或利润，按照应享有的金额确认为当期投资收益。</w:t>
      </w:r>
      <w:r>
        <w:rPr>
          <w:spacing w:val="60"/>
        </w:rPr>
        <w:t> </w:t>
      </w:r>
      <w:r>
        <w:rPr>
          <w:spacing w:val="60"/>
        </w:rPr>
      </w:r>
      <w:r>
        <w:rPr>
          <w:spacing w:val="-4"/>
          <w:w w:val="101"/>
        </w:rPr>
        <w:t>后续计量采用权益法核算的长期股权投资，随着被投资单位所有者权益的变动相应调整增加或减少长期股权投资的账面</w:t>
      </w:r>
      <w:r>
        <w:rPr>
          <w:spacing w:val="-4"/>
        </w:rPr>
      </w:r>
    </w:p>
    <w:p>
      <w:pPr>
        <w:pStyle w:val="BodyText"/>
        <w:spacing w:line="319" w:lineRule="auto" w:before="19"/>
        <w:ind w:right="1124"/>
        <w:jc w:val="both"/>
      </w:pPr>
      <w:r>
        <w:rPr>
          <w:spacing w:val="-4"/>
        </w:rPr>
        <w:t>价值。其中在确认应享有被投资单位净损益的份额时，以取得投资时被投资单位各项可辨认资产等的公允价值为基础，按照</w:t>
      </w:r>
      <w:r>
        <w:rPr>
          <w:spacing w:val="43"/>
        </w:rPr>
        <w:t> </w:t>
      </w:r>
      <w:r>
        <w:rPr>
          <w:spacing w:val="43"/>
        </w:rPr>
      </w:r>
      <w:r>
        <w:rPr>
          <w:spacing w:val="-4"/>
          <w:w w:val="101"/>
        </w:rPr>
        <w:t>本集团的会计政策及会计期间，并抵销与联营企业及合营企业之间发生的内部交易损益按照持股比例计算归属于投资企业的</w:t>
      </w:r>
      <w:r>
        <w:rPr>
          <w:w w:val="101"/>
        </w:rPr>
        <w:t> </w:t>
      </w:r>
      <w:r>
        <w:rPr>
          <w:spacing w:val="-3"/>
        </w:rPr>
        <w:t>部分，对被投资单位的净利润进行调整后确认。</w:t>
      </w:r>
    </w:p>
    <w:p>
      <w:pPr>
        <w:pStyle w:val="BodyText"/>
        <w:spacing w:line="316" w:lineRule="auto" w:before="17"/>
        <w:ind w:right="1124" w:firstLine="360"/>
        <w:jc w:val="both"/>
      </w:pPr>
      <w:r>
        <w:rPr>
          <w:spacing w:val="-5"/>
        </w:rPr>
        <w:t>处置长期股权投资，其账面价值与实际取得价款的差额，计入当期投资收益。采用权益法核算的长期股权投资，因被投</w:t>
      </w:r>
      <w:r>
        <w:rPr>
          <w:w w:val="101"/>
        </w:rPr>
        <w:t> </w:t>
      </w:r>
      <w:r>
        <w:rPr>
          <w:spacing w:val="-4"/>
          <w:w w:val="101"/>
        </w:rPr>
        <w:t>资单位除净损益以外所有者权益的其他变动而计入所有者权益的，处置该项投资时将原计入所有者权益的部分按相应比例转</w:t>
      </w:r>
      <w:r>
        <w:rPr>
          <w:w w:val="101"/>
        </w:rPr>
        <w:t> </w:t>
      </w:r>
      <w:r>
        <w:rPr/>
        <w:t>入当期投资损益。</w:t>
      </w:r>
    </w:p>
    <w:p>
      <w:pPr>
        <w:pStyle w:val="BodyText"/>
        <w:spacing w:line="316" w:lineRule="auto" w:before="19"/>
        <w:ind w:right="1047" w:firstLine="360"/>
        <w:jc w:val="both"/>
      </w:pPr>
      <w:r>
        <w:rPr>
          <w:spacing w:val="-5"/>
          <w:w w:val="101"/>
        </w:rPr>
        <w:t>因处置部分股权投资等原因丧失了对被投资单位的共同控制或重大影响的，处置后的剩余股权改按可供出售金融资产核</w:t>
      </w:r>
      <w:r>
        <w:rPr>
          <w:w w:val="101"/>
        </w:rPr>
        <w:t> </w:t>
      </w:r>
      <w:r>
        <w:rPr>
          <w:spacing w:val="-4"/>
        </w:rPr>
        <w:t>算，剩余股权在丧失共同控制或重大影响之日的公允价值与账面价值之间的差额计入当期损益。原股权投资因采用权益法核</w:t>
      </w:r>
      <w:r>
        <w:rPr>
          <w:spacing w:val="43"/>
        </w:rPr>
        <w:t> </w:t>
      </w:r>
      <w:r>
        <w:rPr>
          <w:spacing w:val="43"/>
        </w:rPr>
      </w:r>
      <w:r>
        <w:rPr>
          <w:spacing w:val="-3"/>
        </w:rPr>
        <w:t>算而确认的其他综合收益，在终止采用权益法核算时采用与被投资单位直接处置相关资产或负债相同的基础进行会计处理。</w:t>
      </w:r>
    </w:p>
    <w:p>
      <w:pPr>
        <w:pStyle w:val="BodyText"/>
        <w:spacing w:line="319" w:lineRule="auto" w:before="19"/>
        <w:ind w:right="1122" w:firstLine="360"/>
        <w:jc w:val="both"/>
      </w:pPr>
      <w:r>
        <w:rPr>
          <w:spacing w:val="-5"/>
          <w:w w:val="101"/>
        </w:rPr>
        <w:t>因处置部分长期股权投资丧失了对被投资单位控制的，处置后的剩余股权能够对被投资单位实施共同控制或施加重大影</w:t>
      </w:r>
      <w:r>
        <w:rPr>
          <w:w w:val="101"/>
        </w:rPr>
        <w:t> </w:t>
      </w:r>
      <w:r>
        <w:rPr>
          <w:spacing w:val="-4"/>
        </w:rPr>
        <w:t>响的，改按权益法核算，处置股权账面价值和处置对价的差额计入投资收益，并对该剩余股权视同自取得时即采用权益法核</w:t>
      </w:r>
      <w:r>
        <w:rPr>
          <w:spacing w:val="44"/>
        </w:rPr>
        <w:t> </w:t>
      </w:r>
      <w:r>
        <w:rPr>
          <w:spacing w:val="44"/>
        </w:rPr>
      </w:r>
      <w:r>
        <w:rPr>
          <w:spacing w:val="-4"/>
        </w:rPr>
        <w:t>算进行调整；处置后的剩余股权不能对被投资单位实施共同控制或施加重大影响的，改按可供出售金融资产的有关规定进行</w:t>
      </w:r>
      <w:r>
        <w:rPr>
          <w:spacing w:val="42"/>
        </w:rPr>
        <w:t> </w:t>
      </w:r>
      <w:r>
        <w:rPr>
          <w:spacing w:val="42"/>
        </w:rPr>
      </w:r>
      <w:r>
        <w:rPr>
          <w:spacing w:val="-4"/>
        </w:rPr>
        <w:t>会计处理，处置股权账面价值和处置对价的差额计入投资收益，剩余股权在丧失控制之日的公允价值与账面价值间的差额计</w:t>
      </w:r>
      <w:r>
        <w:rPr>
          <w:spacing w:val="43"/>
        </w:rPr>
        <w:t> </w:t>
      </w:r>
      <w:r>
        <w:rPr>
          <w:spacing w:val="43"/>
        </w:rPr>
      </w:r>
      <w:r>
        <w:rPr/>
        <w:t>入当期投资损益。</w:t>
      </w:r>
    </w:p>
    <w:p>
      <w:pPr>
        <w:pStyle w:val="BodyText"/>
        <w:spacing w:line="307" w:lineRule="auto" w:before="17"/>
        <w:ind w:right="1128" w:firstLine="360"/>
        <w:jc w:val="both"/>
      </w:pPr>
      <w:r>
        <w:rPr>
          <w:spacing w:val="-3"/>
        </w:rPr>
        <w:t>本集团对于分步处置股权至丧失控股权的各项交易不属于一揽子交易的，对每一项交易分别进行会计处理。属于</w:t>
      </w:r>
      <w:r>
        <w:rPr>
          <w:rFonts w:ascii="Times New Roman" w:hAnsi="Times New Roman" w:cs="Times New Roman" w:eastAsia="Times New Roman" w:hint="default"/>
          <w:spacing w:val="-3"/>
        </w:rPr>
        <w:t>“</w:t>
      </w:r>
      <w:r>
        <w:rPr>
          <w:spacing w:val="-3"/>
        </w:rPr>
        <w:t>一揽</w:t>
      </w:r>
      <w:r>
        <w:rPr>
          <w:w w:val="101"/>
        </w:rPr>
        <w:t> </w:t>
      </w:r>
      <w:r>
        <w:rPr>
          <w:spacing w:val="-3"/>
        </w:rPr>
        <w:t>子交易</w:t>
      </w:r>
      <w:r>
        <w:rPr>
          <w:rFonts w:ascii="Times New Roman" w:hAnsi="Times New Roman" w:cs="Times New Roman" w:eastAsia="Times New Roman" w:hint="default"/>
          <w:spacing w:val="-3"/>
        </w:rPr>
        <w:t>”</w:t>
      </w:r>
      <w:r>
        <w:rPr>
          <w:spacing w:val="-3"/>
        </w:rPr>
        <w:t>的，将各项交易作为一项处置子公司并丧失控制权的交易进行会计处理，但是，在丧失控制权之前每一次交易处置</w:t>
      </w:r>
      <w:r>
        <w:rPr>
          <w:spacing w:val="65"/>
        </w:rPr>
        <w:t> </w:t>
      </w:r>
      <w:r>
        <w:rPr>
          <w:spacing w:val="65"/>
        </w:rPr>
      </w:r>
      <w:r>
        <w:rPr>
          <w:spacing w:val="-5"/>
        </w:rPr>
        <w:t>价款与所处置的股权对应的长期股权投资账面价值之间的差额，确认为其他综合收益，到丧失控制权时再一并转入丧失控制</w:t>
      </w:r>
      <w:r>
        <w:rPr>
          <w:spacing w:val="6"/>
        </w:rPr>
        <w:t> </w:t>
      </w:r>
      <w:r>
        <w:rPr>
          <w:spacing w:val="6"/>
        </w:rPr>
      </w:r>
      <w:r>
        <w:rPr>
          <w:spacing w:val="-3"/>
        </w:rPr>
        <w:t>权的当期损益。</w:t>
      </w:r>
    </w:p>
    <w:p>
      <w:pPr>
        <w:spacing w:line="240" w:lineRule="auto" w:before="2"/>
        <w:rPr>
          <w:rFonts w:ascii="宋体" w:hAnsi="宋体" w:cs="宋体" w:eastAsia="宋体" w:hint="default"/>
          <w:sz w:val="23"/>
          <w:szCs w:val="23"/>
        </w:rPr>
      </w:pPr>
    </w:p>
    <w:p>
      <w:pPr>
        <w:pStyle w:val="Heading4"/>
        <w:spacing w:line="240" w:lineRule="auto"/>
        <w:ind w:right="855"/>
        <w:jc w:val="left"/>
        <w:rPr>
          <w:b w:val="0"/>
          <w:bCs w:val="0"/>
        </w:rPr>
      </w:pPr>
      <w:r>
        <w:rPr>
          <w:rFonts w:ascii="Times New Roman" w:hAnsi="Times New Roman" w:cs="Times New Roman" w:eastAsia="Times New Roman" w:hint="default"/>
        </w:rPr>
        <w:t>16</w:t>
      </w:r>
      <w:r>
        <w:rPr/>
        <w:t>、投资性房地产</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8854"/>
        <w:jc w:val="left"/>
      </w:pPr>
      <w:r>
        <w:rPr>
          <w:spacing w:val="-2"/>
        </w:rPr>
        <w:t>投资性房地产计量模式</w:t>
      </w:r>
      <w:r>
        <w:rPr>
          <w:spacing w:val="-66"/>
        </w:rPr>
        <w:t> </w:t>
      </w:r>
      <w:r>
        <w:rPr>
          <w:spacing w:val="-66"/>
        </w:rPr>
      </w:r>
      <w:r>
        <w:rPr/>
        <w:t>成本法计量</w:t>
      </w:r>
      <w:r>
        <w:rPr>
          <w:w w:val="101"/>
        </w:rPr>
        <w:t> </w:t>
      </w:r>
      <w:r>
        <w:rPr>
          <w:spacing w:val="-3"/>
        </w:rPr>
        <w:t>折旧或摊销方法</w:t>
      </w:r>
    </w:p>
    <w:p>
      <w:pPr>
        <w:pStyle w:val="BodyText"/>
        <w:spacing w:line="316" w:lineRule="auto" w:before="25"/>
        <w:ind w:right="1037" w:firstLine="360"/>
        <w:jc w:val="both"/>
      </w:pPr>
      <w:r>
        <w:rPr>
          <w:spacing w:val="-6"/>
          <w:w w:val="101"/>
        </w:rPr>
        <w:t>投资性房地产是指为赚取租金或资本增值，或两者兼有而持有的房地产。本集团投资性房地产包括已出租的土地使用权、</w:t>
      </w:r>
      <w:r>
        <w:rPr>
          <w:w w:val="101"/>
        </w:rPr>
        <w:t> </w:t>
      </w:r>
      <w:r>
        <w:rPr>
          <w:spacing w:val="-3"/>
        </w:rPr>
        <w:t>持有并准备增值后转让的土地使用权和已出租的建筑物。</w:t>
      </w:r>
    </w:p>
    <w:p>
      <w:pPr>
        <w:pStyle w:val="BodyText"/>
        <w:spacing w:line="300" w:lineRule="auto" w:before="19"/>
        <w:ind w:left="513" w:right="6110"/>
        <w:jc w:val="left"/>
      </w:pPr>
      <w:r>
        <w:rPr>
          <w:spacing w:val="-3"/>
        </w:rPr>
        <w:t>（</w:t>
      </w:r>
      <w:r>
        <w:rPr>
          <w:rFonts w:ascii="Times New Roman" w:hAnsi="Times New Roman" w:cs="Times New Roman" w:eastAsia="Times New Roman" w:hint="default"/>
          <w:spacing w:val="-3"/>
        </w:rPr>
        <w:t>1</w:t>
      </w:r>
      <w:r>
        <w:rPr>
          <w:spacing w:val="-3"/>
        </w:rPr>
        <w:t>）投资性房地产的确认</w:t>
      </w:r>
      <w:r>
        <w:rPr>
          <w:spacing w:val="-52"/>
        </w:rPr>
        <w:t> </w:t>
      </w:r>
      <w:r>
        <w:rPr>
          <w:spacing w:val="-52"/>
        </w:rPr>
      </w:r>
      <w:r>
        <w:rPr>
          <w:spacing w:val="-3"/>
        </w:rPr>
        <w:t>投资性房地产同时满足下列条件，才能确认：</w:t>
      </w:r>
    </w:p>
    <w:p>
      <w:pPr>
        <w:pStyle w:val="BodyText"/>
        <w:spacing w:line="240" w:lineRule="auto" w:before="31"/>
        <w:ind w:left="513" w:right="855"/>
        <w:jc w:val="left"/>
      </w:pPr>
      <w:r>
        <w:rPr>
          <w:spacing w:val="-3"/>
        </w:rPr>
        <w:t>①与投资性房地产有关的经济利益很可能流入企业。</w:t>
      </w:r>
    </w:p>
    <w:p>
      <w:pPr>
        <w:pStyle w:val="BodyText"/>
        <w:spacing w:line="240" w:lineRule="auto" w:before="76"/>
        <w:ind w:left="513" w:right="855"/>
        <w:jc w:val="left"/>
      </w:pPr>
      <w:r>
        <w:rPr>
          <w:spacing w:val="-3"/>
        </w:rPr>
        <w:t>②该投资性房地产的成本能够可靠计量。</w:t>
      </w:r>
    </w:p>
    <w:p>
      <w:pPr>
        <w:pStyle w:val="BodyText"/>
        <w:spacing w:line="240" w:lineRule="auto" w:before="76"/>
        <w:ind w:left="513" w:right="855"/>
        <w:jc w:val="left"/>
      </w:pPr>
      <w:r>
        <w:rPr/>
        <w:t>（</w:t>
      </w:r>
      <w:r>
        <w:rPr>
          <w:rFonts w:ascii="Times New Roman" w:hAnsi="Times New Roman" w:cs="Times New Roman" w:eastAsia="Times New Roman" w:hint="default"/>
        </w:rPr>
        <w:t>2</w:t>
      </w:r>
      <w:r>
        <w:rPr/>
        <w:t>）投资性房地产初始计量</w:t>
      </w:r>
    </w:p>
    <w:p>
      <w:pPr>
        <w:pStyle w:val="BodyText"/>
        <w:spacing w:line="240" w:lineRule="auto" w:before="63"/>
        <w:ind w:left="513" w:right="855"/>
        <w:jc w:val="left"/>
      </w:pPr>
      <w:r>
        <w:rPr>
          <w:spacing w:val="-3"/>
        </w:rPr>
        <w:t>①外购投资性房地产的成本，包括购买价款、相关税费和可直接归属于该资产的其他支出。</w:t>
      </w:r>
    </w:p>
    <w:p>
      <w:pPr>
        <w:pStyle w:val="BodyText"/>
        <w:spacing w:line="240" w:lineRule="auto" w:before="76"/>
        <w:ind w:left="513" w:right="855"/>
        <w:jc w:val="left"/>
      </w:pPr>
      <w:r>
        <w:rPr>
          <w:spacing w:val="-3"/>
        </w:rPr>
        <w:t>②自行建造投资性房地产的成本，由建造该项资产达到预定可使用状态前所发生的必要支出构成。</w:t>
      </w:r>
    </w:p>
    <w:p>
      <w:pPr>
        <w:pStyle w:val="BodyText"/>
        <w:spacing w:line="240" w:lineRule="auto" w:before="77"/>
        <w:ind w:left="513" w:right="855"/>
        <w:jc w:val="left"/>
      </w:pPr>
      <w:r>
        <w:rPr>
          <w:spacing w:val="-3"/>
        </w:rPr>
        <w:t>③以其他方式取得的投资性房地产的成本，按照相关会计准则的规定确定。</w:t>
      </w:r>
    </w:p>
    <w:p>
      <w:pPr>
        <w:pStyle w:val="BodyText"/>
        <w:spacing w:line="316" w:lineRule="auto" w:before="76"/>
        <w:ind w:right="1124" w:firstLine="360"/>
        <w:jc w:val="both"/>
      </w:pPr>
      <w:r>
        <w:rPr>
          <w:spacing w:val="-4"/>
        </w:rPr>
        <w:t>④与投资性房地产有关的后续支出，满足投资性房地产确认条件的，计入投资性房地产成本；不满足确认条件的在发生</w:t>
      </w:r>
      <w:r>
        <w:rPr>
          <w:w w:val="101"/>
        </w:rPr>
        <w:t> </w:t>
      </w:r>
      <w:r>
        <w:rPr/>
        <w:t>时计入当期损益。</w:t>
      </w:r>
    </w:p>
    <w:p>
      <w:pPr>
        <w:pStyle w:val="BodyText"/>
        <w:spacing w:line="300" w:lineRule="auto" w:before="19"/>
        <w:ind w:left="513" w:right="855"/>
        <w:jc w:val="left"/>
      </w:pPr>
      <w:r>
        <w:rPr/>
        <w:t>（</w:t>
      </w:r>
      <w:r>
        <w:rPr>
          <w:rFonts w:ascii="Times New Roman" w:hAnsi="Times New Roman" w:cs="Times New Roman" w:eastAsia="Times New Roman" w:hint="default"/>
        </w:rPr>
        <w:t>3</w:t>
      </w:r>
      <w:r>
        <w:rPr/>
        <w:t>） </w:t>
      </w:r>
      <w:r>
        <w:rPr>
          <w:spacing w:val="-3"/>
        </w:rPr>
        <w:t>投资性房地产的后续计量</w:t>
      </w:r>
      <w:r>
        <w:rPr>
          <w:spacing w:val="-73"/>
        </w:rPr>
        <w:t> </w:t>
      </w:r>
      <w:r>
        <w:rPr>
          <w:spacing w:val="-73"/>
        </w:rPr>
      </w:r>
      <w:r>
        <w:rPr>
          <w:spacing w:val="-3"/>
        </w:rPr>
        <w:t>本集团在资产负债表日采用成本模式对投资性房地产进行后续计量。根据《企业会计准则第</w:t>
      </w:r>
      <w:r>
        <w:rPr>
          <w:rFonts w:ascii="Times New Roman" w:hAnsi="Times New Roman" w:cs="Times New Roman" w:eastAsia="Times New Roman" w:hint="default"/>
          <w:spacing w:val="-3"/>
        </w:rPr>
        <w:t>4</w:t>
      </w:r>
      <w:r>
        <w:rPr>
          <w:spacing w:val="-3"/>
        </w:rPr>
        <w:t>号</w:t>
      </w:r>
      <w:r>
        <w:rPr>
          <w:rFonts w:ascii="Times New Roman" w:hAnsi="Times New Roman" w:cs="Times New Roman" w:eastAsia="Times New Roman" w:hint="default"/>
          <w:spacing w:val="-3"/>
        </w:rPr>
        <w:t>——</w:t>
      </w:r>
      <w:r>
        <w:rPr>
          <w:spacing w:val="-3"/>
        </w:rPr>
        <w:t>固定资产》和《企</w:t>
      </w:r>
    </w:p>
    <w:p>
      <w:pPr>
        <w:pStyle w:val="BodyText"/>
        <w:spacing w:line="240" w:lineRule="auto" w:before="13"/>
        <w:ind w:right="855"/>
        <w:jc w:val="left"/>
      </w:pPr>
      <w:r>
        <w:rPr>
          <w:spacing w:val="-3"/>
        </w:rPr>
        <w:t>业会计准则第</w:t>
      </w:r>
      <w:r>
        <w:rPr>
          <w:rFonts w:ascii="Times New Roman" w:hAnsi="Times New Roman" w:cs="Times New Roman" w:eastAsia="Times New Roman" w:hint="default"/>
          <w:spacing w:val="-3"/>
        </w:rPr>
        <w:t>6</w:t>
      </w:r>
      <w:r>
        <w:rPr>
          <w:spacing w:val="-3"/>
        </w:rPr>
        <w:t>号</w:t>
      </w:r>
      <w:r>
        <w:rPr>
          <w:rFonts w:ascii="Times New Roman" w:hAnsi="Times New Roman" w:cs="Times New Roman" w:eastAsia="Times New Roman" w:hint="default"/>
          <w:spacing w:val="-3"/>
        </w:rPr>
        <w:t>——</w:t>
      </w:r>
      <w:r>
        <w:rPr>
          <w:spacing w:val="-3"/>
        </w:rPr>
        <w:t>无形资产》的有关规定，对投资性房地产在预计可使用年限内按年限平均法摊销或计提折旧。</w:t>
      </w:r>
    </w:p>
    <w:p>
      <w:pPr>
        <w:pStyle w:val="BodyText"/>
        <w:spacing w:line="300" w:lineRule="auto" w:before="63"/>
        <w:ind w:left="513" w:right="855"/>
        <w:jc w:val="left"/>
      </w:pPr>
      <w:r>
        <w:rPr/>
        <w:t>（</w:t>
      </w:r>
      <w:r>
        <w:rPr>
          <w:rFonts w:ascii="Times New Roman" w:hAnsi="Times New Roman" w:cs="Times New Roman" w:eastAsia="Times New Roman" w:hint="default"/>
        </w:rPr>
        <w:t>4</w:t>
      </w:r>
      <w:r>
        <w:rPr/>
        <w:t>）投资性房地产减值准备</w:t>
      </w:r>
      <w:r>
        <w:rPr>
          <w:spacing w:val="-85"/>
        </w:rPr>
        <w:t> </w:t>
      </w:r>
      <w:r>
        <w:rPr>
          <w:spacing w:val="-85"/>
        </w:rPr>
      </w:r>
      <w:r>
        <w:rPr>
          <w:spacing w:val="-3"/>
        </w:rPr>
        <w:t>采用成本模式进行后续计量的投资性房地产存在减值迹象，经减值测试后确定发生减值的，应当计提减值准备。</w:t>
      </w:r>
    </w:p>
    <w:p>
      <w:pPr>
        <w:spacing w:after="0" w:line="300" w:lineRule="auto"/>
        <w:jc w:val="left"/>
        <w:sectPr>
          <w:pgSz w:w="11910" w:h="16840"/>
          <w:pgMar w:header="746" w:footer="974" w:top="1060" w:bottom="1160" w:left="980" w:right="0"/>
        </w:sectPr>
      </w:pPr>
    </w:p>
    <w:p>
      <w:pPr>
        <w:spacing w:line="240" w:lineRule="auto" w:before="12"/>
        <w:rPr>
          <w:rFonts w:ascii="宋体" w:hAnsi="宋体" w:cs="宋体" w:eastAsia="宋体" w:hint="default"/>
          <w:sz w:val="24"/>
          <w:szCs w:val="24"/>
        </w:rPr>
      </w:pPr>
    </w:p>
    <w:p>
      <w:pPr>
        <w:pStyle w:val="Heading4"/>
        <w:spacing w:line="240" w:lineRule="auto" w:before="36"/>
        <w:ind w:right="855"/>
        <w:jc w:val="left"/>
        <w:rPr>
          <w:b w:val="0"/>
          <w:bCs w:val="0"/>
        </w:rPr>
      </w:pPr>
      <w:r>
        <w:rPr>
          <w:rFonts w:ascii="Times New Roman" w:hAnsi="Times New Roman" w:cs="Times New Roman" w:eastAsia="Times New Roman" w:hint="default"/>
        </w:rPr>
        <w:t>17</w:t>
      </w:r>
      <w:r>
        <w:rPr/>
        <w:t>、固定资产</w:t>
      </w:r>
      <w:r>
        <w:rPr>
          <w:b w:val="0"/>
          <w:bCs w:val="0"/>
        </w:rPr>
      </w:r>
    </w:p>
    <w:p>
      <w:pPr>
        <w:spacing w:line="240" w:lineRule="auto" w:before="5"/>
        <w:rPr>
          <w:rFonts w:ascii="宋体" w:hAnsi="宋体" w:cs="宋体" w:eastAsia="宋体" w:hint="default"/>
          <w:b/>
          <w:bCs/>
          <w:sz w:val="24"/>
          <w:szCs w:val="24"/>
        </w:rPr>
      </w:pPr>
    </w:p>
    <w:p>
      <w:pPr>
        <w:spacing w:before="0"/>
        <w:ind w:left="153" w:right="85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）确认条件</w:t>
      </w:r>
      <w:r>
        <w:rPr>
          <w:rFonts w:ascii="宋体" w:hAnsi="宋体" w:cs="宋体" w:eastAsia="宋体" w:hint="default"/>
          <w:sz w:val="21"/>
          <w:szCs w:val="21"/>
        </w:rPr>
      </w:r>
    </w:p>
    <w:p>
      <w:pPr>
        <w:spacing w:line="240" w:lineRule="auto" w:before="10"/>
        <w:rPr>
          <w:rFonts w:ascii="宋体" w:hAnsi="宋体" w:cs="宋体" w:eastAsia="宋体" w:hint="default"/>
          <w:b/>
          <w:bCs/>
          <w:sz w:val="26"/>
          <w:szCs w:val="26"/>
        </w:rPr>
      </w:pPr>
    </w:p>
    <w:p>
      <w:pPr>
        <w:pStyle w:val="BodyText"/>
        <w:spacing w:line="338" w:lineRule="auto"/>
        <w:ind w:left="513" w:right="855"/>
        <w:jc w:val="left"/>
      </w:pPr>
      <w:r>
        <w:rPr>
          <w:rFonts w:ascii="Times New Roman" w:hAnsi="Times New Roman" w:cs="Times New Roman" w:eastAsia="Times New Roman" w:hint="default"/>
        </w:rPr>
        <w:t>1</w:t>
      </w:r>
      <w:r>
        <w:rPr/>
        <w:t>）固定资产的确认标准</w:t>
      </w:r>
      <w:r>
        <w:rPr>
          <w:spacing w:val="-85"/>
        </w:rPr>
        <w:t> </w:t>
      </w:r>
      <w:r>
        <w:rPr>
          <w:spacing w:val="-85"/>
        </w:rPr>
      </w:r>
      <w:r>
        <w:rPr>
          <w:spacing w:val="-5"/>
        </w:rPr>
        <w:t>本集团固定资产指为生产商品、提供劳务、出租或经营管理而持有的、使用寿命超过一个会计年度的有形资产。在同时</w:t>
      </w:r>
    </w:p>
    <w:p>
      <w:pPr>
        <w:pStyle w:val="BodyText"/>
        <w:spacing w:line="240" w:lineRule="auto" w:before="2"/>
        <w:ind w:right="855"/>
        <w:jc w:val="left"/>
      </w:pPr>
      <w:r>
        <w:rPr>
          <w:spacing w:val="-3"/>
        </w:rPr>
        <w:t>满足下列条件时才能确认固定资产：</w:t>
      </w:r>
    </w:p>
    <w:p>
      <w:pPr>
        <w:pStyle w:val="BodyText"/>
        <w:spacing w:line="240" w:lineRule="auto" w:before="115"/>
        <w:ind w:left="513" w:right="855"/>
        <w:jc w:val="left"/>
      </w:pPr>
      <w:r>
        <w:rPr>
          <w:spacing w:val="-3"/>
        </w:rPr>
        <w:t>①与该固定资产有关的经济利益很可能流入企业。</w:t>
      </w:r>
    </w:p>
    <w:p>
      <w:pPr>
        <w:pStyle w:val="BodyText"/>
        <w:spacing w:line="240" w:lineRule="auto" w:before="120"/>
        <w:ind w:left="513" w:right="855"/>
        <w:jc w:val="left"/>
      </w:pPr>
      <w:r>
        <w:rPr>
          <w:spacing w:val="-3"/>
        </w:rPr>
        <w:t>②该固定资产的成本能够可靠地计量。</w:t>
      </w:r>
    </w:p>
    <w:p>
      <w:pPr>
        <w:pStyle w:val="BodyText"/>
        <w:spacing w:line="240" w:lineRule="auto" w:before="115"/>
        <w:ind w:left="513" w:right="855"/>
        <w:jc w:val="left"/>
      </w:pPr>
      <w:r>
        <w:rPr>
          <w:rFonts w:ascii="Times New Roman" w:hAnsi="Times New Roman" w:cs="Times New Roman" w:eastAsia="Times New Roman" w:hint="default"/>
          <w:spacing w:val="-3"/>
        </w:rPr>
        <w:t>2</w:t>
      </w:r>
      <w:r>
        <w:rPr>
          <w:spacing w:val="-3"/>
        </w:rPr>
        <w:t>）固定资产的初始计量本集团固定资产按照成本进行初始计量。</w:t>
      </w:r>
    </w:p>
    <w:p>
      <w:pPr>
        <w:pStyle w:val="BodyText"/>
        <w:spacing w:line="312" w:lineRule="auto" w:before="101"/>
        <w:ind w:right="1123" w:firstLine="360"/>
        <w:jc w:val="both"/>
      </w:pPr>
      <w:r>
        <w:rPr>
          <w:spacing w:val="-5"/>
        </w:rPr>
        <w:t>①外购固定资产的成本，包括购买价款、相关税费、使固定资产达到预定可使用状态前所发生的可归属于该项资产的运</w:t>
      </w:r>
      <w:r>
        <w:rPr>
          <w:w w:val="101"/>
        </w:rPr>
        <w:t> </w:t>
      </w:r>
      <w:r>
        <w:rPr>
          <w:spacing w:val="-4"/>
        </w:rPr>
        <w:t>输费、装卸费、安装费和专业人员服务费等。购买固定资产的价款超过正常信用条件延期支付，实质上具有融资性质的，固</w:t>
      </w:r>
      <w:r>
        <w:rPr>
          <w:spacing w:val="40"/>
        </w:rPr>
        <w:t> </w:t>
      </w:r>
      <w:r>
        <w:rPr>
          <w:spacing w:val="40"/>
        </w:rPr>
      </w:r>
      <w:r>
        <w:rPr>
          <w:spacing w:val="-3"/>
        </w:rPr>
        <w:t>定资产的成本以购买价款的现值为基础确定。实际支付的价款与购买价款的现值之间的差额，除按照《企业会计准则第 </w:t>
      </w:r>
      <w:r>
        <w:rPr>
          <w:rFonts w:ascii="Times New Roman" w:hAnsi="Times New Roman" w:cs="Times New Roman" w:eastAsia="Times New Roman" w:hint="default"/>
        </w:rPr>
        <w:t>17</w:t>
      </w:r>
      <w:r>
        <w:rPr>
          <w:rFonts w:ascii="Times New Roman" w:hAnsi="Times New Roman" w:cs="Times New Roman" w:eastAsia="Times New Roman" w:hint="default"/>
          <w:spacing w:val="21"/>
        </w:rPr>
        <w:t> </w:t>
      </w:r>
      <w:r>
        <w:rPr>
          <w:spacing w:val="-3"/>
        </w:rPr>
        <w:t>号</w:t>
      </w:r>
      <w:r>
        <w:rPr>
          <w:rFonts w:ascii="Times New Roman" w:hAnsi="Times New Roman" w:cs="Times New Roman" w:eastAsia="Times New Roman" w:hint="default"/>
          <w:spacing w:val="-3"/>
        </w:rPr>
        <w:t>——</w:t>
      </w:r>
      <w:r>
        <w:rPr>
          <w:spacing w:val="-3"/>
        </w:rPr>
        <w:t>借款费用》可予以资本化的以外，在信用期间内计入当期损益。</w:t>
      </w:r>
    </w:p>
    <w:p>
      <w:pPr>
        <w:pStyle w:val="BodyText"/>
        <w:spacing w:line="240" w:lineRule="auto" w:before="46"/>
        <w:ind w:left="513" w:right="855"/>
        <w:jc w:val="left"/>
      </w:pPr>
      <w:r>
        <w:rPr>
          <w:spacing w:val="-3"/>
        </w:rPr>
        <w:t>②自行建造固定资产的成本，由建造该项资产达到预定可使用状态前所发生的必要支出构成。</w:t>
      </w:r>
    </w:p>
    <w:p>
      <w:pPr>
        <w:pStyle w:val="BodyText"/>
        <w:spacing w:line="240" w:lineRule="auto" w:before="115"/>
        <w:ind w:left="513" w:right="855"/>
        <w:jc w:val="left"/>
      </w:pPr>
      <w:r>
        <w:rPr>
          <w:spacing w:val="-3"/>
        </w:rPr>
        <w:t>③投资者投入固定资产的成本，按照投资合同或协议约定的价值确定，但合同或协议约定价值不公允的除外。</w:t>
      </w:r>
    </w:p>
    <w:p>
      <w:pPr>
        <w:pStyle w:val="BodyText"/>
        <w:spacing w:line="300" w:lineRule="auto" w:before="115"/>
        <w:ind w:right="855" w:firstLine="360"/>
        <w:jc w:val="left"/>
      </w:pPr>
      <w:r>
        <w:rPr>
          <w:spacing w:val="-5"/>
        </w:rPr>
        <w:t>④非货币性资产交换、债务重组、企业合并和融资租赁取得的固定资产的成本，分别按照《企业会计准则第 </w:t>
      </w:r>
      <w:r>
        <w:rPr>
          <w:rFonts w:ascii="Times New Roman" w:hAnsi="Times New Roman" w:cs="Times New Roman" w:eastAsia="Times New Roman" w:hint="default"/>
        </w:rPr>
        <w:t>7</w:t>
      </w:r>
      <w:r>
        <w:rPr>
          <w:rFonts w:ascii="Times New Roman" w:hAnsi="Times New Roman" w:cs="Times New Roman" w:eastAsia="Times New Roman" w:hint="default"/>
          <w:spacing w:val="39"/>
        </w:rPr>
        <w:t> </w:t>
      </w:r>
      <w:r>
        <w:rPr/>
        <w:t>号</w:t>
      </w:r>
      <w:r>
        <w:rPr>
          <w:rFonts w:ascii="Times New Roman" w:hAnsi="Times New Roman" w:cs="Times New Roman" w:eastAsia="Times New Roman" w:hint="default"/>
        </w:rPr>
        <w:t>——</w:t>
      </w:r>
      <w:r>
        <w:rPr/>
        <w:t>非</w:t>
      </w:r>
      <w:r>
        <w:rPr>
          <w:w w:val="101"/>
        </w:rPr>
        <w:t> </w:t>
      </w:r>
      <w:r>
        <w:rPr>
          <w:spacing w:val="-13"/>
          <w:w w:val="101"/>
        </w:rPr>
        <w:t>货币性资产交换》、《企业会计准则第</w:t>
      </w:r>
      <w:r>
        <w:rPr>
          <w:spacing w:val="-46"/>
          <w:w w:val="101"/>
        </w:rPr>
        <w:t> </w:t>
      </w:r>
      <w:r>
        <w:rPr>
          <w:rFonts w:ascii="Times New Roman" w:hAnsi="Times New Roman" w:cs="Times New Roman" w:eastAsia="Times New Roman" w:hint="default"/>
          <w:w w:val="101"/>
        </w:rPr>
        <w:t>12</w:t>
      </w:r>
      <w:r>
        <w:rPr>
          <w:rFonts w:ascii="Times New Roman" w:hAnsi="Times New Roman" w:cs="Times New Roman" w:eastAsia="Times New Roman" w:hint="default"/>
          <w:spacing w:val="-2"/>
          <w:w w:val="101"/>
        </w:rPr>
        <w:t> </w:t>
      </w:r>
      <w:r>
        <w:rPr>
          <w:spacing w:val="-13"/>
          <w:w w:val="101"/>
        </w:rPr>
        <w:t>号</w:t>
      </w:r>
      <w:r>
        <w:rPr>
          <w:rFonts w:ascii="Times New Roman" w:hAnsi="Times New Roman" w:cs="Times New Roman" w:eastAsia="Times New Roman" w:hint="default"/>
          <w:spacing w:val="-13"/>
          <w:w w:val="101"/>
        </w:rPr>
        <w:t>——</w:t>
      </w:r>
      <w:r>
        <w:rPr>
          <w:spacing w:val="-13"/>
          <w:w w:val="101"/>
        </w:rPr>
        <w:t>债务重组》、《企业会计准则第</w:t>
      </w:r>
      <w:r>
        <w:rPr>
          <w:spacing w:val="-47"/>
          <w:w w:val="101"/>
        </w:rPr>
        <w:t> </w:t>
      </w:r>
      <w:r>
        <w:rPr>
          <w:rFonts w:ascii="Times New Roman" w:hAnsi="Times New Roman" w:cs="Times New Roman" w:eastAsia="Times New Roman" w:hint="default"/>
          <w:w w:val="101"/>
        </w:rPr>
        <w:t>20</w:t>
      </w:r>
      <w:r>
        <w:rPr>
          <w:rFonts w:ascii="Times New Roman" w:hAnsi="Times New Roman" w:cs="Times New Roman" w:eastAsia="Times New Roman" w:hint="default"/>
          <w:spacing w:val="-6"/>
          <w:w w:val="101"/>
        </w:rPr>
        <w:t> </w:t>
      </w:r>
      <w:r>
        <w:rPr>
          <w:spacing w:val="-13"/>
          <w:w w:val="101"/>
        </w:rPr>
        <w:t>号</w:t>
      </w:r>
      <w:r>
        <w:rPr>
          <w:rFonts w:ascii="Times New Roman" w:hAnsi="Times New Roman" w:cs="Times New Roman" w:eastAsia="Times New Roman" w:hint="default"/>
          <w:spacing w:val="-13"/>
          <w:w w:val="101"/>
        </w:rPr>
        <w:t>——</w:t>
      </w:r>
      <w:r>
        <w:rPr>
          <w:spacing w:val="-13"/>
          <w:w w:val="101"/>
        </w:rPr>
        <w:t>企业合并》、《企业会计准则第</w:t>
      </w:r>
      <w:r>
        <w:rPr>
          <w:spacing w:val="-47"/>
          <w:w w:val="101"/>
        </w:rPr>
        <w:t> </w:t>
      </w:r>
      <w:r>
        <w:rPr>
          <w:rFonts w:ascii="Times New Roman" w:hAnsi="Times New Roman" w:cs="Times New Roman" w:eastAsia="Times New Roman" w:hint="default"/>
          <w:w w:val="101"/>
        </w:rPr>
        <w:t>21</w:t>
      </w:r>
      <w:r>
        <w:rPr>
          <w:rFonts w:ascii="Times New Roman" w:hAnsi="Times New Roman" w:cs="Times New Roman" w:eastAsia="Times New Roman" w:hint="default"/>
          <w:spacing w:val="-7"/>
          <w:w w:val="101"/>
        </w:rPr>
        <w:t> </w:t>
      </w:r>
      <w:r>
        <w:rPr>
          <w:w w:val="101"/>
        </w:rPr>
        <w:t>号</w:t>
      </w:r>
      <w:r>
        <w:rPr/>
      </w:r>
    </w:p>
    <w:p>
      <w:pPr>
        <w:pStyle w:val="BodyText"/>
        <w:spacing w:line="240" w:lineRule="auto" w:before="13"/>
        <w:ind w:right="855"/>
        <w:jc w:val="left"/>
      </w:pPr>
      <w:r>
        <w:rPr>
          <w:rFonts w:ascii="Times New Roman" w:hAnsi="Times New Roman" w:cs="Times New Roman" w:eastAsia="Times New Roman" w:hint="default"/>
          <w:spacing w:val="-3"/>
        </w:rPr>
        <w:t>——</w:t>
      </w:r>
      <w:r>
        <w:rPr>
          <w:spacing w:val="-3"/>
        </w:rPr>
        <w:t>租赁》的有关规定确定。</w:t>
      </w:r>
    </w:p>
    <w:p>
      <w:pPr>
        <w:pStyle w:val="BodyText"/>
        <w:spacing w:line="240" w:lineRule="auto" w:before="106"/>
        <w:ind w:left="513" w:right="855"/>
        <w:jc w:val="left"/>
      </w:pPr>
      <w:r>
        <w:rPr>
          <w:rFonts w:ascii="Times New Roman" w:hAnsi="Times New Roman" w:cs="Times New Roman" w:eastAsia="Times New Roman" w:hint="default"/>
        </w:rPr>
        <w:t>3</w:t>
      </w:r>
      <w:r>
        <w:rPr/>
        <w:t>） </w:t>
      </w:r>
      <w:r>
        <w:rPr>
          <w:spacing w:val="31"/>
        </w:rPr>
        <w:t> </w:t>
      </w:r>
      <w:r>
        <w:rPr>
          <w:spacing w:val="-3"/>
        </w:rPr>
        <w:t>固定资产的分类本公司固定资产分为房屋及建筑物、机器设备、电子设备、运输设备、其他等。</w:t>
      </w:r>
    </w:p>
    <w:p>
      <w:pPr>
        <w:pStyle w:val="BodyText"/>
        <w:spacing w:line="240" w:lineRule="auto" w:before="101"/>
        <w:ind w:left="513" w:right="855"/>
        <w:jc w:val="left"/>
      </w:pPr>
      <w:r>
        <w:rPr>
          <w:rFonts w:ascii="Times New Roman" w:hAnsi="Times New Roman" w:cs="Times New Roman" w:eastAsia="Times New Roman" w:hint="default"/>
        </w:rPr>
        <w:t>4</w:t>
      </w:r>
      <w:r>
        <w:rPr/>
        <w:t>）固定资产折旧</w:t>
      </w:r>
    </w:p>
    <w:p>
      <w:pPr>
        <w:pStyle w:val="BodyText"/>
        <w:spacing w:line="319" w:lineRule="auto" w:before="101"/>
        <w:ind w:right="855" w:firstLine="360"/>
        <w:jc w:val="left"/>
      </w:pPr>
      <w:r>
        <w:rPr>
          <w:spacing w:val="-6"/>
        </w:rPr>
        <w:t>①折旧方法及使用寿命、预计净残值率和年折旧率的确定：固定资产折旧采用年限平均法计提折旧。按固定资产的类别、</w:t>
      </w:r>
      <w:r>
        <w:rPr>
          <w:w w:val="101"/>
        </w:rPr>
        <w:t> </w:t>
      </w:r>
      <w:r>
        <w:rPr>
          <w:spacing w:val="-4"/>
        </w:rPr>
        <w:t>使用寿命和预计净残值率确定的年折旧率如下：已计提减值准备的固定资产折旧计提方法：已计提减值准备的固定资产，按</w:t>
      </w:r>
      <w:r>
        <w:rPr>
          <w:spacing w:val="43"/>
        </w:rPr>
        <w:t> </w:t>
      </w:r>
      <w:r>
        <w:rPr>
          <w:spacing w:val="43"/>
        </w:rPr>
      </w:r>
      <w:r>
        <w:rPr>
          <w:spacing w:val="-4"/>
        </w:rPr>
        <w:t>该项固定资产的原价扣除预计净残值、已提折旧及减值准备后的金额和剩余使用寿命，计提折旧。已达到预定可使用状态但</w:t>
      </w:r>
      <w:r>
        <w:rPr>
          <w:spacing w:val="43"/>
        </w:rPr>
        <w:t> </w:t>
      </w:r>
      <w:r>
        <w:rPr>
          <w:spacing w:val="43"/>
        </w:rPr>
      </w:r>
      <w:r>
        <w:rPr>
          <w:spacing w:val="-4"/>
        </w:rPr>
        <w:t>尚未办理竣工决算的固定资产，按照估计价值确定其成本，并计提折旧；待办理竣工决算后，再按实际成本调整原来的暂估</w:t>
      </w:r>
      <w:r>
        <w:rPr>
          <w:spacing w:val="40"/>
        </w:rPr>
        <w:t> </w:t>
      </w:r>
      <w:r>
        <w:rPr>
          <w:spacing w:val="40"/>
        </w:rPr>
      </w:r>
      <w:r>
        <w:rPr>
          <w:spacing w:val="-3"/>
        </w:rPr>
        <w:t>价值，但不需要调整原已计提的折旧额。</w:t>
      </w:r>
    </w:p>
    <w:p>
      <w:pPr>
        <w:pStyle w:val="BodyText"/>
        <w:spacing w:line="319" w:lineRule="auto" w:before="60"/>
        <w:ind w:right="1121" w:firstLine="360"/>
        <w:jc w:val="both"/>
      </w:pPr>
      <w:r>
        <w:rPr>
          <w:spacing w:val="-4"/>
        </w:rPr>
        <w:t>②对固定资产的使用寿命、预计净残值和折旧方法的复核：本公司至少于每年年度终了时，对固定资产的使用寿命、预</w:t>
      </w:r>
      <w:r>
        <w:rPr>
          <w:w w:val="101"/>
        </w:rPr>
        <w:t> </w:t>
      </w:r>
      <w:r>
        <w:rPr>
          <w:spacing w:val="-4"/>
        </w:rPr>
        <w:t>计净残值和折旧方法进行复核，如果发现固定资产使用寿命预计数与原先估计数有差异的，调整固定资产使用寿命；预计净</w:t>
      </w:r>
      <w:r>
        <w:rPr>
          <w:spacing w:val="43"/>
        </w:rPr>
        <w:t> </w:t>
      </w:r>
      <w:r>
        <w:rPr>
          <w:spacing w:val="43"/>
        </w:rPr>
      </w:r>
      <w:r>
        <w:rPr>
          <w:spacing w:val="-4"/>
        </w:rPr>
        <w:t>残值的预计数与原先估计数有差异的，调整预计净残值；与固定资产有关的经济利益预期实现方式有重大改变的，改变固定</w:t>
      </w:r>
      <w:r>
        <w:rPr>
          <w:spacing w:val="43"/>
        </w:rPr>
        <w:t> </w:t>
      </w:r>
      <w:r>
        <w:rPr>
          <w:spacing w:val="43"/>
        </w:rPr>
      </w:r>
      <w:r>
        <w:rPr>
          <w:spacing w:val="-3"/>
        </w:rPr>
        <w:t>资产折旧方法。固定资产使用寿命、预计净残值和折旧方法的改变作为会计估计变更处理。</w:t>
      </w:r>
    </w:p>
    <w:p>
      <w:pPr>
        <w:pStyle w:val="BodyText"/>
        <w:spacing w:line="312" w:lineRule="auto" w:before="55"/>
        <w:ind w:right="855" w:firstLine="360"/>
        <w:jc w:val="left"/>
      </w:pPr>
      <w:r>
        <w:rPr>
          <w:rFonts w:ascii="Times New Roman" w:hAnsi="Times New Roman" w:cs="Times New Roman" w:eastAsia="Times New Roman" w:hint="default"/>
          <w:spacing w:val="-3"/>
        </w:rPr>
        <w:t>5</w:t>
      </w:r>
      <w:r>
        <w:rPr>
          <w:spacing w:val="-3"/>
        </w:rPr>
        <w:t>）固定资产后续支出的处理固定资产后续支出指固定资产在使用过程中发生的主要包括修理支出、更新改造支出、修</w:t>
      </w:r>
      <w:r>
        <w:rPr>
          <w:w w:val="101"/>
        </w:rPr>
        <w:t> </w:t>
      </w:r>
      <w:r>
        <w:rPr>
          <w:spacing w:val="-6"/>
        </w:rPr>
        <w:t>理费用、装修支出等。其会计处理方法为：固定资产的更新改造等后续支出，满足固定资产确认条件的，计入固定资产成本，</w:t>
      </w:r>
      <w:r>
        <w:rPr>
          <w:spacing w:val="69"/>
        </w:rPr>
        <w:t> </w:t>
      </w:r>
      <w:r>
        <w:rPr>
          <w:spacing w:val="69"/>
        </w:rPr>
      </w:r>
      <w:r>
        <w:rPr>
          <w:spacing w:val="-4"/>
        </w:rPr>
        <w:t>如有被替换的部分，应扣除其账面价值；不满足固定资产确认条件的固定资产修理费用等，在发生时计入当期损益；固定资</w:t>
      </w:r>
      <w:r>
        <w:rPr>
          <w:spacing w:val="40"/>
        </w:rPr>
        <w:t> </w:t>
      </w:r>
      <w:r>
        <w:rPr>
          <w:spacing w:val="40"/>
        </w:rPr>
      </w:r>
      <w:r>
        <w:rPr>
          <w:spacing w:val="-4"/>
        </w:rPr>
        <w:t>产装修费用，在满足固定资产确认条件时，在</w:t>
      </w:r>
      <w:r>
        <w:rPr>
          <w:rFonts w:ascii="Times New Roman" w:hAnsi="Times New Roman" w:cs="Times New Roman" w:eastAsia="Times New Roman" w:hint="default"/>
          <w:spacing w:val="-4"/>
        </w:rPr>
        <w:t>“</w:t>
      </w:r>
      <w:r>
        <w:rPr>
          <w:spacing w:val="-4"/>
        </w:rPr>
        <w:t>固定资产</w:t>
      </w:r>
      <w:r>
        <w:rPr>
          <w:rFonts w:ascii="Times New Roman" w:hAnsi="Times New Roman" w:cs="Times New Roman" w:eastAsia="Times New Roman" w:hint="default"/>
          <w:spacing w:val="-4"/>
        </w:rPr>
        <w:t>”</w:t>
      </w:r>
      <w:r>
        <w:rPr>
          <w:spacing w:val="-4"/>
        </w:rPr>
        <w:t>内单设明细科目核算，并在两次装修期间与固定资产尚可使用年限</w:t>
      </w:r>
      <w:r>
        <w:rPr>
          <w:spacing w:val="65"/>
        </w:rPr>
        <w:t> </w:t>
      </w:r>
      <w:r>
        <w:rPr>
          <w:spacing w:val="65"/>
        </w:rPr>
      </w:r>
      <w:r>
        <w:rPr>
          <w:spacing w:val="-4"/>
        </w:rPr>
        <w:t>两者中较短的期间内，采用年限平均法单独计提折旧。以经营租赁方式租入的固定资产发生的改良支出予以资本化，作为长</w:t>
      </w:r>
      <w:r>
        <w:rPr>
          <w:spacing w:val="43"/>
        </w:rPr>
        <w:t> </w:t>
      </w:r>
      <w:r>
        <w:rPr>
          <w:spacing w:val="43"/>
        </w:rPr>
      </w:r>
      <w:r>
        <w:rPr>
          <w:spacing w:val="-3"/>
        </w:rPr>
        <w:t>期待摊费用，合理进行摊销。</w:t>
      </w:r>
    </w:p>
    <w:p>
      <w:pPr>
        <w:spacing w:line="240" w:lineRule="auto" w:before="7"/>
        <w:rPr>
          <w:rFonts w:ascii="宋体" w:hAnsi="宋体" w:cs="宋体" w:eastAsia="宋体" w:hint="default"/>
          <w:sz w:val="22"/>
          <w:szCs w:val="22"/>
        </w:rPr>
      </w:pPr>
    </w:p>
    <w:p>
      <w:pPr>
        <w:pStyle w:val="Heading4"/>
        <w:spacing w:line="240" w:lineRule="auto"/>
        <w:ind w:right="855"/>
        <w:jc w:val="left"/>
        <w:rPr>
          <w:b w:val="0"/>
          <w:bCs w:val="0"/>
        </w:rPr>
      </w:pPr>
      <w:r>
        <w:rPr/>
        <w:t>（</w:t>
      </w:r>
      <w:r>
        <w:rPr>
          <w:rFonts w:ascii="Times New Roman" w:hAnsi="Times New Roman" w:cs="Times New Roman" w:eastAsia="Times New Roman" w:hint="default"/>
        </w:rPr>
        <w:t>2</w:t>
      </w:r>
      <w:r>
        <w:rPr/>
        <w:t>）折旧方法</w:t>
      </w:r>
      <w:r>
        <w:rPr>
          <w:b w:val="0"/>
          <w:bCs w:val="0"/>
        </w:rPr>
      </w:r>
    </w:p>
    <w:p>
      <w:pPr>
        <w:spacing w:line="240" w:lineRule="auto" w:before="12"/>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916"/>
        <w:gridCol w:w="1916"/>
        <w:gridCol w:w="1911"/>
        <w:gridCol w:w="1916"/>
        <w:gridCol w:w="1916"/>
      </w:tblGrid>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20-40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5%-10%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2.25%-4.75%</w:t>
            </w:r>
          </w:p>
        </w:tc>
      </w:tr>
      <w:tr>
        <w:trPr>
          <w:trHeight w:val="398"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10-12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5%-10%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7.50%-9.50%</w:t>
            </w:r>
          </w:p>
        </w:tc>
      </w:tr>
    </w:tbl>
    <w:p>
      <w:pPr>
        <w:spacing w:after="0" w:line="240" w:lineRule="auto"/>
        <w:jc w:val="left"/>
        <w:rPr>
          <w:rFonts w:ascii="Times New Roman" w:hAnsi="Times New Roman" w:cs="Times New Roman" w:eastAsia="Times New Roman" w:hint="default"/>
          <w:sz w:val="18"/>
          <w:szCs w:val="18"/>
        </w:rPr>
        <w:sectPr>
          <w:pgSz w:w="11910" w:h="16840"/>
          <w:pgMar w:header="746" w:footer="974"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1916"/>
        <w:gridCol w:w="1916"/>
        <w:gridCol w:w="1911"/>
        <w:gridCol w:w="1916"/>
        <w:gridCol w:w="1916"/>
      </w:tblGrid>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5-6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5%-10%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15.00%-19.00%</w:t>
            </w:r>
          </w:p>
        </w:tc>
      </w:tr>
      <w:tr>
        <w:trPr>
          <w:trHeight w:val="398"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5-10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5%-10%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9.00%-19.00%</w:t>
            </w:r>
          </w:p>
        </w:tc>
      </w:tr>
      <w:tr>
        <w:trPr>
          <w:trHeight w:val="404"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3"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4" w:right="0"/>
              <w:jc w:val="left"/>
              <w:rPr>
                <w:rFonts w:ascii="Times New Roman" w:hAnsi="Times New Roman" w:cs="Times New Roman" w:eastAsia="Times New Roman" w:hint="default"/>
                <w:sz w:val="18"/>
                <w:szCs w:val="18"/>
              </w:rPr>
            </w:pPr>
            <w:r>
              <w:rPr>
                <w:rFonts w:ascii="Times New Roman"/>
                <w:sz w:val="18"/>
              </w:rPr>
              <w:t>5%-10%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3" w:right="0"/>
              <w:jc w:val="left"/>
              <w:rPr>
                <w:rFonts w:ascii="Times New Roman" w:hAnsi="Times New Roman" w:cs="Times New Roman" w:eastAsia="Times New Roman" w:hint="default"/>
                <w:sz w:val="18"/>
                <w:szCs w:val="18"/>
              </w:rPr>
            </w:pPr>
            <w:r>
              <w:rPr>
                <w:rFonts w:ascii="Times New Roman"/>
                <w:sz w:val="18"/>
              </w:rPr>
              <w:t>18.00%-19.00%</w:t>
            </w:r>
          </w:p>
        </w:tc>
      </w:tr>
    </w:tbl>
    <w:p>
      <w:pPr>
        <w:spacing w:line="240" w:lineRule="auto" w:before="3"/>
        <w:rPr>
          <w:rFonts w:ascii="宋体" w:hAnsi="宋体" w:cs="宋体" w:eastAsia="宋体" w:hint="default"/>
          <w:b/>
          <w:bCs/>
          <w:sz w:val="19"/>
          <w:szCs w:val="19"/>
        </w:rPr>
      </w:pPr>
    </w:p>
    <w:p>
      <w:pPr>
        <w:pStyle w:val="Heading4"/>
        <w:spacing w:line="240" w:lineRule="auto" w:before="36"/>
        <w:ind w:right="855"/>
        <w:jc w:val="left"/>
        <w:rPr>
          <w:b w:val="0"/>
          <w:bCs w:val="0"/>
        </w:rPr>
      </w:pP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9"/>
        <w:rPr>
          <w:rFonts w:ascii="宋体" w:hAnsi="宋体" w:cs="宋体" w:eastAsia="宋体" w:hint="default"/>
          <w:b/>
          <w:bCs/>
          <w:sz w:val="26"/>
          <w:szCs w:val="26"/>
        </w:rPr>
      </w:pPr>
    </w:p>
    <w:p>
      <w:pPr>
        <w:pStyle w:val="BodyText"/>
        <w:spacing w:line="319" w:lineRule="auto"/>
        <w:ind w:right="1124" w:firstLine="360"/>
        <w:jc w:val="both"/>
      </w:pPr>
      <w:r>
        <w:rPr>
          <w:spacing w:val="-5"/>
          <w:w w:val="101"/>
        </w:rPr>
        <w:t>实质上转移了与资产所有权有关的全部风险和报酬的租赁为融资租赁。融资租入固定资产以租赁资产的公允价值与最低</w:t>
      </w:r>
      <w:r>
        <w:rPr>
          <w:w w:val="101"/>
        </w:rPr>
        <w:t> </w:t>
      </w:r>
      <w:r>
        <w:rPr>
          <w:spacing w:val="-3"/>
        </w:rPr>
        <w:t>租赁付款额的现值两者中的较低者作为租入资产的入账价值。租入资产的入账价值与最低租 赁付款额之间的差额作为未确</w:t>
      </w:r>
      <w:r>
        <w:rPr>
          <w:spacing w:val="-16"/>
        </w:rPr>
        <w:t> </w:t>
      </w:r>
      <w:r>
        <w:rPr>
          <w:spacing w:val="-16"/>
        </w:rPr>
      </w:r>
      <w:r>
        <w:rPr>
          <w:spacing w:val="-4"/>
        </w:rPr>
        <w:t>认融资费用。融资租入的固定资产采用与自有固定资产相一致的折旧政策。能够合理确定租赁期届满时将取得租入资产所有</w:t>
      </w:r>
      <w:r>
        <w:rPr>
          <w:spacing w:val="42"/>
        </w:rPr>
        <w:t> </w:t>
      </w:r>
      <w:r>
        <w:rPr>
          <w:spacing w:val="42"/>
        </w:rPr>
      </w:r>
      <w:r>
        <w:rPr>
          <w:spacing w:val="-3"/>
        </w:rPr>
        <w:t>权的，租入固定资产在其预计使用寿命内计提折旧；否则，租入固定资产在租赁期与该资产预计使用 寿命两者中较短的期</w:t>
      </w:r>
      <w:r>
        <w:rPr>
          <w:spacing w:val="-15"/>
        </w:rPr>
        <w:t> </w:t>
      </w:r>
      <w:r>
        <w:rPr>
          <w:spacing w:val="-15"/>
        </w:rPr>
      </w:r>
      <w:r>
        <w:rPr>
          <w:spacing w:val="-3"/>
        </w:rPr>
        <w:t>间内计提折旧。</w:t>
      </w:r>
    </w:p>
    <w:p>
      <w:pPr>
        <w:spacing w:line="240" w:lineRule="auto" w:before="1"/>
        <w:rPr>
          <w:rFonts w:ascii="宋体" w:hAnsi="宋体" w:cs="宋体" w:eastAsia="宋体" w:hint="default"/>
          <w:sz w:val="22"/>
          <w:szCs w:val="22"/>
        </w:rPr>
      </w:pPr>
    </w:p>
    <w:p>
      <w:pPr>
        <w:pStyle w:val="Heading4"/>
        <w:spacing w:line="240" w:lineRule="auto"/>
        <w:ind w:right="855"/>
        <w:jc w:val="left"/>
        <w:rPr>
          <w:b w:val="0"/>
          <w:bCs w:val="0"/>
        </w:rPr>
      </w:pPr>
      <w:r>
        <w:rPr>
          <w:rFonts w:ascii="Times New Roman" w:hAnsi="Times New Roman" w:cs="Times New Roman" w:eastAsia="Times New Roman" w:hint="default"/>
        </w:rPr>
        <w:t>18</w:t>
      </w:r>
      <w:r>
        <w:rPr/>
        <w:t>、在建工程</w:t>
      </w:r>
      <w:r>
        <w:rPr>
          <w:b w:val="0"/>
          <w:bCs w:val="0"/>
        </w:rPr>
      </w:r>
    </w:p>
    <w:p>
      <w:pPr>
        <w:spacing w:line="240" w:lineRule="auto" w:before="10"/>
        <w:rPr>
          <w:rFonts w:ascii="宋体" w:hAnsi="宋体" w:cs="宋体" w:eastAsia="宋体" w:hint="default"/>
          <w:b/>
          <w:bCs/>
          <w:sz w:val="26"/>
          <w:szCs w:val="26"/>
        </w:rPr>
      </w:pPr>
    </w:p>
    <w:p>
      <w:pPr>
        <w:pStyle w:val="BodyText"/>
        <w:spacing w:line="338" w:lineRule="auto"/>
        <w:ind w:left="522" w:right="6110"/>
        <w:jc w:val="left"/>
      </w:pPr>
      <w:r>
        <w:rPr/>
        <w:t>（</w:t>
      </w:r>
      <w:r>
        <w:rPr>
          <w:rFonts w:ascii="Times New Roman" w:hAnsi="Times New Roman" w:cs="Times New Roman" w:eastAsia="Times New Roman" w:hint="default"/>
        </w:rPr>
        <w:t>1</w:t>
      </w:r>
      <w:r>
        <w:rPr/>
        <w:t>）在建工程计价</w:t>
      </w:r>
      <w:r>
        <w:rPr>
          <w:spacing w:val="-85"/>
        </w:rPr>
        <w:t> </w:t>
      </w:r>
      <w:r>
        <w:rPr>
          <w:spacing w:val="-85"/>
        </w:rPr>
      </w:r>
      <w:r>
        <w:rPr>
          <w:spacing w:val="-3"/>
        </w:rPr>
        <w:t>本公司的在建工程按工程项目分别核算。</w:t>
      </w:r>
    </w:p>
    <w:p>
      <w:pPr>
        <w:pStyle w:val="BodyText"/>
        <w:spacing w:line="316" w:lineRule="auto" w:before="46"/>
        <w:ind w:right="1215" w:firstLine="369"/>
        <w:jc w:val="both"/>
      </w:pPr>
      <w:r>
        <w:rPr>
          <w:spacing w:val="-3"/>
        </w:rPr>
        <w:t>本公司的在建工程成本按实际工程支出确定，包括在建期间发生的各项工程支出、工程达到预定可使用状态前的资本</w:t>
      </w:r>
      <w:r>
        <w:rPr>
          <w:w w:val="101"/>
        </w:rPr>
        <w:t> </w:t>
      </w:r>
      <w:r>
        <w:rPr>
          <w:spacing w:val="-3"/>
        </w:rPr>
        <w:t>化的借款费用以及其他相关费用等。</w:t>
      </w:r>
    </w:p>
    <w:p>
      <w:pPr>
        <w:pStyle w:val="BodyText"/>
        <w:spacing w:line="338" w:lineRule="auto" w:before="57"/>
        <w:ind w:left="522" w:right="855"/>
        <w:jc w:val="left"/>
      </w:pPr>
      <w:r>
        <w:rPr>
          <w:spacing w:val="-3"/>
        </w:rPr>
        <w:t>（</w:t>
      </w:r>
      <w:r>
        <w:rPr>
          <w:rFonts w:ascii="Times New Roman" w:hAnsi="Times New Roman" w:cs="Times New Roman" w:eastAsia="Times New Roman" w:hint="default"/>
          <w:spacing w:val="-3"/>
        </w:rPr>
        <w:t>2</w:t>
      </w:r>
      <w:r>
        <w:rPr>
          <w:spacing w:val="-3"/>
        </w:rPr>
        <w:t>）在建工程结转为固定资产的时点</w:t>
      </w:r>
      <w:r>
        <w:rPr>
          <w:spacing w:val="-35"/>
        </w:rPr>
        <w:t> </w:t>
      </w:r>
      <w:r>
        <w:rPr>
          <w:spacing w:val="-35"/>
        </w:rPr>
      </w:r>
      <w:r>
        <w:rPr>
          <w:spacing w:val="-3"/>
        </w:rPr>
        <w:t>在建工程达到预定可使用状态时，按工程实际成本转入固定资产。对已达到预定可使用状态但尚未办理竣工决算手续</w:t>
      </w:r>
    </w:p>
    <w:p>
      <w:pPr>
        <w:pStyle w:val="BodyText"/>
        <w:spacing w:line="240" w:lineRule="auto" w:before="2"/>
        <w:ind w:right="855"/>
        <w:jc w:val="left"/>
      </w:pPr>
      <w:r>
        <w:rPr>
          <w:spacing w:val="-3"/>
        </w:rPr>
        <w:t>的固定资产，按估计价值记账，待确定实际价值后，再进行调整。</w:t>
      </w:r>
    </w:p>
    <w:p>
      <w:pPr>
        <w:spacing w:line="240" w:lineRule="auto" w:before="0"/>
        <w:rPr>
          <w:rFonts w:ascii="宋体" w:hAnsi="宋体" w:cs="宋体" w:eastAsia="宋体" w:hint="default"/>
          <w:sz w:val="18"/>
          <w:szCs w:val="18"/>
        </w:rPr>
      </w:pPr>
    </w:p>
    <w:p>
      <w:pPr>
        <w:pStyle w:val="Heading4"/>
        <w:spacing w:line="240" w:lineRule="auto" w:before="118"/>
        <w:ind w:right="855"/>
        <w:jc w:val="left"/>
        <w:rPr>
          <w:b w:val="0"/>
          <w:bCs w:val="0"/>
        </w:rPr>
      </w:pPr>
      <w:r>
        <w:rPr>
          <w:rFonts w:ascii="Times New Roman" w:hAnsi="Times New Roman" w:cs="Times New Roman" w:eastAsia="Times New Roman" w:hint="default"/>
        </w:rPr>
        <w:t>19</w:t>
      </w:r>
      <w:r>
        <w:rPr/>
        <w:t>、借款费用</w:t>
      </w:r>
      <w:r>
        <w:rPr>
          <w:b w:val="0"/>
          <w:bCs w:val="0"/>
        </w:rPr>
      </w:r>
    </w:p>
    <w:p>
      <w:pPr>
        <w:spacing w:line="240" w:lineRule="auto" w:before="5"/>
        <w:rPr>
          <w:rFonts w:ascii="宋体" w:hAnsi="宋体" w:cs="宋体" w:eastAsia="宋体" w:hint="default"/>
          <w:b/>
          <w:bCs/>
          <w:sz w:val="26"/>
          <w:szCs w:val="26"/>
        </w:rPr>
      </w:pPr>
    </w:p>
    <w:p>
      <w:pPr>
        <w:pStyle w:val="BodyText"/>
        <w:spacing w:line="350" w:lineRule="auto"/>
        <w:ind w:left="522" w:right="6110"/>
        <w:jc w:val="left"/>
      </w:pPr>
      <w:r>
        <w:rPr/>
        <w:t>（</w:t>
      </w:r>
      <w:r>
        <w:rPr>
          <w:rFonts w:ascii="Times New Roman" w:hAnsi="Times New Roman" w:cs="Times New Roman" w:eastAsia="Times New Roman" w:hint="default"/>
        </w:rPr>
        <w:t>1</w:t>
      </w:r>
      <w:r>
        <w:rPr/>
        <w:t>）借款费用资本化的确认原则</w:t>
      </w:r>
      <w:r>
        <w:rPr>
          <w:spacing w:val="-86"/>
        </w:rPr>
        <w:t> </w:t>
      </w:r>
      <w:r>
        <w:rPr>
          <w:spacing w:val="-86"/>
        </w:rPr>
      </w:r>
      <w:r>
        <w:rPr>
          <w:spacing w:val="-3"/>
        </w:rPr>
        <w:t>借款费用同时满足下列条件的，才能开始资本化：</w:t>
      </w:r>
      <w:r>
        <w:rPr>
          <w:spacing w:val="-22"/>
        </w:rPr>
        <w:t> </w:t>
      </w:r>
      <w:r>
        <w:rPr>
          <w:spacing w:val="-22"/>
        </w:rPr>
      </w:r>
      <w:r>
        <w:rPr>
          <w:rFonts w:ascii="Times New Roman" w:hAnsi="Times New Roman" w:cs="Times New Roman" w:eastAsia="Times New Roman" w:hint="default"/>
        </w:rPr>
        <w:t>1</w:t>
      </w:r>
      <w:r>
        <w:rPr/>
        <w:t>）资产支出已经发生。</w:t>
      </w:r>
    </w:p>
    <w:p>
      <w:pPr>
        <w:pStyle w:val="BodyText"/>
        <w:spacing w:line="240" w:lineRule="auto" w:before="9"/>
        <w:ind w:left="522" w:right="855"/>
        <w:jc w:val="left"/>
      </w:pPr>
      <w:r>
        <w:rPr>
          <w:rFonts w:ascii="Times New Roman" w:hAnsi="Times New Roman" w:cs="Times New Roman" w:eastAsia="Times New Roman" w:hint="default"/>
        </w:rPr>
        <w:t>2</w:t>
      </w:r>
      <w:r>
        <w:rPr/>
        <w:t>）借款费用已经发生。</w:t>
      </w:r>
    </w:p>
    <w:p>
      <w:pPr>
        <w:pStyle w:val="BodyText"/>
        <w:spacing w:line="240" w:lineRule="auto" w:before="106"/>
        <w:ind w:left="522" w:right="855"/>
        <w:jc w:val="left"/>
      </w:pPr>
      <w:r>
        <w:rPr>
          <w:rFonts w:ascii="Times New Roman" w:hAnsi="Times New Roman" w:cs="Times New Roman" w:eastAsia="Times New Roman" w:hint="default"/>
          <w:spacing w:val="-3"/>
        </w:rPr>
        <w:t>3</w:t>
      </w:r>
      <w:r>
        <w:rPr>
          <w:spacing w:val="-3"/>
        </w:rPr>
        <w:t>）为使资产达到预定可使用或者可销售状态所必要的购建或者生产活动已经开始。</w:t>
      </w:r>
    </w:p>
    <w:p>
      <w:pPr>
        <w:pStyle w:val="BodyText"/>
        <w:spacing w:line="350" w:lineRule="auto" w:before="101"/>
        <w:ind w:left="522" w:right="855"/>
        <w:jc w:val="left"/>
      </w:pPr>
      <w:r>
        <w:rPr/>
        <w:t>（</w:t>
      </w:r>
      <w:r>
        <w:rPr>
          <w:rFonts w:ascii="Times New Roman" w:hAnsi="Times New Roman" w:cs="Times New Roman" w:eastAsia="Times New Roman" w:hint="default"/>
        </w:rPr>
        <w:t>2</w:t>
      </w:r>
      <w:r>
        <w:rPr/>
        <w:t>） </w:t>
      </w:r>
      <w:r>
        <w:rPr>
          <w:spacing w:val="-3"/>
        </w:rPr>
        <w:t>借款费用资本化期间</w:t>
      </w:r>
      <w:r>
        <w:rPr>
          <w:spacing w:val="-79"/>
        </w:rPr>
        <w:t> </w:t>
      </w:r>
      <w:r>
        <w:rPr>
          <w:spacing w:val="-79"/>
        </w:rPr>
      </w:r>
      <w:r>
        <w:rPr>
          <w:spacing w:val="-3"/>
        </w:rPr>
        <w:t>资本化期间，是指从借款费用开始资本化时点到停止资本化时点的期间，借款费用暂停资本化的期间不包括在内。</w:t>
      </w:r>
      <w:r>
        <w:rPr>
          <w:spacing w:val="55"/>
        </w:rPr>
        <w:t> </w:t>
      </w:r>
      <w:r>
        <w:rPr>
          <w:spacing w:val="55"/>
        </w:rPr>
      </w:r>
      <w:r>
        <w:rPr>
          <w:spacing w:val="-5"/>
        </w:rPr>
        <w:t>符合资本化条件的资产在购建或者生产过程中发生非正常中断、且中断时间连续超过</w:t>
      </w:r>
      <w:r>
        <w:rPr>
          <w:rFonts w:ascii="Times New Roman" w:hAnsi="Times New Roman" w:cs="Times New Roman" w:eastAsia="Times New Roman" w:hint="default"/>
          <w:spacing w:val="-5"/>
        </w:rPr>
        <w:t>3</w:t>
      </w:r>
      <w:r>
        <w:rPr>
          <w:spacing w:val="-5"/>
        </w:rPr>
        <w:t>个月的，暂停借款费用的资本化。</w:t>
      </w:r>
    </w:p>
    <w:p>
      <w:pPr>
        <w:pStyle w:val="BodyText"/>
        <w:spacing w:line="207" w:lineRule="exact"/>
        <w:ind w:right="855"/>
        <w:jc w:val="left"/>
      </w:pPr>
      <w:r>
        <w:rPr>
          <w:spacing w:val="-4"/>
        </w:rPr>
        <w:t>在中断期间发生的借款费用确认为费用，计入当期损益，直至资产的购建或者生产活动重新开始。如果中断是所购建或者生</w:t>
      </w:r>
    </w:p>
    <w:p>
      <w:pPr>
        <w:pStyle w:val="BodyText"/>
        <w:spacing w:line="357" w:lineRule="auto" w:before="77"/>
        <w:ind w:left="522" w:right="855" w:hanging="370"/>
        <w:jc w:val="left"/>
      </w:pPr>
      <w:r>
        <w:rPr>
          <w:spacing w:val="-3"/>
        </w:rPr>
        <w:t>产的符合资本化条件的资产达到预定可使用或者可销售状态必要的程序，借款费用的资本化继续进行。</w:t>
      </w:r>
      <w:r>
        <w:rPr>
          <w:spacing w:val="42"/>
        </w:rPr>
        <w:t> </w:t>
      </w:r>
      <w:r>
        <w:rPr>
          <w:spacing w:val="42"/>
        </w:rPr>
      </w:r>
      <w:r>
        <w:rPr>
          <w:spacing w:val="-3"/>
        </w:rPr>
        <w:t>购建或者生产符合资本化条件的资产达到预定可使用或者可销售状态时，借款费用停止资本化。在符合资本化条件的</w:t>
      </w:r>
    </w:p>
    <w:p>
      <w:pPr>
        <w:pStyle w:val="BodyText"/>
        <w:spacing w:line="224" w:lineRule="exact"/>
        <w:ind w:right="855"/>
        <w:jc w:val="left"/>
      </w:pPr>
      <w:r>
        <w:rPr>
          <w:spacing w:val="-3"/>
        </w:rPr>
        <w:t>资产达到预定可使用或者可销售状态之后所发生的借款费用，在发生时计入当期损益。</w:t>
      </w:r>
    </w:p>
    <w:p>
      <w:pPr>
        <w:pStyle w:val="BodyText"/>
        <w:spacing w:line="350" w:lineRule="auto" w:before="115"/>
        <w:ind w:left="522" w:right="855"/>
        <w:jc w:val="left"/>
      </w:pPr>
      <w:r>
        <w:rPr/>
        <w:t>（</w:t>
      </w:r>
      <w:r>
        <w:rPr>
          <w:rFonts w:ascii="Times New Roman" w:hAnsi="Times New Roman" w:cs="Times New Roman" w:eastAsia="Times New Roman" w:hint="default"/>
        </w:rPr>
        <w:t>3</w:t>
      </w:r>
      <w:r>
        <w:rPr/>
        <w:t>） </w:t>
      </w:r>
      <w:r>
        <w:rPr>
          <w:spacing w:val="-3"/>
        </w:rPr>
        <w:t>借款费用资本化金额的计算方法</w:t>
      </w:r>
      <w:r>
        <w:rPr>
          <w:spacing w:val="-62"/>
        </w:rPr>
        <w:t> </w:t>
      </w:r>
      <w:r>
        <w:rPr>
          <w:spacing w:val="-62"/>
        </w:rPr>
      </w:r>
      <w:r>
        <w:rPr>
          <w:spacing w:val="-3"/>
        </w:rPr>
        <w:t>在资本化期间内，每一会计期间的利息（包括折价或溢价的摊销）资本化金额，按照下列规定确定：</w:t>
      </w:r>
      <w:r>
        <w:rPr>
          <w:spacing w:val="37"/>
        </w:rPr>
        <w:t> </w:t>
      </w:r>
      <w:r>
        <w:rPr>
          <w:spacing w:val="37"/>
        </w:rPr>
      </w:r>
      <w:r>
        <w:rPr>
          <w:rFonts w:ascii="Times New Roman" w:hAnsi="Times New Roman" w:cs="Times New Roman" w:eastAsia="Times New Roman" w:hint="default"/>
          <w:spacing w:val="-3"/>
        </w:rPr>
        <w:t>1</w:t>
      </w:r>
      <w:r>
        <w:rPr>
          <w:spacing w:val="-3"/>
        </w:rPr>
        <w:t>）为购建或者生产符合资本化条件的资产而借入专门借款的，以专门借款当期实际发生的利息费用，减去将尚未动用</w:t>
      </w:r>
    </w:p>
    <w:p>
      <w:pPr>
        <w:pStyle w:val="BodyText"/>
        <w:spacing w:line="207" w:lineRule="exact"/>
        <w:ind w:right="855"/>
        <w:jc w:val="left"/>
      </w:pPr>
      <w:r>
        <w:rPr>
          <w:spacing w:val="-3"/>
        </w:rPr>
        <w:t>的借款资金存入银行取得的利息收入或进行暂时性投资取得的投资收益后的金额确定。</w:t>
      </w:r>
    </w:p>
    <w:p>
      <w:pPr>
        <w:pStyle w:val="BodyText"/>
        <w:spacing w:line="300" w:lineRule="auto" w:before="114"/>
        <w:ind w:right="1122" w:firstLine="369"/>
        <w:jc w:val="both"/>
      </w:pPr>
      <w:r>
        <w:rPr>
          <w:rFonts w:ascii="Times New Roman" w:hAnsi="Times New Roman" w:cs="Times New Roman" w:eastAsia="Times New Roman" w:hint="default"/>
          <w:spacing w:val="-3"/>
        </w:rPr>
        <w:t>2</w:t>
      </w:r>
      <w:r>
        <w:rPr>
          <w:spacing w:val="-3"/>
        </w:rPr>
        <w:t>）为购建或者生产符合资本化条件的资产而占用了一般借款的，本公司根据累计资产支出超过专门借款部分的资产支</w:t>
      </w:r>
      <w:r>
        <w:rPr>
          <w:w w:val="101"/>
        </w:rPr>
        <w:t> </w:t>
      </w:r>
      <w:r>
        <w:rPr>
          <w:spacing w:val="-4"/>
        </w:rPr>
        <w:t>出加权平均数乘以所占用一般借款的资本化率，计算确定一般借款应予资本化的利息金额。资本化率根据一般借款加权平均</w:t>
      </w:r>
    </w:p>
    <w:p>
      <w:pPr>
        <w:spacing w:after="0" w:line="300" w:lineRule="auto"/>
        <w:jc w:val="both"/>
        <w:sectPr>
          <w:footerReference w:type="default" r:id="rId19"/>
          <w:pgSz w:w="11910" w:h="16840"/>
          <w:pgMar w:footer="974" w:header="746" w:top="1060" w:bottom="1160" w:left="980" w:right="0"/>
        </w:sectPr>
      </w:pPr>
    </w:p>
    <w:p>
      <w:pPr>
        <w:spacing w:line="240" w:lineRule="auto" w:before="9"/>
        <w:rPr>
          <w:rFonts w:ascii="宋体" w:hAnsi="宋体" w:cs="宋体" w:eastAsia="宋体" w:hint="default"/>
          <w:sz w:val="25"/>
          <w:szCs w:val="25"/>
        </w:rPr>
      </w:pPr>
    </w:p>
    <w:p>
      <w:pPr>
        <w:pStyle w:val="BodyText"/>
        <w:spacing w:line="357" w:lineRule="auto" w:before="46"/>
        <w:ind w:left="522" w:right="855" w:hanging="370"/>
        <w:jc w:val="left"/>
      </w:pPr>
      <w:r>
        <w:rPr>
          <w:spacing w:val="-3"/>
        </w:rPr>
        <w:t>利率计算确定。</w:t>
      </w:r>
      <w:r>
        <w:rPr>
          <w:spacing w:val="-68"/>
        </w:rPr>
        <w:t> </w:t>
      </w:r>
      <w:r>
        <w:rPr>
          <w:spacing w:val="-68"/>
        </w:rPr>
      </w:r>
      <w:r>
        <w:rPr>
          <w:spacing w:val="-3"/>
        </w:rPr>
        <w:t>借款存在折价或者溢价的，按照实际利率法确定每一会计期间应摊销的折价或者溢价金额，调整每期利息金额。在资</w:t>
      </w:r>
    </w:p>
    <w:p>
      <w:pPr>
        <w:pStyle w:val="BodyText"/>
        <w:spacing w:line="224" w:lineRule="exact"/>
        <w:ind w:right="855"/>
        <w:jc w:val="left"/>
      </w:pPr>
      <w:r>
        <w:rPr>
          <w:spacing w:val="-3"/>
        </w:rPr>
        <w:t>本化期间内，每一会计期间的利息资本化金额，不超过当期相关借款实际发生的利息金额。</w:t>
      </w:r>
    </w:p>
    <w:p>
      <w:pPr>
        <w:pStyle w:val="BodyText"/>
        <w:spacing w:line="316" w:lineRule="auto" w:before="120"/>
        <w:ind w:right="855" w:firstLine="369"/>
        <w:jc w:val="left"/>
      </w:pPr>
      <w:r>
        <w:rPr>
          <w:spacing w:val="-3"/>
        </w:rPr>
        <w:t>专门借款发生的辅助费用，在所购建或者生产的符合资本化条件的资产达到预定可使用或者可销售状态之前发生的，</w:t>
      </w:r>
      <w:r>
        <w:rPr>
          <w:w w:val="101"/>
        </w:rPr>
        <w:t> </w:t>
      </w:r>
      <w:r>
        <w:rPr>
          <w:spacing w:val="-4"/>
        </w:rPr>
        <w:t>在发生时根据其发生额予以资本化，计入符合资本化条件的资产的成本；在所购建或者生产的符合资本化条件的资产达到预</w:t>
      </w:r>
      <w:r>
        <w:rPr>
          <w:spacing w:val="43"/>
        </w:rPr>
        <w:t> </w:t>
      </w:r>
      <w:r>
        <w:rPr>
          <w:spacing w:val="43"/>
        </w:rPr>
      </w:r>
      <w:r>
        <w:rPr>
          <w:spacing w:val="-4"/>
        </w:rPr>
        <w:t>定可使用或者可销售状态之后发生的，在发生时根据其发生额确认为费用，计入当期损益。一般借款发生的辅助费用，在发</w:t>
      </w:r>
      <w:r>
        <w:rPr>
          <w:spacing w:val="41"/>
        </w:rPr>
        <w:t> </w:t>
      </w:r>
      <w:r>
        <w:rPr>
          <w:spacing w:val="41"/>
        </w:rPr>
      </w:r>
      <w:r>
        <w:rPr>
          <w:spacing w:val="-3"/>
        </w:rPr>
        <w:t>生时根据其发生额确认为费用，计入当期损益。</w:t>
      </w:r>
    </w:p>
    <w:p>
      <w:pPr>
        <w:spacing w:line="240" w:lineRule="auto" w:before="4"/>
        <w:rPr>
          <w:rFonts w:ascii="宋体" w:hAnsi="宋体" w:cs="宋体" w:eastAsia="宋体" w:hint="default"/>
          <w:sz w:val="22"/>
          <w:szCs w:val="22"/>
        </w:rPr>
      </w:pPr>
    </w:p>
    <w:p>
      <w:pPr>
        <w:pStyle w:val="Heading4"/>
        <w:spacing w:line="240" w:lineRule="auto"/>
        <w:ind w:right="855"/>
        <w:jc w:val="left"/>
        <w:rPr>
          <w:b w:val="0"/>
          <w:bCs w:val="0"/>
        </w:rPr>
      </w:pPr>
      <w:r>
        <w:rPr>
          <w:rFonts w:ascii="Times New Roman" w:hAnsi="Times New Roman" w:cs="Times New Roman" w:eastAsia="Times New Roman" w:hint="default"/>
        </w:rPr>
        <w:t>20</w:t>
      </w:r>
      <w:r>
        <w:rPr/>
        <w:t>、无形资产</w:t>
      </w:r>
      <w:r>
        <w:rPr>
          <w:b w:val="0"/>
          <w:bCs w:val="0"/>
        </w:rPr>
      </w:r>
    </w:p>
    <w:p>
      <w:pPr>
        <w:spacing w:line="240" w:lineRule="auto" w:before="10"/>
        <w:rPr>
          <w:rFonts w:ascii="宋体" w:hAnsi="宋体" w:cs="宋体" w:eastAsia="宋体" w:hint="default"/>
          <w:b/>
          <w:bCs/>
          <w:sz w:val="24"/>
          <w:szCs w:val="24"/>
        </w:rPr>
      </w:pPr>
    </w:p>
    <w:p>
      <w:pPr>
        <w:spacing w:before="0"/>
        <w:ind w:left="153" w:right="85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）计价方法、使用寿命、减值测试</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pStyle w:val="BodyText"/>
        <w:spacing w:line="348" w:lineRule="auto"/>
        <w:ind w:left="522" w:right="855"/>
        <w:jc w:val="left"/>
      </w:pPr>
      <w:r>
        <w:rPr>
          <w:rFonts w:ascii="Times New Roman" w:hAnsi="Times New Roman" w:cs="Times New Roman" w:eastAsia="Times New Roman" w:hint="default"/>
          <w:spacing w:val="-3"/>
        </w:rPr>
        <w:t>A</w:t>
      </w:r>
      <w:r>
        <w:rPr>
          <w:spacing w:val="-3"/>
        </w:rPr>
        <w:t>、无形资产的确认标准</w:t>
      </w:r>
      <w:r>
        <w:rPr>
          <w:spacing w:val="-55"/>
        </w:rPr>
        <w:t> </w:t>
      </w:r>
      <w:r>
        <w:rPr>
          <w:spacing w:val="-55"/>
        </w:rPr>
      </w:r>
      <w:r>
        <w:rPr>
          <w:spacing w:val="-3"/>
        </w:rPr>
        <w:t>无形资产是指本公司拥有或者控制的没有实物形态的可辨认非货币性资产。在同时满足下列条件时才能确认无形资产：</w:t>
      </w:r>
      <w:r>
        <w:rPr>
          <w:spacing w:val="60"/>
        </w:rPr>
        <w:t> </w:t>
      </w:r>
      <w:r>
        <w:rPr>
          <w:spacing w:val="60"/>
        </w:rPr>
      </w:r>
      <w:r>
        <w:rPr>
          <w:rFonts w:ascii="Times New Roman" w:hAnsi="Times New Roman" w:cs="Times New Roman" w:eastAsia="Times New Roman" w:hint="default"/>
          <w:spacing w:val="-3"/>
        </w:rPr>
        <w:t>1</w:t>
      </w:r>
      <w:r>
        <w:rPr>
          <w:spacing w:val="-3"/>
        </w:rPr>
        <w:t>）符合无形资产的定义。</w:t>
      </w:r>
    </w:p>
    <w:p>
      <w:pPr>
        <w:pStyle w:val="BodyText"/>
        <w:spacing w:line="240" w:lineRule="auto" w:before="16"/>
        <w:ind w:left="522" w:right="855"/>
        <w:jc w:val="left"/>
      </w:pPr>
      <w:r>
        <w:rPr>
          <w:rFonts w:ascii="Times New Roman" w:hAnsi="Times New Roman" w:cs="Times New Roman" w:eastAsia="Times New Roman" w:hint="default"/>
          <w:spacing w:val="-3"/>
        </w:rPr>
        <w:t>2</w:t>
      </w:r>
      <w:r>
        <w:rPr>
          <w:spacing w:val="-3"/>
        </w:rPr>
        <w:t>）与该资产相关的预计未来经济利益很可能流入公司。</w:t>
      </w:r>
    </w:p>
    <w:p>
      <w:pPr>
        <w:pStyle w:val="BodyText"/>
        <w:spacing w:line="338" w:lineRule="auto" w:before="101"/>
        <w:ind w:left="522" w:right="6110"/>
        <w:jc w:val="left"/>
      </w:pPr>
      <w:r>
        <w:rPr>
          <w:rFonts w:ascii="Times New Roman" w:hAnsi="Times New Roman" w:cs="Times New Roman" w:eastAsia="Times New Roman" w:hint="default"/>
          <w:spacing w:val="-2"/>
        </w:rPr>
        <w:t>3</w:t>
      </w:r>
      <w:r>
        <w:rPr>
          <w:spacing w:val="-2"/>
        </w:rPr>
        <w:t>）该资产的成本能够可靠计量。</w:t>
      </w:r>
      <w:r>
        <w:rPr>
          <w:spacing w:val="-56"/>
        </w:rPr>
        <w:t> </w:t>
      </w:r>
      <w:r>
        <w:rPr>
          <w:spacing w:val="-56"/>
        </w:rPr>
      </w:r>
      <w:r>
        <w:rPr>
          <w:rFonts w:ascii="Times New Roman" w:hAnsi="Times New Roman" w:cs="Times New Roman" w:eastAsia="Times New Roman" w:hint="default"/>
        </w:rPr>
        <w:t>B</w:t>
      </w:r>
      <w:r>
        <w:rPr/>
        <w:t>、无形资产的初始计量</w:t>
      </w:r>
    </w:p>
    <w:p>
      <w:pPr>
        <w:pStyle w:val="BodyText"/>
        <w:spacing w:line="240" w:lineRule="auto" w:before="24"/>
        <w:ind w:left="522" w:right="855"/>
        <w:jc w:val="left"/>
      </w:pPr>
      <w:r>
        <w:rPr>
          <w:spacing w:val="-3"/>
        </w:rPr>
        <w:t>无形资产按照成本进行初始计量。实际成本按以下原则确定：</w:t>
      </w:r>
    </w:p>
    <w:p>
      <w:pPr>
        <w:pStyle w:val="BodyText"/>
        <w:spacing w:line="307" w:lineRule="auto" w:before="115"/>
        <w:ind w:right="1122" w:firstLine="369"/>
        <w:jc w:val="both"/>
      </w:pPr>
      <w:r>
        <w:rPr>
          <w:rFonts w:ascii="Times New Roman" w:hAnsi="Times New Roman" w:cs="Times New Roman" w:eastAsia="Times New Roman" w:hint="default"/>
          <w:spacing w:val="-3"/>
        </w:rPr>
        <w:t>1</w:t>
      </w:r>
      <w:r>
        <w:rPr>
          <w:spacing w:val="-3"/>
        </w:rPr>
        <w:t>）外购无形资产的成本，包括购买价款、相关税费以及直接归属于使该项资产达到预定用途所发生的其他支出。购买</w:t>
      </w:r>
      <w:r>
        <w:rPr>
          <w:w w:val="101"/>
        </w:rPr>
        <w:t> </w:t>
      </w:r>
      <w:r>
        <w:rPr>
          <w:spacing w:val="-4"/>
        </w:rPr>
        <w:t>无形资产的价款超过正常信用条件延期支付，实质上具有融资性质的，无形资产的成本以购买价款的现值为基础确定。实际</w:t>
      </w:r>
      <w:r>
        <w:rPr>
          <w:spacing w:val="43"/>
        </w:rPr>
        <w:t> </w:t>
      </w:r>
      <w:r>
        <w:rPr>
          <w:spacing w:val="43"/>
        </w:rPr>
      </w:r>
      <w:r>
        <w:rPr>
          <w:spacing w:val="-4"/>
        </w:rPr>
        <w:t>支付的价款与购买价款的现值之间的差额，除按照《企业会计准则第</w:t>
      </w:r>
      <w:r>
        <w:rPr>
          <w:rFonts w:ascii="Times New Roman" w:hAnsi="Times New Roman" w:cs="Times New Roman" w:eastAsia="Times New Roman" w:hint="default"/>
          <w:spacing w:val="-4"/>
        </w:rPr>
        <w:t>17</w:t>
      </w:r>
      <w:r>
        <w:rPr>
          <w:spacing w:val="-4"/>
        </w:rPr>
        <w:t>号</w:t>
      </w:r>
      <w:r>
        <w:rPr>
          <w:rFonts w:ascii="Times New Roman" w:hAnsi="Times New Roman" w:cs="Times New Roman" w:eastAsia="Times New Roman" w:hint="default"/>
          <w:spacing w:val="-4"/>
        </w:rPr>
        <w:t>——</w:t>
      </w:r>
      <w:r>
        <w:rPr>
          <w:spacing w:val="-4"/>
        </w:rPr>
        <w:t>借款费用》可予以资本化的以外，在信用期间</w:t>
      </w:r>
      <w:r>
        <w:rPr>
          <w:spacing w:val="45"/>
        </w:rPr>
        <w:t> </w:t>
      </w:r>
      <w:r>
        <w:rPr>
          <w:spacing w:val="45"/>
        </w:rPr>
      </w:r>
      <w:r>
        <w:rPr/>
        <w:t>内计入当期损益。</w:t>
      </w:r>
    </w:p>
    <w:p>
      <w:pPr>
        <w:pStyle w:val="BodyText"/>
        <w:spacing w:line="240" w:lineRule="auto" w:before="65"/>
        <w:ind w:left="522" w:right="855"/>
        <w:jc w:val="left"/>
      </w:pPr>
      <w:r>
        <w:rPr>
          <w:rFonts w:ascii="Times New Roman" w:hAnsi="Times New Roman" w:cs="Times New Roman" w:eastAsia="Times New Roman" w:hint="default"/>
          <w:spacing w:val="-3"/>
        </w:rPr>
        <w:t>2</w:t>
      </w:r>
      <w:r>
        <w:rPr>
          <w:spacing w:val="-3"/>
        </w:rPr>
        <w:t>）投资者投入无形资产的成本，按照投资合同或协议约定的价值确定，但合同或协议约定价值不公允的除外。</w:t>
      </w:r>
    </w:p>
    <w:p>
      <w:pPr>
        <w:pStyle w:val="BodyText"/>
        <w:spacing w:line="338" w:lineRule="auto" w:before="106"/>
        <w:ind w:left="522" w:right="855"/>
        <w:jc w:val="left"/>
      </w:pPr>
      <w:r>
        <w:rPr>
          <w:rFonts w:ascii="Times New Roman" w:hAnsi="Times New Roman" w:cs="Times New Roman" w:eastAsia="Times New Roman" w:hint="default"/>
        </w:rPr>
        <w:t>3</w:t>
      </w:r>
      <w:r>
        <w:rPr/>
        <w:t>）自行开发的无形资产</w:t>
      </w:r>
      <w:r>
        <w:rPr>
          <w:spacing w:val="-85"/>
        </w:rPr>
        <w:t> </w:t>
      </w:r>
      <w:r>
        <w:rPr>
          <w:spacing w:val="-85"/>
        </w:rPr>
      </w:r>
      <w:r>
        <w:rPr>
          <w:spacing w:val="-3"/>
        </w:rPr>
        <w:t>本公司内部研究开发项目的支出，区分研究阶段支出与开发阶段支出。内部研究开发项目研究阶段的支出，于发生时</w:t>
      </w:r>
    </w:p>
    <w:p>
      <w:pPr>
        <w:pStyle w:val="BodyText"/>
        <w:spacing w:line="240" w:lineRule="auto" w:before="2"/>
        <w:ind w:right="855"/>
        <w:jc w:val="left"/>
      </w:pPr>
      <w:r>
        <w:rPr>
          <w:spacing w:val="-3"/>
        </w:rPr>
        <w:t>计入当期损益。内部研究开发项目开发阶段的支出，同时满足下列条件的，确认为无形资产：</w:t>
      </w:r>
    </w:p>
    <w:p>
      <w:pPr>
        <w:pStyle w:val="BodyText"/>
        <w:spacing w:line="240" w:lineRule="auto" w:before="115"/>
        <w:ind w:left="522" w:right="855"/>
        <w:jc w:val="left"/>
      </w:pPr>
      <w:r>
        <w:rPr>
          <w:spacing w:val="-3"/>
        </w:rPr>
        <w:t>①完成该无形资产以使其能够使用或出售在技术上具有可行性。</w:t>
      </w:r>
    </w:p>
    <w:p>
      <w:pPr>
        <w:pStyle w:val="BodyText"/>
        <w:spacing w:line="240" w:lineRule="auto" w:before="120"/>
        <w:ind w:left="522" w:right="855"/>
        <w:jc w:val="left"/>
      </w:pPr>
      <w:r>
        <w:rPr>
          <w:spacing w:val="-3"/>
        </w:rPr>
        <w:t>②具有完成该无形资产并使用或出售的意图。</w:t>
      </w:r>
    </w:p>
    <w:p>
      <w:pPr>
        <w:pStyle w:val="BodyText"/>
        <w:spacing w:line="316" w:lineRule="auto" w:before="115"/>
        <w:ind w:right="855" w:firstLine="369"/>
        <w:jc w:val="left"/>
      </w:pPr>
      <w:r>
        <w:rPr>
          <w:spacing w:val="-3"/>
        </w:rPr>
        <w:t>③无形资产产生经济利益的方式，包括能够证明运用该无形资产生产的产品存在市场或无形资产自身存在市场，无形</w:t>
      </w:r>
      <w:r>
        <w:rPr>
          <w:w w:val="101"/>
        </w:rPr>
        <w:t> </w:t>
      </w:r>
      <w:r>
        <w:rPr>
          <w:spacing w:val="-3"/>
        </w:rPr>
        <w:t>资产将在内部使用的，证明其有用性。</w:t>
      </w:r>
    </w:p>
    <w:p>
      <w:pPr>
        <w:pStyle w:val="BodyText"/>
        <w:spacing w:line="240" w:lineRule="auto" w:before="57"/>
        <w:ind w:left="522" w:right="855"/>
        <w:jc w:val="left"/>
      </w:pPr>
      <w:r>
        <w:rPr>
          <w:spacing w:val="-3"/>
        </w:rPr>
        <w:t>④有足够的技术、财务资源和其他资源支持，以完成该无形资产的开发，并有能力使用或出售该无形资产。</w:t>
      </w:r>
    </w:p>
    <w:p>
      <w:pPr>
        <w:pStyle w:val="BodyText"/>
        <w:spacing w:line="357" w:lineRule="auto" w:before="119"/>
        <w:ind w:left="522" w:right="855"/>
        <w:jc w:val="left"/>
      </w:pPr>
      <w:r>
        <w:rPr>
          <w:spacing w:val="-3"/>
        </w:rPr>
        <w:t>⑤归属于该无形资产开发阶段的支出能够可靠地计量。</w:t>
      </w:r>
      <w:r>
        <w:rPr>
          <w:spacing w:val="-16"/>
        </w:rPr>
        <w:t> </w:t>
      </w:r>
      <w:r>
        <w:rPr>
          <w:spacing w:val="-16"/>
        </w:rPr>
      </w:r>
      <w:r>
        <w:rPr>
          <w:spacing w:val="-3"/>
        </w:rPr>
        <w:t>自行开发的无形资产，其成本包括自满足无形资产确认规定后至达到预定用途前所发生的支出总额。以前期间已经费</w:t>
      </w:r>
    </w:p>
    <w:p>
      <w:pPr>
        <w:pStyle w:val="BodyText"/>
        <w:spacing w:line="224" w:lineRule="exact"/>
        <w:ind w:right="855"/>
        <w:jc w:val="left"/>
      </w:pPr>
      <w:r>
        <w:rPr/>
        <w:t>用化的支出不再调整。</w:t>
      </w:r>
    </w:p>
    <w:p>
      <w:pPr>
        <w:pStyle w:val="BodyText"/>
        <w:spacing w:line="300" w:lineRule="auto" w:before="115"/>
        <w:ind w:right="855" w:firstLine="369"/>
        <w:jc w:val="left"/>
      </w:pPr>
      <w:r>
        <w:rPr>
          <w:rFonts w:ascii="Times New Roman" w:hAnsi="Times New Roman" w:cs="Times New Roman" w:eastAsia="Times New Roman" w:hint="default"/>
          <w:spacing w:val="-3"/>
        </w:rPr>
        <w:t>4</w:t>
      </w:r>
      <w:r>
        <w:rPr>
          <w:spacing w:val="-3"/>
        </w:rPr>
        <w:t>）非货币性资产交换、债务重组、政府补助和企业合并取得的无形资产的成本，分别按照《企业会计准则第</w:t>
      </w:r>
      <w:r>
        <w:rPr>
          <w:rFonts w:ascii="Times New Roman" w:hAnsi="Times New Roman" w:cs="Times New Roman" w:eastAsia="Times New Roman" w:hint="default"/>
          <w:spacing w:val="-3"/>
        </w:rPr>
        <w:t>7</w:t>
      </w:r>
      <w:r>
        <w:rPr>
          <w:spacing w:val="-3"/>
        </w:rPr>
        <w:t>号</w:t>
      </w:r>
      <w:r>
        <w:rPr>
          <w:rFonts w:ascii="Times New Roman" w:hAnsi="Times New Roman" w:cs="Times New Roman" w:eastAsia="Times New Roman" w:hint="default"/>
          <w:spacing w:val="-3"/>
        </w:rPr>
        <w:t>——</w:t>
      </w:r>
      <w:r>
        <w:rPr>
          <w:rFonts w:ascii="Times New Roman" w:hAnsi="Times New Roman" w:cs="Times New Roman" w:eastAsia="Times New Roman" w:hint="default"/>
          <w:w w:val="101"/>
        </w:rPr>
        <w:t> </w:t>
      </w:r>
      <w:r>
        <w:rPr>
          <w:spacing w:val="-4"/>
        </w:rPr>
        <w:t>非货币性资产交换》、《企业会计准则第</w:t>
      </w:r>
      <w:r>
        <w:rPr>
          <w:rFonts w:ascii="Times New Roman" w:hAnsi="Times New Roman" w:cs="Times New Roman" w:eastAsia="Times New Roman" w:hint="default"/>
          <w:spacing w:val="-4"/>
        </w:rPr>
        <w:t>12</w:t>
      </w:r>
      <w:r>
        <w:rPr>
          <w:spacing w:val="-4"/>
        </w:rPr>
        <w:t>号</w:t>
      </w:r>
      <w:r>
        <w:rPr>
          <w:rFonts w:ascii="Times New Roman" w:hAnsi="Times New Roman" w:cs="Times New Roman" w:eastAsia="Times New Roman" w:hint="default"/>
          <w:spacing w:val="-4"/>
        </w:rPr>
        <w:t>——</w:t>
      </w:r>
      <w:r>
        <w:rPr>
          <w:spacing w:val="-4"/>
        </w:rPr>
        <w:t>债务重组》、《企业会计准则第</w:t>
      </w:r>
      <w:r>
        <w:rPr>
          <w:rFonts w:ascii="Times New Roman" w:hAnsi="Times New Roman" w:cs="Times New Roman" w:eastAsia="Times New Roman" w:hint="default"/>
          <w:spacing w:val="-4"/>
        </w:rPr>
        <w:t>16</w:t>
      </w:r>
      <w:r>
        <w:rPr>
          <w:spacing w:val="-4"/>
        </w:rPr>
        <w:t>号</w:t>
      </w:r>
      <w:r>
        <w:rPr>
          <w:rFonts w:ascii="Times New Roman" w:hAnsi="Times New Roman" w:cs="Times New Roman" w:eastAsia="Times New Roman" w:hint="default"/>
          <w:spacing w:val="-4"/>
        </w:rPr>
        <w:t>——</w:t>
      </w:r>
      <w:r>
        <w:rPr>
          <w:spacing w:val="-4"/>
        </w:rPr>
        <w:t>政府补助》、《企业会计准则第</w:t>
      </w:r>
      <w:r>
        <w:rPr>
          <w:spacing w:val="50"/>
        </w:rPr>
        <w:t> </w:t>
      </w:r>
      <w:r>
        <w:rPr>
          <w:spacing w:val="50"/>
        </w:rPr>
      </w:r>
      <w:r>
        <w:rPr>
          <w:rFonts w:ascii="Times New Roman" w:hAnsi="Times New Roman" w:cs="Times New Roman" w:eastAsia="Times New Roman" w:hint="default"/>
          <w:spacing w:val="-3"/>
        </w:rPr>
        <w:t>20</w:t>
      </w:r>
      <w:r>
        <w:rPr>
          <w:spacing w:val="-3"/>
        </w:rPr>
        <w:t>号</w:t>
      </w:r>
      <w:r>
        <w:rPr>
          <w:rFonts w:ascii="Times New Roman" w:hAnsi="Times New Roman" w:cs="Times New Roman" w:eastAsia="Times New Roman" w:hint="default"/>
          <w:spacing w:val="-3"/>
        </w:rPr>
        <w:t>——</w:t>
      </w:r>
      <w:r>
        <w:rPr>
          <w:spacing w:val="-3"/>
        </w:rPr>
        <w:t>企业合并》的有关规定确定。</w:t>
      </w:r>
    </w:p>
    <w:p>
      <w:pPr>
        <w:pStyle w:val="BodyText"/>
        <w:spacing w:line="338" w:lineRule="auto" w:before="56"/>
        <w:ind w:left="522" w:right="855"/>
        <w:jc w:val="left"/>
      </w:pPr>
      <w:r>
        <w:rPr>
          <w:rFonts w:ascii="Times New Roman" w:hAnsi="Times New Roman" w:cs="Times New Roman" w:eastAsia="Times New Roman" w:hint="default"/>
        </w:rPr>
        <w:t>C</w:t>
      </w:r>
      <w:r>
        <w:rPr/>
        <w:t>、无形资产的后续计量</w:t>
      </w:r>
      <w:r>
        <w:rPr>
          <w:spacing w:val="-87"/>
        </w:rPr>
        <w:t> </w:t>
      </w:r>
      <w:r>
        <w:rPr>
          <w:spacing w:val="-87"/>
        </w:rPr>
      </w:r>
      <w:r>
        <w:rPr>
          <w:spacing w:val="-3"/>
        </w:rPr>
        <w:t>本公司于取得无形资产时分析判断其使用寿命。无形资产的使用寿命为有限的，估计该使用寿命的年限或者构成使用</w:t>
      </w:r>
    </w:p>
    <w:p>
      <w:pPr>
        <w:pStyle w:val="BodyText"/>
        <w:spacing w:line="357" w:lineRule="auto" w:before="2"/>
        <w:ind w:left="522" w:right="1131" w:hanging="370"/>
        <w:jc w:val="left"/>
      </w:pPr>
      <w:r>
        <w:rPr>
          <w:spacing w:val="-3"/>
        </w:rPr>
        <w:t>寿命的产量等类似计量单位数量；无法预见无形资产为本公司带来经济利益期限的，视为使用寿命不确定的无形资产。</w:t>
      </w:r>
      <w:r>
        <w:rPr>
          <w:spacing w:val="61"/>
        </w:rPr>
        <w:t> </w:t>
      </w:r>
      <w:r>
        <w:rPr>
          <w:spacing w:val="61"/>
        </w:rPr>
      </w:r>
      <w:r>
        <w:rPr>
          <w:spacing w:val="-3"/>
        </w:rPr>
        <w:t>使用寿命有限的无形资产，其应摊销金额在使用寿命内系统合理摊销。本公司采用直线法摊销。 </w:t>
      </w:r>
      <w:r>
        <w:rPr>
          <w:spacing w:val="47"/>
        </w:rPr>
        <w:t> </w:t>
      </w:r>
      <w:r>
        <w:rPr>
          <w:spacing w:val="-3"/>
        </w:rPr>
        <w:t>无形资产的应摊销金</w:t>
      </w:r>
    </w:p>
    <w:p>
      <w:pPr>
        <w:spacing w:after="0" w:line="357" w:lineRule="auto"/>
        <w:jc w:val="left"/>
        <w:sectPr>
          <w:footerReference w:type="default" r:id="rId20"/>
          <w:pgSz w:w="11910" w:h="16840"/>
          <w:pgMar w:footer="974" w:header="746" w:top="1060" w:bottom="1160" w:left="980" w:right="0"/>
          <w:pgNumType w:start="101"/>
        </w:sectPr>
      </w:pPr>
    </w:p>
    <w:p>
      <w:pPr>
        <w:spacing w:line="240" w:lineRule="auto" w:before="9"/>
        <w:rPr>
          <w:rFonts w:ascii="宋体" w:hAnsi="宋体" w:cs="宋体" w:eastAsia="宋体" w:hint="default"/>
          <w:sz w:val="25"/>
          <w:szCs w:val="25"/>
        </w:rPr>
      </w:pPr>
    </w:p>
    <w:p>
      <w:pPr>
        <w:pStyle w:val="BodyText"/>
        <w:spacing w:line="316" w:lineRule="auto" w:before="46"/>
        <w:ind w:right="1124"/>
        <w:jc w:val="both"/>
      </w:pPr>
      <w:r>
        <w:rPr>
          <w:spacing w:val="-4"/>
        </w:rPr>
        <w:t>额为其成本扣除预计残值后的金额。已计提减值准备的无形资产，还应扣除已计提的无形资产减值准备累计金额。无形资产</w:t>
      </w:r>
      <w:r>
        <w:rPr>
          <w:spacing w:val="43"/>
        </w:rPr>
        <w:t> </w:t>
      </w:r>
      <w:r>
        <w:rPr>
          <w:spacing w:val="43"/>
        </w:rPr>
      </w:r>
      <w:r>
        <w:rPr>
          <w:spacing w:val="-3"/>
        </w:rPr>
        <w:t>的摊销金额计入当期损益，使用寿命不确定的无形资产不摊销，期末进行减值测试。</w:t>
      </w:r>
    </w:p>
    <w:p>
      <w:pPr>
        <w:spacing w:line="240" w:lineRule="auto" w:before="4"/>
        <w:rPr>
          <w:rFonts w:ascii="宋体" w:hAnsi="宋体" w:cs="宋体" w:eastAsia="宋体" w:hint="default"/>
          <w:sz w:val="22"/>
          <w:szCs w:val="22"/>
        </w:rPr>
      </w:pPr>
    </w:p>
    <w:p>
      <w:pPr>
        <w:pStyle w:val="Heading4"/>
        <w:spacing w:line="240" w:lineRule="auto"/>
        <w:ind w:right="0"/>
        <w:jc w:val="both"/>
        <w:rPr>
          <w:b w:val="0"/>
          <w:bCs w:val="0"/>
        </w:rPr>
      </w:pP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9"/>
        <w:rPr>
          <w:rFonts w:ascii="宋体" w:hAnsi="宋体" w:cs="宋体" w:eastAsia="宋体" w:hint="default"/>
          <w:b/>
          <w:bCs/>
          <w:sz w:val="26"/>
          <w:szCs w:val="26"/>
        </w:rPr>
      </w:pPr>
    </w:p>
    <w:p>
      <w:pPr>
        <w:pStyle w:val="BodyText"/>
        <w:spacing w:line="360" w:lineRule="auto"/>
        <w:ind w:left="522" w:right="1214"/>
        <w:jc w:val="left"/>
      </w:pPr>
      <w:r>
        <w:rPr>
          <w:spacing w:val="-3"/>
        </w:rPr>
        <w:t>本公司将内部研究开发项目的支出，区分为研究阶段支出和开发阶段支出。</w:t>
      </w:r>
      <w:r>
        <w:rPr>
          <w:spacing w:val="8"/>
        </w:rPr>
        <w:t> </w:t>
      </w:r>
      <w:r>
        <w:rPr>
          <w:spacing w:val="8"/>
        </w:rPr>
      </w:r>
      <w:r>
        <w:rPr>
          <w:spacing w:val="-3"/>
        </w:rPr>
        <w:t>研究阶段的支出，于发生时计入当期损益。</w:t>
      </w:r>
      <w:r>
        <w:rPr>
          <w:spacing w:val="-33"/>
        </w:rPr>
        <w:t> </w:t>
      </w:r>
      <w:r>
        <w:rPr>
          <w:spacing w:val="-33"/>
        </w:rPr>
      </w:r>
      <w:r>
        <w:rPr>
          <w:spacing w:val="-3"/>
        </w:rPr>
        <w:t>开发阶段的支出，同时满足下列条件的，才能予以资本化，即：完成该无形资产以使其能够使用或出售在技术上具有</w:t>
      </w:r>
    </w:p>
    <w:p>
      <w:pPr>
        <w:pStyle w:val="BodyText"/>
        <w:spacing w:line="222" w:lineRule="exact"/>
        <w:ind w:right="0"/>
        <w:jc w:val="both"/>
      </w:pPr>
      <w:r>
        <w:rPr>
          <w:spacing w:val="-4"/>
        </w:rPr>
        <w:t>可行性；具有完成该无形资产并使用或出售的意图；无形资产产生经济利益的方式，包括能够证明运用该无形资产生产的产</w:t>
      </w:r>
    </w:p>
    <w:p>
      <w:pPr>
        <w:pStyle w:val="BodyText"/>
        <w:spacing w:line="316" w:lineRule="auto" w:before="76"/>
        <w:ind w:right="1123"/>
        <w:jc w:val="both"/>
      </w:pPr>
      <w:r>
        <w:rPr>
          <w:spacing w:val="-4"/>
        </w:rPr>
        <w:t>品存在市场或无形资产自身存在市场，无形资产将在内部使用的，能够证明其有用性；有足够的技术、财务资源和其他资源</w:t>
      </w:r>
      <w:r>
        <w:rPr>
          <w:spacing w:val="40"/>
        </w:rPr>
        <w:t> </w:t>
      </w:r>
      <w:r>
        <w:rPr>
          <w:spacing w:val="40"/>
        </w:rPr>
      </w:r>
      <w:r>
        <w:rPr>
          <w:spacing w:val="-4"/>
        </w:rPr>
        <w:t>支持，以完成该无形资产的开发，并有能力使用或出售该无形资产；归属于该无形资产开发阶段的支出能够可靠地计量。不</w:t>
      </w:r>
      <w:r>
        <w:rPr>
          <w:spacing w:val="40"/>
        </w:rPr>
        <w:t> </w:t>
      </w:r>
      <w:r>
        <w:rPr>
          <w:spacing w:val="40"/>
        </w:rPr>
      </w:r>
      <w:r>
        <w:rPr>
          <w:spacing w:val="-3"/>
        </w:rPr>
        <w:t>满足上述条件的开发支出计入当期损益。</w:t>
      </w:r>
    </w:p>
    <w:p>
      <w:pPr>
        <w:pStyle w:val="BodyText"/>
        <w:spacing w:line="362" w:lineRule="auto" w:before="57"/>
        <w:ind w:left="522" w:right="855"/>
        <w:jc w:val="left"/>
      </w:pPr>
      <w:r>
        <w:rPr>
          <w:spacing w:val="-3"/>
        </w:rPr>
        <w:t>已资本化的开发阶段的支出在资产负债表上列示为开发支出，自该项目达到预定可使用状态之日转为无形资产。</w:t>
      </w:r>
      <w:r>
        <w:rPr>
          <w:spacing w:val="55"/>
        </w:rPr>
        <w:t> </w:t>
      </w:r>
      <w:r>
        <w:rPr>
          <w:spacing w:val="55"/>
        </w:rPr>
      </w:r>
      <w:r>
        <w:rPr>
          <w:spacing w:val="-3"/>
        </w:rPr>
        <w:t>本公司在具体界定研发支出资本化在满足上述条件时，还需研发项目获取对应的著作权、专利权、非专利权等权属登</w:t>
      </w:r>
    </w:p>
    <w:p>
      <w:pPr>
        <w:pStyle w:val="BodyText"/>
        <w:spacing w:line="220" w:lineRule="exact"/>
        <w:ind w:right="855"/>
        <w:jc w:val="left"/>
      </w:pPr>
      <w:r>
        <w:rPr/>
        <w:t>记。</w:t>
      </w:r>
    </w:p>
    <w:p>
      <w:pPr>
        <w:spacing w:line="240" w:lineRule="auto" w:before="8"/>
        <w:rPr>
          <w:rFonts w:ascii="宋体" w:hAnsi="宋体" w:cs="宋体" w:eastAsia="宋体" w:hint="default"/>
          <w:sz w:val="26"/>
          <w:szCs w:val="26"/>
        </w:rPr>
      </w:pPr>
    </w:p>
    <w:p>
      <w:pPr>
        <w:pStyle w:val="Heading4"/>
        <w:spacing w:line="240" w:lineRule="auto"/>
        <w:ind w:right="855"/>
        <w:jc w:val="left"/>
        <w:rPr>
          <w:b w:val="0"/>
          <w:bCs w:val="0"/>
        </w:rPr>
      </w:pPr>
      <w:r>
        <w:rPr>
          <w:rFonts w:ascii="Times New Roman" w:hAnsi="Times New Roman" w:cs="Times New Roman" w:eastAsia="Times New Roman" w:hint="default"/>
        </w:rPr>
        <w:t>21</w:t>
      </w:r>
      <w:r>
        <w:rPr/>
        <w:t>、长期资产减值</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522" w:right="855"/>
        <w:jc w:val="left"/>
      </w:pPr>
      <w:r>
        <w:rPr/>
        <w:t>（</w:t>
      </w:r>
      <w:r>
        <w:rPr>
          <w:rFonts w:ascii="Times New Roman" w:hAnsi="Times New Roman" w:cs="Times New Roman" w:eastAsia="Times New Roman" w:hint="default"/>
        </w:rPr>
        <w:t>1</w:t>
      </w:r>
      <w:r>
        <w:rPr/>
        <w:t>）</w:t>
      </w:r>
      <w:r>
        <w:rPr>
          <w:spacing w:val="69"/>
        </w:rPr>
        <w:t> </w:t>
      </w:r>
      <w:r>
        <w:rPr>
          <w:spacing w:val="-3"/>
        </w:rPr>
        <w:t>除存货及金融资产外，其他主要类别资产的资产减值准备确定方法</w:t>
      </w:r>
    </w:p>
    <w:p>
      <w:pPr>
        <w:pStyle w:val="BodyText"/>
        <w:spacing w:line="314" w:lineRule="auto" w:before="101"/>
        <w:ind w:right="855" w:firstLine="369"/>
        <w:jc w:val="left"/>
      </w:pPr>
      <w:r>
        <w:rPr>
          <w:rFonts w:ascii="Times New Roman" w:hAnsi="Times New Roman" w:cs="Times New Roman" w:eastAsia="Times New Roman" w:hint="default"/>
          <w:spacing w:val="-3"/>
        </w:rPr>
        <w:t>1</w:t>
      </w:r>
      <w:r>
        <w:rPr>
          <w:spacing w:val="-3"/>
        </w:rPr>
        <w:t>）公司在资产负债表日按照单项资产是否存在可能发生减值的迹象。存在减值迹象的，进行减值测试，估计资产的可</w:t>
      </w:r>
      <w:r>
        <w:rPr>
          <w:w w:val="101"/>
        </w:rPr>
        <w:t> </w:t>
      </w:r>
      <w:r>
        <w:rPr>
          <w:spacing w:val="-3"/>
        </w:rPr>
        <w:t>收回金额。资产的可收回金额低于其账面价值的，将资产的账面价值减记至可收回金额，减记的金额确认为资产减值损失，</w:t>
      </w:r>
      <w:r>
        <w:rPr>
          <w:spacing w:val="66"/>
        </w:rPr>
        <w:t> </w:t>
      </w:r>
      <w:r>
        <w:rPr>
          <w:spacing w:val="66"/>
        </w:rPr>
      </w:r>
      <w:r>
        <w:rPr>
          <w:spacing w:val="-4"/>
        </w:rPr>
        <w:t>计入当期损益，同时计提相应的资产减值准备。资产减值损失确认后，减值资产的折旧或者摊销费用应当在未来期间作相应</w:t>
      </w:r>
      <w:r>
        <w:rPr>
          <w:spacing w:val="44"/>
        </w:rPr>
        <w:t> </w:t>
      </w:r>
      <w:r>
        <w:rPr>
          <w:spacing w:val="44"/>
        </w:rPr>
      </w:r>
      <w:r>
        <w:rPr>
          <w:spacing w:val="-4"/>
        </w:rPr>
        <w:t>调整，以使该资产在剩余使用寿命内，系统地分摊调整后的资产账面价值（扣除预计净残值）。资产减值损失一经确认，在</w:t>
      </w:r>
      <w:r>
        <w:rPr>
          <w:spacing w:val="40"/>
        </w:rPr>
        <w:t> </w:t>
      </w:r>
      <w:r>
        <w:rPr>
          <w:spacing w:val="40"/>
        </w:rPr>
      </w:r>
      <w:r>
        <w:rPr>
          <w:spacing w:val="-3"/>
        </w:rPr>
        <w:t>以后会计期间不得转回。</w:t>
      </w:r>
    </w:p>
    <w:p>
      <w:pPr>
        <w:pStyle w:val="BodyText"/>
        <w:spacing w:line="240" w:lineRule="auto" w:before="64"/>
        <w:ind w:left="522" w:right="855"/>
        <w:jc w:val="left"/>
      </w:pPr>
      <w:r>
        <w:rPr>
          <w:rFonts w:ascii="Times New Roman" w:hAnsi="Times New Roman" w:cs="Times New Roman" w:eastAsia="Times New Roman" w:hint="default"/>
          <w:spacing w:val="-3"/>
        </w:rPr>
        <w:t>2</w:t>
      </w:r>
      <w:r>
        <w:rPr>
          <w:spacing w:val="-3"/>
        </w:rPr>
        <w:t>）存在下列迹象的，表明资产可能发生了减值：</w:t>
      </w:r>
    </w:p>
    <w:p>
      <w:pPr>
        <w:pStyle w:val="BodyText"/>
        <w:spacing w:line="240" w:lineRule="auto" w:before="101"/>
        <w:ind w:left="522" w:right="855"/>
        <w:jc w:val="left"/>
      </w:pPr>
      <w:r>
        <w:rPr>
          <w:spacing w:val="-3"/>
        </w:rPr>
        <w:t>①资产的市价当期大幅度下跌，其跌幅明显高于因时间的推移或者正常使用而预计的下跌。</w:t>
      </w:r>
    </w:p>
    <w:p>
      <w:pPr>
        <w:pStyle w:val="BodyText"/>
        <w:spacing w:line="316" w:lineRule="auto" w:before="115"/>
        <w:ind w:right="855" w:firstLine="369"/>
        <w:jc w:val="left"/>
      </w:pPr>
      <w:r>
        <w:rPr>
          <w:spacing w:val="-3"/>
        </w:rPr>
        <w:t>②公司经营所处的经济、技术或者法律等环境以及资产所处的市场在当期或者将在近期发生重大变化，从而对公司产</w:t>
      </w:r>
      <w:r>
        <w:rPr>
          <w:w w:val="101"/>
        </w:rPr>
        <w:t> </w:t>
      </w:r>
      <w:r>
        <w:rPr/>
        <w:t>生不利影响。</w:t>
      </w:r>
    </w:p>
    <w:p>
      <w:pPr>
        <w:pStyle w:val="BodyText"/>
        <w:spacing w:line="319" w:lineRule="auto" w:before="62"/>
        <w:ind w:right="855" w:firstLine="369"/>
        <w:jc w:val="left"/>
      </w:pPr>
      <w:r>
        <w:rPr>
          <w:spacing w:val="-3"/>
        </w:rPr>
        <w:t>③市场利率或者其他市场投资报酬率在当期已经提高，从而影响公司计算资产预计未来现金流量现值的折现率，导致</w:t>
      </w:r>
      <w:r>
        <w:rPr>
          <w:w w:val="101"/>
        </w:rPr>
        <w:t> </w:t>
      </w:r>
      <w:r>
        <w:rPr>
          <w:spacing w:val="-3"/>
        </w:rPr>
        <w:t>资产可收回金额大幅度降低。</w:t>
      </w:r>
    </w:p>
    <w:p>
      <w:pPr>
        <w:pStyle w:val="BodyText"/>
        <w:spacing w:line="240" w:lineRule="auto" w:before="55"/>
        <w:ind w:left="522" w:right="855"/>
        <w:jc w:val="left"/>
      </w:pPr>
      <w:r>
        <w:rPr>
          <w:spacing w:val="-3"/>
        </w:rPr>
        <w:t>④有证据表明资产已经陈旧过时或者其实体已经损坏。</w:t>
      </w:r>
    </w:p>
    <w:p>
      <w:pPr>
        <w:pStyle w:val="BodyText"/>
        <w:spacing w:line="240" w:lineRule="auto" w:before="115"/>
        <w:ind w:left="522" w:right="855"/>
        <w:jc w:val="left"/>
      </w:pPr>
      <w:r>
        <w:rPr>
          <w:spacing w:val="-3"/>
        </w:rPr>
        <w:t>⑤资产已经或者将被闲置、终止使用或者计划提前处置。</w:t>
      </w:r>
    </w:p>
    <w:p>
      <w:pPr>
        <w:pStyle w:val="BodyText"/>
        <w:spacing w:line="319" w:lineRule="auto" w:before="119"/>
        <w:ind w:right="855" w:firstLine="369"/>
        <w:jc w:val="left"/>
      </w:pPr>
      <w:r>
        <w:rPr>
          <w:spacing w:val="-3"/>
        </w:rPr>
        <w:t>⑥公司内部报告的证据表明资产的经济绩效已经低于或者将低于预期，如资产所创造的净现金流量或者实现的营业利</w:t>
      </w:r>
      <w:r>
        <w:rPr>
          <w:w w:val="101"/>
        </w:rPr>
        <w:t> </w:t>
      </w:r>
      <w:r>
        <w:rPr>
          <w:spacing w:val="-3"/>
        </w:rPr>
        <w:t>润（或者亏损）远远低于（或者高于）预计金额等。</w:t>
      </w:r>
    </w:p>
    <w:p>
      <w:pPr>
        <w:pStyle w:val="BodyText"/>
        <w:spacing w:line="240" w:lineRule="auto" w:before="55"/>
        <w:ind w:left="522" w:right="855"/>
        <w:jc w:val="left"/>
      </w:pPr>
      <w:r>
        <w:rPr>
          <w:spacing w:val="-3"/>
        </w:rPr>
        <w:t>⑦其他表明资产可能已经发生减值的迹象。</w:t>
      </w:r>
    </w:p>
    <w:p>
      <w:pPr>
        <w:pStyle w:val="BodyText"/>
        <w:spacing w:line="300" w:lineRule="auto" w:before="115"/>
        <w:ind w:right="855" w:firstLine="369"/>
        <w:jc w:val="left"/>
      </w:pPr>
      <w:r>
        <w:rPr>
          <w:spacing w:val="-3"/>
        </w:rPr>
        <w:t>（</w:t>
      </w:r>
      <w:r>
        <w:rPr>
          <w:rFonts w:ascii="Times New Roman" w:hAnsi="Times New Roman" w:cs="Times New Roman" w:eastAsia="Times New Roman" w:hint="default"/>
          <w:spacing w:val="-3"/>
        </w:rPr>
        <w:t>2</w:t>
      </w:r>
      <w:r>
        <w:rPr>
          <w:spacing w:val="-3"/>
        </w:rPr>
        <w:t>）有迹象表明一项资产可能发生减值的，公司应当以单项资产为基础估计其可收回金额。公司难以对单项资产的可</w:t>
      </w:r>
      <w:r>
        <w:rPr>
          <w:w w:val="101"/>
        </w:rPr>
        <w:t> </w:t>
      </w:r>
      <w:r>
        <w:rPr>
          <w:spacing w:val="-3"/>
        </w:rPr>
        <w:t>收回金额进行估计的，应当以该资产所属的资产组为基础确定资产组的可收回金额。</w:t>
      </w:r>
    </w:p>
    <w:p>
      <w:pPr>
        <w:pStyle w:val="BodyText"/>
        <w:spacing w:line="319" w:lineRule="auto" w:before="74"/>
        <w:ind w:right="855" w:firstLine="369"/>
        <w:jc w:val="left"/>
      </w:pPr>
      <w:r>
        <w:rPr>
          <w:spacing w:val="-3"/>
        </w:rPr>
        <w:t>资产组的认定，以资产组产生的主要现金流入是否独立于其他资产或者资产组的现金流入为依据。同时，在认定资产</w:t>
      </w:r>
      <w:r>
        <w:rPr>
          <w:w w:val="101"/>
        </w:rPr>
        <w:t> </w:t>
      </w:r>
      <w:r>
        <w:rPr>
          <w:spacing w:val="-4"/>
        </w:rPr>
        <w:t>组时，考虑公司管理层管理生产经营活动的方式（如是按照生产线、业务种类还是按照地区或者区域等）和对资产的持续使</w:t>
      </w:r>
      <w:r>
        <w:rPr>
          <w:spacing w:val="40"/>
        </w:rPr>
        <w:t> </w:t>
      </w:r>
      <w:r>
        <w:rPr>
          <w:spacing w:val="40"/>
        </w:rPr>
      </w:r>
      <w:r>
        <w:rPr>
          <w:spacing w:val="-3"/>
        </w:rPr>
        <w:t>用或者处置的决策方式等。资产组一经确定，各个会计期间应当保持一致，不得随意变更。</w:t>
      </w:r>
    </w:p>
    <w:p>
      <w:pPr>
        <w:pStyle w:val="BodyText"/>
        <w:spacing w:line="240" w:lineRule="auto" w:before="55"/>
        <w:ind w:left="522" w:right="855"/>
        <w:jc w:val="left"/>
      </w:pPr>
      <w:r>
        <w:rPr>
          <w:spacing w:val="-3"/>
        </w:rPr>
        <w:t>（</w:t>
      </w:r>
      <w:r>
        <w:rPr>
          <w:rFonts w:ascii="Times New Roman" w:hAnsi="Times New Roman" w:cs="Times New Roman" w:eastAsia="Times New Roman" w:hint="default"/>
          <w:spacing w:val="-3"/>
        </w:rPr>
        <w:t>3</w:t>
      </w:r>
      <w:r>
        <w:rPr>
          <w:spacing w:val="-3"/>
        </w:rPr>
        <w:t>）因企业合并所形成的商誉和使用寿命不确定的无形资产，无论是否存在减值迹象，每年都应当进行减值测试。</w:t>
      </w:r>
    </w:p>
    <w:p>
      <w:pPr>
        <w:pStyle w:val="BodyText"/>
        <w:spacing w:line="240" w:lineRule="auto" w:before="101"/>
        <w:ind w:left="522" w:right="855"/>
        <w:jc w:val="left"/>
      </w:pPr>
      <w:r>
        <w:rPr>
          <w:spacing w:val="-5"/>
        </w:rPr>
        <w:t>（</w:t>
      </w:r>
      <w:r>
        <w:rPr>
          <w:rFonts w:ascii="Times New Roman" w:hAnsi="Times New Roman" w:cs="Times New Roman" w:eastAsia="Times New Roman" w:hint="default"/>
          <w:spacing w:val="-5"/>
        </w:rPr>
        <w:t>4</w:t>
      </w:r>
      <w:r>
        <w:rPr>
          <w:spacing w:val="-5"/>
        </w:rPr>
        <w:t>）资产减值损失确认后，减值资产的折旧或者摊销费用应当在未来期间作相应调整，以使该资产在剩余使用寿命内，</w:t>
      </w:r>
    </w:p>
    <w:p>
      <w:pPr>
        <w:spacing w:after="0" w:line="240" w:lineRule="auto"/>
        <w:jc w:val="left"/>
        <w:sectPr>
          <w:pgSz w:w="11910" w:h="16840"/>
          <w:pgMar w:header="746" w:footer="974"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6"/>
        <w:ind w:right="855"/>
        <w:jc w:val="left"/>
      </w:pPr>
      <w:r>
        <w:rPr>
          <w:spacing w:val="-3"/>
        </w:rPr>
        <w:t>系统地分摊调整后的资产账面价值（扣除预计净残值）。</w:t>
      </w:r>
    </w:p>
    <w:p>
      <w:pPr>
        <w:spacing w:line="240" w:lineRule="auto" w:before="8"/>
        <w:rPr>
          <w:rFonts w:ascii="宋体" w:hAnsi="宋体" w:cs="宋体" w:eastAsia="宋体" w:hint="default"/>
          <w:sz w:val="26"/>
          <w:szCs w:val="26"/>
        </w:rPr>
      </w:pPr>
    </w:p>
    <w:p>
      <w:pPr>
        <w:pStyle w:val="Heading4"/>
        <w:spacing w:line="240" w:lineRule="auto"/>
        <w:ind w:right="855"/>
        <w:jc w:val="left"/>
        <w:rPr>
          <w:b w:val="0"/>
          <w:bCs w:val="0"/>
        </w:rPr>
      </w:pPr>
      <w:r>
        <w:rPr>
          <w:rFonts w:ascii="Times New Roman" w:hAnsi="Times New Roman" w:cs="Times New Roman" w:eastAsia="Times New Roman" w:hint="default"/>
        </w:rPr>
        <w:t>22</w:t>
      </w:r>
      <w:r>
        <w:rPr/>
        <w:t>、长期待摊费用</w:t>
      </w:r>
      <w:r>
        <w:rPr>
          <w:b w:val="0"/>
          <w:bCs w:val="0"/>
        </w:rPr>
      </w:r>
    </w:p>
    <w:p>
      <w:pPr>
        <w:spacing w:line="240" w:lineRule="auto" w:before="10"/>
        <w:rPr>
          <w:rFonts w:ascii="宋体" w:hAnsi="宋体" w:cs="宋体" w:eastAsia="宋体" w:hint="default"/>
          <w:b/>
          <w:bCs/>
          <w:sz w:val="26"/>
          <w:szCs w:val="26"/>
        </w:rPr>
      </w:pPr>
    </w:p>
    <w:p>
      <w:pPr>
        <w:pStyle w:val="BodyText"/>
        <w:spacing w:line="316" w:lineRule="auto"/>
        <w:ind w:right="855" w:firstLine="369"/>
        <w:jc w:val="left"/>
      </w:pPr>
      <w:r>
        <w:rPr>
          <w:spacing w:val="-3"/>
        </w:rPr>
        <w:t>长期待摊费用是指公司已经发生但应由本期和以后各期分担的分摊期限在一年以上（不含一年）的各项费用，包括以</w:t>
      </w:r>
      <w:r>
        <w:rPr>
          <w:w w:val="101"/>
        </w:rPr>
        <w:t> </w:t>
      </w:r>
      <w:r>
        <w:rPr>
          <w:spacing w:val="-3"/>
        </w:rPr>
        <w:t>经营租赁方式租入的固定资产改良支出等。</w:t>
      </w:r>
    </w:p>
    <w:p>
      <w:pPr>
        <w:pStyle w:val="BodyText"/>
        <w:spacing w:line="240" w:lineRule="auto" w:before="62"/>
        <w:ind w:left="522" w:right="855"/>
        <w:jc w:val="left"/>
      </w:pPr>
      <w:r>
        <w:rPr>
          <w:spacing w:val="-3"/>
        </w:rPr>
        <w:t>长期待摊费用按实际支出入账，在项目受益期内平均摊销。</w:t>
      </w:r>
    </w:p>
    <w:p>
      <w:pPr>
        <w:spacing w:line="240" w:lineRule="auto" w:before="9"/>
        <w:rPr>
          <w:rFonts w:ascii="宋体" w:hAnsi="宋体" w:cs="宋体" w:eastAsia="宋体" w:hint="default"/>
          <w:sz w:val="26"/>
          <w:szCs w:val="26"/>
        </w:rPr>
      </w:pPr>
    </w:p>
    <w:p>
      <w:pPr>
        <w:pStyle w:val="Heading4"/>
        <w:spacing w:line="240" w:lineRule="auto"/>
        <w:ind w:right="855"/>
        <w:jc w:val="left"/>
        <w:rPr>
          <w:b w:val="0"/>
          <w:bCs w:val="0"/>
        </w:rPr>
      </w:pPr>
      <w:r>
        <w:rPr>
          <w:rFonts w:ascii="Times New Roman" w:hAnsi="Times New Roman" w:cs="Times New Roman" w:eastAsia="Times New Roman" w:hint="default"/>
        </w:rPr>
        <w:t>23</w:t>
      </w:r>
      <w:r>
        <w:rPr/>
        <w:t>、职工薪酬</w:t>
      </w:r>
      <w:r>
        <w:rPr>
          <w:b w:val="0"/>
          <w:bCs w:val="0"/>
        </w:rPr>
      </w:r>
    </w:p>
    <w:p>
      <w:pPr>
        <w:spacing w:line="240" w:lineRule="auto" w:before="10"/>
        <w:rPr>
          <w:rFonts w:ascii="宋体" w:hAnsi="宋体" w:cs="宋体" w:eastAsia="宋体" w:hint="default"/>
          <w:b/>
          <w:bCs/>
          <w:sz w:val="24"/>
          <w:szCs w:val="24"/>
        </w:rPr>
      </w:pPr>
    </w:p>
    <w:p>
      <w:pPr>
        <w:spacing w:before="0"/>
        <w:ind w:left="153" w:right="85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）短期薪酬的会计处理方法</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pStyle w:val="BodyText"/>
        <w:spacing w:line="240" w:lineRule="auto"/>
        <w:ind w:left="522" w:right="855"/>
        <w:jc w:val="left"/>
      </w:pPr>
      <w:r>
        <w:rPr>
          <w:spacing w:val="-3"/>
        </w:rPr>
        <w:t>本公司在职工提供服务的会计期间，将实际发生的短期薪酬确认为负债，并计入当期损益或相关资产成本。</w:t>
      </w:r>
    </w:p>
    <w:p>
      <w:pPr>
        <w:spacing w:line="240" w:lineRule="auto" w:before="9"/>
        <w:rPr>
          <w:rFonts w:ascii="宋体" w:hAnsi="宋体" w:cs="宋体" w:eastAsia="宋体" w:hint="default"/>
          <w:sz w:val="26"/>
          <w:szCs w:val="26"/>
        </w:rPr>
      </w:pPr>
    </w:p>
    <w:p>
      <w:pPr>
        <w:pStyle w:val="Heading4"/>
        <w:spacing w:line="240" w:lineRule="auto"/>
        <w:ind w:right="855"/>
        <w:jc w:val="left"/>
        <w:rPr>
          <w:b w:val="0"/>
          <w:bCs w:val="0"/>
        </w:rPr>
      </w:pP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9"/>
        <w:rPr>
          <w:rFonts w:ascii="宋体" w:hAnsi="宋体" w:cs="宋体" w:eastAsia="宋体" w:hint="default"/>
          <w:b/>
          <w:bCs/>
          <w:sz w:val="26"/>
          <w:szCs w:val="26"/>
        </w:rPr>
      </w:pPr>
    </w:p>
    <w:p>
      <w:pPr>
        <w:pStyle w:val="BodyText"/>
        <w:spacing w:line="316" w:lineRule="auto"/>
        <w:ind w:right="1124" w:firstLine="292"/>
        <w:jc w:val="both"/>
      </w:pPr>
      <w:r>
        <w:rPr>
          <w:spacing w:val="-3"/>
        </w:rPr>
        <w:t>本公司将离职后福利计划分类为设定提存计划和设定受益计划。本公司在职工提供服务的会计期间，将根据设定提存计</w:t>
      </w:r>
      <w:r>
        <w:rPr>
          <w:w w:val="101"/>
        </w:rPr>
        <w:t> </w:t>
      </w:r>
      <w:r>
        <w:rPr>
          <w:spacing w:val="-4"/>
        </w:rPr>
        <w:t>划计算的应缴存金额确认为负债，并计入当期损益或相关资产成本；根据预期累计福利单位法确定的公式将设定受益计划产</w:t>
      </w:r>
      <w:r>
        <w:rPr>
          <w:spacing w:val="44"/>
        </w:rPr>
        <w:t> </w:t>
      </w:r>
      <w:r>
        <w:rPr>
          <w:spacing w:val="44"/>
        </w:rPr>
      </w:r>
      <w:r>
        <w:rPr>
          <w:spacing w:val="-3"/>
        </w:rPr>
        <w:t>生的福利义务归属于职工提供服务的期间，并计入当期损益或相关资产成本。</w:t>
      </w:r>
    </w:p>
    <w:p>
      <w:pPr>
        <w:spacing w:line="240" w:lineRule="auto" w:before="8"/>
        <w:rPr>
          <w:rFonts w:ascii="宋体" w:hAnsi="宋体" w:cs="宋体" w:eastAsia="宋体" w:hint="default"/>
          <w:sz w:val="22"/>
          <w:szCs w:val="22"/>
        </w:rPr>
      </w:pPr>
    </w:p>
    <w:p>
      <w:pPr>
        <w:pStyle w:val="Heading4"/>
        <w:spacing w:line="240" w:lineRule="auto"/>
        <w:ind w:right="855"/>
        <w:jc w:val="left"/>
        <w:rPr>
          <w:b w:val="0"/>
          <w:bCs w:val="0"/>
        </w:rPr>
      </w:pP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460" w:right="855"/>
        <w:jc w:val="left"/>
      </w:pPr>
      <w:r>
        <w:rPr>
          <w:spacing w:val="-3"/>
        </w:rPr>
        <w:t>本公司向职工提供的辞退福利，在下列两者孰早日确认辞退福利产生的职工薪酬负债，并计入当期损益：</w:t>
      </w:r>
    </w:p>
    <w:p>
      <w:pPr>
        <w:spacing w:line="240" w:lineRule="auto" w:before="0"/>
        <w:rPr>
          <w:rFonts w:ascii="宋体" w:hAnsi="宋体" w:cs="宋体" w:eastAsia="宋体" w:hint="default"/>
          <w:sz w:val="15"/>
          <w:szCs w:val="15"/>
        </w:rPr>
      </w:pPr>
    </w:p>
    <w:p>
      <w:pPr>
        <w:pStyle w:val="BodyText"/>
        <w:spacing w:line="240" w:lineRule="auto"/>
        <w:ind w:left="590" w:right="855"/>
        <w:jc w:val="left"/>
      </w:pPr>
      <w:r>
        <w:rPr>
          <w:rFonts w:ascii="Times New Roman" w:hAnsi="Times New Roman" w:cs="Times New Roman" w:eastAsia="Times New Roman" w:hint="default"/>
          <w:spacing w:val="-3"/>
        </w:rPr>
        <w:t>1</w:t>
      </w:r>
      <w:r>
        <w:rPr>
          <w:spacing w:val="-3"/>
        </w:rPr>
        <w:t>）企业不能单方面撤回因解除劳动关系计划或裁减建议所提供的辞退福利时。</w:t>
      </w:r>
    </w:p>
    <w:p>
      <w:pPr>
        <w:spacing w:line="240" w:lineRule="auto" w:before="0"/>
        <w:rPr>
          <w:rFonts w:ascii="宋体" w:hAnsi="宋体" w:cs="宋体" w:eastAsia="宋体" w:hint="default"/>
          <w:sz w:val="14"/>
          <w:szCs w:val="14"/>
        </w:rPr>
      </w:pPr>
    </w:p>
    <w:p>
      <w:pPr>
        <w:pStyle w:val="BodyText"/>
        <w:spacing w:line="240" w:lineRule="auto"/>
        <w:ind w:left="590" w:right="855"/>
        <w:jc w:val="left"/>
      </w:pPr>
      <w:r>
        <w:rPr>
          <w:rFonts w:ascii="Times New Roman" w:hAnsi="Times New Roman" w:cs="Times New Roman" w:eastAsia="Times New Roman" w:hint="default"/>
          <w:spacing w:val="-3"/>
        </w:rPr>
        <w:t>2</w:t>
      </w:r>
      <w:r>
        <w:rPr>
          <w:spacing w:val="-3"/>
        </w:rPr>
        <w:t>）企业确认与涉及支付辞退福利的重组相关的成本或费用时。</w:t>
      </w:r>
    </w:p>
    <w:p>
      <w:pPr>
        <w:spacing w:line="240" w:lineRule="auto" w:before="13"/>
        <w:rPr>
          <w:rFonts w:ascii="宋体" w:hAnsi="宋体" w:cs="宋体" w:eastAsia="宋体" w:hint="default"/>
          <w:sz w:val="25"/>
          <w:szCs w:val="25"/>
        </w:rPr>
      </w:pPr>
    </w:p>
    <w:p>
      <w:pPr>
        <w:pStyle w:val="Heading4"/>
        <w:spacing w:line="240" w:lineRule="auto"/>
        <w:ind w:right="855"/>
        <w:jc w:val="left"/>
        <w:rPr>
          <w:b w:val="0"/>
          <w:bCs w:val="0"/>
        </w:rPr>
      </w:pP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9" w:lineRule="auto"/>
        <w:ind w:right="855" w:firstLine="369"/>
        <w:jc w:val="left"/>
      </w:pPr>
      <w:r>
        <w:rPr>
          <w:spacing w:val="-3"/>
        </w:rPr>
        <w:t>企业向职工提供的其他长期职工福利，符合设定提存计划条件的，适用设定提存计划的有关规定进行处理；否则，适</w:t>
      </w:r>
      <w:r>
        <w:rPr>
          <w:w w:val="101"/>
        </w:rPr>
        <w:t> </w:t>
      </w:r>
      <w:r>
        <w:rPr>
          <w:spacing w:val="-3"/>
        </w:rPr>
        <w:t>用关于设定受益计划的有关规定。</w:t>
      </w:r>
    </w:p>
    <w:p>
      <w:pPr>
        <w:spacing w:line="240" w:lineRule="auto" w:before="6"/>
        <w:rPr>
          <w:rFonts w:ascii="宋体" w:hAnsi="宋体" w:cs="宋体" w:eastAsia="宋体" w:hint="default"/>
          <w:sz w:val="22"/>
          <w:szCs w:val="22"/>
        </w:rPr>
      </w:pPr>
    </w:p>
    <w:p>
      <w:pPr>
        <w:pStyle w:val="Heading4"/>
        <w:spacing w:line="240" w:lineRule="auto"/>
        <w:ind w:right="855"/>
        <w:jc w:val="left"/>
        <w:rPr>
          <w:b w:val="0"/>
          <w:bCs w:val="0"/>
        </w:rPr>
      </w:pPr>
      <w:r>
        <w:rPr>
          <w:rFonts w:ascii="Times New Roman" w:hAnsi="Times New Roman" w:cs="Times New Roman" w:eastAsia="Times New Roman" w:hint="default"/>
        </w:rPr>
        <w:t>24</w:t>
      </w:r>
      <w:r>
        <w:rPr/>
        <w:t>、预计负债</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left="522" w:right="855"/>
        <w:jc w:val="left"/>
      </w:pPr>
      <w:r>
        <w:rPr>
          <w:spacing w:val="-3"/>
        </w:rPr>
        <w:t>（</w:t>
      </w:r>
      <w:r>
        <w:rPr>
          <w:rFonts w:ascii="Times New Roman" w:hAnsi="Times New Roman" w:cs="Times New Roman" w:eastAsia="Times New Roman" w:hint="default"/>
          <w:spacing w:val="-3"/>
        </w:rPr>
        <w:t>1</w:t>
      </w:r>
      <w:r>
        <w:rPr>
          <w:spacing w:val="-3"/>
        </w:rPr>
        <w:t>）预计负债的确认原则</w:t>
      </w:r>
      <w:r>
        <w:rPr>
          <w:spacing w:val="-52"/>
        </w:rPr>
        <w:t> </w:t>
      </w:r>
      <w:r>
        <w:rPr>
          <w:spacing w:val="-52"/>
        </w:rPr>
      </w:r>
      <w:r>
        <w:rPr>
          <w:spacing w:val="-3"/>
        </w:rPr>
        <w:t>当与对外担保、未决诉讼或仲裁、产品质量保证、裁员计划、亏损合同、重组义务、固定资产弃置义务等或有事项相</w:t>
      </w:r>
    </w:p>
    <w:p>
      <w:pPr>
        <w:pStyle w:val="BodyText"/>
        <w:spacing w:line="240" w:lineRule="auto" w:before="2"/>
        <w:ind w:right="855"/>
        <w:jc w:val="left"/>
      </w:pPr>
      <w:r>
        <w:rPr>
          <w:spacing w:val="-3"/>
        </w:rPr>
        <w:t>关的业务同时符合以下条件时，确认为负债：</w:t>
      </w:r>
    </w:p>
    <w:p>
      <w:pPr>
        <w:pStyle w:val="BodyText"/>
        <w:spacing w:line="240" w:lineRule="auto" w:before="115"/>
        <w:ind w:left="522" w:right="855"/>
        <w:jc w:val="left"/>
      </w:pPr>
      <w:r>
        <w:rPr>
          <w:rFonts w:ascii="Times New Roman" w:hAnsi="Times New Roman" w:cs="Times New Roman" w:eastAsia="Times New Roman" w:hint="default"/>
          <w:spacing w:val="-3"/>
        </w:rPr>
        <w:t>1</w:t>
      </w:r>
      <w:r>
        <w:rPr>
          <w:spacing w:val="-3"/>
        </w:rPr>
        <w:t>）该义务是本公司承担的现时义务。</w:t>
      </w:r>
    </w:p>
    <w:p>
      <w:pPr>
        <w:pStyle w:val="BodyText"/>
        <w:spacing w:line="240" w:lineRule="auto" w:before="106"/>
        <w:ind w:left="522" w:right="855"/>
        <w:jc w:val="left"/>
      </w:pPr>
      <w:r>
        <w:rPr>
          <w:rFonts w:ascii="Times New Roman" w:hAnsi="Times New Roman" w:cs="Times New Roman" w:eastAsia="Times New Roman" w:hint="default"/>
          <w:spacing w:val="-3"/>
        </w:rPr>
        <w:t>2</w:t>
      </w:r>
      <w:r>
        <w:rPr>
          <w:spacing w:val="-3"/>
        </w:rPr>
        <w:t>）该义务的履行很可能导致经济利益流出企业。</w:t>
      </w:r>
    </w:p>
    <w:p>
      <w:pPr>
        <w:pStyle w:val="BodyText"/>
        <w:spacing w:line="240" w:lineRule="auto" w:before="101"/>
        <w:ind w:left="522" w:right="855"/>
        <w:jc w:val="left"/>
      </w:pPr>
      <w:r>
        <w:rPr>
          <w:rFonts w:ascii="Times New Roman" w:hAnsi="Times New Roman" w:cs="Times New Roman" w:eastAsia="Times New Roman" w:hint="default"/>
          <w:spacing w:val="-3"/>
        </w:rPr>
        <w:t>3</w:t>
      </w:r>
      <w:r>
        <w:rPr>
          <w:spacing w:val="-3"/>
        </w:rPr>
        <w:t>）该义务的金额能够可靠地计量。</w:t>
      </w:r>
    </w:p>
    <w:p>
      <w:pPr>
        <w:pStyle w:val="BodyText"/>
        <w:spacing w:line="343" w:lineRule="auto" w:before="102"/>
        <w:ind w:left="522" w:right="855"/>
        <w:jc w:val="left"/>
      </w:pPr>
      <w:r>
        <w:rPr>
          <w:spacing w:val="-3"/>
        </w:rPr>
        <w:t>（</w:t>
      </w:r>
      <w:r>
        <w:rPr>
          <w:rFonts w:ascii="Times New Roman" w:hAnsi="Times New Roman" w:cs="Times New Roman" w:eastAsia="Times New Roman" w:hint="default"/>
          <w:spacing w:val="-3"/>
        </w:rPr>
        <w:t>2</w:t>
      </w:r>
      <w:r>
        <w:rPr>
          <w:spacing w:val="-3"/>
        </w:rPr>
        <w:t>）预计负债的计量方法</w:t>
      </w:r>
      <w:r>
        <w:rPr>
          <w:spacing w:val="-52"/>
        </w:rPr>
        <w:t> </w:t>
      </w:r>
      <w:r>
        <w:rPr>
          <w:spacing w:val="-52"/>
        </w:rPr>
      </w:r>
      <w:r>
        <w:rPr>
          <w:spacing w:val="-3"/>
        </w:rPr>
        <w:t>预计负债按照履行现时义务所需支出的最佳估计数进行初始计量。所需支出存在一个连续范围，且该范围内各种结果</w:t>
      </w:r>
    </w:p>
    <w:p>
      <w:pPr>
        <w:pStyle w:val="BodyText"/>
        <w:spacing w:line="248" w:lineRule="exact"/>
        <w:ind w:right="855"/>
        <w:jc w:val="left"/>
      </w:pPr>
      <w:r>
        <w:rPr>
          <w:spacing w:val="-3"/>
        </w:rPr>
        <w:t>发生的可能性相同的最佳估计数按该范围的中间值确定</w:t>
      </w:r>
      <w:r>
        <w:rPr>
          <w:rFonts w:ascii="Times New Roman" w:hAnsi="Times New Roman" w:cs="Times New Roman" w:eastAsia="Times New Roman" w:hint="default"/>
          <w:spacing w:val="-3"/>
        </w:rPr>
        <w:t>;</w:t>
      </w:r>
      <w:r>
        <w:rPr>
          <w:spacing w:val="-3"/>
        </w:rPr>
        <w:t>在其他情况下，最佳估计数按如下方法确定：</w:t>
      </w:r>
    </w:p>
    <w:p>
      <w:pPr>
        <w:pStyle w:val="BodyText"/>
        <w:spacing w:line="240" w:lineRule="auto" w:before="101"/>
        <w:ind w:left="522" w:right="855"/>
        <w:jc w:val="left"/>
      </w:pPr>
      <w:r>
        <w:rPr>
          <w:rFonts w:ascii="Times New Roman" w:hAnsi="Times New Roman" w:cs="Times New Roman" w:eastAsia="Times New Roman" w:hint="default"/>
          <w:spacing w:val="-3"/>
        </w:rPr>
        <w:t>1</w:t>
      </w:r>
      <w:r>
        <w:rPr>
          <w:spacing w:val="-3"/>
        </w:rPr>
        <w:t>）或有事项涉及单个项目时，最佳估计数按最可能发生金额确定。</w:t>
      </w:r>
    </w:p>
    <w:p>
      <w:pPr>
        <w:spacing w:after="0" w:line="240" w:lineRule="auto"/>
        <w:jc w:val="left"/>
        <w:sectPr>
          <w:pgSz w:w="11910" w:h="16840"/>
          <w:pgMar w:header="746" w:footer="974" w:top="1060" w:bottom="1160" w:left="980" w:right="0"/>
        </w:sectPr>
      </w:pPr>
    </w:p>
    <w:p>
      <w:pPr>
        <w:spacing w:line="240" w:lineRule="auto" w:before="9"/>
        <w:rPr>
          <w:rFonts w:ascii="宋体" w:hAnsi="宋体" w:cs="宋体" w:eastAsia="宋体" w:hint="default"/>
          <w:sz w:val="25"/>
          <w:szCs w:val="25"/>
        </w:rPr>
      </w:pPr>
    </w:p>
    <w:p>
      <w:pPr>
        <w:pStyle w:val="BodyText"/>
        <w:spacing w:line="338" w:lineRule="auto" w:before="46"/>
        <w:ind w:left="522" w:right="855"/>
        <w:jc w:val="left"/>
      </w:pPr>
      <w:r>
        <w:rPr>
          <w:rFonts w:ascii="Times New Roman" w:hAnsi="Times New Roman" w:cs="Times New Roman" w:eastAsia="Times New Roman" w:hint="default"/>
          <w:spacing w:val="-3"/>
        </w:rPr>
        <w:t>2</w:t>
      </w:r>
      <w:r>
        <w:rPr>
          <w:spacing w:val="-3"/>
        </w:rPr>
        <w:t>）或有事项涉及多个项目时，最佳估计数按各种可能发生额及其发生概率计算确定。</w:t>
      </w:r>
      <w:r>
        <w:rPr>
          <w:spacing w:val="23"/>
        </w:rPr>
        <w:t> </w:t>
      </w:r>
      <w:r>
        <w:rPr>
          <w:spacing w:val="23"/>
        </w:rPr>
      </w:r>
      <w:r>
        <w:rPr>
          <w:spacing w:val="-3"/>
        </w:rPr>
        <w:t>公司清偿预计负债所需支出全部或部分预期由第三方或其他方补偿的，则补偿金额在基本确定能收到时，作为资产单</w:t>
      </w:r>
    </w:p>
    <w:p>
      <w:pPr>
        <w:pStyle w:val="BodyText"/>
        <w:spacing w:line="240" w:lineRule="auto" w:before="2"/>
        <w:ind w:right="855"/>
        <w:jc w:val="left"/>
      </w:pPr>
      <w:r>
        <w:rPr>
          <w:spacing w:val="-3"/>
        </w:rPr>
        <w:t>独确认。确认的补偿金额不超过所确认预计负债的账面价值。</w:t>
      </w:r>
    </w:p>
    <w:p>
      <w:pPr>
        <w:spacing w:line="240" w:lineRule="auto" w:before="0"/>
        <w:rPr>
          <w:rFonts w:ascii="宋体" w:hAnsi="宋体" w:cs="宋体" w:eastAsia="宋体" w:hint="default"/>
          <w:sz w:val="18"/>
          <w:szCs w:val="18"/>
        </w:rPr>
      </w:pPr>
    </w:p>
    <w:p>
      <w:pPr>
        <w:pStyle w:val="Heading4"/>
        <w:spacing w:line="240" w:lineRule="auto" w:before="118"/>
        <w:ind w:right="855"/>
        <w:jc w:val="left"/>
        <w:rPr>
          <w:b w:val="0"/>
          <w:bCs w:val="0"/>
        </w:rPr>
      </w:pPr>
      <w:r>
        <w:rPr>
          <w:rFonts w:ascii="Times New Roman" w:hAnsi="Times New Roman" w:cs="Times New Roman" w:eastAsia="Times New Roman" w:hint="default"/>
        </w:rPr>
        <w:t>25</w:t>
      </w:r>
      <w:r>
        <w:rPr/>
        <w:t>、股份支付</w:t>
      </w:r>
      <w:r>
        <w:rPr>
          <w:b w:val="0"/>
          <w:bCs w:val="0"/>
        </w:rPr>
      </w:r>
    </w:p>
    <w:p>
      <w:pPr>
        <w:spacing w:line="240" w:lineRule="auto" w:before="9"/>
        <w:rPr>
          <w:rFonts w:ascii="宋体" w:hAnsi="宋体" w:cs="宋体" w:eastAsia="宋体" w:hint="default"/>
          <w:b/>
          <w:bCs/>
          <w:sz w:val="26"/>
          <w:szCs w:val="26"/>
        </w:rPr>
      </w:pPr>
    </w:p>
    <w:p>
      <w:pPr>
        <w:pStyle w:val="BodyText"/>
        <w:spacing w:line="316" w:lineRule="auto"/>
        <w:ind w:right="855" w:firstLine="369"/>
        <w:jc w:val="left"/>
      </w:pPr>
      <w:r>
        <w:rPr>
          <w:spacing w:val="-3"/>
        </w:rPr>
        <w:t>股份支付是指本公司为获取职工和其他方提供服务而授予权益工具或者承担以权益工具为基础确定的负债的交易，包</w:t>
      </w:r>
      <w:r>
        <w:rPr>
          <w:w w:val="101"/>
        </w:rPr>
        <w:t> </w:t>
      </w:r>
      <w:r>
        <w:rPr>
          <w:spacing w:val="-3"/>
        </w:rPr>
        <w:t>括以权益结算和以现金结算两种方式。</w:t>
      </w:r>
    </w:p>
    <w:p>
      <w:pPr>
        <w:pStyle w:val="BodyText"/>
        <w:spacing w:line="316" w:lineRule="auto" w:before="57"/>
        <w:ind w:right="855" w:firstLine="369"/>
        <w:jc w:val="left"/>
      </w:pPr>
      <w:r>
        <w:rPr>
          <w:spacing w:val="-3"/>
        </w:rPr>
        <w:t>以权益结算的股份支付，是指本公司为获取服务以股份或其他权益工具作为对价进行结算的交易；以现金结算的股份</w:t>
      </w:r>
      <w:r>
        <w:rPr>
          <w:w w:val="101"/>
        </w:rPr>
        <w:t> </w:t>
      </w:r>
      <w:r>
        <w:rPr>
          <w:spacing w:val="-3"/>
        </w:rPr>
        <w:t>支付，是指本公司为获取服务承担以股份或其他权益工具为基础计算确定的交付现金或其他资产义务的交易。</w:t>
      </w:r>
    </w:p>
    <w:p>
      <w:pPr>
        <w:pStyle w:val="BodyText"/>
        <w:spacing w:line="240" w:lineRule="auto" w:before="57"/>
        <w:ind w:left="522" w:right="855"/>
        <w:jc w:val="left"/>
      </w:pPr>
      <w:r>
        <w:rPr>
          <w:spacing w:val="-3"/>
        </w:rPr>
        <w:t>（</w:t>
      </w:r>
      <w:r>
        <w:rPr>
          <w:rFonts w:ascii="Times New Roman" w:hAnsi="Times New Roman" w:cs="Times New Roman" w:eastAsia="Times New Roman" w:hint="default"/>
          <w:spacing w:val="-3"/>
        </w:rPr>
        <w:t>1</w:t>
      </w:r>
      <w:r>
        <w:rPr>
          <w:spacing w:val="-3"/>
        </w:rPr>
        <w:t>）本公司为换取职工提供的服务而提供的以权益结算的股份支付，以授予职工权益工具的公允价值计量。</w:t>
      </w:r>
    </w:p>
    <w:p>
      <w:pPr>
        <w:pStyle w:val="BodyText"/>
        <w:spacing w:line="300" w:lineRule="auto" w:before="106"/>
        <w:ind w:right="855" w:firstLine="369"/>
        <w:jc w:val="left"/>
      </w:pPr>
      <w:r>
        <w:rPr>
          <w:rFonts w:ascii="Times New Roman" w:hAnsi="Times New Roman" w:cs="Times New Roman" w:eastAsia="Times New Roman" w:hint="default"/>
          <w:spacing w:val="-3"/>
        </w:rPr>
        <w:t>1</w:t>
      </w:r>
      <w:r>
        <w:rPr>
          <w:spacing w:val="-3"/>
        </w:rPr>
        <w:t>）授予后立即可行权的换取职工服务的以权益结算的股份支付，在授予日按照权益工具的公允价值计入相关成本或费</w:t>
      </w:r>
      <w:r>
        <w:rPr>
          <w:w w:val="101"/>
        </w:rPr>
        <w:t> </w:t>
      </w:r>
      <w:r>
        <w:rPr>
          <w:spacing w:val="-3"/>
        </w:rPr>
        <w:t>用，相应增加资本公积；</w:t>
      </w:r>
    </w:p>
    <w:p>
      <w:pPr>
        <w:pStyle w:val="BodyText"/>
        <w:spacing w:line="309" w:lineRule="auto" w:before="70"/>
        <w:ind w:right="855" w:firstLine="369"/>
        <w:jc w:val="left"/>
      </w:pPr>
      <w:r>
        <w:rPr>
          <w:rFonts w:ascii="Times New Roman" w:hAnsi="Times New Roman" w:cs="Times New Roman" w:eastAsia="Times New Roman" w:hint="default"/>
          <w:spacing w:val="-3"/>
        </w:rPr>
        <w:t>2</w:t>
      </w:r>
      <w:r>
        <w:rPr>
          <w:spacing w:val="-3"/>
        </w:rPr>
        <w:t>）完成可行权条件得到满足的期间（等待期）内的服务或达到规定业绩条件才可行权的换取职工服务的以权益结算的</w:t>
      </w:r>
      <w:r>
        <w:rPr>
          <w:w w:val="101"/>
        </w:rPr>
        <w:t> </w:t>
      </w:r>
      <w:r>
        <w:rPr>
          <w:spacing w:val="-6"/>
        </w:rPr>
        <w:t>股份支付，在等待期内的每个资产负债表日，以对可行权权益工具数量的最佳估计为基础，按照权益工具授予日的公允价值，</w:t>
      </w:r>
      <w:r>
        <w:rPr>
          <w:spacing w:val="63"/>
        </w:rPr>
        <w:t> </w:t>
      </w:r>
      <w:r>
        <w:rPr>
          <w:spacing w:val="63"/>
        </w:rPr>
      </w:r>
      <w:r>
        <w:rPr>
          <w:spacing w:val="-3"/>
        </w:rPr>
        <w:t>将当期取得的服务计入相关成本或费用和资本公积。</w:t>
      </w:r>
    </w:p>
    <w:p>
      <w:pPr>
        <w:pStyle w:val="BodyText"/>
        <w:spacing w:line="300" w:lineRule="auto" w:before="62"/>
        <w:ind w:right="855" w:firstLine="369"/>
        <w:jc w:val="left"/>
      </w:pPr>
      <w:r>
        <w:rPr>
          <w:rFonts w:ascii="Times New Roman" w:hAnsi="Times New Roman" w:cs="Times New Roman" w:eastAsia="Times New Roman" w:hint="default"/>
          <w:spacing w:val="-3"/>
        </w:rPr>
        <w:t>3</w:t>
      </w:r>
      <w:r>
        <w:rPr>
          <w:spacing w:val="-3"/>
        </w:rPr>
        <w:t>）在资产负债表日，后续信息表明可行权权益工具的数量与以前估计不同的，应当进行调整，并在可行权日调整至实</w:t>
      </w:r>
      <w:r>
        <w:rPr>
          <w:w w:val="101"/>
        </w:rPr>
        <w:t> </w:t>
      </w:r>
      <w:r>
        <w:rPr>
          <w:spacing w:val="-3"/>
        </w:rPr>
        <w:t>际可行权的权益工具数量。</w:t>
      </w:r>
    </w:p>
    <w:p>
      <w:pPr>
        <w:pStyle w:val="BodyText"/>
        <w:spacing w:line="240" w:lineRule="auto" w:before="75"/>
        <w:ind w:left="522" w:right="855"/>
        <w:jc w:val="left"/>
      </w:pPr>
      <w:r>
        <w:rPr>
          <w:rFonts w:ascii="Times New Roman" w:hAnsi="Times New Roman" w:cs="Times New Roman" w:eastAsia="Times New Roman" w:hint="default"/>
          <w:spacing w:val="-3"/>
        </w:rPr>
        <w:t>4</w:t>
      </w:r>
      <w:r>
        <w:rPr>
          <w:spacing w:val="-3"/>
        </w:rPr>
        <w:t>）本公司在可行权日之后不再对已确认的相关成本或费用和所有者权益总额进行调整。</w:t>
      </w:r>
    </w:p>
    <w:p>
      <w:pPr>
        <w:pStyle w:val="BodyText"/>
        <w:spacing w:line="300" w:lineRule="auto" w:before="101"/>
        <w:ind w:right="855" w:firstLine="369"/>
        <w:jc w:val="left"/>
      </w:pPr>
      <w:r>
        <w:rPr>
          <w:spacing w:val="-3"/>
        </w:rPr>
        <w:t>（</w:t>
      </w:r>
      <w:r>
        <w:rPr>
          <w:rFonts w:ascii="Times New Roman" w:hAnsi="Times New Roman" w:cs="Times New Roman" w:eastAsia="Times New Roman" w:hint="default"/>
          <w:spacing w:val="-3"/>
        </w:rPr>
        <w:t>2</w:t>
      </w:r>
      <w:r>
        <w:rPr>
          <w:spacing w:val="-3"/>
        </w:rPr>
        <w:t>）本公司提供的以现金结算的股份支付，按照本公司承担的以股份或其他权益工具为基础计算确定的负债的公允价</w:t>
      </w:r>
      <w:r>
        <w:rPr>
          <w:w w:val="101"/>
        </w:rPr>
        <w:t> </w:t>
      </w:r>
      <w:r>
        <w:rPr/>
        <w:t>值计量。</w:t>
      </w:r>
    </w:p>
    <w:p>
      <w:pPr>
        <w:pStyle w:val="BodyText"/>
        <w:spacing w:line="300" w:lineRule="auto" w:before="70"/>
        <w:ind w:right="855" w:firstLine="369"/>
        <w:jc w:val="left"/>
      </w:pPr>
      <w:r>
        <w:rPr>
          <w:rFonts w:ascii="Times New Roman" w:hAnsi="Times New Roman" w:cs="Times New Roman" w:eastAsia="Times New Roman" w:hint="default"/>
          <w:spacing w:val="-3"/>
        </w:rPr>
        <w:t>1</w:t>
      </w:r>
      <w:r>
        <w:rPr>
          <w:spacing w:val="-3"/>
        </w:rPr>
        <w:t>）授予后立即可行权的以现金结算的股份支付，在授予日以企业承担负债的公允价值计入相关成本或费用，相应增加</w:t>
      </w:r>
      <w:r>
        <w:rPr>
          <w:w w:val="101"/>
        </w:rPr>
        <w:t> </w:t>
      </w:r>
      <w:r>
        <w:rPr/>
        <w:t>负债；</w:t>
      </w:r>
    </w:p>
    <w:p>
      <w:pPr>
        <w:pStyle w:val="BodyText"/>
        <w:spacing w:line="300" w:lineRule="auto" w:before="75"/>
        <w:ind w:right="855" w:firstLine="369"/>
        <w:jc w:val="left"/>
      </w:pPr>
      <w:r>
        <w:rPr>
          <w:rFonts w:ascii="Times New Roman" w:hAnsi="Times New Roman" w:cs="Times New Roman" w:eastAsia="Times New Roman" w:hint="default"/>
          <w:spacing w:val="-5"/>
        </w:rPr>
        <w:t>2</w:t>
      </w:r>
      <w:r>
        <w:rPr>
          <w:spacing w:val="-5"/>
        </w:rPr>
        <w:t>）完成等待期内的服务或达到规定业绩条件以后才可行权的以现金结算的股份支付，在等待期内的每个资产负债表日，</w:t>
      </w:r>
      <w:r>
        <w:rPr>
          <w:w w:val="101"/>
        </w:rPr>
        <w:t> </w:t>
      </w:r>
      <w:r>
        <w:rPr>
          <w:spacing w:val="-6"/>
          <w:w w:val="101"/>
        </w:rPr>
        <w:t>以对可行权情况的最佳估计为基础，按照本公司承担负债的公允价值金额，将当期取得的服务计入成本或费用和相应的负债。</w:t>
      </w:r>
      <w:r>
        <w:rPr>
          <w:spacing w:val="-6"/>
        </w:rPr>
      </w:r>
    </w:p>
    <w:p>
      <w:pPr>
        <w:pStyle w:val="BodyText"/>
        <w:spacing w:line="300" w:lineRule="auto" w:before="70"/>
        <w:ind w:right="855" w:firstLine="369"/>
        <w:jc w:val="left"/>
      </w:pPr>
      <w:r>
        <w:rPr>
          <w:rFonts w:ascii="Times New Roman" w:hAnsi="Times New Roman" w:cs="Times New Roman" w:eastAsia="Times New Roman" w:hint="default"/>
          <w:spacing w:val="-3"/>
        </w:rPr>
        <w:t>3</w:t>
      </w:r>
      <w:r>
        <w:rPr>
          <w:spacing w:val="-3"/>
        </w:rPr>
        <w:t>）在资产负债表日，后续信息表明本公司当期承担债务的公允价值与以前估计不同的，应当进行调整，并在可行权日</w:t>
      </w:r>
      <w:r>
        <w:rPr>
          <w:w w:val="101"/>
        </w:rPr>
        <w:t> </w:t>
      </w:r>
      <w:r>
        <w:rPr>
          <w:spacing w:val="-3"/>
        </w:rPr>
        <w:t>调整至实际可行权水平。</w:t>
      </w:r>
    </w:p>
    <w:p>
      <w:pPr>
        <w:pStyle w:val="BodyText"/>
        <w:spacing w:line="240" w:lineRule="auto" w:before="70"/>
        <w:ind w:left="522" w:right="855"/>
        <w:jc w:val="left"/>
      </w:pPr>
      <w:r>
        <w:rPr>
          <w:rFonts w:ascii="Times New Roman" w:hAnsi="Times New Roman" w:cs="Times New Roman" w:eastAsia="Times New Roman" w:hint="default"/>
          <w:spacing w:val="-3"/>
        </w:rPr>
        <w:t>4</w:t>
      </w:r>
      <w:r>
        <w:rPr>
          <w:spacing w:val="-3"/>
        </w:rPr>
        <w:t>）本公司在相关负债结算前的每个资产负债表日以及结算日，对负债的公允价值重新计量，其变动计入当期损益。</w:t>
      </w:r>
    </w:p>
    <w:p>
      <w:pPr>
        <w:pStyle w:val="BodyText"/>
        <w:spacing w:line="240" w:lineRule="auto" w:before="106"/>
        <w:ind w:left="522" w:right="855"/>
        <w:jc w:val="left"/>
      </w:pPr>
      <w:r>
        <w:rPr>
          <w:spacing w:val="-3"/>
        </w:rPr>
        <w:t>（</w:t>
      </w:r>
      <w:r>
        <w:rPr>
          <w:rFonts w:ascii="Times New Roman" w:hAnsi="Times New Roman" w:cs="Times New Roman" w:eastAsia="Times New Roman" w:hint="default"/>
          <w:spacing w:val="-3"/>
        </w:rPr>
        <w:t>3</w:t>
      </w:r>
      <w:r>
        <w:rPr>
          <w:spacing w:val="-3"/>
        </w:rPr>
        <w:t>）根据最新取得可行权职工数变动等后续信息进行估计确定可行权权益工具最佳估计数。</w:t>
      </w:r>
    </w:p>
    <w:p>
      <w:pPr>
        <w:pStyle w:val="BodyText"/>
        <w:spacing w:line="240" w:lineRule="auto" w:before="101"/>
        <w:ind w:left="522" w:right="855"/>
        <w:jc w:val="left"/>
      </w:pPr>
      <w:r>
        <w:rPr/>
        <w:t>（</w:t>
      </w:r>
      <w:r>
        <w:rPr>
          <w:rFonts w:ascii="Times New Roman" w:hAnsi="Times New Roman" w:cs="Times New Roman" w:eastAsia="Times New Roman" w:hint="default"/>
        </w:rPr>
        <w:t>4</w:t>
      </w:r>
      <w:r>
        <w:rPr/>
        <w:t>）</w:t>
      </w:r>
      <w:r>
        <w:rPr>
          <w:spacing w:val="5"/>
        </w:rPr>
        <w:t> </w:t>
      </w:r>
      <w:r>
        <w:rPr>
          <w:spacing w:val="-3"/>
        </w:rPr>
        <w:t>修改计划的处理</w:t>
      </w:r>
    </w:p>
    <w:p>
      <w:pPr>
        <w:pStyle w:val="BodyText"/>
        <w:spacing w:line="312" w:lineRule="auto" w:before="101"/>
        <w:ind w:right="1123" w:firstLine="369"/>
        <w:jc w:val="both"/>
      </w:pPr>
      <w:r>
        <w:rPr>
          <w:rFonts w:ascii="Times New Roman" w:hAnsi="Times New Roman" w:cs="Times New Roman" w:eastAsia="Times New Roman" w:hint="default"/>
          <w:spacing w:val="-3"/>
        </w:rPr>
        <w:t>1</w:t>
      </w:r>
      <w:r>
        <w:rPr>
          <w:spacing w:val="-3"/>
        </w:rPr>
        <w:t>）如果修改增加了所授予的权益工具的公允价值，本公司按照权益工具公允价值的增加相应地确认取得服务的增加。</w:t>
      </w:r>
      <w:r>
        <w:rPr>
          <w:w w:val="101"/>
        </w:rPr>
        <w:t> </w:t>
      </w:r>
      <w:r>
        <w:rPr>
          <w:spacing w:val="-4"/>
        </w:rPr>
        <w:t>如果修改增加了所授予的权益工具的数量，本公司将增加的权益工具的公允价值相应地确认为取得服务的增加。如果按照有</w:t>
      </w:r>
      <w:r>
        <w:rPr>
          <w:spacing w:val="43"/>
        </w:rPr>
        <w:t> </w:t>
      </w:r>
      <w:r>
        <w:rPr>
          <w:spacing w:val="43"/>
        </w:rPr>
      </w:r>
      <w:r>
        <w:rPr>
          <w:spacing w:val="-4"/>
        </w:rPr>
        <w:t>利于职工的方式修改可行权条件，如缩短等待期、变更或取消业绩条件（而非市场条件），在处理可行权条件时，应当考虑</w:t>
      </w:r>
      <w:r>
        <w:rPr>
          <w:spacing w:val="41"/>
        </w:rPr>
        <w:t> </w:t>
      </w:r>
      <w:r>
        <w:rPr>
          <w:spacing w:val="41"/>
        </w:rPr>
      </w:r>
      <w:r>
        <w:rPr/>
        <w:t>修改后的可行权条件。</w:t>
      </w:r>
    </w:p>
    <w:p>
      <w:pPr>
        <w:pStyle w:val="BodyText"/>
        <w:spacing w:line="300" w:lineRule="auto" w:before="65"/>
        <w:ind w:right="855" w:firstLine="369"/>
        <w:jc w:val="left"/>
      </w:pPr>
      <w:r>
        <w:rPr>
          <w:rFonts w:ascii="Times New Roman" w:hAnsi="Times New Roman" w:cs="Times New Roman" w:eastAsia="Times New Roman" w:hint="default"/>
          <w:spacing w:val="-3"/>
        </w:rPr>
        <w:t>2</w:t>
      </w:r>
      <w:r>
        <w:rPr>
          <w:spacing w:val="-3"/>
        </w:rPr>
        <w:t>）如果企业以减少股份支付公允价值总额的方式或其他不利于职工的方式修改条款和条件，企业仍应继续对取得的服</w:t>
      </w:r>
      <w:r>
        <w:rPr>
          <w:w w:val="101"/>
        </w:rPr>
        <w:t> </w:t>
      </w:r>
      <w:r>
        <w:rPr>
          <w:spacing w:val="-3"/>
        </w:rPr>
        <w:t>务进行会计处理，如同该变更从未发生，除非企业取消了部分或全部已授予的权益工具。</w:t>
      </w:r>
    </w:p>
    <w:p>
      <w:pPr>
        <w:pStyle w:val="BodyText"/>
        <w:spacing w:line="350" w:lineRule="auto" w:before="70"/>
        <w:ind w:left="522" w:right="855"/>
        <w:jc w:val="left"/>
      </w:pPr>
      <w:r>
        <w:rPr/>
        <w:t>（</w:t>
      </w:r>
      <w:r>
        <w:rPr>
          <w:rFonts w:ascii="Times New Roman" w:hAnsi="Times New Roman" w:cs="Times New Roman" w:eastAsia="Times New Roman" w:hint="default"/>
        </w:rPr>
        <w:t>5</w:t>
      </w:r>
      <w:r>
        <w:rPr/>
        <w:t>）终止计划的处理</w:t>
      </w:r>
      <w:r>
        <w:rPr>
          <w:spacing w:val="-88"/>
        </w:rPr>
        <w:t> </w:t>
      </w:r>
      <w:r>
        <w:rPr>
          <w:spacing w:val="-88"/>
        </w:rPr>
      </w:r>
      <w:r>
        <w:rPr>
          <w:spacing w:val="-3"/>
        </w:rPr>
        <w:t>如果在等待期内取消了所授予的权益工具或结算了所授予的权益工具（因未满足可行权条件而被取消的除外）：</w:t>
      </w:r>
      <w:r>
        <w:rPr>
          <w:spacing w:val="54"/>
        </w:rPr>
        <w:t> </w:t>
      </w:r>
      <w:r>
        <w:rPr>
          <w:spacing w:val="54"/>
        </w:rPr>
      </w:r>
      <w:r>
        <w:rPr>
          <w:rFonts w:ascii="Times New Roman" w:hAnsi="Times New Roman" w:cs="Times New Roman" w:eastAsia="Times New Roman" w:hint="default"/>
          <w:spacing w:val="-3"/>
        </w:rPr>
        <w:t>1</w:t>
      </w:r>
      <w:r>
        <w:rPr>
          <w:spacing w:val="-3"/>
        </w:rPr>
        <w:t>）将取消或结算作为加速可行权处理，立即确认原本应在剩余等待期内确认的金额。</w:t>
      </w:r>
    </w:p>
    <w:p>
      <w:pPr>
        <w:pStyle w:val="BodyText"/>
        <w:spacing w:line="300" w:lineRule="auto" w:before="9"/>
        <w:ind w:right="855" w:firstLine="369"/>
        <w:jc w:val="left"/>
      </w:pPr>
      <w:r>
        <w:rPr>
          <w:rFonts w:ascii="Times New Roman" w:hAnsi="Times New Roman" w:cs="Times New Roman" w:eastAsia="Times New Roman" w:hint="default"/>
          <w:spacing w:val="-3"/>
        </w:rPr>
        <w:t>2</w:t>
      </w:r>
      <w:r>
        <w:rPr>
          <w:spacing w:val="-3"/>
        </w:rPr>
        <w:t>）在取消或结算时支付给职工的所有款项均应作为权益的回购处理，回购支付的金额高于该权益工具在回购日公允价</w:t>
      </w:r>
      <w:r>
        <w:rPr>
          <w:w w:val="101"/>
        </w:rPr>
        <w:t> </w:t>
      </w:r>
      <w:r>
        <w:rPr>
          <w:spacing w:val="-3"/>
        </w:rPr>
        <w:t>值的部分，计入当期费用。</w:t>
      </w:r>
    </w:p>
    <w:p>
      <w:pPr>
        <w:pStyle w:val="BodyText"/>
        <w:spacing w:line="240" w:lineRule="auto" w:before="70"/>
        <w:ind w:left="522" w:right="855"/>
        <w:jc w:val="left"/>
      </w:pPr>
      <w:r>
        <w:rPr>
          <w:rFonts w:ascii="Times New Roman" w:hAnsi="Times New Roman" w:cs="Times New Roman" w:eastAsia="Times New Roman" w:hint="default"/>
          <w:spacing w:val="-3"/>
        </w:rPr>
        <w:t>3</w:t>
      </w:r>
      <w:r>
        <w:rPr>
          <w:spacing w:val="-3"/>
        </w:rPr>
        <w:t>）如果向职工授予新的权益工具，并在新权益工具授予日认定所授予的新权益工具是用于替代被取消的权益工具的，</w:t>
      </w:r>
    </w:p>
    <w:p>
      <w:pPr>
        <w:spacing w:after="0" w:line="240" w:lineRule="auto"/>
        <w:jc w:val="left"/>
        <w:sectPr>
          <w:pgSz w:w="11910" w:h="16840"/>
          <w:pgMar w:header="746" w:footer="974"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6"/>
        <w:ind w:right="855"/>
        <w:jc w:val="left"/>
      </w:pPr>
      <w:r>
        <w:rPr>
          <w:spacing w:val="-3"/>
        </w:rPr>
        <w:t>以处理原权益工具条款和条件修改相同的方式，对所授予的替代权益工具进行处理。</w:t>
      </w:r>
    </w:p>
    <w:p>
      <w:pPr>
        <w:spacing w:line="240" w:lineRule="auto" w:before="8"/>
        <w:rPr>
          <w:rFonts w:ascii="宋体" w:hAnsi="宋体" w:cs="宋体" w:eastAsia="宋体" w:hint="default"/>
          <w:sz w:val="26"/>
          <w:szCs w:val="26"/>
        </w:rPr>
      </w:pPr>
    </w:p>
    <w:p>
      <w:pPr>
        <w:pStyle w:val="Heading4"/>
        <w:spacing w:line="240" w:lineRule="auto"/>
        <w:ind w:right="855"/>
        <w:jc w:val="left"/>
        <w:rPr>
          <w:b w:val="0"/>
          <w:bCs w:val="0"/>
        </w:rPr>
      </w:pPr>
      <w:r>
        <w:rPr>
          <w:rFonts w:ascii="Times New Roman" w:hAnsi="Times New Roman" w:cs="Times New Roman" w:eastAsia="Times New Roman" w:hint="default"/>
        </w:rPr>
        <w:t>26</w:t>
      </w:r>
      <w:r>
        <w:rPr/>
        <w:t>、优先股、永续债等其他金融工具</w:t>
      </w:r>
      <w:r>
        <w:rPr>
          <w:b w:val="0"/>
          <w:bCs w:val="0"/>
        </w:rPr>
      </w:r>
    </w:p>
    <w:p>
      <w:pPr>
        <w:spacing w:line="240" w:lineRule="auto" w:before="10"/>
        <w:rPr>
          <w:rFonts w:ascii="宋体" w:hAnsi="宋体" w:cs="宋体" w:eastAsia="宋体" w:hint="default"/>
          <w:b/>
          <w:bCs/>
          <w:sz w:val="26"/>
          <w:szCs w:val="26"/>
        </w:rPr>
      </w:pPr>
    </w:p>
    <w:p>
      <w:pPr>
        <w:pStyle w:val="BodyText"/>
        <w:spacing w:line="319" w:lineRule="auto"/>
        <w:ind w:right="855" w:firstLine="369"/>
        <w:jc w:val="left"/>
      </w:pPr>
      <w:r>
        <w:rPr>
          <w:spacing w:val="-3"/>
        </w:rPr>
        <w:t>本公司发行的金融工具按照金融工具准则和相关规定进行初始确认和计量；其后，于每个资产负债表日计提利息或分</w:t>
      </w:r>
      <w:r>
        <w:rPr>
          <w:w w:val="101"/>
        </w:rPr>
        <w:t> </w:t>
      </w:r>
      <w:r>
        <w:rPr>
          <w:spacing w:val="-4"/>
        </w:rPr>
        <w:t>派股利，按照相关具体企业会计准则进行处理。即以所发行金融工具的分类为基础，确定该工具利息支出或股利分配等的会</w:t>
      </w:r>
      <w:r>
        <w:rPr>
          <w:spacing w:val="45"/>
        </w:rPr>
        <w:t> </w:t>
      </w:r>
      <w:r>
        <w:rPr>
          <w:spacing w:val="45"/>
        </w:rPr>
      </w:r>
      <w:r>
        <w:rPr>
          <w:spacing w:val="-4"/>
        </w:rPr>
        <w:t>计处理。对于归类为权益工具的金融工具，其利息支出或股利分配都应当作为发行企业的利润分配，其回购、注销等作为权</w:t>
      </w:r>
      <w:r>
        <w:rPr>
          <w:spacing w:val="40"/>
        </w:rPr>
        <w:t> </w:t>
      </w:r>
      <w:r>
        <w:rPr>
          <w:spacing w:val="40"/>
        </w:rPr>
      </w:r>
      <w:r>
        <w:rPr>
          <w:spacing w:val="-4"/>
        </w:rPr>
        <w:t>益的变动处理；对于归类为金融负债的金融工具，其利息支出或股利分配原则上按照借款费用进行处理，其回购或赎回产生</w:t>
      </w:r>
      <w:r>
        <w:rPr>
          <w:spacing w:val="43"/>
        </w:rPr>
        <w:t> </w:t>
      </w:r>
      <w:r>
        <w:rPr>
          <w:spacing w:val="43"/>
        </w:rPr>
      </w:r>
      <w:r>
        <w:rPr>
          <w:spacing w:val="-3"/>
        </w:rPr>
        <w:t>的利得或损失等计入当期损益。</w:t>
      </w:r>
    </w:p>
    <w:p>
      <w:pPr>
        <w:pStyle w:val="BodyText"/>
        <w:spacing w:line="316" w:lineRule="auto" w:before="60"/>
        <w:ind w:right="855" w:firstLine="369"/>
        <w:jc w:val="left"/>
      </w:pPr>
      <w:r>
        <w:rPr>
          <w:spacing w:val="-3"/>
        </w:rPr>
        <w:t>发行金融工具发生的手续费、佣金等交易费用，如分类为债务工具且以摊余成本计量的，应当计入所发行工具的初始</w:t>
      </w:r>
      <w:r>
        <w:rPr>
          <w:w w:val="101"/>
        </w:rPr>
        <w:t> </w:t>
      </w:r>
      <w:r>
        <w:rPr>
          <w:spacing w:val="-3"/>
        </w:rPr>
        <w:t>计量金额；如分类为权益工具的，应当从权益中扣除。</w:t>
      </w:r>
    </w:p>
    <w:p>
      <w:pPr>
        <w:spacing w:line="240" w:lineRule="auto" w:before="3"/>
        <w:rPr>
          <w:rFonts w:ascii="宋体" w:hAnsi="宋体" w:cs="宋体" w:eastAsia="宋体" w:hint="default"/>
          <w:sz w:val="22"/>
          <w:szCs w:val="22"/>
        </w:rPr>
      </w:pPr>
    </w:p>
    <w:p>
      <w:pPr>
        <w:pStyle w:val="Heading4"/>
        <w:spacing w:line="240" w:lineRule="auto"/>
        <w:ind w:right="855"/>
        <w:jc w:val="left"/>
        <w:rPr>
          <w:b w:val="0"/>
          <w:bCs w:val="0"/>
        </w:rPr>
      </w:pPr>
      <w:r>
        <w:rPr>
          <w:rFonts w:ascii="Times New Roman" w:hAnsi="Times New Roman" w:cs="Times New Roman" w:eastAsia="Times New Roman" w:hint="default"/>
        </w:rPr>
        <w:t>27</w:t>
      </w:r>
      <w:r>
        <w:rPr/>
        <w:t>、收入</w:t>
      </w:r>
      <w:r>
        <w:rPr>
          <w:b w:val="0"/>
          <w:bCs w:val="0"/>
        </w:rPr>
      </w:r>
    </w:p>
    <w:p>
      <w:pPr>
        <w:spacing w:line="240" w:lineRule="auto" w:before="10"/>
        <w:rPr>
          <w:rFonts w:ascii="宋体" w:hAnsi="宋体" w:cs="宋体" w:eastAsia="宋体" w:hint="default"/>
          <w:b/>
          <w:bCs/>
          <w:sz w:val="26"/>
          <w:szCs w:val="26"/>
        </w:rPr>
      </w:pPr>
    </w:p>
    <w:p>
      <w:pPr>
        <w:pStyle w:val="BodyText"/>
        <w:spacing w:line="240" w:lineRule="auto"/>
        <w:ind w:right="855"/>
        <w:jc w:val="left"/>
      </w:pPr>
      <w:r>
        <w:rPr>
          <w:spacing w:val="-3"/>
        </w:rPr>
        <w:t>公司需遵守《深圳证券交易所行业信息披露指引第 </w:t>
      </w:r>
      <w:r>
        <w:rPr>
          <w:rFonts w:ascii="Times New Roman" w:hAnsi="Times New Roman" w:cs="Times New Roman" w:eastAsia="Times New Roman" w:hint="default"/>
        </w:rPr>
        <w:t>12  </w:t>
      </w:r>
      <w:r>
        <w:rPr>
          <w:rFonts w:ascii="Times New Roman" w:hAnsi="Times New Roman" w:cs="Times New Roman" w:eastAsia="Times New Roman" w:hint="default"/>
          <w:spacing w:val="7"/>
        </w:rPr>
        <w:t> </w:t>
      </w:r>
      <w:r>
        <w:rPr>
          <w:spacing w:val="-3"/>
        </w:rPr>
        <w:t>号</w:t>
      </w:r>
      <w:r>
        <w:rPr>
          <w:rFonts w:ascii="Times New Roman" w:hAnsi="Times New Roman" w:cs="Times New Roman" w:eastAsia="Times New Roman" w:hint="default"/>
          <w:spacing w:val="-3"/>
        </w:rPr>
        <w:t>——</w:t>
      </w:r>
      <w:r>
        <w:rPr>
          <w:spacing w:val="-3"/>
        </w:rPr>
        <w:t>上市公司从事软件与信息技术服务业务》的披露要求</w:t>
      </w:r>
      <w:r>
        <w:rPr/>
      </w:r>
    </w:p>
    <w:p>
      <w:pPr>
        <w:pStyle w:val="BodyText"/>
        <w:spacing w:line="240" w:lineRule="auto" w:before="101"/>
        <w:ind w:left="522" w:right="855"/>
        <w:jc w:val="left"/>
      </w:pPr>
      <w:r>
        <w:rPr>
          <w:spacing w:val="-3"/>
        </w:rPr>
        <w:t>（</w:t>
      </w:r>
      <w:r>
        <w:rPr>
          <w:rFonts w:ascii="Times New Roman" w:hAnsi="Times New Roman" w:cs="Times New Roman" w:eastAsia="Times New Roman" w:hint="default"/>
          <w:spacing w:val="-3"/>
        </w:rPr>
        <w:t>1</w:t>
      </w:r>
      <w:r>
        <w:rPr>
          <w:spacing w:val="-3"/>
        </w:rPr>
        <w:t>）销售商品的收入确认</w:t>
      </w:r>
    </w:p>
    <w:p>
      <w:pPr>
        <w:pStyle w:val="BodyText"/>
        <w:spacing w:line="240" w:lineRule="auto" w:before="106"/>
        <w:ind w:left="522" w:right="855"/>
        <w:jc w:val="left"/>
      </w:pPr>
      <w:r>
        <w:rPr>
          <w:rFonts w:ascii="Times New Roman" w:hAnsi="Times New Roman" w:cs="Times New Roman" w:eastAsia="Times New Roman" w:hint="default"/>
          <w:spacing w:val="-3"/>
        </w:rPr>
        <w:t>1</w:t>
      </w:r>
      <w:r>
        <w:rPr>
          <w:spacing w:val="-3"/>
        </w:rPr>
        <w:t>）企业已将商品所有权上的主要风险和报酬转移给购货方；</w:t>
      </w:r>
    </w:p>
    <w:p>
      <w:pPr>
        <w:pStyle w:val="BodyText"/>
        <w:spacing w:line="240" w:lineRule="auto" w:before="101"/>
        <w:ind w:left="522" w:right="855"/>
        <w:jc w:val="left"/>
      </w:pPr>
      <w:r>
        <w:rPr>
          <w:rFonts w:ascii="Times New Roman" w:hAnsi="Times New Roman" w:cs="Times New Roman" w:eastAsia="Times New Roman" w:hint="default"/>
          <w:spacing w:val="-3"/>
        </w:rPr>
        <w:t>2</w:t>
      </w:r>
      <w:r>
        <w:rPr>
          <w:spacing w:val="-3"/>
        </w:rPr>
        <w:t>）企业既没有保留通常与所有权相联系的继续管理权，也没有对已售出的商品实施控制；</w:t>
      </w:r>
    </w:p>
    <w:p>
      <w:pPr>
        <w:pStyle w:val="BodyText"/>
        <w:spacing w:line="240" w:lineRule="auto" w:before="101"/>
        <w:ind w:left="522" w:right="855"/>
        <w:jc w:val="left"/>
      </w:pPr>
      <w:r>
        <w:rPr>
          <w:rFonts w:ascii="Times New Roman" w:hAnsi="Times New Roman" w:cs="Times New Roman" w:eastAsia="Times New Roman" w:hint="default"/>
        </w:rPr>
        <w:t>3</w:t>
      </w:r>
      <w:r>
        <w:rPr/>
        <w:t>）收入的金额能够可靠的计量；</w:t>
      </w:r>
    </w:p>
    <w:p>
      <w:pPr>
        <w:pStyle w:val="BodyText"/>
        <w:spacing w:line="240" w:lineRule="auto" w:before="106"/>
        <w:ind w:left="522" w:right="855"/>
        <w:jc w:val="left"/>
      </w:pPr>
      <w:r>
        <w:rPr>
          <w:rFonts w:ascii="Times New Roman" w:hAnsi="Times New Roman" w:cs="Times New Roman" w:eastAsia="Times New Roman" w:hint="default"/>
          <w:spacing w:val="-3"/>
        </w:rPr>
        <w:t>4</w:t>
      </w:r>
      <w:r>
        <w:rPr>
          <w:spacing w:val="-3"/>
        </w:rPr>
        <w:t>）与交易相关的经济利益能够流入企业；</w:t>
      </w:r>
    </w:p>
    <w:p>
      <w:pPr>
        <w:pStyle w:val="BodyText"/>
        <w:spacing w:line="338" w:lineRule="auto" w:before="101"/>
        <w:ind w:left="522" w:right="855"/>
        <w:jc w:val="left"/>
      </w:pPr>
      <w:r>
        <w:rPr>
          <w:rFonts w:ascii="Times New Roman" w:hAnsi="Times New Roman" w:cs="Times New Roman" w:eastAsia="Times New Roman" w:hint="default"/>
          <w:spacing w:val="-3"/>
        </w:rPr>
        <w:t>5</w:t>
      </w:r>
      <w:r>
        <w:rPr>
          <w:spacing w:val="-3"/>
        </w:rPr>
        <w:t>）相关的收入和成本能够可靠地计量。</w:t>
      </w:r>
      <w:r>
        <w:rPr>
          <w:spacing w:val="-34"/>
        </w:rPr>
        <w:t> </w:t>
      </w:r>
      <w:r>
        <w:rPr>
          <w:spacing w:val="-34"/>
        </w:rPr>
      </w:r>
      <w:r>
        <w:rPr>
          <w:spacing w:val="-3"/>
        </w:rPr>
        <w:t>集成解决方案是指根据客户的需求，为其数据平台建设和升级提供规划设计、软硬件选型、开发实施以及安装调试等</w:t>
      </w:r>
    </w:p>
    <w:p>
      <w:pPr>
        <w:pStyle w:val="BodyText"/>
        <w:spacing w:line="319" w:lineRule="auto" w:before="2"/>
        <w:ind w:right="855"/>
        <w:jc w:val="left"/>
      </w:pPr>
      <w:r>
        <w:rPr>
          <w:spacing w:val="-4"/>
        </w:rPr>
        <w:t>工作的过程。在按照合同约定内容向购买方移交了所提供的软硬件产品、并完成安装调试，取得了购买方的验收报告，确认</w:t>
      </w:r>
      <w:r>
        <w:rPr>
          <w:spacing w:val="40"/>
        </w:rPr>
        <w:t> </w:t>
      </w:r>
      <w:r>
        <w:rPr>
          <w:spacing w:val="40"/>
        </w:rPr>
      </w:r>
      <w:r>
        <w:rPr/>
        <w:t>集成收入。</w:t>
      </w:r>
    </w:p>
    <w:p>
      <w:pPr>
        <w:pStyle w:val="BodyText"/>
        <w:spacing w:line="316" w:lineRule="auto" w:before="60"/>
        <w:ind w:right="855" w:firstLine="369"/>
        <w:jc w:val="left"/>
      </w:pPr>
      <w:r>
        <w:rPr>
          <w:spacing w:val="-3"/>
        </w:rPr>
        <w:t>智能渠道解决方案主要是自产信息产品的销售，产品销售在按照合同约定向购买方移交了产品并取得签收凭证时确认</w:t>
      </w:r>
      <w:r>
        <w:rPr>
          <w:w w:val="101"/>
        </w:rPr>
        <w:t> </w:t>
      </w:r>
      <w:r>
        <w:rPr/>
        <w:t>收入。</w:t>
      </w:r>
    </w:p>
    <w:p>
      <w:pPr>
        <w:pStyle w:val="BodyText"/>
        <w:spacing w:line="240" w:lineRule="auto" w:before="57"/>
        <w:ind w:left="522" w:right="855"/>
        <w:jc w:val="left"/>
      </w:pPr>
      <w:r>
        <w:rPr/>
        <w:t>（</w:t>
      </w:r>
      <w:r>
        <w:rPr>
          <w:rFonts w:ascii="Times New Roman" w:hAnsi="Times New Roman" w:cs="Times New Roman" w:eastAsia="Times New Roman" w:hint="default"/>
        </w:rPr>
        <w:t>2</w:t>
      </w:r>
      <w:r>
        <w:rPr/>
        <w:t>）</w:t>
      </w:r>
      <w:r>
        <w:rPr>
          <w:spacing w:val="11"/>
        </w:rPr>
        <w:t> </w:t>
      </w:r>
      <w:r>
        <w:rPr>
          <w:spacing w:val="-3"/>
        </w:rPr>
        <w:t>提供劳务的收入确认</w:t>
      </w:r>
    </w:p>
    <w:p>
      <w:pPr>
        <w:pStyle w:val="BodyText"/>
        <w:spacing w:line="240" w:lineRule="auto" w:before="101"/>
        <w:ind w:left="522" w:right="855"/>
        <w:jc w:val="left"/>
      </w:pPr>
      <w:r>
        <w:rPr>
          <w:rFonts w:ascii="Times New Roman" w:hAnsi="Times New Roman" w:cs="Times New Roman" w:eastAsia="Times New Roman" w:hint="default"/>
          <w:spacing w:val="-3"/>
        </w:rPr>
        <w:t>1</w:t>
      </w:r>
      <w:r>
        <w:rPr>
          <w:spacing w:val="-3"/>
        </w:rPr>
        <w:t>）在同一会计年度内开始并完成的劳务，在完成劳务时确认收入。</w:t>
      </w:r>
    </w:p>
    <w:p>
      <w:pPr>
        <w:pStyle w:val="BodyText"/>
        <w:spacing w:line="309" w:lineRule="auto" w:before="106"/>
        <w:ind w:right="1124" w:firstLine="369"/>
        <w:jc w:val="both"/>
      </w:pPr>
      <w:r>
        <w:rPr>
          <w:rFonts w:ascii="Times New Roman" w:hAnsi="Times New Roman" w:cs="Times New Roman" w:eastAsia="Times New Roman" w:hint="default"/>
          <w:spacing w:val="-3"/>
        </w:rPr>
        <w:t>2</w:t>
      </w:r>
      <w:r>
        <w:rPr>
          <w:spacing w:val="-3"/>
        </w:rPr>
        <w:t>）如劳务的开始和完成分属不同的会计年度，在提供劳务交易的结果能够可靠估计的情况下，在资产负债表日按完工</w:t>
      </w:r>
      <w:r>
        <w:rPr>
          <w:w w:val="101"/>
        </w:rPr>
        <w:t> </w:t>
      </w:r>
      <w:r>
        <w:rPr>
          <w:spacing w:val="-4"/>
        </w:rPr>
        <w:t>百分比法确认相关劳务收入。在提供劳务交易的结果不能可靠估计的情况下，在资产负债表日按已经发生并预计能够补偿的</w:t>
      </w:r>
      <w:r>
        <w:rPr>
          <w:spacing w:val="44"/>
        </w:rPr>
        <w:t> </w:t>
      </w:r>
      <w:r>
        <w:rPr>
          <w:spacing w:val="44"/>
        </w:rPr>
      </w:r>
      <w:r>
        <w:rPr>
          <w:spacing w:val="-3"/>
        </w:rPr>
        <w:t>劳务成本金额确认收入。</w:t>
      </w:r>
    </w:p>
    <w:p>
      <w:pPr>
        <w:pStyle w:val="BodyText"/>
        <w:spacing w:line="240" w:lineRule="auto" w:before="62"/>
        <w:ind w:left="522" w:right="855"/>
        <w:jc w:val="left"/>
      </w:pPr>
      <w:r>
        <w:rPr>
          <w:spacing w:val="-3"/>
        </w:rPr>
        <w:t>在同时满足下列条件的情况下，表明其结果能够可靠估计：</w:t>
      </w:r>
    </w:p>
    <w:p>
      <w:pPr>
        <w:pStyle w:val="BodyText"/>
        <w:spacing w:line="240" w:lineRule="auto" w:before="115"/>
        <w:ind w:left="522" w:right="855"/>
        <w:jc w:val="left"/>
      </w:pPr>
      <w:r>
        <w:rPr>
          <w:spacing w:val="-3"/>
        </w:rPr>
        <w:t>①与合同相关的经济利益很可能流入企业；</w:t>
      </w:r>
    </w:p>
    <w:p>
      <w:pPr>
        <w:pStyle w:val="BodyText"/>
        <w:spacing w:line="240" w:lineRule="auto" w:before="120"/>
        <w:ind w:left="522" w:right="855"/>
        <w:jc w:val="left"/>
      </w:pPr>
      <w:r>
        <w:rPr>
          <w:spacing w:val="-3"/>
        </w:rPr>
        <w:t>②实际发生的合同成本能够清楚地区分和可靠地计量；</w:t>
      </w:r>
    </w:p>
    <w:p>
      <w:pPr>
        <w:pStyle w:val="BodyText"/>
        <w:spacing w:line="240" w:lineRule="auto" w:before="115"/>
        <w:ind w:left="522" w:right="855"/>
        <w:jc w:val="left"/>
      </w:pPr>
      <w:r>
        <w:rPr>
          <w:spacing w:val="-3"/>
        </w:rPr>
        <w:t>③固定造价合同还必须同时满足合同总收入能够可靠计量及合同完工进度和为完成合同尚需发生的成本能够可靠地确</w:t>
      </w:r>
    </w:p>
    <w:p>
      <w:pPr>
        <w:pStyle w:val="BodyText"/>
        <w:spacing w:line="240" w:lineRule="auto" w:before="76"/>
        <w:ind w:right="855"/>
        <w:jc w:val="left"/>
      </w:pPr>
      <w:r>
        <w:rPr/>
        <w:t>定。</w:t>
      </w:r>
    </w:p>
    <w:p>
      <w:pPr>
        <w:pStyle w:val="BodyText"/>
        <w:spacing w:line="240" w:lineRule="auto" w:before="115"/>
        <w:ind w:left="522" w:right="855"/>
        <w:jc w:val="left"/>
      </w:pPr>
      <w:r>
        <w:rPr>
          <w:spacing w:val="-3"/>
        </w:rPr>
        <w:t>软件开发及服务主要是针对数据平台所涉及的操作系统、虚拟化、服务器、中间件、数据库、存储设备、备份软件等</w:t>
      </w:r>
    </w:p>
    <w:p>
      <w:pPr>
        <w:pStyle w:val="BodyText"/>
        <w:spacing w:line="319" w:lineRule="auto" w:before="76"/>
        <w:ind w:right="1124"/>
        <w:jc w:val="both"/>
      </w:pPr>
      <w:r>
        <w:rPr>
          <w:spacing w:val="-4"/>
        </w:rPr>
        <w:t>多品牌产品，提供从咨询、运维、优化和提升等各阶段专业服务。对于一次性提供的专业服务，在服务已经完成，取得客户</w:t>
      </w:r>
      <w:r>
        <w:rPr>
          <w:spacing w:val="40"/>
        </w:rPr>
        <w:t> </w:t>
      </w:r>
      <w:r>
        <w:rPr>
          <w:spacing w:val="40"/>
        </w:rPr>
      </w:r>
      <w:r>
        <w:rPr>
          <w:spacing w:val="-4"/>
        </w:rPr>
        <w:t>对相关服务的验收单后确认收入；对于需要在跨年度期限内提供的专业服务，由业务部门结合完工情况出具进度单经客户确</w:t>
      </w:r>
      <w:r>
        <w:rPr>
          <w:spacing w:val="44"/>
        </w:rPr>
        <w:t> </w:t>
      </w:r>
      <w:r>
        <w:rPr>
          <w:spacing w:val="44"/>
        </w:rPr>
      </w:r>
      <w:r>
        <w:rPr>
          <w:spacing w:val="-3"/>
        </w:rPr>
        <w:t>认后确认收入。</w:t>
      </w:r>
    </w:p>
    <w:p>
      <w:pPr>
        <w:pStyle w:val="BodyText"/>
        <w:spacing w:line="240" w:lineRule="auto" w:before="60"/>
        <w:ind w:left="522" w:right="855"/>
        <w:jc w:val="left"/>
      </w:pPr>
      <w:r>
        <w:rPr>
          <w:spacing w:val="-3"/>
        </w:rPr>
        <w:t>系统集成维保服务业务，以合同约定的服务期限内经客户验收确认收入。</w:t>
      </w:r>
    </w:p>
    <w:p>
      <w:pPr>
        <w:pStyle w:val="BodyText"/>
        <w:spacing w:line="240" w:lineRule="auto" w:before="114"/>
        <w:ind w:left="522" w:right="855"/>
        <w:jc w:val="left"/>
      </w:pPr>
      <w:r>
        <w:rPr>
          <w:spacing w:val="-3"/>
        </w:rPr>
        <w:t>（</w:t>
      </w:r>
      <w:r>
        <w:rPr>
          <w:rFonts w:ascii="Times New Roman" w:hAnsi="Times New Roman" w:cs="Times New Roman" w:eastAsia="Times New Roman" w:hint="default"/>
          <w:spacing w:val="-3"/>
        </w:rPr>
        <w:t>3</w:t>
      </w:r>
      <w:r>
        <w:rPr>
          <w:spacing w:val="-3"/>
        </w:rPr>
        <w:t>）让渡资产使用权收入确认</w:t>
      </w:r>
    </w:p>
    <w:p>
      <w:pPr>
        <w:spacing w:after="0" w:line="240" w:lineRule="auto"/>
        <w:jc w:val="left"/>
        <w:sectPr>
          <w:pgSz w:w="11910" w:h="16840"/>
          <w:pgMar w:header="746" w:footer="974"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6"/>
        <w:ind w:left="522" w:right="855"/>
        <w:jc w:val="left"/>
      </w:pPr>
      <w:r>
        <w:rPr>
          <w:spacing w:val="-3"/>
        </w:rPr>
        <w:t>在满足相关的经济利益很可能流入企业和收入的金额能够可靠地计量等两个条件时，本公司分别以下情况确认收入：</w:t>
      </w:r>
    </w:p>
    <w:p>
      <w:pPr>
        <w:pStyle w:val="BodyText"/>
        <w:spacing w:line="240" w:lineRule="auto" w:before="115"/>
        <w:ind w:left="522" w:right="855"/>
        <w:jc w:val="left"/>
      </w:pPr>
      <w:r>
        <w:rPr>
          <w:rFonts w:ascii="Times New Roman" w:hAnsi="Times New Roman" w:cs="Times New Roman" w:eastAsia="Times New Roman" w:hint="default"/>
          <w:spacing w:val="-3"/>
        </w:rPr>
        <w:t>1</w:t>
      </w:r>
      <w:r>
        <w:rPr>
          <w:spacing w:val="-3"/>
        </w:rPr>
        <w:t>）利息收入按照他人使用本公司货币资金的时间和实际利率计算确定。</w:t>
      </w:r>
    </w:p>
    <w:p>
      <w:pPr>
        <w:pStyle w:val="BodyText"/>
        <w:spacing w:line="240" w:lineRule="auto" w:before="106"/>
        <w:ind w:left="522" w:right="855"/>
        <w:jc w:val="left"/>
      </w:pPr>
      <w:r>
        <w:rPr>
          <w:rFonts w:ascii="Times New Roman" w:hAnsi="Times New Roman" w:cs="Times New Roman" w:eastAsia="Times New Roman" w:hint="default"/>
          <w:spacing w:val="-3"/>
        </w:rPr>
        <w:t>2</w:t>
      </w:r>
      <w:r>
        <w:rPr>
          <w:spacing w:val="-3"/>
        </w:rPr>
        <w:t>）使用费收入按照有关合同或协议约定的收费时间和方法计算确定。</w:t>
      </w:r>
    </w:p>
    <w:p>
      <w:pPr>
        <w:spacing w:line="240" w:lineRule="auto" w:before="8"/>
        <w:rPr>
          <w:rFonts w:ascii="宋体" w:hAnsi="宋体" w:cs="宋体" w:eastAsia="宋体" w:hint="default"/>
          <w:sz w:val="25"/>
          <w:szCs w:val="25"/>
        </w:rPr>
      </w:pPr>
    </w:p>
    <w:p>
      <w:pPr>
        <w:pStyle w:val="Heading4"/>
        <w:spacing w:line="240" w:lineRule="auto"/>
        <w:ind w:right="855"/>
        <w:jc w:val="left"/>
        <w:rPr>
          <w:b w:val="0"/>
          <w:bCs w:val="0"/>
        </w:rPr>
      </w:pPr>
      <w:r>
        <w:rPr>
          <w:rFonts w:ascii="Times New Roman" w:hAnsi="Times New Roman" w:cs="Times New Roman" w:eastAsia="Times New Roman" w:hint="default"/>
        </w:rPr>
        <w:t>28</w:t>
      </w:r>
      <w:r>
        <w:rPr/>
        <w:t>、政府补助</w:t>
      </w:r>
      <w:r>
        <w:rPr>
          <w:b w:val="0"/>
          <w:bCs w:val="0"/>
        </w:rPr>
      </w:r>
    </w:p>
    <w:p>
      <w:pPr>
        <w:spacing w:line="240" w:lineRule="auto" w:before="9"/>
        <w:rPr>
          <w:rFonts w:ascii="宋体" w:hAnsi="宋体" w:cs="宋体" w:eastAsia="宋体" w:hint="default"/>
          <w:b/>
          <w:bCs/>
          <w:sz w:val="26"/>
          <w:szCs w:val="26"/>
        </w:rPr>
      </w:pPr>
    </w:p>
    <w:p>
      <w:pPr>
        <w:pStyle w:val="BodyText"/>
        <w:spacing w:line="316" w:lineRule="auto"/>
        <w:ind w:right="855" w:firstLine="369"/>
        <w:jc w:val="left"/>
      </w:pPr>
      <w:r>
        <w:rPr>
          <w:spacing w:val="-3"/>
        </w:rPr>
        <w:t>政府补助，是指本公司从政府无偿取得货币性资产或非货币性资产，但不包括政府作为所有者投入的资本。政府补助</w:t>
      </w:r>
      <w:r>
        <w:rPr>
          <w:w w:val="101"/>
        </w:rPr>
        <w:t> </w:t>
      </w:r>
      <w:r>
        <w:rPr>
          <w:spacing w:val="-3"/>
        </w:rPr>
        <w:t>分为与资产相关的政府补助和与收益相关的政府补助。</w:t>
      </w:r>
    </w:p>
    <w:p>
      <w:pPr>
        <w:pStyle w:val="BodyText"/>
        <w:spacing w:line="316" w:lineRule="auto" w:before="57"/>
        <w:ind w:right="855" w:firstLine="369"/>
        <w:jc w:val="left"/>
      </w:pPr>
      <w:r>
        <w:rPr>
          <w:spacing w:val="-3"/>
        </w:rPr>
        <w:t>与资产相关的政府补助，是指本公司取得的、用于购建或以其他方式形成长期资产的政府补助；与收益相关的政府补</w:t>
      </w:r>
      <w:r>
        <w:rPr>
          <w:w w:val="101"/>
        </w:rPr>
        <w:t> </w:t>
      </w:r>
      <w:r>
        <w:rPr>
          <w:spacing w:val="-4"/>
        </w:rPr>
        <w:t>助，是指除与资产相关的政府补助之外的政府补助。如果政府补助文件未明确确定补助对象，以取得该补助必须具备的基本</w:t>
      </w:r>
      <w:r>
        <w:rPr>
          <w:spacing w:val="43"/>
        </w:rPr>
        <w:t> </w:t>
      </w:r>
      <w:r>
        <w:rPr>
          <w:spacing w:val="43"/>
        </w:rPr>
      </w:r>
      <w:r>
        <w:rPr>
          <w:spacing w:val="-4"/>
        </w:rPr>
        <w:t>条件为基础进行判断，以购建或其他方式形成长期资产为基本条件的作为与资产相关的政府补助，除此之外的划分为与收益</w:t>
      </w:r>
      <w:r>
        <w:rPr>
          <w:spacing w:val="42"/>
        </w:rPr>
        <w:t> </w:t>
      </w:r>
      <w:r>
        <w:rPr>
          <w:spacing w:val="42"/>
        </w:rPr>
      </w:r>
      <w:r>
        <w:rPr/>
        <w:t>相关的政府补助。</w:t>
      </w:r>
    </w:p>
    <w:p>
      <w:pPr>
        <w:pStyle w:val="BodyText"/>
        <w:spacing w:line="348" w:lineRule="auto" w:before="62"/>
        <w:ind w:left="522" w:right="6110"/>
        <w:jc w:val="left"/>
      </w:pPr>
      <w:r>
        <w:rPr/>
        <w:t>（</w:t>
      </w:r>
      <w:r>
        <w:rPr>
          <w:rFonts w:ascii="Times New Roman" w:hAnsi="Times New Roman" w:cs="Times New Roman" w:eastAsia="Times New Roman" w:hint="default"/>
        </w:rPr>
        <w:t>1</w:t>
      </w:r>
      <w:r>
        <w:rPr/>
        <w:t>）政府补助的确认</w:t>
      </w:r>
      <w:r>
        <w:rPr>
          <w:spacing w:val="-88"/>
        </w:rPr>
        <w:t> </w:t>
      </w:r>
      <w:r>
        <w:rPr>
          <w:spacing w:val="-88"/>
        </w:rPr>
      </w:r>
      <w:r>
        <w:rPr>
          <w:spacing w:val="-3"/>
        </w:rPr>
        <w:t>政府补助同时满足下列条件时，予以确认：</w:t>
      </w:r>
      <w:r>
        <w:rPr>
          <w:spacing w:val="-33"/>
        </w:rPr>
        <w:t> </w:t>
      </w:r>
      <w:r>
        <w:rPr>
          <w:spacing w:val="-33"/>
        </w:rPr>
      </w:r>
      <w:r>
        <w:rPr>
          <w:rFonts w:ascii="Times New Roman" w:hAnsi="Times New Roman" w:cs="Times New Roman" w:eastAsia="Times New Roman" w:hint="default"/>
        </w:rPr>
        <w:t>1</w:t>
      </w:r>
      <w:r>
        <w:rPr/>
        <w:t>）能够满足政府补助所附条件；</w:t>
      </w:r>
    </w:p>
    <w:p>
      <w:pPr>
        <w:pStyle w:val="BodyText"/>
        <w:spacing w:line="240" w:lineRule="auto" w:before="16"/>
        <w:ind w:left="522" w:right="855"/>
        <w:jc w:val="left"/>
      </w:pPr>
      <w:r>
        <w:rPr>
          <w:rFonts w:ascii="Times New Roman" w:hAnsi="Times New Roman" w:cs="Times New Roman" w:eastAsia="Times New Roman" w:hint="default"/>
        </w:rPr>
        <w:t>2</w:t>
      </w:r>
      <w:r>
        <w:rPr/>
        <w:t>）能够收到政府补助。</w:t>
      </w:r>
    </w:p>
    <w:p>
      <w:pPr>
        <w:pStyle w:val="BodyText"/>
        <w:spacing w:line="240" w:lineRule="auto" w:before="101"/>
        <w:ind w:left="522" w:right="855"/>
        <w:jc w:val="left"/>
      </w:pPr>
      <w:r>
        <w:rPr/>
        <w:t>（</w:t>
      </w:r>
      <w:r>
        <w:rPr>
          <w:rFonts w:ascii="Times New Roman" w:hAnsi="Times New Roman" w:cs="Times New Roman" w:eastAsia="Times New Roman" w:hint="default"/>
        </w:rPr>
        <w:t>2</w:t>
      </w:r>
      <w:r>
        <w:rPr/>
        <w:t>）政府补助的计量：</w:t>
      </w:r>
    </w:p>
    <w:p>
      <w:pPr>
        <w:pStyle w:val="BodyText"/>
        <w:spacing w:line="300" w:lineRule="auto" w:before="101"/>
        <w:ind w:right="855" w:firstLine="369"/>
        <w:jc w:val="left"/>
      </w:pPr>
      <w:r>
        <w:rPr>
          <w:rFonts w:ascii="Times New Roman" w:hAnsi="Times New Roman" w:cs="Times New Roman" w:eastAsia="Times New Roman" w:hint="default"/>
          <w:spacing w:val="-3"/>
        </w:rPr>
        <w:t>1</w:t>
      </w:r>
      <w:r>
        <w:rPr>
          <w:spacing w:val="-3"/>
        </w:rPr>
        <w:t>）政府补助为货币性资产的，按照收到或应收的金额计量。政府补助为非货币性资产的，按照公允价值计量；公允价</w:t>
      </w:r>
      <w:r>
        <w:rPr>
          <w:w w:val="101"/>
        </w:rPr>
        <w:t> </w:t>
      </w:r>
      <w:r>
        <w:rPr>
          <w:spacing w:val="-3"/>
        </w:rPr>
        <w:t>值不能可靠取得的，按照名义金额计量。</w:t>
      </w:r>
    </w:p>
    <w:p>
      <w:pPr>
        <w:pStyle w:val="BodyText"/>
        <w:spacing w:line="309" w:lineRule="auto" w:before="74"/>
        <w:ind w:right="1123" w:firstLine="369"/>
        <w:jc w:val="both"/>
      </w:pPr>
      <w:r>
        <w:rPr>
          <w:rFonts w:ascii="Times New Roman" w:hAnsi="Times New Roman" w:cs="Times New Roman" w:eastAsia="Times New Roman" w:hint="default"/>
          <w:spacing w:val="-3"/>
        </w:rPr>
        <w:t>2</w:t>
      </w:r>
      <w:r>
        <w:rPr>
          <w:spacing w:val="-3"/>
        </w:rPr>
        <w:t>）与资产相关的政府补助，取得时确认为递延收益，自相关资产达到预定可使用状态时，在该资产使用寿命内按照合</w:t>
      </w:r>
      <w:r>
        <w:rPr>
          <w:w w:val="101"/>
        </w:rPr>
        <w:t> </w:t>
      </w:r>
      <w:r>
        <w:rPr>
          <w:spacing w:val="-4"/>
        </w:rPr>
        <w:t>理、系统的方法分期计入损益。相关资产在使用寿命结束前被出售、转让、报废或发生毁损的，将尚未分配的相关递延收益</w:t>
      </w:r>
      <w:r>
        <w:rPr>
          <w:spacing w:val="40"/>
        </w:rPr>
        <w:t> </w:t>
      </w:r>
      <w:r>
        <w:rPr>
          <w:spacing w:val="40"/>
        </w:rPr>
      </w:r>
      <w:r>
        <w:rPr>
          <w:spacing w:val="-3"/>
        </w:rPr>
        <w:t>余额转入资产处置当期的损益。</w:t>
      </w:r>
    </w:p>
    <w:p>
      <w:pPr>
        <w:pStyle w:val="BodyText"/>
        <w:spacing w:line="319" w:lineRule="auto" w:before="62"/>
        <w:ind w:right="855" w:firstLine="369"/>
        <w:jc w:val="left"/>
      </w:pPr>
      <w:r>
        <w:rPr>
          <w:spacing w:val="-3"/>
        </w:rPr>
        <w:t>与收益相关的政府补助，用于补偿以后期间的相关成本费用或损失的，取得时确认为递延收益，在确认相关成本费用</w:t>
      </w:r>
      <w:r>
        <w:rPr>
          <w:w w:val="101"/>
        </w:rPr>
        <w:t> </w:t>
      </w:r>
      <w:r>
        <w:rPr>
          <w:spacing w:val="-3"/>
        </w:rPr>
        <w:t>或损失的期间计入当期损益；用于补偿已发生的相关成本费用或损失的，取得时直接计入当期损益。</w:t>
      </w:r>
    </w:p>
    <w:p>
      <w:pPr>
        <w:pStyle w:val="BodyText"/>
        <w:spacing w:line="350" w:lineRule="auto" w:before="55"/>
        <w:ind w:left="522" w:right="855"/>
        <w:jc w:val="left"/>
      </w:pPr>
      <w:r>
        <w:rPr>
          <w:spacing w:val="-3"/>
        </w:rPr>
        <w:t>与日常活动相关的政府补助，计入其他收益；与日常活动无关的政府补助，计入营业外收支。</w:t>
      </w:r>
      <w:r>
        <w:rPr>
          <w:spacing w:val="31"/>
        </w:rPr>
        <w:t> </w:t>
      </w:r>
      <w:r>
        <w:rPr>
          <w:spacing w:val="31"/>
        </w:rPr>
      </w:r>
      <w:r>
        <w:rPr>
          <w:rFonts w:ascii="Times New Roman" w:hAnsi="Times New Roman" w:cs="Times New Roman" w:eastAsia="Times New Roman" w:hint="default"/>
          <w:spacing w:val="-3"/>
        </w:rPr>
        <w:t>3</w:t>
      </w:r>
      <w:r>
        <w:rPr>
          <w:spacing w:val="-3"/>
        </w:rPr>
        <w:t>）取得政策性优惠贷款贴息，区分以下两种取得方式进行会计处理：</w:t>
      </w:r>
      <w:r>
        <w:rPr>
          <w:spacing w:val="6"/>
        </w:rPr>
        <w:t> </w:t>
      </w:r>
      <w:r>
        <w:rPr>
          <w:spacing w:val="6"/>
        </w:rPr>
      </w:r>
      <w:r>
        <w:rPr>
          <w:rFonts w:ascii="Times New Roman" w:hAnsi="Times New Roman" w:cs="Times New Roman" w:eastAsia="Times New Roman" w:hint="default"/>
          <w:spacing w:val="-4"/>
        </w:rPr>
        <w:t>A</w:t>
      </w:r>
      <w:r>
        <w:rPr>
          <w:spacing w:val="-4"/>
        </w:rPr>
        <w:t>、财政将贴息资金拨付给贷款银行，由贷款银行以政策性优惠利率向本集团提供贷款的，以借款的公允价值作为借款</w:t>
      </w:r>
    </w:p>
    <w:p>
      <w:pPr>
        <w:pStyle w:val="BodyText"/>
        <w:spacing w:line="207" w:lineRule="exact"/>
        <w:ind w:right="855"/>
        <w:jc w:val="left"/>
      </w:pPr>
      <w:r>
        <w:rPr>
          <w:spacing w:val="-4"/>
        </w:rPr>
        <w:t>的入账价值并按照实际利率法计算借款费用，实际收到的金额与借款公允价值之间的差额确认为递延收益。递延收益在借款</w:t>
      </w:r>
    </w:p>
    <w:p>
      <w:pPr>
        <w:pStyle w:val="BodyText"/>
        <w:spacing w:line="300" w:lineRule="auto" w:before="77"/>
        <w:ind w:right="855"/>
        <w:jc w:val="left"/>
        <w:rPr>
          <w:rFonts w:ascii="Times New Roman" w:hAnsi="Times New Roman" w:cs="Times New Roman" w:eastAsia="Times New Roman" w:hint="default"/>
        </w:rPr>
      </w:pPr>
      <w:r>
        <w:rPr>
          <w:spacing w:val="-3"/>
        </w:rPr>
        <w:t>存续期内采用实际利率法摊销，冲减相关借款费用。</w:t>
      </w:r>
      <w:r>
        <w:rPr>
          <w:rFonts w:ascii="Times New Roman" w:hAnsi="Times New Roman" w:cs="Times New Roman" w:eastAsia="Times New Roman" w:hint="default"/>
          <w:spacing w:val="-3"/>
        </w:rPr>
        <w:t>[</w:t>
      </w:r>
      <w:r>
        <w:rPr>
          <w:spacing w:val="-3"/>
        </w:rPr>
        <w:t>或：以实际收到的借款金额作为借款的入账价值，按照借款本金和该</w:t>
      </w:r>
      <w:r>
        <w:rPr>
          <w:spacing w:val="66"/>
        </w:rPr>
        <w:t> </w:t>
      </w:r>
      <w:r>
        <w:rPr>
          <w:spacing w:val="66"/>
        </w:rPr>
      </w:r>
      <w:r>
        <w:rPr/>
        <w:t>政策性优惠利率计算相关借款费用。</w:t>
      </w:r>
      <w:r>
        <w:rPr>
          <w:rFonts w:ascii="Times New Roman" w:hAnsi="Times New Roman" w:cs="Times New Roman" w:eastAsia="Times New Roman" w:hint="default"/>
        </w:rPr>
        <w:t>]</w:t>
      </w:r>
    </w:p>
    <w:p>
      <w:pPr>
        <w:pStyle w:val="BodyText"/>
        <w:spacing w:line="338" w:lineRule="auto" w:before="51"/>
        <w:ind w:left="522" w:right="855"/>
        <w:jc w:val="left"/>
      </w:pPr>
      <w:r>
        <w:rPr>
          <w:rFonts w:ascii="Times New Roman" w:hAnsi="Times New Roman" w:cs="Times New Roman" w:eastAsia="Times New Roman" w:hint="default"/>
          <w:spacing w:val="-3"/>
        </w:rPr>
        <w:t>B</w:t>
      </w:r>
      <w:r>
        <w:rPr>
          <w:spacing w:val="-3"/>
        </w:rPr>
        <w:t>、财政将贴息资金直接拨付给本集团的，将对应的贴息冲减相关借款费用。</w:t>
      </w:r>
      <w:r>
        <w:rPr>
          <w:spacing w:val="10"/>
        </w:rPr>
        <w:t> </w:t>
      </w:r>
      <w:r>
        <w:rPr>
          <w:spacing w:val="10"/>
        </w:rPr>
      </w:r>
      <w:r>
        <w:rPr>
          <w:rFonts w:ascii="Times New Roman" w:hAnsi="Times New Roman" w:cs="Times New Roman" w:eastAsia="Times New Roman" w:hint="default"/>
          <w:spacing w:val="-3"/>
        </w:rPr>
        <w:t>4</w:t>
      </w:r>
      <w:r>
        <w:rPr>
          <w:spacing w:val="-3"/>
        </w:rPr>
        <w:t>）已确认的政府补助需要返还的，分别下列情况处理：</w:t>
      </w:r>
      <w:r>
        <w:rPr>
          <w:spacing w:val="-12"/>
        </w:rPr>
        <w:t> </w:t>
      </w:r>
      <w:r>
        <w:rPr>
          <w:spacing w:val="-12"/>
        </w:rPr>
      </w:r>
      <w:r>
        <w:rPr>
          <w:rFonts w:ascii="Times New Roman" w:hAnsi="Times New Roman" w:cs="Times New Roman" w:eastAsia="Times New Roman" w:hint="default"/>
          <w:spacing w:val="-3"/>
        </w:rPr>
        <w:t>A</w:t>
      </w:r>
      <w:r>
        <w:rPr>
          <w:spacing w:val="-3"/>
        </w:rPr>
        <w:t>、存在相关递延收益的，冲减相关递延收益账面余额，超出部分计入当期损益。</w:t>
      </w:r>
      <w:r>
        <w:rPr>
          <w:spacing w:val="15"/>
        </w:rPr>
        <w:t> </w:t>
      </w:r>
      <w:r>
        <w:rPr>
          <w:spacing w:val="15"/>
        </w:rPr>
      </w:r>
      <w:r>
        <w:rPr>
          <w:rFonts w:ascii="Times New Roman" w:hAnsi="Times New Roman" w:cs="Times New Roman" w:eastAsia="Times New Roman" w:hint="default"/>
          <w:spacing w:val="-3"/>
        </w:rPr>
        <w:t>B</w:t>
      </w:r>
      <w:r>
        <w:rPr>
          <w:spacing w:val="-3"/>
        </w:rPr>
        <w:t>、属于其他情况的，直接计入当期损益。</w:t>
      </w:r>
    </w:p>
    <w:p>
      <w:pPr>
        <w:spacing w:line="240" w:lineRule="auto" w:before="9"/>
        <w:rPr>
          <w:rFonts w:ascii="宋体" w:hAnsi="宋体" w:cs="宋体" w:eastAsia="宋体" w:hint="default"/>
          <w:sz w:val="19"/>
          <w:szCs w:val="19"/>
        </w:rPr>
      </w:pPr>
    </w:p>
    <w:p>
      <w:pPr>
        <w:pStyle w:val="Heading4"/>
        <w:spacing w:line="240" w:lineRule="auto"/>
        <w:ind w:right="855"/>
        <w:jc w:val="left"/>
        <w:rPr>
          <w:b w:val="0"/>
          <w:bCs w:val="0"/>
        </w:rPr>
      </w:pPr>
      <w:r>
        <w:rPr>
          <w:rFonts w:ascii="Times New Roman" w:hAnsi="Times New Roman" w:cs="Times New Roman" w:eastAsia="Times New Roman" w:hint="default"/>
        </w:rPr>
        <w:t>29</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522" w:right="855"/>
        <w:jc w:val="left"/>
      </w:pPr>
      <w:r>
        <w:rPr>
          <w:spacing w:val="-3"/>
        </w:rPr>
        <w:t>本公司采用资产负债表债务法核算所得税。</w:t>
      </w:r>
      <w:r>
        <w:rPr>
          <w:spacing w:val="-33"/>
        </w:rPr>
        <w:t> </w:t>
      </w:r>
      <w:r>
        <w:rPr>
          <w:spacing w:val="-33"/>
        </w:rPr>
      </w:r>
      <w:r>
        <w:rPr>
          <w:spacing w:val="-3"/>
        </w:rPr>
        <w:t>在取得资产、承担负债时，本公司按照国家税法规定确定相关资产、负债的计税基础。如果资产的账面价值大于其计</w:t>
      </w:r>
    </w:p>
    <w:p>
      <w:pPr>
        <w:pStyle w:val="BodyText"/>
        <w:spacing w:line="224" w:lineRule="exact"/>
        <w:ind w:right="855"/>
        <w:jc w:val="left"/>
      </w:pPr>
      <w:r>
        <w:rPr>
          <w:spacing w:val="-4"/>
        </w:rPr>
        <w:t>税基础或者负债的账面价值小于其计税基础，则将此差异作为应纳税暂时性差异；如果资产的账面价值小于其计税基础或者</w:t>
      </w:r>
    </w:p>
    <w:p>
      <w:pPr>
        <w:pStyle w:val="BodyText"/>
        <w:spacing w:line="240" w:lineRule="auto" w:before="76"/>
        <w:ind w:right="855"/>
        <w:jc w:val="left"/>
      </w:pPr>
      <w:r>
        <w:rPr>
          <w:spacing w:val="-3"/>
        </w:rPr>
        <w:t>负债的账面价值大于其计税基础，则将此差异作为可抵扣暂时性差异。</w:t>
      </w:r>
    </w:p>
    <w:p>
      <w:pPr>
        <w:pStyle w:val="BodyText"/>
        <w:spacing w:line="240" w:lineRule="auto" w:before="115"/>
        <w:ind w:left="522" w:right="855"/>
        <w:jc w:val="left"/>
      </w:pPr>
      <w:r>
        <w:rPr>
          <w:spacing w:val="-3"/>
        </w:rPr>
        <w:t>（</w:t>
      </w:r>
      <w:r>
        <w:rPr>
          <w:rFonts w:ascii="Times New Roman" w:hAnsi="Times New Roman" w:cs="Times New Roman" w:eastAsia="Times New Roman" w:hint="default"/>
          <w:spacing w:val="-3"/>
        </w:rPr>
        <w:t>1</w:t>
      </w:r>
      <w:r>
        <w:rPr>
          <w:spacing w:val="-3"/>
        </w:rPr>
        <w:t>）除下列交易中产生的递延所得税负债以外，本公司确认所有应纳税暂时性差异产生的递延所得税负债：</w:t>
      </w:r>
    </w:p>
    <w:p>
      <w:pPr>
        <w:spacing w:after="0" w:line="240" w:lineRule="auto"/>
        <w:jc w:val="left"/>
        <w:sectPr>
          <w:pgSz w:w="11910" w:h="16840"/>
          <w:pgMar w:header="746" w:footer="974"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6"/>
        <w:ind w:left="522" w:right="855"/>
        <w:jc w:val="left"/>
      </w:pPr>
      <w:r>
        <w:rPr>
          <w:rFonts w:ascii="Times New Roman" w:hAnsi="Times New Roman" w:cs="Times New Roman" w:eastAsia="Times New Roman" w:hint="default"/>
        </w:rPr>
        <w:t>1</w:t>
      </w:r>
      <w:r>
        <w:rPr/>
        <w:t>）商誉的初始确认；</w:t>
      </w:r>
    </w:p>
    <w:p>
      <w:pPr>
        <w:pStyle w:val="BodyText"/>
        <w:spacing w:line="240" w:lineRule="auto" w:before="101"/>
        <w:ind w:left="522" w:right="855"/>
        <w:jc w:val="left"/>
      </w:pPr>
      <w:r>
        <w:rPr>
          <w:rFonts w:ascii="Times New Roman" w:hAnsi="Times New Roman" w:cs="Times New Roman" w:eastAsia="Times New Roman" w:hint="default"/>
          <w:spacing w:val="-3"/>
        </w:rPr>
        <w:t>2</w:t>
      </w:r>
      <w:r>
        <w:rPr>
          <w:spacing w:val="-3"/>
        </w:rPr>
        <w:t>）同时具有下列特征的交易中产生的资产或负债的初始确认：</w:t>
      </w:r>
    </w:p>
    <w:p>
      <w:pPr>
        <w:pStyle w:val="BodyText"/>
        <w:spacing w:line="240" w:lineRule="auto" w:before="106"/>
        <w:ind w:left="522" w:right="855"/>
        <w:jc w:val="left"/>
      </w:pPr>
      <w:r>
        <w:rPr>
          <w:spacing w:val="-3"/>
        </w:rPr>
        <w:t>①该项交易不是企业合并；</w:t>
      </w:r>
    </w:p>
    <w:p>
      <w:pPr>
        <w:pStyle w:val="BodyText"/>
        <w:spacing w:line="357" w:lineRule="auto" w:before="115"/>
        <w:ind w:left="522" w:right="855"/>
        <w:jc w:val="left"/>
      </w:pPr>
      <w:r>
        <w:rPr>
          <w:spacing w:val="-3"/>
        </w:rPr>
        <w:t>②交易发生时既不影响会计利润也不影响应纳税所得额（或可抵扣亏损）。</w:t>
      </w:r>
      <w:r>
        <w:rPr>
          <w:spacing w:val="8"/>
        </w:rPr>
        <w:t> </w:t>
      </w:r>
      <w:r>
        <w:rPr>
          <w:spacing w:val="8"/>
        </w:rPr>
      </w:r>
      <w:r>
        <w:rPr>
          <w:spacing w:val="-3"/>
        </w:rPr>
        <w:t>除非本公司能够控制与子公司、联营企业及合营企业的投资相关的应纳税暂时性差异转回的时间以及该暂时性差异在</w:t>
      </w:r>
    </w:p>
    <w:p>
      <w:pPr>
        <w:pStyle w:val="BodyText"/>
        <w:spacing w:line="224" w:lineRule="exact"/>
        <w:ind w:right="855"/>
        <w:jc w:val="left"/>
      </w:pPr>
      <w:r>
        <w:rPr>
          <w:spacing w:val="-3"/>
        </w:rPr>
        <w:t>可预见的未来很可能不会转回，本公司将确认其产生的递延所得税负债。</w:t>
      </w:r>
      <w:r>
        <w:rPr/>
      </w:r>
    </w:p>
    <w:p>
      <w:pPr>
        <w:pStyle w:val="BodyText"/>
        <w:spacing w:line="300" w:lineRule="auto" w:before="119"/>
        <w:ind w:right="855" w:firstLine="369"/>
        <w:jc w:val="left"/>
      </w:pPr>
      <w:r>
        <w:rPr>
          <w:spacing w:val="-3"/>
        </w:rPr>
        <w:t>（</w:t>
      </w:r>
      <w:r>
        <w:rPr>
          <w:rFonts w:ascii="Times New Roman" w:hAnsi="Times New Roman" w:cs="Times New Roman" w:eastAsia="Times New Roman" w:hint="default"/>
          <w:spacing w:val="-3"/>
        </w:rPr>
        <w:t>2</w:t>
      </w:r>
      <w:r>
        <w:rPr>
          <w:spacing w:val="-3"/>
        </w:rPr>
        <w:t>）本公司以很可能取得用来抵扣可抵扣暂时性差异的应纳税所得额为限，确认由可抵扣暂时性差异产生的递延所得</w:t>
      </w:r>
      <w:r>
        <w:rPr>
          <w:w w:val="101"/>
        </w:rPr>
        <w:t> </w:t>
      </w:r>
      <w:r>
        <w:rPr>
          <w:spacing w:val="-3"/>
        </w:rPr>
        <w:t>税资产，但不确认同时具有下列特征的交易中因资产或负债的初始确认所产生的递延所得税资产：</w:t>
      </w:r>
    </w:p>
    <w:p>
      <w:pPr>
        <w:pStyle w:val="BodyText"/>
        <w:spacing w:line="240" w:lineRule="auto" w:before="70"/>
        <w:ind w:left="522" w:right="855"/>
        <w:jc w:val="left"/>
      </w:pPr>
      <w:r>
        <w:rPr>
          <w:rFonts w:ascii="Times New Roman" w:hAnsi="Times New Roman" w:cs="Times New Roman" w:eastAsia="Times New Roman" w:hint="default"/>
        </w:rPr>
        <w:t>1</w:t>
      </w:r>
      <w:r>
        <w:rPr/>
        <w:t>）该项交易不是企业合并；</w:t>
      </w:r>
    </w:p>
    <w:p>
      <w:pPr>
        <w:pStyle w:val="BodyText"/>
        <w:spacing w:line="343" w:lineRule="auto" w:before="101"/>
        <w:ind w:left="522" w:right="855"/>
        <w:jc w:val="left"/>
      </w:pPr>
      <w:r>
        <w:rPr>
          <w:rFonts w:ascii="Times New Roman" w:hAnsi="Times New Roman" w:cs="Times New Roman" w:eastAsia="Times New Roman" w:hint="default"/>
          <w:spacing w:val="-3"/>
        </w:rPr>
        <w:t>2</w:t>
      </w:r>
      <w:r>
        <w:rPr>
          <w:spacing w:val="-3"/>
        </w:rPr>
        <w:t>）交易发生时既不影响会计利润也不影响应纳税所得额（或可抵扣亏损）。</w:t>
      </w:r>
      <w:r>
        <w:rPr>
          <w:spacing w:val="12"/>
        </w:rPr>
        <w:t> </w:t>
      </w:r>
      <w:r>
        <w:rPr>
          <w:spacing w:val="12"/>
        </w:rPr>
      </w:r>
      <w:r>
        <w:rPr>
          <w:spacing w:val="-3"/>
        </w:rPr>
        <w:t>资产负债表日，有确凿证据表明未来期间很可能获得足够的应纳税所得额用来抵扣可抵扣暂时性差异的，本公司将确</w:t>
      </w:r>
    </w:p>
    <w:p>
      <w:pPr>
        <w:pStyle w:val="BodyText"/>
        <w:spacing w:line="316" w:lineRule="auto"/>
        <w:ind w:right="855"/>
        <w:jc w:val="left"/>
      </w:pPr>
      <w:r>
        <w:rPr>
          <w:spacing w:val="-4"/>
        </w:rPr>
        <w:t>认以前期间未确认的递延所得税资产。若与子公司、联营企业及合营企业投资相关的可抵扣暂时性差异在可预见的未来很可</w:t>
      </w:r>
      <w:r>
        <w:rPr>
          <w:spacing w:val="38"/>
        </w:rPr>
        <w:t> </w:t>
      </w:r>
      <w:r>
        <w:rPr>
          <w:spacing w:val="38"/>
        </w:rPr>
      </w:r>
      <w:r>
        <w:rPr>
          <w:spacing w:val="-3"/>
        </w:rPr>
        <w:t>能转回且未来很可能获得用来抵扣可抵扣暂时性差异的应纳税所得额，本公司将确认与此差异相应的递延所得税资产。</w:t>
      </w:r>
    </w:p>
    <w:p>
      <w:pPr>
        <w:pStyle w:val="BodyText"/>
        <w:spacing w:line="300" w:lineRule="auto" w:before="58"/>
        <w:ind w:right="855" w:firstLine="369"/>
        <w:jc w:val="left"/>
      </w:pPr>
      <w:r>
        <w:rPr>
          <w:spacing w:val="-3"/>
        </w:rPr>
        <w:t>（</w:t>
      </w:r>
      <w:r>
        <w:rPr>
          <w:rFonts w:ascii="Times New Roman" w:hAnsi="Times New Roman" w:cs="Times New Roman" w:eastAsia="Times New Roman" w:hint="default"/>
          <w:spacing w:val="-3"/>
        </w:rPr>
        <w:t>3</w:t>
      </w:r>
      <w:r>
        <w:rPr>
          <w:spacing w:val="-3"/>
        </w:rPr>
        <w:t>）资产负债表日，本公司按照税法规定计算的预期应交纳（或返还）的所得税金额计量当期和以前期间形成的当期</w:t>
      </w:r>
      <w:r>
        <w:rPr>
          <w:w w:val="101"/>
        </w:rPr>
        <w:t> </w:t>
      </w:r>
      <w:r>
        <w:rPr>
          <w:spacing w:val="-3"/>
        </w:rPr>
        <w:t>所得税负债（或资产）；按照预期收回该资产或清偿该负债期间的适用税率计量递延所得税资产和递延所得税负债。</w:t>
      </w:r>
    </w:p>
    <w:p>
      <w:pPr>
        <w:pStyle w:val="BodyText"/>
        <w:spacing w:line="316" w:lineRule="auto" w:before="70"/>
        <w:ind w:right="1117" w:firstLine="369"/>
        <w:jc w:val="left"/>
      </w:pPr>
      <w:r>
        <w:rPr>
          <w:spacing w:val="-3"/>
        </w:rPr>
        <w:t>如果适用税率发生变化，本公司对已确认的递延所得税资产和递延所得税负债将进行重新计量。除直接在所有者权益</w:t>
      </w:r>
      <w:r>
        <w:rPr>
          <w:w w:val="101"/>
        </w:rPr>
        <w:t> </w:t>
      </w:r>
      <w:r>
        <w:rPr>
          <w:spacing w:val="-4"/>
          <w:w w:val="101"/>
        </w:rPr>
        <w:t>中确认的交易或者事项产生的递延所得税资产和递延所得税负债以外，本公司将税率变化产生的影响数计入变化当期的所得</w:t>
      </w:r>
      <w:r>
        <w:rPr>
          <w:w w:val="101"/>
        </w:rPr>
        <w:t> </w:t>
      </w:r>
      <w:r>
        <w:rPr/>
        <w:t>税费用。</w:t>
      </w:r>
    </w:p>
    <w:p>
      <w:pPr>
        <w:pStyle w:val="BodyText"/>
        <w:spacing w:line="316" w:lineRule="auto" w:before="62"/>
        <w:ind w:right="855" w:firstLine="369"/>
        <w:jc w:val="left"/>
      </w:pPr>
      <w:r>
        <w:rPr>
          <w:spacing w:val="-3"/>
        </w:rPr>
        <w:t>在每个资产负债表日，本公司将对递延所得税资产的账面价值进行复核。如果未来期间很可能无法获得足够的应纳税</w:t>
      </w:r>
      <w:r>
        <w:rPr>
          <w:w w:val="101"/>
        </w:rPr>
        <w:t> </w:t>
      </w:r>
      <w:r>
        <w:rPr>
          <w:spacing w:val="-4"/>
        </w:rPr>
        <w:t>所得额用以抵扣递延所得税资产的利益，则减记递延所得税资产的账面价值。在很可能获得足够的应纳税所得额时，减记的</w:t>
      </w:r>
      <w:r>
        <w:rPr>
          <w:spacing w:val="43"/>
        </w:rPr>
        <w:t> </w:t>
      </w:r>
      <w:r>
        <w:rPr>
          <w:spacing w:val="43"/>
        </w:rPr>
      </w:r>
      <w:r>
        <w:rPr>
          <w:spacing w:val="-3"/>
        </w:rPr>
        <w:t>金额应当转回。</w:t>
      </w:r>
    </w:p>
    <w:p>
      <w:pPr>
        <w:pStyle w:val="BodyText"/>
        <w:spacing w:line="316" w:lineRule="auto" w:before="57"/>
        <w:ind w:right="855" w:firstLine="369"/>
        <w:jc w:val="left"/>
      </w:pPr>
      <w:r>
        <w:rPr>
          <w:spacing w:val="-3"/>
        </w:rPr>
        <w:t>本公司将除企业合并及直接在所有者权益中确认的交易或者事项外的当期所得税和递延所得税作为计入利润表的所得</w:t>
      </w:r>
      <w:r>
        <w:rPr>
          <w:w w:val="101"/>
        </w:rPr>
        <w:t> </w:t>
      </w:r>
      <w:r>
        <w:rPr>
          <w:spacing w:val="-3"/>
        </w:rPr>
        <w:t>税费用或收益。</w:t>
      </w:r>
    </w:p>
    <w:p>
      <w:pPr>
        <w:spacing w:line="240" w:lineRule="auto" w:before="4"/>
        <w:rPr>
          <w:rFonts w:ascii="宋体" w:hAnsi="宋体" w:cs="宋体" w:eastAsia="宋体" w:hint="default"/>
          <w:sz w:val="22"/>
          <w:szCs w:val="22"/>
        </w:rPr>
      </w:pPr>
    </w:p>
    <w:p>
      <w:pPr>
        <w:pStyle w:val="Heading4"/>
        <w:spacing w:line="240" w:lineRule="auto"/>
        <w:ind w:right="855"/>
        <w:jc w:val="left"/>
        <w:rPr>
          <w:b w:val="0"/>
          <w:bCs w:val="0"/>
        </w:rPr>
      </w:pPr>
      <w:r>
        <w:rPr>
          <w:rFonts w:ascii="Times New Roman" w:hAnsi="Times New Roman" w:cs="Times New Roman" w:eastAsia="Times New Roman" w:hint="default"/>
        </w:rPr>
        <w:t>30</w:t>
      </w:r>
      <w:r>
        <w:rPr/>
        <w:t>、租赁</w:t>
      </w:r>
      <w:r>
        <w:rPr>
          <w:b w:val="0"/>
          <w:bCs w:val="0"/>
        </w:rPr>
      </w:r>
    </w:p>
    <w:p>
      <w:pPr>
        <w:spacing w:line="240" w:lineRule="auto" w:before="10"/>
        <w:rPr>
          <w:rFonts w:ascii="宋体" w:hAnsi="宋体" w:cs="宋体" w:eastAsia="宋体" w:hint="default"/>
          <w:b/>
          <w:bCs/>
          <w:sz w:val="24"/>
          <w:szCs w:val="24"/>
        </w:rPr>
      </w:pPr>
    </w:p>
    <w:p>
      <w:pPr>
        <w:spacing w:before="0"/>
        <w:ind w:left="153" w:right="85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）经营租赁的会计处理方法</w:t>
      </w:r>
      <w:r>
        <w:rPr>
          <w:rFonts w:ascii="宋体" w:hAnsi="宋体" w:cs="宋体" w:eastAsia="宋体" w:hint="default"/>
          <w:sz w:val="21"/>
          <w:szCs w:val="21"/>
        </w:rPr>
      </w:r>
    </w:p>
    <w:p>
      <w:pPr>
        <w:spacing w:line="240" w:lineRule="auto" w:before="10"/>
        <w:rPr>
          <w:rFonts w:ascii="宋体" w:hAnsi="宋体" w:cs="宋体" w:eastAsia="宋体" w:hint="default"/>
          <w:b/>
          <w:bCs/>
          <w:sz w:val="26"/>
          <w:szCs w:val="26"/>
        </w:rPr>
      </w:pPr>
    </w:p>
    <w:p>
      <w:pPr>
        <w:pStyle w:val="BodyText"/>
        <w:spacing w:line="316" w:lineRule="auto"/>
        <w:ind w:right="855" w:firstLine="292"/>
        <w:jc w:val="left"/>
      </w:pPr>
      <w:r>
        <w:rPr>
          <w:spacing w:val="-3"/>
        </w:rPr>
        <w:t>作为承租人支付的租金，公司在租赁期内各个期间按照直线法计入相关资产成本或当期损益。公司从事经营租赁业务发</w:t>
      </w:r>
      <w:r>
        <w:rPr>
          <w:spacing w:val="-5"/>
          <w:w w:val="101"/>
        </w:rPr>
        <w:t> </w:t>
      </w:r>
      <w:r>
        <w:rPr>
          <w:spacing w:val="-3"/>
        </w:rPr>
        <w:t>生的初始直接费用，直接计入当期损益。经营租赁协议涉及的或有租金在实际发生时计入当期损益。</w:t>
      </w:r>
    </w:p>
    <w:p>
      <w:pPr>
        <w:spacing w:line="240" w:lineRule="auto" w:before="8"/>
        <w:rPr>
          <w:rFonts w:ascii="宋体" w:hAnsi="宋体" w:cs="宋体" w:eastAsia="宋体" w:hint="default"/>
          <w:sz w:val="22"/>
          <w:szCs w:val="22"/>
        </w:rPr>
      </w:pPr>
    </w:p>
    <w:p>
      <w:pPr>
        <w:pStyle w:val="Heading4"/>
        <w:spacing w:line="240" w:lineRule="auto"/>
        <w:ind w:right="855"/>
        <w:jc w:val="left"/>
        <w:rPr>
          <w:b w:val="0"/>
          <w:bCs w:val="0"/>
        </w:rPr>
      </w:pP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22" w:right="855"/>
        <w:jc w:val="left"/>
      </w:pPr>
      <w:r>
        <w:rPr>
          <w:rFonts w:ascii="Times New Roman" w:hAnsi="Times New Roman" w:cs="Times New Roman" w:eastAsia="Times New Roman" w:hint="default"/>
          <w:spacing w:val="-3"/>
        </w:rPr>
        <w:t>1</w:t>
      </w:r>
      <w:r>
        <w:rPr>
          <w:spacing w:val="-3"/>
        </w:rPr>
        <w:t>）符合下列一项或数项标准的，认定为融资租赁：</w:t>
      </w:r>
    </w:p>
    <w:p>
      <w:pPr>
        <w:pStyle w:val="BodyText"/>
        <w:spacing w:line="240" w:lineRule="auto" w:before="106"/>
        <w:ind w:left="522" w:right="855"/>
        <w:jc w:val="left"/>
      </w:pPr>
      <w:r>
        <w:rPr>
          <w:spacing w:val="-3"/>
        </w:rPr>
        <w:t>①在租赁期届满时，租赁资产的所有权转移给承租人；</w:t>
      </w:r>
    </w:p>
    <w:p>
      <w:pPr>
        <w:pStyle w:val="BodyText"/>
        <w:spacing w:line="316" w:lineRule="auto" w:before="115"/>
        <w:ind w:right="855" w:firstLine="369"/>
        <w:jc w:val="left"/>
      </w:pPr>
      <w:r>
        <w:rPr>
          <w:spacing w:val="-3"/>
        </w:rPr>
        <w:t>②承租人有购买租赁资产的选择权，所订立的购买价款预计将远低于行使选择权时租赁资产的公允价值，因而在租赁</w:t>
      </w:r>
      <w:r>
        <w:rPr>
          <w:w w:val="101"/>
        </w:rPr>
        <w:t> </w:t>
      </w:r>
      <w:r>
        <w:rPr>
          <w:spacing w:val="-3"/>
        </w:rPr>
        <w:t>开始日就可以合理确定承租人将会行使这种选择权；</w:t>
      </w:r>
    </w:p>
    <w:p>
      <w:pPr>
        <w:pStyle w:val="BodyText"/>
        <w:spacing w:line="240" w:lineRule="auto" w:before="57"/>
        <w:ind w:left="522" w:right="855"/>
        <w:jc w:val="left"/>
      </w:pPr>
      <w:r>
        <w:rPr>
          <w:spacing w:val="-3"/>
        </w:rPr>
        <w:t>③即使资产的所有权不转移，但租赁期占租赁资产使用寿命的大部分（</w:t>
      </w:r>
      <w:r>
        <w:rPr>
          <w:rFonts w:ascii="Times New Roman" w:hAnsi="Times New Roman" w:cs="Times New Roman" w:eastAsia="Times New Roman" w:hint="default"/>
          <w:spacing w:val="-3"/>
        </w:rPr>
        <w:t>75%</w:t>
      </w:r>
      <w:r>
        <w:rPr>
          <w:spacing w:val="-3"/>
        </w:rPr>
        <w:t>（含）以上）；</w:t>
      </w:r>
    </w:p>
    <w:p>
      <w:pPr>
        <w:pStyle w:val="BodyText"/>
        <w:spacing w:line="300" w:lineRule="auto" w:before="106"/>
        <w:ind w:right="855" w:firstLine="369"/>
        <w:jc w:val="left"/>
      </w:pPr>
      <w:r>
        <w:rPr>
          <w:spacing w:val="-4"/>
        </w:rPr>
        <w:t>④承租人在租赁开始日的最低租赁付款额现值，几乎相当于租赁开始日租赁资产公允价值（</w:t>
      </w:r>
      <w:r>
        <w:rPr>
          <w:rFonts w:ascii="Times New Roman" w:hAnsi="Times New Roman" w:cs="Times New Roman" w:eastAsia="Times New Roman" w:hint="default"/>
          <w:spacing w:val="-4"/>
        </w:rPr>
        <w:t>90%</w:t>
      </w:r>
      <w:r>
        <w:rPr>
          <w:spacing w:val="-4"/>
        </w:rPr>
        <w:t>（含）以上）；出租人</w:t>
      </w:r>
      <w:r>
        <w:rPr>
          <w:w w:val="101"/>
        </w:rPr>
        <w:t> </w:t>
      </w:r>
      <w:r>
        <w:rPr>
          <w:spacing w:val="-3"/>
        </w:rPr>
        <w:t>在租赁开始日的最低租赁收款额现值，几乎相当于租赁开始日租赁资产公允价值（</w:t>
      </w:r>
      <w:r>
        <w:rPr>
          <w:rFonts w:ascii="Times New Roman" w:hAnsi="Times New Roman" w:cs="Times New Roman" w:eastAsia="Times New Roman" w:hint="default"/>
          <w:spacing w:val="-3"/>
        </w:rPr>
        <w:t>90%</w:t>
      </w:r>
      <w:r>
        <w:rPr>
          <w:spacing w:val="-3"/>
        </w:rPr>
        <w:t>（含）以上）；</w:t>
      </w:r>
    </w:p>
    <w:p>
      <w:pPr>
        <w:pStyle w:val="BodyText"/>
        <w:spacing w:line="357" w:lineRule="auto" w:before="51"/>
        <w:ind w:left="522" w:right="4481"/>
        <w:jc w:val="left"/>
      </w:pPr>
      <w:r>
        <w:rPr>
          <w:spacing w:val="-3"/>
        </w:rPr>
        <w:t>⑤租赁资产性质特殊，如果不作较大改造，只有承租人才能使用。</w:t>
      </w:r>
      <w:r>
        <w:rPr>
          <w:spacing w:val="-4"/>
        </w:rPr>
        <w:t> </w:t>
      </w:r>
      <w:r>
        <w:rPr>
          <w:spacing w:val="-4"/>
        </w:rPr>
      </w:r>
      <w:r>
        <w:rPr>
          <w:spacing w:val="-3"/>
        </w:rPr>
        <w:t>不满足上述条件的，认定经营租赁。</w:t>
      </w:r>
    </w:p>
    <w:p>
      <w:pPr>
        <w:spacing w:after="0" w:line="357" w:lineRule="auto"/>
        <w:jc w:val="left"/>
        <w:sectPr>
          <w:pgSz w:w="11910" w:h="16840"/>
          <w:pgMar w:header="746" w:footer="974" w:top="1060" w:bottom="1160" w:left="980" w:right="0"/>
        </w:sectPr>
      </w:pPr>
    </w:p>
    <w:p>
      <w:pPr>
        <w:spacing w:line="240" w:lineRule="auto" w:before="9"/>
        <w:rPr>
          <w:rFonts w:ascii="宋体" w:hAnsi="宋体" w:cs="宋体" w:eastAsia="宋体" w:hint="default"/>
          <w:sz w:val="25"/>
          <w:szCs w:val="25"/>
        </w:rPr>
      </w:pPr>
    </w:p>
    <w:p>
      <w:pPr>
        <w:pStyle w:val="BodyText"/>
        <w:spacing w:line="300" w:lineRule="auto" w:before="46"/>
        <w:ind w:right="855" w:firstLine="369"/>
        <w:jc w:val="left"/>
      </w:pPr>
      <w:r>
        <w:rPr>
          <w:rFonts w:ascii="Times New Roman" w:hAnsi="Times New Roman" w:cs="Times New Roman" w:eastAsia="Times New Roman" w:hint="default"/>
          <w:spacing w:val="-3"/>
        </w:rPr>
        <w:t>2</w:t>
      </w:r>
      <w:r>
        <w:rPr>
          <w:spacing w:val="-3"/>
        </w:rPr>
        <w:t>）融资租入的固定资产，按租赁开始日租赁资产的公允价值与最低租赁付款额的现值中较低者入账，按自有固定资产</w:t>
      </w:r>
      <w:r>
        <w:rPr>
          <w:w w:val="101"/>
        </w:rPr>
        <w:t> </w:t>
      </w:r>
      <w:r>
        <w:rPr/>
        <w:t>的折旧政策计提折旧。</w:t>
      </w:r>
    </w:p>
    <w:p>
      <w:pPr>
        <w:spacing w:line="240" w:lineRule="auto" w:before="3"/>
        <w:rPr>
          <w:rFonts w:ascii="宋体" w:hAnsi="宋体" w:cs="宋体" w:eastAsia="宋体" w:hint="default"/>
          <w:sz w:val="23"/>
          <w:szCs w:val="23"/>
        </w:rPr>
      </w:pPr>
    </w:p>
    <w:p>
      <w:pPr>
        <w:pStyle w:val="Heading4"/>
        <w:spacing w:line="240" w:lineRule="auto"/>
        <w:ind w:right="855"/>
        <w:jc w:val="left"/>
        <w:rPr>
          <w:b w:val="0"/>
          <w:bCs w:val="0"/>
        </w:rPr>
      </w:pPr>
      <w:r>
        <w:rPr>
          <w:rFonts w:ascii="Times New Roman" w:hAnsi="Times New Roman" w:cs="Times New Roman" w:eastAsia="Times New Roman" w:hint="default"/>
        </w:rPr>
        <w:t>31</w:t>
      </w:r>
      <w:r>
        <w:rPr/>
        <w:t>、其他重要的会计政策和会计估计</w:t>
      </w:r>
      <w:r>
        <w:rPr>
          <w:b w:val="0"/>
          <w:bCs w:val="0"/>
        </w:rPr>
      </w:r>
    </w:p>
    <w:p>
      <w:pPr>
        <w:spacing w:line="240" w:lineRule="auto" w:before="9"/>
        <w:rPr>
          <w:rFonts w:ascii="宋体" w:hAnsi="宋体" w:cs="宋体" w:eastAsia="宋体" w:hint="default"/>
          <w:b/>
          <w:bCs/>
          <w:sz w:val="26"/>
          <w:szCs w:val="26"/>
        </w:rPr>
      </w:pPr>
    </w:p>
    <w:p>
      <w:pPr>
        <w:pStyle w:val="BodyText"/>
        <w:spacing w:line="343" w:lineRule="auto"/>
        <w:ind w:left="522" w:right="855"/>
        <w:jc w:val="left"/>
      </w:pPr>
      <w:r>
        <w:rPr>
          <w:spacing w:val="-3"/>
        </w:rPr>
        <w:t>（</w:t>
      </w:r>
      <w:r>
        <w:rPr>
          <w:rFonts w:ascii="Times New Roman" w:hAnsi="Times New Roman" w:cs="Times New Roman" w:eastAsia="Times New Roman" w:hint="default"/>
          <w:spacing w:val="-3"/>
        </w:rPr>
        <w:t>1</w:t>
      </w:r>
      <w:r>
        <w:rPr>
          <w:spacing w:val="-3"/>
        </w:rPr>
        <w:t>）金融资产转移和非金融资产证券化业务的会计处理方法</w:t>
      </w:r>
      <w:r>
        <w:rPr>
          <w:spacing w:val="-6"/>
        </w:rPr>
        <w:t> </w:t>
      </w:r>
      <w:r>
        <w:rPr>
          <w:spacing w:val="-6"/>
        </w:rPr>
      </w:r>
      <w:r>
        <w:rPr>
          <w:spacing w:val="-3"/>
        </w:rPr>
        <w:t>金融资产整体转移满足终止确认条件的，应当将因转移而收到的对价与原直接计入所有者权益的公允价值变动累计额</w:t>
      </w:r>
    </w:p>
    <w:p>
      <w:pPr>
        <w:pStyle w:val="BodyText"/>
        <w:spacing w:line="357" w:lineRule="auto"/>
        <w:ind w:left="522" w:right="855" w:hanging="370"/>
        <w:jc w:val="left"/>
      </w:pPr>
      <w:r>
        <w:rPr>
          <w:spacing w:val="-3"/>
        </w:rPr>
        <w:t>之和、所转移金融资产的账面价值两项金额的差额计入当期损益。</w:t>
      </w:r>
      <w:r>
        <w:rPr>
          <w:spacing w:val="-4"/>
        </w:rPr>
        <w:t> </w:t>
      </w:r>
      <w:r>
        <w:rPr>
          <w:spacing w:val="-4"/>
        </w:rPr>
      </w:r>
      <w:r>
        <w:rPr>
          <w:spacing w:val="-3"/>
        </w:rPr>
        <w:t>金融资产部分转移满足终止确认条件的，应当将所转移金融资产整体的账面价值，在终止确认部分和未终止确认部分</w:t>
      </w:r>
    </w:p>
    <w:p>
      <w:pPr>
        <w:pStyle w:val="BodyText"/>
        <w:spacing w:line="224" w:lineRule="exact"/>
        <w:ind w:right="855"/>
        <w:jc w:val="left"/>
      </w:pPr>
      <w:r>
        <w:rPr>
          <w:spacing w:val="-4"/>
        </w:rPr>
        <w:t>之间，按照各自的相对公允价值进行分摊，并将终止确认部分的对价与原直接计入所有者权益的公允价值变动累计额中对应</w:t>
      </w:r>
    </w:p>
    <w:p>
      <w:pPr>
        <w:pStyle w:val="BodyText"/>
        <w:spacing w:line="357" w:lineRule="auto" w:before="76"/>
        <w:ind w:left="522" w:right="855" w:hanging="370"/>
        <w:jc w:val="left"/>
      </w:pPr>
      <w:r>
        <w:rPr>
          <w:spacing w:val="-3"/>
        </w:rPr>
        <w:t>终止确认部分的金额之和、终止确认部分的账面价值两项金额的差额计入当期损益。</w:t>
      </w:r>
      <w:r>
        <w:rPr>
          <w:spacing w:val="19"/>
        </w:rPr>
        <w:t> </w:t>
      </w:r>
      <w:r>
        <w:rPr>
          <w:spacing w:val="19"/>
        </w:rPr>
      </w:r>
      <w:r>
        <w:rPr>
          <w:spacing w:val="-3"/>
        </w:rPr>
        <w:t>金融资产不满足终止确认的条件，则继续确认所转移的金融资产整体，因资产转移而收到的对价，视同企业的融资借</w:t>
      </w:r>
    </w:p>
    <w:p>
      <w:pPr>
        <w:pStyle w:val="BodyText"/>
        <w:spacing w:line="224" w:lineRule="exact"/>
        <w:ind w:right="855"/>
        <w:jc w:val="left"/>
      </w:pPr>
      <w:r>
        <w:rPr>
          <w:spacing w:val="-3"/>
        </w:rPr>
        <w:t>款，在收到时确认为一项金融负债。</w:t>
      </w:r>
    </w:p>
    <w:p>
      <w:pPr>
        <w:pStyle w:val="BodyText"/>
        <w:spacing w:line="316" w:lineRule="auto" w:before="120"/>
        <w:ind w:right="855" w:firstLine="369"/>
        <w:jc w:val="left"/>
      </w:pPr>
      <w:r>
        <w:rPr>
          <w:spacing w:val="-3"/>
        </w:rPr>
        <w:t>公司既没有转移也没有保留金融资产所有权上几乎所有的风险和报酬，且未放弃对该金融资产控制的，应当根据其继</w:t>
      </w:r>
      <w:r>
        <w:rPr>
          <w:w w:val="101"/>
        </w:rPr>
        <w:t> </w:t>
      </w:r>
      <w:r>
        <w:rPr>
          <w:spacing w:val="-3"/>
        </w:rPr>
        <w:t>续涉入所转移金融资产的程度确认有关金融资产和金融负债。对因继续涉入所转移金融资产形成的有关资产确认相关收入，</w:t>
      </w:r>
      <w:r>
        <w:rPr>
          <w:spacing w:val="66"/>
        </w:rPr>
        <w:t> </w:t>
      </w:r>
      <w:r>
        <w:rPr>
          <w:spacing w:val="66"/>
        </w:rPr>
      </w:r>
      <w:r>
        <w:rPr>
          <w:spacing w:val="-3"/>
        </w:rPr>
        <w:t>对继续涉入形成的有关负债确认相关费用。</w:t>
      </w:r>
    </w:p>
    <w:p>
      <w:pPr>
        <w:pStyle w:val="BodyText"/>
        <w:spacing w:line="338" w:lineRule="auto" w:before="57"/>
        <w:ind w:left="522" w:right="855"/>
        <w:jc w:val="left"/>
      </w:pPr>
      <w:r>
        <w:rPr>
          <w:spacing w:val="-3"/>
        </w:rPr>
        <w:t>（</w:t>
      </w:r>
      <w:r>
        <w:rPr>
          <w:rFonts w:ascii="Times New Roman" w:hAnsi="Times New Roman" w:cs="Times New Roman" w:eastAsia="Times New Roman" w:hint="default"/>
          <w:spacing w:val="-3"/>
        </w:rPr>
        <w:t>2</w:t>
      </w:r>
      <w:r>
        <w:rPr>
          <w:spacing w:val="-3"/>
        </w:rPr>
        <w:t>）终止经营的确认标准和会计处理方法</w:t>
      </w:r>
      <w:r>
        <w:rPr>
          <w:spacing w:val="-29"/>
        </w:rPr>
        <w:t> </w:t>
      </w:r>
      <w:r>
        <w:rPr>
          <w:spacing w:val="-29"/>
        </w:rPr>
      </w:r>
      <w:r>
        <w:rPr>
          <w:spacing w:val="-3"/>
        </w:rPr>
        <w:t>终止经营，是指满足下列条件之一的已被公司处置或被公司划归为持有待售的、在经营和编制财务报表时能够单独区</w:t>
      </w:r>
    </w:p>
    <w:p>
      <w:pPr>
        <w:pStyle w:val="BodyText"/>
        <w:spacing w:line="316" w:lineRule="auto" w:before="3"/>
        <w:ind w:right="855"/>
        <w:jc w:val="left"/>
      </w:pPr>
      <w:r>
        <w:rPr>
          <w:spacing w:val="-4"/>
        </w:rPr>
        <w:t>分的组成部分：①该组成部分代表一项独立的主要业务或一个主要经营地区；②该组成部分是拟对一项独立的主要业务或一</w:t>
      </w:r>
      <w:r>
        <w:rPr>
          <w:spacing w:val="46"/>
        </w:rPr>
        <w:t> </w:t>
      </w:r>
      <w:r>
        <w:rPr>
          <w:spacing w:val="46"/>
        </w:rPr>
      </w:r>
      <w:r>
        <w:rPr>
          <w:spacing w:val="-3"/>
        </w:rPr>
        <w:t>个主要经营地区进行处置计划的一部分；③该组成部分仅仅是为了再出售而取得的子公司。</w:t>
      </w:r>
    </w:p>
    <w:p>
      <w:pPr>
        <w:pStyle w:val="BodyText"/>
        <w:spacing w:line="240" w:lineRule="auto" w:before="62"/>
        <w:ind w:left="522" w:right="855"/>
        <w:jc w:val="left"/>
      </w:pPr>
      <w:r>
        <w:rPr>
          <w:spacing w:val="-3"/>
        </w:rPr>
        <w:t>本公司将披露终止经营的收入、费用、利润总额、所得税费用和净利润，以及归属于母公司所有者的终止经营利润。</w:t>
      </w:r>
    </w:p>
    <w:p>
      <w:pPr>
        <w:pStyle w:val="BodyText"/>
        <w:spacing w:line="338" w:lineRule="auto" w:before="115"/>
        <w:ind w:left="522" w:right="855"/>
        <w:jc w:val="left"/>
      </w:pPr>
      <w:r>
        <w:rPr>
          <w:spacing w:val="-3"/>
        </w:rPr>
        <w:t>（</w:t>
      </w:r>
      <w:r>
        <w:rPr>
          <w:rFonts w:ascii="Times New Roman" w:hAnsi="Times New Roman" w:cs="Times New Roman" w:eastAsia="Times New Roman" w:hint="default"/>
          <w:spacing w:val="-3"/>
        </w:rPr>
        <w:t>3</w:t>
      </w:r>
      <w:r>
        <w:rPr>
          <w:spacing w:val="-3"/>
        </w:rPr>
        <w:t>）与回购公司股份相关的会计处理方法</w:t>
      </w:r>
      <w:r>
        <w:rPr>
          <w:spacing w:val="-29"/>
        </w:rPr>
        <w:t> </w:t>
      </w:r>
      <w:r>
        <w:rPr>
          <w:spacing w:val="-29"/>
        </w:rPr>
      </w:r>
      <w:r>
        <w:rPr>
          <w:spacing w:val="-3"/>
        </w:rPr>
        <w:t>公司按法定程序报经批准采用收购本公司股票方式减资的，按注销股票面值总额减少股本，购回股票支付的价款（含</w:t>
      </w:r>
    </w:p>
    <w:p>
      <w:pPr>
        <w:pStyle w:val="BodyText"/>
        <w:spacing w:line="316" w:lineRule="auto" w:before="3"/>
        <w:ind w:right="855"/>
        <w:jc w:val="left"/>
      </w:pPr>
      <w:r>
        <w:rPr>
          <w:spacing w:val="-4"/>
        </w:rPr>
        <w:t>交易费用）与股票面值的差额调整所有者权益，超过面值总额的部分，应依次冲减资本公积（股本溢价）、盈余公积和未分</w:t>
      </w:r>
      <w:r>
        <w:rPr>
          <w:spacing w:val="40"/>
        </w:rPr>
        <w:t> </w:t>
      </w:r>
      <w:r>
        <w:rPr>
          <w:spacing w:val="40"/>
        </w:rPr>
      </w:r>
      <w:r>
        <w:rPr>
          <w:spacing w:val="-3"/>
        </w:rPr>
        <w:t>配利润</w:t>
      </w:r>
      <w:r>
        <w:rPr>
          <w:rFonts w:ascii="Times New Roman" w:hAnsi="Times New Roman" w:cs="Times New Roman" w:eastAsia="Times New Roman" w:hint="default"/>
          <w:spacing w:val="-3"/>
        </w:rPr>
        <w:t>;</w:t>
      </w:r>
      <w:r>
        <w:rPr>
          <w:spacing w:val="-3"/>
        </w:rPr>
        <w:t>低于面值总额的，低于面值总额的部分增加资本公积（股本溢价）。</w:t>
      </w:r>
    </w:p>
    <w:p>
      <w:pPr>
        <w:pStyle w:val="BodyText"/>
        <w:spacing w:line="309" w:lineRule="auto" w:before="42"/>
        <w:ind w:right="1047" w:firstLine="369"/>
        <w:jc w:val="both"/>
      </w:pPr>
      <w:r>
        <w:rPr>
          <w:spacing w:val="-3"/>
        </w:rPr>
        <w:t>公司回购的股份在注销或者转让之前，作为库存股管理，回购股份的全部支出转作库存股成本。库存股转让时，转让</w:t>
      </w:r>
      <w:r>
        <w:rPr>
          <w:w w:val="101"/>
        </w:rPr>
        <w:t> </w:t>
      </w:r>
      <w:r>
        <w:rPr>
          <w:spacing w:val="-3"/>
        </w:rPr>
        <w:t>收入高于库存股成本的部分，增加资本公积（股本溢价）</w:t>
      </w:r>
      <w:r>
        <w:rPr>
          <w:rFonts w:ascii="Times New Roman" w:hAnsi="Times New Roman" w:cs="Times New Roman" w:eastAsia="Times New Roman" w:hint="default"/>
          <w:spacing w:val="-3"/>
        </w:rPr>
        <w:t>;</w:t>
      </w:r>
      <w:r>
        <w:rPr>
          <w:spacing w:val="-3"/>
        </w:rPr>
        <w:t>低于库存股成本的部分，依次冲减资本公积（股本溢价）、盈余</w:t>
      </w:r>
      <w:r>
        <w:rPr>
          <w:spacing w:val="72"/>
        </w:rPr>
        <w:t> </w:t>
      </w:r>
      <w:r>
        <w:rPr>
          <w:spacing w:val="72"/>
        </w:rPr>
      </w:r>
      <w:r>
        <w:rPr>
          <w:spacing w:val="-3"/>
        </w:rPr>
        <w:t>公积、未分配利润。公司回购其普通股形成的库存股不得参与公司利润分配，在资产负债表中所有者权益的备抵项目列示。</w:t>
      </w:r>
    </w:p>
    <w:p>
      <w:pPr>
        <w:pStyle w:val="BodyText"/>
        <w:spacing w:line="338" w:lineRule="auto" w:before="63"/>
        <w:ind w:left="522" w:right="855"/>
        <w:jc w:val="left"/>
      </w:pPr>
      <w:r>
        <w:rPr>
          <w:spacing w:val="-3"/>
        </w:rPr>
        <w:t>（</w:t>
      </w:r>
      <w:r>
        <w:rPr>
          <w:rFonts w:ascii="Times New Roman" w:hAnsi="Times New Roman" w:cs="Times New Roman" w:eastAsia="Times New Roman" w:hint="default"/>
          <w:spacing w:val="-3"/>
        </w:rPr>
        <w:t>4</w:t>
      </w:r>
      <w:r>
        <w:rPr>
          <w:spacing w:val="-3"/>
        </w:rPr>
        <w:t>）资产证券化业务的会计处理方法</w:t>
      </w:r>
      <w:r>
        <w:rPr>
          <w:spacing w:val="-35"/>
        </w:rPr>
        <w:t> </w:t>
      </w:r>
      <w:r>
        <w:rPr>
          <w:spacing w:val="-35"/>
        </w:rPr>
      </w:r>
      <w:r>
        <w:rPr>
          <w:spacing w:val="-3"/>
        </w:rPr>
        <w:t>金融资产整体转移满足终止确认条件的，应当将因转移而收到的对价与原直接计入所有者权益的公允价值变动累计额</w:t>
      </w:r>
    </w:p>
    <w:p>
      <w:pPr>
        <w:pStyle w:val="BodyText"/>
        <w:spacing w:line="362" w:lineRule="auto" w:before="2"/>
        <w:ind w:left="522" w:right="855" w:hanging="370"/>
        <w:jc w:val="left"/>
      </w:pPr>
      <w:r>
        <w:rPr>
          <w:spacing w:val="-3"/>
        </w:rPr>
        <w:t>之和、所转移金融资产的账面价值两项金额的差额计入当期损益。 金融资产部分转移满足终止确认条件的，应当将所转移金融资产整体的账面价值，在终止确认部分和未终止确认部分</w:t>
      </w:r>
    </w:p>
    <w:p>
      <w:pPr>
        <w:pStyle w:val="BodyText"/>
        <w:spacing w:line="220" w:lineRule="exact"/>
        <w:ind w:right="855"/>
        <w:jc w:val="left"/>
      </w:pPr>
      <w:r>
        <w:rPr>
          <w:spacing w:val="-4"/>
        </w:rPr>
        <w:t>之间，按照各自的相对公允价值进行分摊，并将终止确认部分的对价与原值直接计入所有者权益的公允价值变动累计额中对</w:t>
      </w:r>
    </w:p>
    <w:p>
      <w:pPr>
        <w:pStyle w:val="BodyText"/>
        <w:spacing w:line="357" w:lineRule="auto" w:before="77"/>
        <w:ind w:left="522" w:right="855" w:hanging="370"/>
        <w:jc w:val="left"/>
      </w:pPr>
      <w:r>
        <w:rPr>
          <w:spacing w:val="-3"/>
        </w:rPr>
        <w:t>应终止确认部分的金额之和、终止确认部分的账面价值两项金额的差额计入当期损益。</w:t>
      </w:r>
      <w:r>
        <w:rPr>
          <w:spacing w:val="20"/>
        </w:rPr>
        <w:t> </w:t>
      </w:r>
      <w:r>
        <w:rPr>
          <w:spacing w:val="20"/>
        </w:rPr>
      </w:r>
      <w:r>
        <w:rPr>
          <w:spacing w:val="-3"/>
        </w:rPr>
        <w:t>金融资产不满足终止确认的条件，则继续确认所转移的金融资产整体，因资产转移而收到的对价，视同企业的融资借</w:t>
      </w:r>
    </w:p>
    <w:p>
      <w:pPr>
        <w:pStyle w:val="BodyText"/>
        <w:spacing w:line="224" w:lineRule="exact"/>
        <w:ind w:right="855"/>
        <w:jc w:val="left"/>
      </w:pPr>
      <w:r>
        <w:rPr>
          <w:spacing w:val="-3"/>
        </w:rPr>
        <w:t>款，在收到时确认为一项金融负债。</w:t>
      </w:r>
    </w:p>
    <w:p>
      <w:pPr>
        <w:pStyle w:val="BodyText"/>
        <w:spacing w:line="319" w:lineRule="auto" w:before="115"/>
        <w:ind w:right="855" w:firstLine="369"/>
        <w:jc w:val="left"/>
      </w:pPr>
      <w:r>
        <w:rPr>
          <w:spacing w:val="-3"/>
        </w:rPr>
        <w:t>公司既没有转移也没有保留金融资产所有权上几乎所有的风险和报酬，且未放弃对该金融资产控制的，应当根据其继</w:t>
      </w:r>
      <w:r>
        <w:rPr>
          <w:w w:val="101"/>
        </w:rPr>
        <w:t> </w:t>
      </w:r>
      <w:r>
        <w:rPr>
          <w:spacing w:val="-3"/>
        </w:rPr>
        <w:t>续涉入所转移金融资产的程度确认有关金融资产和金融负债。对因继续涉入所转移金融资产形成的有关资产确认相关收入，</w:t>
      </w:r>
      <w:r>
        <w:rPr>
          <w:spacing w:val="66"/>
        </w:rPr>
        <w:t> </w:t>
      </w:r>
      <w:r>
        <w:rPr>
          <w:spacing w:val="66"/>
        </w:rPr>
      </w:r>
      <w:r>
        <w:rPr>
          <w:spacing w:val="-3"/>
        </w:rPr>
        <w:t>对继续涉入形成的有关负债确认相关费用。</w:t>
      </w:r>
    </w:p>
    <w:p>
      <w:pPr>
        <w:spacing w:after="0" w:line="319" w:lineRule="auto"/>
        <w:jc w:val="left"/>
        <w:sectPr>
          <w:pgSz w:w="11910" w:h="16840"/>
          <w:pgMar w:header="746" w:footer="974" w:top="1060" w:bottom="1160" w:left="980" w:right="0"/>
        </w:sectPr>
      </w:pPr>
    </w:p>
    <w:p>
      <w:pPr>
        <w:spacing w:line="240" w:lineRule="auto" w:before="7"/>
        <w:rPr>
          <w:rFonts w:ascii="宋体" w:hAnsi="宋体" w:cs="宋体" w:eastAsia="宋体" w:hint="default"/>
          <w:sz w:val="24"/>
          <w:szCs w:val="24"/>
        </w:rPr>
      </w:pPr>
    </w:p>
    <w:p>
      <w:pPr>
        <w:pStyle w:val="Heading4"/>
        <w:spacing w:line="240" w:lineRule="auto" w:before="36"/>
        <w:ind w:right="855"/>
        <w:jc w:val="left"/>
        <w:rPr>
          <w:b w:val="0"/>
          <w:bCs w:val="0"/>
        </w:rPr>
      </w:pPr>
      <w:r>
        <w:rPr>
          <w:rFonts w:ascii="Times New Roman" w:hAnsi="Times New Roman" w:cs="Times New Roman" w:eastAsia="Times New Roman" w:hint="default"/>
        </w:rPr>
        <w:t>32</w:t>
      </w:r>
      <w:r>
        <w:rPr/>
        <w:t>、重要会计政策和会计估计变更</w:t>
      </w:r>
      <w:r>
        <w:rPr>
          <w:b w:val="0"/>
          <w:bCs w:val="0"/>
        </w:rPr>
      </w:r>
    </w:p>
    <w:p>
      <w:pPr>
        <w:spacing w:line="240" w:lineRule="auto" w:before="10"/>
        <w:rPr>
          <w:rFonts w:ascii="宋体" w:hAnsi="宋体" w:cs="宋体" w:eastAsia="宋体" w:hint="default"/>
          <w:b/>
          <w:bCs/>
          <w:sz w:val="24"/>
          <w:szCs w:val="24"/>
        </w:rPr>
      </w:pPr>
    </w:p>
    <w:p>
      <w:pPr>
        <w:spacing w:before="0"/>
        <w:ind w:left="153" w:right="85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）重要会计政策变更</w:t>
      </w:r>
      <w:r>
        <w:rPr>
          <w:rFonts w:ascii="宋体" w:hAnsi="宋体" w:cs="宋体" w:eastAsia="宋体" w:hint="default"/>
          <w:sz w:val="21"/>
          <w:szCs w:val="21"/>
        </w:rPr>
      </w:r>
    </w:p>
    <w:p>
      <w:pPr>
        <w:spacing w:line="240" w:lineRule="auto" w:before="10"/>
        <w:rPr>
          <w:rFonts w:ascii="宋体" w:hAnsi="宋体" w:cs="宋体" w:eastAsia="宋体" w:hint="default"/>
          <w:b/>
          <w:bCs/>
          <w:sz w:val="26"/>
          <w:szCs w:val="26"/>
        </w:rPr>
      </w:pPr>
    </w:p>
    <w:p>
      <w:pPr>
        <w:pStyle w:val="BodyText"/>
        <w:spacing w:line="240" w:lineRule="auto"/>
        <w:ind w:right="855"/>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1"/>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p>
      <w:pPr>
        <w:pStyle w:val="BodyText"/>
        <w:spacing w:line="240" w:lineRule="auto" w:before="46"/>
        <w:ind w:left="0" w:right="1127"/>
        <w:jc w:val="right"/>
      </w:pPr>
      <w:r>
        <w:rPr/>
        <w:pict>
          <v:shape style="position:absolute;margin-left:56.424pt;margin-top:-181.398285pt;width:479.5pt;height:355.05pt;mso-position-horizontal-relative:page;mso-position-vertical-relative:paragraph;z-index:20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821"/>
                    <w:gridCol w:w="1561"/>
                    <w:gridCol w:w="3193"/>
                  </w:tblGrid>
                  <w:tr>
                    <w:trPr>
                      <w:trHeight w:val="403" w:hRule="exact"/>
                    </w:trPr>
                    <w:tc>
                      <w:tcPr>
                        <w:tcW w:w="4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325" w:right="0"/>
                          <w:jc w:val="left"/>
                          <w:rPr>
                            <w:rFonts w:ascii="宋体" w:hAnsi="宋体" w:cs="宋体" w:eastAsia="宋体" w:hint="default"/>
                            <w:sz w:val="18"/>
                            <w:szCs w:val="18"/>
                          </w:rPr>
                        </w:pPr>
                        <w:r>
                          <w:rPr>
                            <w:rFonts w:ascii="宋体" w:hAnsi="宋体" w:cs="宋体" w:eastAsia="宋体" w:hint="default"/>
                            <w:spacing w:val="-3"/>
                            <w:sz w:val="18"/>
                            <w:szCs w:val="18"/>
                          </w:rPr>
                          <w:t>会计政策变更的内容和原因</w:t>
                        </w: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13" w:right="0"/>
                          <w:jc w:val="left"/>
                          <w:rPr>
                            <w:rFonts w:ascii="宋体" w:hAnsi="宋体" w:cs="宋体" w:eastAsia="宋体" w:hint="default"/>
                            <w:sz w:val="18"/>
                            <w:szCs w:val="18"/>
                          </w:rPr>
                        </w:pPr>
                        <w:r>
                          <w:rPr>
                            <w:rFonts w:ascii="宋体" w:hAnsi="宋体" w:cs="宋体" w:eastAsia="宋体" w:hint="default"/>
                            <w:sz w:val="18"/>
                            <w:szCs w:val="18"/>
                          </w:rPr>
                          <w:t>审批程序</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2583" w:hRule="exact"/>
                    </w:trPr>
                    <w:tc>
                      <w:tcPr>
                        <w:tcW w:w="4821" w:type="dxa"/>
                        <w:tcBorders>
                          <w:top w:val="single" w:sz="4" w:space="0" w:color="000000"/>
                          <w:left w:val="single" w:sz="4" w:space="0" w:color="000000"/>
                          <w:bottom w:val="single" w:sz="4" w:space="0" w:color="000000"/>
                          <w:right w:val="single" w:sz="4" w:space="0" w:color="000000"/>
                        </w:tcBorders>
                      </w:tcPr>
                      <w:p>
                        <w:pPr>
                          <w:pStyle w:val="TableParagraph"/>
                          <w:spacing w:line="295" w:lineRule="auto" w:before="53"/>
                          <w:ind w:left="24" w:right="7"/>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日，财政部发布了《企业会计准则第</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7"/>
                            <w:sz w:val="18"/>
                            <w:szCs w:val="18"/>
                          </w:rPr>
                          <w:t> </w:t>
                        </w:r>
                        <w:r>
                          <w:rPr>
                            <w:rFonts w:ascii="宋体" w:hAnsi="宋体" w:cs="宋体" w:eastAsia="宋体" w:hint="default"/>
                            <w:spacing w:val="-2"/>
                            <w:w w:val="101"/>
                            <w:sz w:val="18"/>
                            <w:szCs w:val="18"/>
                          </w:rPr>
                          <w:t>金融工具确认和计量（</w:t>
                        </w:r>
                        <w:r>
                          <w:rPr>
                            <w:rFonts w:ascii="Times New Roman" w:hAnsi="Times New Roman" w:cs="Times New Roman" w:eastAsia="Times New Roman" w:hint="default"/>
                            <w:spacing w:val="-2"/>
                            <w:w w:val="101"/>
                            <w:sz w:val="18"/>
                            <w:szCs w:val="18"/>
                          </w:rPr>
                          <w:t>2017</w:t>
                        </w:r>
                        <w:r>
                          <w:rPr>
                            <w:rFonts w:ascii="Times New Roman" w:hAnsi="Times New Roman" w:cs="Times New Roman" w:eastAsia="Times New Roman" w:hint="default"/>
                            <w:w w:val="101"/>
                            <w:sz w:val="18"/>
                            <w:szCs w:val="18"/>
                          </w:rPr>
                          <w:t> </w:t>
                        </w:r>
                        <w:r>
                          <w:rPr>
                            <w:rFonts w:ascii="宋体" w:hAnsi="宋体" w:cs="宋体" w:eastAsia="宋体" w:hint="default"/>
                            <w:spacing w:val="-14"/>
                            <w:w w:val="101"/>
                            <w:sz w:val="18"/>
                            <w:szCs w:val="18"/>
                          </w:rPr>
                          <w:t>年修订）》（财会〔</w:t>
                        </w:r>
                        <w:r>
                          <w:rPr>
                            <w:rFonts w:ascii="Times New Roman" w:hAnsi="Times New Roman" w:cs="Times New Roman" w:eastAsia="Times New Roman" w:hint="default"/>
                            <w:spacing w:val="-14"/>
                            <w:w w:val="101"/>
                            <w:sz w:val="18"/>
                            <w:szCs w:val="18"/>
                          </w:rPr>
                          <w:t>2017</w:t>
                        </w:r>
                        <w:r>
                          <w:rPr>
                            <w:rFonts w:ascii="宋体" w:hAnsi="宋体" w:cs="宋体" w:eastAsia="宋体" w:hint="default"/>
                            <w:spacing w:val="-14"/>
                            <w:w w:val="101"/>
                            <w:sz w:val="18"/>
                            <w:szCs w:val="18"/>
                          </w:rPr>
                          <w:t>〕</w:t>
                        </w:r>
                        <w:r>
                          <w:rPr>
                            <w:rFonts w:ascii="Times New Roman" w:hAnsi="Times New Roman" w:cs="Times New Roman" w:eastAsia="Times New Roman" w:hint="default"/>
                            <w:spacing w:val="-14"/>
                            <w:w w:val="101"/>
                            <w:sz w:val="18"/>
                            <w:szCs w:val="18"/>
                          </w:rPr>
                          <w:t>7</w:t>
                        </w:r>
                        <w:r>
                          <w:rPr>
                            <w:rFonts w:ascii="Times New Roman" w:hAnsi="Times New Roman" w:cs="Times New Roman" w:eastAsia="Times New Roman" w:hint="default"/>
                            <w:spacing w:val="-5"/>
                            <w:w w:val="101"/>
                            <w:sz w:val="18"/>
                            <w:szCs w:val="18"/>
                          </w:rPr>
                          <w:t> </w:t>
                        </w:r>
                        <w:r>
                          <w:rPr>
                            <w:rFonts w:ascii="宋体" w:hAnsi="宋体" w:cs="宋体" w:eastAsia="宋体" w:hint="default"/>
                            <w:spacing w:val="-31"/>
                            <w:w w:val="101"/>
                            <w:sz w:val="18"/>
                            <w:szCs w:val="18"/>
                          </w:rPr>
                          <w:t>号）、</w:t>
                        </w:r>
                        <w:r>
                          <w:rPr>
                            <w:rFonts w:ascii="宋体" w:hAnsi="宋体" w:cs="宋体" w:eastAsia="宋体" w:hint="default"/>
                            <w:spacing w:val="-31"/>
                            <w:sz w:val="18"/>
                            <w:szCs w:val="18"/>
                          </w:rPr>
                        </w:r>
                      </w:p>
                      <w:p>
                        <w:pPr>
                          <w:pStyle w:val="TableParagraph"/>
                          <w:spacing w:line="300" w:lineRule="auto" w:before="17"/>
                          <w:ind w:left="24" w:right="17"/>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pacing w:val="-5"/>
                            <w:w w:val="101"/>
                            <w:sz w:val="18"/>
                            <w:szCs w:val="18"/>
                          </w:rPr>
                          <w:t>企</w:t>
                        </w:r>
                        <w:r>
                          <w:rPr>
                            <w:rFonts w:ascii="宋体" w:hAnsi="宋体" w:cs="宋体" w:eastAsia="宋体" w:hint="default"/>
                            <w:w w:val="101"/>
                            <w:sz w:val="18"/>
                            <w:szCs w:val="18"/>
                          </w:rPr>
                          <w:t>业</w:t>
                        </w:r>
                        <w:r>
                          <w:rPr>
                            <w:rFonts w:ascii="宋体" w:hAnsi="宋体" w:cs="宋体" w:eastAsia="宋体" w:hint="default"/>
                            <w:spacing w:val="-5"/>
                            <w:w w:val="101"/>
                            <w:sz w:val="18"/>
                            <w:szCs w:val="18"/>
                          </w:rPr>
                          <w:t>会</w:t>
                        </w:r>
                        <w:r>
                          <w:rPr>
                            <w:rFonts w:ascii="宋体" w:hAnsi="宋体" w:cs="宋体" w:eastAsia="宋体" w:hint="default"/>
                            <w:w w:val="101"/>
                            <w:sz w:val="18"/>
                            <w:szCs w:val="18"/>
                          </w:rPr>
                          <w:t>计</w:t>
                        </w:r>
                        <w:r>
                          <w:rPr>
                            <w:rFonts w:ascii="宋体" w:hAnsi="宋体" w:cs="宋体" w:eastAsia="宋体" w:hint="default"/>
                            <w:spacing w:val="-5"/>
                            <w:w w:val="101"/>
                            <w:sz w:val="18"/>
                            <w:szCs w:val="18"/>
                          </w:rPr>
                          <w:t>准</w:t>
                        </w:r>
                        <w:r>
                          <w:rPr>
                            <w:rFonts w:ascii="宋体" w:hAnsi="宋体" w:cs="宋体" w:eastAsia="宋体" w:hint="default"/>
                            <w:w w:val="101"/>
                            <w:sz w:val="18"/>
                            <w:szCs w:val="18"/>
                          </w:rPr>
                          <w:t>则第</w:t>
                        </w:r>
                        <w:r>
                          <w:rPr>
                            <w:rFonts w:ascii="宋体" w:hAnsi="宋体" w:cs="宋体" w:eastAsia="宋体" w:hint="default"/>
                            <w:spacing w:val="-47"/>
                            <w:sz w:val="18"/>
                            <w:szCs w:val="18"/>
                          </w:rPr>
                          <w:t> </w:t>
                        </w:r>
                        <w:r>
                          <w:rPr>
                            <w:rFonts w:ascii="Times New Roman" w:hAnsi="Times New Roman" w:cs="Times New Roman" w:eastAsia="Times New Roman" w:hint="default"/>
                            <w:w w:val="101"/>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pacing w:val="-5"/>
                            <w:w w:val="101"/>
                            <w:sz w:val="18"/>
                            <w:szCs w:val="18"/>
                          </w:rPr>
                          <w:t>号</w:t>
                        </w:r>
                        <w:r>
                          <w:rPr>
                            <w:rFonts w:ascii="Times New Roman" w:hAnsi="Times New Roman" w:cs="Times New Roman" w:eastAsia="Times New Roman" w:hint="default"/>
                            <w:spacing w:val="1"/>
                            <w:w w:val="101"/>
                            <w:sz w:val="18"/>
                            <w:szCs w:val="18"/>
                          </w:rPr>
                          <w:t>-</w:t>
                        </w:r>
                        <w:r>
                          <w:rPr>
                            <w:rFonts w:ascii="Times New Roman" w:hAnsi="Times New Roman" w:cs="Times New Roman" w:eastAsia="Times New Roman" w:hint="default"/>
                            <w:spacing w:val="-4"/>
                            <w:w w:val="101"/>
                            <w:sz w:val="18"/>
                            <w:szCs w:val="18"/>
                          </w:rPr>
                          <w:t>-</w:t>
                        </w:r>
                        <w:r>
                          <w:rPr>
                            <w:rFonts w:ascii="宋体" w:hAnsi="宋体" w:cs="宋体" w:eastAsia="宋体" w:hint="default"/>
                            <w:w w:val="101"/>
                            <w:sz w:val="18"/>
                            <w:szCs w:val="18"/>
                          </w:rPr>
                          <w:t>金</w:t>
                        </w:r>
                        <w:r>
                          <w:rPr>
                            <w:rFonts w:ascii="宋体" w:hAnsi="宋体" w:cs="宋体" w:eastAsia="宋体" w:hint="default"/>
                            <w:spacing w:val="-5"/>
                            <w:w w:val="101"/>
                            <w:sz w:val="18"/>
                            <w:szCs w:val="18"/>
                          </w:rPr>
                          <w:t>融</w:t>
                        </w:r>
                        <w:r>
                          <w:rPr>
                            <w:rFonts w:ascii="宋体" w:hAnsi="宋体" w:cs="宋体" w:eastAsia="宋体" w:hint="default"/>
                            <w:w w:val="101"/>
                            <w:sz w:val="18"/>
                            <w:szCs w:val="18"/>
                          </w:rPr>
                          <w:t>资</w:t>
                        </w:r>
                        <w:r>
                          <w:rPr>
                            <w:rFonts w:ascii="宋体" w:hAnsi="宋体" w:cs="宋体" w:eastAsia="宋体" w:hint="default"/>
                            <w:spacing w:val="-5"/>
                            <w:w w:val="101"/>
                            <w:sz w:val="18"/>
                            <w:szCs w:val="18"/>
                          </w:rPr>
                          <w:t>产</w:t>
                        </w:r>
                        <w:r>
                          <w:rPr>
                            <w:rFonts w:ascii="宋体" w:hAnsi="宋体" w:cs="宋体" w:eastAsia="宋体" w:hint="default"/>
                            <w:w w:val="101"/>
                            <w:sz w:val="18"/>
                            <w:szCs w:val="18"/>
                          </w:rPr>
                          <w:t>转</w:t>
                        </w:r>
                        <w:r>
                          <w:rPr>
                            <w:rFonts w:ascii="宋体" w:hAnsi="宋体" w:cs="宋体" w:eastAsia="宋体" w:hint="default"/>
                            <w:spacing w:val="-5"/>
                            <w:w w:val="101"/>
                            <w:sz w:val="18"/>
                            <w:szCs w:val="18"/>
                          </w:rPr>
                          <w:t>移</w:t>
                        </w:r>
                        <w:r>
                          <w:rPr>
                            <w:rFonts w:ascii="宋体" w:hAnsi="宋体" w:cs="宋体" w:eastAsia="宋体" w:hint="default"/>
                            <w:w w:val="101"/>
                            <w:sz w:val="18"/>
                            <w:szCs w:val="18"/>
                          </w:rPr>
                          <w:t>（</w:t>
                        </w:r>
                        <w:r>
                          <w:rPr>
                            <w:rFonts w:ascii="Times New Roman" w:hAnsi="Times New Roman" w:cs="Times New Roman" w:eastAsia="Times New Roman" w:hint="default"/>
                            <w:w w:val="101"/>
                            <w:sz w:val="18"/>
                            <w:szCs w:val="18"/>
                          </w:rPr>
                          <w:t>2</w:t>
                        </w:r>
                        <w:r>
                          <w:rPr>
                            <w:rFonts w:ascii="Times New Roman" w:hAnsi="Times New Roman" w:cs="Times New Roman" w:eastAsia="Times New Roman" w:hint="default"/>
                            <w:spacing w:val="-5"/>
                            <w:w w:val="101"/>
                            <w:sz w:val="18"/>
                            <w:szCs w:val="18"/>
                          </w:rPr>
                          <w:t>0</w:t>
                        </w:r>
                        <w:r>
                          <w:rPr>
                            <w:rFonts w:ascii="Times New Roman" w:hAnsi="Times New Roman" w:cs="Times New Roman" w:eastAsia="Times New Roman" w:hint="default"/>
                            <w:w w:val="101"/>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pacing w:val="-5"/>
                            <w:w w:val="101"/>
                            <w:sz w:val="18"/>
                            <w:szCs w:val="18"/>
                          </w:rPr>
                          <w:t>年</w:t>
                        </w:r>
                        <w:r>
                          <w:rPr>
                            <w:rFonts w:ascii="宋体" w:hAnsi="宋体" w:cs="宋体" w:eastAsia="宋体" w:hint="default"/>
                            <w:w w:val="101"/>
                            <w:sz w:val="18"/>
                            <w:szCs w:val="18"/>
                          </w:rPr>
                          <w:t>修订</w:t>
                        </w:r>
                        <w:r>
                          <w:rPr>
                            <w:rFonts w:ascii="宋体" w:hAnsi="宋体" w:cs="宋体" w:eastAsia="宋体" w:hint="default"/>
                            <w:spacing w:val="-96"/>
                            <w:w w:val="101"/>
                            <w:sz w:val="18"/>
                            <w:szCs w:val="18"/>
                          </w:rPr>
                          <w:t>）</w:t>
                        </w:r>
                        <w:r>
                          <w:rPr>
                            <w:rFonts w:ascii="宋体" w:hAnsi="宋体" w:cs="宋体" w:eastAsia="宋体" w:hint="default"/>
                            <w:spacing w:val="-92"/>
                            <w:w w:val="101"/>
                            <w:sz w:val="18"/>
                            <w:szCs w:val="18"/>
                          </w:rPr>
                          <w:t>》</w:t>
                        </w:r>
                        <w:r>
                          <w:rPr>
                            <w:rFonts w:ascii="宋体" w:hAnsi="宋体" w:cs="宋体" w:eastAsia="宋体" w:hint="default"/>
                            <w:spacing w:val="-5"/>
                            <w:w w:val="101"/>
                            <w:sz w:val="18"/>
                            <w:szCs w:val="18"/>
                          </w:rPr>
                          <w:t>（</w:t>
                        </w:r>
                        <w:r>
                          <w:rPr>
                            <w:rFonts w:ascii="宋体" w:hAnsi="宋体" w:cs="宋体" w:eastAsia="宋体" w:hint="default"/>
                            <w:w w:val="101"/>
                            <w:sz w:val="18"/>
                            <w:szCs w:val="18"/>
                          </w:rPr>
                          <w:t>财</w:t>
                        </w:r>
                        <w:r>
                          <w:rPr>
                            <w:rFonts w:ascii="宋体" w:hAnsi="宋体" w:cs="宋体" w:eastAsia="宋体" w:hint="default"/>
                            <w:w w:val="101"/>
                            <w:sz w:val="18"/>
                            <w:szCs w:val="18"/>
                          </w:rPr>
                          <w:t> 会〔</w:t>
                        </w:r>
                        <w:r>
                          <w:rPr>
                            <w:rFonts w:ascii="Times New Roman" w:hAnsi="Times New Roman" w:cs="Times New Roman" w:eastAsia="Times New Roman" w:hint="default"/>
                            <w:spacing w:val="-5"/>
                            <w:w w:val="101"/>
                            <w:sz w:val="18"/>
                            <w:szCs w:val="18"/>
                          </w:rPr>
                          <w:t>2</w:t>
                        </w:r>
                        <w:r>
                          <w:rPr>
                            <w:rFonts w:ascii="Times New Roman" w:hAnsi="Times New Roman" w:cs="Times New Roman" w:eastAsia="Times New Roman" w:hint="default"/>
                            <w:w w:val="101"/>
                            <w:sz w:val="18"/>
                            <w:szCs w:val="18"/>
                          </w:rPr>
                          <w:t>01</w:t>
                        </w:r>
                        <w:r>
                          <w:rPr>
                            <w:rFonts w:ascii="Times New Roman" w:hAnsi="Times New Roman" w:cs="Times New Roman" w:eastAsia="Times New Roman" w:hint="default"/>
                            <w:spacing w:val="-5"/>
                            <w:w w:val="101"/>
                            <w:sz w:val="18"/>
                            <w:szCs w:val="18"/>
                          </w:rPr>
                          <w:t>7</w:t>
                        </w:r>
                        <w:r>
                          <w:rPr>
                            <w:rFonts w:ascii="宋体" w:hAnsi="宋体" w:cs="宋体" w:eastAsia="宋体" w:hint="default"/>
                            <w:w w:val="101"/>
                            <w:sz w:val="18"/>
                            <w:szCs w:val="18"/>
                          </w:rPr>
                          <w:t>〕</w:t>
                        </w:r>
                        <w:r>
                          <w:rPr>
                            <w:rFonts w:ascii="Times New Roman" w:hAnsi="Times New Roman" w:cs="Times New Roman" w:eastAsia="Times New Roman" w:hint="default"/>
                            <w:w w:val="101"/>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w w:val="101"/>
                            <w:sz w:val="18"/>
                            <w:szCs w:val="18"/>
                          </w:rPr>
                          <w:t>号</w:t>
                        </w:r>
                        <w:r>
                          <w:rPr>
                            <w:rFonts w:ascii="宋体" w:hAnsi="宋体" w:cs="宋体" w:eastAsia="宋体" w:hint="default"/>
                            <w:spacing w:val="-92"/>
                            <w:w w:val="101"/>
                            <w:sz w:val="18"/>
                            <w:szCs w:val="18"/>
                          </w:rPr>
                          <w:t>）</w:t>
                        </w:r>
                        <w:r>
                          <w:rPr>
                            <w:rFonts w:ascii="宋体" w:hAnsi="宋体" w:cs="宋体" w:eastAsia="宋体" w:hint="default"/>
                            <w:spacing w:val="-96"/>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企</w:t>
                        </w:r>
                        <w:r>
                          <w:rPr>
                            <w:rFonts w:ascii="宋体" w:hAnsi="宋体" w:cs="宋体" w:eastAsia="宋体" w:hint="default"/>
                            <w:w w:val="101"/>
                            <w:sz w:val="18"/>
                            <w:szCs w:val="18"/>
                          </w:rPr>
                          <w:t>业</w:t>
                        </w:r>
                        <w:r>
                          <w:rPr>
                            <w:rFonts w:ascii="宋体" w:hAnsi="宋体" w:cs="宋体" w:eastAsia="宋体" w:hint="default"/>
                            <w:spacing w:val="-5"/>
                            <w:w w:val="101"/>
                            <w:sz w:val="18"/>
                            <w:szCs w:val="18"/>
                          </w:rPr>
                          <w:t>会</w:t>
                        </w:r>
                        <w:r>
                          <w:rPr>
                            <w:rFonts w:ascii="宋体" w:hAnsi="宋体" w:cs="宋体" w:eastAsia="宋体" w:hint="default"/>
                            <w:w w:val="101"/>
                            <w:sz w:val="18"/>
                            <w:szCs w:val="18"/>
                          </w:rPr>
                          <w:t>计</w:t>
                        </w:r>
                        <w:r>
                          <w:rPr>
                            <w:rFonts w:ascii="宋体" w:hAnsi="宋体" w:cs="宋体" w:eastAsia="宋体" w:hint="default"/>
                            <w:spacing w:val="-5"/>
                            <w:w w:val="101"/>
                            <w:sz w:val="18"/>
                            <w:szCs w:val="18"/>
                          </w:rPr>
                          <w:t>准</w:t>
                        </w:r>
                        <w:r>
                          <w:rPr>
                            <w:rFonts w:ascii="宋体" w:hAnsi="宋体" w:cs="宋体" w:eastAsia="宋体" w:hint="default"/>
                            <w:w w:val="101"/>
                            <w:sz w:val="18"/>
                            <w:szCs w:val="18"/>
                          </w:rPr>
                          <w:t>则第</w:t>
                        </w:r>
                        <w:r>
                          <w:rPr>
                            <w:rFonts w:ascii="宋体" w:hAnsi="宋体" w:cs="宋体" w:eastAsia="宋体" w:hint="default"/>
                            <w:spacing w:val="-47"/>
                            <w:sz w:val="18"/>
                            <w:szCs w:val="18"/>
                          </w:rPr>
                          <w:t> </w:t>
                        </w:r>
                        <w:r>
                          <w:rPr>
                            <w:rFonts w:ascii="Times New Roman" w:hAnsi="Times New Roman" w:cs="Times New Roman" w:eastAsia="Times New Roman" w:hint="default"/>
                            <w:w w:val="101"/>
                            <w:sz w:val="18"/>
                            <w:szCs w:val="18"/>
                          </w:rPr>
                          <w:t>24</w:t>
                        </w:r>
                        <w:r>
                          <w:rPr>
                            <w:rFonts w:ascii="Times New Roman" w:hAnsi="Times New Roman" w:cs="Times New Roman" w:eastAsia="Times New Roman" w:hint="default"/>
                            <w:spacing w:val="-7"/>
                            <w:sz w:val="18"/>
                            <w:szCs w:val="18"/>
                          </w:rPr>
                          <w:t> </w:t>
                        </w:r>
                        <w:r>
                          <w:rPr>
                            <w:rFonts w:ascii="宋体" w:hAnsi="宋体" w:cs="宋体" w:eastAsia="宋体" w:hint="default"/>
                            <w:w w:val="101"/>
                            <w:sz w:val="18"/>
                            <w:szCs w:val="18"/>
                          </w:rPr>
                          <w:t>号</w:t>
                        </w:r>
                        <w:r>
                          <w:rPr>
                            <w:rFonts w:ascii="Times New Roman" w:hAnsi="Times New Roman" w:cs="Times New Roman" w:eastAsia="Times New Roman" w:hint="default"/>
                            <w:spacing w:val="-4"/>
                            <w:w w:val="101"/>
                            <w:sz w:val="18"/>
                            <w:szCs w:val="18"/>
                          </w:rPr>
                          <w:t>-</w:t>
                        </w:r>
                        <w:r>
                          <w:rPr>
                            <w:rFonts w:ascii="Times New Roman" w:hAnsi="Times New Roman" w:cs="Times New Roman" w:eastAsia="Times New Roman" w:hint="default"/>
                            <w:spacing w:val="1"/>
                            <w:w w:val="101"/>
                            <w:sz w:val="18"/>
                            <w:szCs w:val="18"/>
                          </w:rPr>
                          <w:t>-</w:t>
                        </w:r>
                        <w:r>
                          <w:rPr>
                            <w:rFonts w:ascii="宋体" w:hAnsi="宋体" w:cs="宋体" w:eastAsia="宋体" w:hint="default"/>
                            <w:spacing w:val="-5"/>
                            <w:w w:val="101"/>
                            <w:sz w:val="18"/>
                            <w:szCs w:val="18"/>
                          </w:rPr>
                          <w:t>套</w:t>
                        </w:r>
                        <w:r>
                          <w:rPr>
                            <w:rFonts w:ascii="宋体" w:hAnsi="宋体" w:cs="宋体" w:eastAsia="宋体" w:hint="default"/>
                            <w:w w:val="101"/>
                            <w:sz w:val="18"/>
                            <w:szCs w:val="18"/>
                          </w:rPr>
                          <w:t>期</w:t>
                        </w:r>
                        <w:r>
                          <w:rPr>
                            <w:rFonts w:ascii="宋体" w:hAnsi="宋体" w:cs="宋体" w:eastAsia="宋体" w:hint="default"/>
                            <w:spacing w:val="-5"/>
                            <w:w w:val="101"/>
                            <w:sz w:val="18"/>
                            <w:szCs w:val="18"/>
                          </w:rPr>
                          <w:t>会</w:t>
                        </w:r>
                        <w:r>
                          <w:rPr>
                            <w:rFonts w:ascii="宋体" w:hAnsi="宋体" w:cs="宋体" w:eastAsia="宋体" w:hint="default"/>
                            <w:w w:val="101"/>
                            <w:sz w:val="18"/>
                            <w:szCs w:val="18"/>
                          </w:rPr>
                          <w:t>计</w:t>
                        </w:r>
                        <w:r>
                          <w:rPr>
                            <w:rFonts w:ascii="宋体" w:hAnsi="宋体" w:cs="宋体" w:eastAsia="宋体" w:hint="default"/>
                            <w:spacing w:val="-5"/>
                            <w:w w:val="101"/>
                            <w:sz w:val="18"/>
                            <w:szCs w:val="18"/>
                          </w:rPr>
                          <w:t>（</w:t>
                        </w:r>
                        <w:r>
                          <w:rPr>
                            <w:rFonts w:ascii="Times New Roman" w:hAnsi="Times New Roman" w:cs="Times New Roman" w:eastAsia="Times New Roman" w:hint="default"/>
                            <w:w w:val="101"/>
                            <w:sz w:val="18"/>
                            <w:szCs w:val="18"/>
                          </w:rPr>
                          <w:t>2017 </w:t>
                        </w:r>
                        <w:r>
                          <w:rPr>
                            <w:rFonts w:ascii="宋体" w:hAnsi="宋体" w:cs="宋体" w:eastAsia="宋体" w:hint="default"/>
                            <w:w w:val="101"/>
                            <w:sz w:val="18"/>
                            <w:szCs w:val="18"/>
                          </w:rPr>
                          <w:t>年</w:t>
                        </w:r>
                        <w:r>
                          <w:rPr>
                            <w:rFonts w:ascii="宋体" w:hAnsi="宋体" w:cs="宋体" w:eastAsia="宋体" w:hint="default"/>
                            <w:spacing w:val="-5"/>
                            <w:w w:val="101"/>
                            <w:sz w:val="18"/>
                            <w:szCs w:val="18"/>
                          </w:rPr>
                          <w:t>修</w:t>
                        </w:r>
                        <w:r>
                          <w:rPr>
                            <w:rFonts w:ascii="宋体" w:hAnsi="宋体" w:cs="宋体" w:eastAsia="宋体" w:hint="default"/>
                            <w:w w:val="101"/>
                            <w:sz w:val="18"/>
                            <w:szCs w:val="18"/>
                          </w:rPr>
                          <w:t>订</w:t>
                        </w:r>
                        <w:r>
                          <w:rPr>
                            <w:rFonts w:ascii="宋体" w:hAnsi="宋体" w:cs="宋体" w:eastAsia="宋体" w:hint="default"/>
                            <w:spacing w:val="-92"/>
                            <w:w w:val="101"/>
                            <w:sz w:val="18"/>
                            <w:szCs w:val="18"/>
                          </w:rPr>
                          <w:t>）</w:t>
                        </w:r>
                        <w:r>
                          <w:rPr>
                            <w:rFonts w:ascii="宋体" w:hAnsi="宋体" w:cs="宋体" w:eastAsia="宋体" w:hint="default"/>
                            <w:spacing w:val="-106"/>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财</w:t>
                        </w:r>
                        <w:r>
                          <w:rPr>
                            <w:rFonts w:ascii="宋体" w:hAnsi="宋体" w:cs="宋体" w:eastAsia="宋体" w:hint="default"/>
                            <w:spacing w:val="-10"/>
                            <w:w w:val="101"/>
                            <w:sz w:val="18"/>
                            <w:szCs w:val="18"/>
                          </w:rPr>
                          <w:t>会</w:t>
                        </w:r>
                        <w:r>
                          <w:rPr>
                            <w:rFonts w:ascii="宋体" w:hAnsi="宋体" w:cs="宋体" w:eastAsia="宋体" w:hint="default"/>
                            <w:spacing w:val="-5"/>
                            <w:w w:val="101"/>
                            <w:sz w:val="18"/>
                            <w:szCs w:val="18"/>
                          </w:rPr>
                          <w:t>〔</w:t>
                        </w:r>
                        <w:r>
                          <w:rPr>
                            <w:rFonts w:ascii="Times New Roman" w:hAnsi="Times New Roman" w:cs="Times New Roman" w:eastAsia="Times New Roman" w:hint="default"/>
                            <w:w w:val="101"/>
                            <w:sz w:val="18"/>
                            <w:szCs w:val="18"/>
                          </w:rPr>
                          <w:t>201</w:t>
                        </w:r>
                        <w:r>
                          <w:rPr>
                            <w:rFonts w:ascii="Times New Roman" w:hAnsi="Times New Roman" w:cs="Times New Roman" w:eastAsia="Times New Roman" w:hint="default"/>
                            <w:spacing w:val="-5"/>
                            <w:w w:val="101"/>
                            <w:sz w:val="18"/>
                            <w:szCs w:val="18"/>
                          </w:rPr>
                          <w:t>7</w:t>
                        </w:r>
                        <w:r>
                          <w:rPr>
                            <w:rFonts w:ascii="宋体" w:hAnsi="宋体" w:cs="宋体" w:eastAsia="宋体" w:hint="default"/>
                            <w:spacing w:val="-10"/>
                            <w:w w:val="101"/>
                            <w:sz w:val="18"/>
                            <w:szCs w:val="18"/>
                          </w:rPr>
                          <w:t>〕</w:t>
                        </w:r>
                        <w:r>
                          <w:rPr>
                            <w:rFonts w:ascii="Times New Roman" w:hAnsi="Times New Roman" w:cs="Times New Roman" w:eastAsia="Times New Roman" w:hint="default"/>
                            <w:w w:val="101"/>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pacing w:val="-5"/>
                            <w:w w:val="101"/>
                            <w:sz w:val="18"/>
                            <w:szCs w:val="18"/>
                          </w:rPr>
                          <w:t>号</w:t>
                        </w:r>
                        <w:r>
                          <w:rPr>
                            <w:rFonts w:ascii="宋体" w:hAnsi="宋体" w:cs="宋体" w:eastAsia="宋体" w:hint="default"/>
                            <w:spacing w:val="-92"/>
                            <w:w w:val="101"/>
                            <w:sz w:val="18"/>
                            <w:szCs w:val="18"/>
                          </w:rPr>
                          <w:t>）</w:t>
                        </w:r>
                        <w:r>
                          <w:rPr>
                            <w:rFonts w:ascii="宋体" w:hAnsi="宋体" w:cs="宋体" w:eastAsia="宋体" w:hint="default"/>
                            <w:spacing w:val="-10"/>
                            <w:w w:val="101"/>
                            <w:sz w:val="18"/>
                            <w:szCs w:val="18"/>
                          </w:rPr>
                          <w:t>，</w:t>
                        </w:r>
                        <w:r>
                          <w:rPr>
                            <w:rFonts w:ascii="宋体" w:hAnsi="宋体" w:cs="宋体" w:eastAsia="宋体" w:hint="default"/>
                            <w:w w:val="101"/>
                            <w:sz w:val="18"/>
                            <w:szCs w:val="18"/>
                          </w:rPr>
                          <w:t>于</w:t>
                        </w:r>
                        <w:r>
                          <w:rPr>
                            <w:rFonts w:ascii="宋体" w:hAnsi="宋体" w:cs="宋体" w:eastAsia="宋体" w:hint="default"/>
                            <w:spacing w:val="-52"/>
                            <w:sz w:val="18"/>
                            <w:szCs w:val="18"/>
                          </w:rPr>
                          <w:t> </w:t>
                        </w:r>
                        <w:r>
                          <w:rPr>
                            <w:rFonts w:ascii="Times New Roman" w:hAnsi="Times New Roman" w:cs="Times New Roman" w:eastAsia="Times New Roman" w:hint="default"/>
                            <w:w w:val="101"/>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w w:val="101"/>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w w:val="101"/>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w w:val="101"/>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w w:val="101"/>
                            <w:sz w:val="18"/>
                            <w:szCs w:val="18"/>
                          </w:rPr>
                          <w:t>2</w:t>
                        </w:r>
                        <w:r>
                          <w:rPr>
                            <w:rFonts w:ascii="Times New Roman" w:hAnsi="Times New Roman" w:cs="Times New Roman" w:eastAsia="Times New Roman" w:hint="default"/>
                            <w:spacing w:val="-7"/>
                            <w:sz w:val="18"/>
                            <w:szCs w:val="18"/>
                          </w:rPr>
                          <w:t> </w:t>
                        </w:r>
                        <w:r>
                          <w:rPr>
                            <w:rFonts w:ascii="宋体" w:hAnsi="宋体" w:cs="宋体" w:eastAsia="宋体" w:hint="default"/>
                            <w:w w:val="101"/>
                            <w:sz w:val="18"/>
                            <w:szCs w:val="18"/>
                          </w:rPr>
                          <w:t>日</w:t>
                        </w:r>
                        <w:r>
                          <w:rPr>
                            <w:rFonts w:ascii="宋体" w:hAnsi="宋体" w:cs="宋体" w:eastAsia="宋体" w:hint="default"/>
                            <w:spacing w:val="-5"/>
                            <w:w w:val="101"/>
                            <w:sz w:val="18"/>
                            <w:szCs w:val="18"/>
                          </w:rPr>
                          <w:t>发</w:t>
                        </w:r>
                        <w:r>
                          <w:rPr>
                            <w:rFonts w:ascii="宋体" w:hAnsi="宋体" w:cs="宋体" w:eastAsia="宋体" w:hint="default"/>
                            <w:spacing w:val="-10"/>
                            <w:w w:val="101"/>
                            <w:sz w:val="18"/>
                            <w:szCs w:val="18"/>
                          </w:rPr>
                          <w:t>布</w:t>
                        </w:r>
                        <w:r>
                          <w:rPr>
                            <w:rFonts w:ascii="宋体" w:hAnsi="宋体" w:cs="宋体" w:eastAsia="宋体" w:hint="default"/>
                            <w:spacing w:val="-5"/>
                            <w:w w:val="101"/>
                            <w:sz w:val="18"/>
                            <w:szCs w:val="18"/>
                          </w:rPr>
                          <w:t>《</w:t>
                        </w:r>
                        <w:r>
                          <w:rPr>
                            <w:rFonts w:ascii="宋体" w:hAnsi="宋体" w:cs="宋体" w:eastAsia="宋体" w:hint="default"/>
                            <w:w w:val="101"/>
                            <w:sz w:val="18"/>
                            <w:szCs w:val="18"/>
                          </w:rPr>
                          <w:t>企</w:t>
                        </w:r>
                        <w:r>
                          <w:rPr>
                            <w:rFonts w:ascii="宋体" w:hAnsi="宋体" w:cs="宋体" w:eastAsia="宋体" w:hint="default"/>
                            <w:w w:val="101"/>
                            <w:sz w:val="18"/>
                            <w:szCs w:val="18"/>
                          </w:rPr>
                          <w:t> 业</w:t>
                        </w:r>
                        <w:r>
                          <w:rPr>
                            <w:rFonts w:ascii="宋体" w:hAnsi="宋体" w:cs="宋体" w:eastAsia="宋体" w:hint="default"/>
                            <w:spacing w:val="-5"/>
                            <w:w w:val="101"/>
                            <w:sz w:val="18"/>
                            <w:szCs w:val="18"/>
                          </w:rPr>
                          <w:t>会</w:t>
                        </w:r>
                        <w:r>
                          <w:rPr>
                            <w:rFonts w:ascii="宋体" w:hAnsi="宋体" w:cs="宋体" w:eastAsia="宋体" w:hint="default"/>
                            <w:w w:val="101"/>
                            <w:sz w:val="18"/>
                            <w:szCs w:val="18"/>
                          </w:rPr>
                          <w:t>计</w:t>
                        </w:r>
                        <w:r>
                          <w:rPr>
                            <w:rFonts w:ascii="宋体" w:hAnsi="宋体" w:cs="宋体" w:eastAsia="宋体" w:hint="default"/>
                            <w:spacing w:val="-5"/>
                            <w:w w:val="101"/>
                            <w:sz w:val="18"/>
                            <w:szCs w:val="18"/>
                          </w:rPr>
                          <w:t>准</w:t>
                        </w:r>
                        <w:r>
                          <w:rPr>
                            <w:rFonts w:ascii="宋体" w:hAnsi="宋体" w:cs="宋体" w:eastAsia="宋体" w:hint="default"/>
                            <w:w w:val="101"/>
                            <w:sz w:val="18"/>
                            <w:szCs w:val="18"/>
                          </w:rPr>
                          <w:t>则第</w:t>
                        </w:r>
                        <w:r>
                          <w:rPr>
                            <w:rFonts w:ascii="宋体" w:hAnsi="宋体" w:cs="宋体" w:eastAsia="宋体" w:hint="default"/>
                            <w:spacing w:val="-47"/>
                            <w:sz w:val="18"/>
                            <w:szCs w:val="18"/>
                          </w:rPr>
                          <w:t> </w:t>
                        </w:r>
                        <w:r>
                          <w:rPr>
                            <w:rFonts w:ascii="Times New Roman" w:hAnsi="Times New Roman" w:cs="Times New Roman" w:eastAsia="Times New Roman" w:hint="default"/>
                            <w:w w:val="101"/>
                            <w:sz w:val="18"/>
                            <w:szCs w:val="18"/>
                          </w:rPr>
                          <w:t>37</w:t>
                        </w:r>
                        <w:r>
                          <w:rPr>
                            <w:rFonts w:ascii="Times New Roman" w:hAnsi="Times New Roman" w:cs="Times New Roman" w:eastAsia="Times New Roman" w:hint="default"/>
                            <w:spacing w:val="-2"/>
                            <w:sz w:val="18"/>
                            <w:szCs w:val="18"/>
                          </w:rPr>
                          <w:t> </w:t>
                        </w:r>
                        <w:r>
                          <w:rPr>
                            <w:rFonts w:ascii="宋体" w:hAnsi="宋体" w:cs="宋体" w:eastAsia="宋体" w:hint="default"/>
                            <w:spacing w:val="-5"/>
                            <w:w w:val="101"/>
                            <w:sz w:val="18"/>
                            <w:szCs w:val="18"/>
                          </w:rPr>
                          <w:t>号</w:t>
                        </w:r>
                        <w:r>
                          <w:rPr>
                            <w:rFonts w:ascii="Times New Roman" w:hAnsi="Times New Roman" w:cs="Times New Roman" w:eastAsia="Times New Roman" w:hint="default"/>
                            <w:spacing w:val="1"/>
                            <w:w w:val="101"/>
                            <w:sz w:val="18"/>
                            <w:szCs w:val="18"/>
                          </w:rPr>
                          <w:t>-</w:t>
                        </w:r>
                        <w:r>
                          <w:rPr>
                            <w:rFonts w:ascii="Times New Roman" w:hAnsi="Times New Roman" w:cs="Times New Roman" w:eastAsia="Times New Roman" w:hint="default"/>
                            <w:spacing w:val="-4"/>
                            <w:w w:val="101"/>
                            <w:sz w:val="18"/>
                            <w:szCs w:val="18"/>
                          </w:rPr>
                          <w:t>-</w:t>
                        </w:r>
                        <w:r>
                          <w:rPr>
                            <w:rFonts w:ascii="宋体" w:hAnsi="宋体" w:cs="宋体" w:eastAsia="宋体" w:hint="default"/>
                            <w:w w:val="101"/>
                            <w:sz w:val="18"/>
                            <w:szCs w:val="18"/>
                          </w:rPr>
                          <w:t>金</w:t>
                        </w:r>
                        <w:r>
                          <w:rPr>
                            <w:rFonts w:ascii="宋体" w:hAnsi="宋体" w:cs="宋体" w:eastAsia="宋体" w:hint="default"/>
                            <w:spacing w:val="-5"/>
                            <w:w w:val="101"/>
                            <w:sz w:val="18"/>
                            <w:szCs w:val="18"/>
                          </w:rPr>
                          <w:t>融</w:t>
                        </w:r>
                        <w:r>
                          <w:rPr>
                            <w:rFonts w:ascii="宋体" w:hAnsi="宋体" w:cs="宋体" w:eastAsia="宋体" w:hint="default"/>
                            <w:w w:val="101"/>
                            <w:sz w:val="18"/>
                            <w:szCs w:val="18"/>
                          </w:rPr>
                          <w:t>工</w:t>
                        </w:r>
                        <w:r>
                          <w:rPr>
                            <w:rFonts w:ascii="宋体" w:hAnsi="宋体" w:cs="宋体" w:eastAsia="宋体" w:hint="default"/>
                            <w:spacing w:val="-5"/>
                            <w:w w:val="101"/>
                            <w:sz w:val="18"/>
                            <w:szCs w:val="18"/>
                          </w:rPr>
                          <w:t>具</w:t>
                        </w:r>
                        <w:r>
                          <w:rPr>
                            <w:rFonts w:ascii="宋体" w:hAnsi="宋体" w:cs="宋体" w:eastAsia="宋体" w:hint="default"/>
                            <w:w w:val="101"/>
                            <w:sz w:val="18"/>
                            <w:szCs w:val="18"/>
                          </w:rPr>
                          <w:t>列</w:t>
                        </w:r>
                        <w:r>
                          <w:rPr>
                            <w:rFonts w:ascii="宋体" w:hAnsi="宋体" w:cs="宋体" w:eastAsia="宋体" w:hint="default"/>
                            <w:spacing w:val="-5"/>
                            <w:w w:val="101"/>
                            <w:sz w:val="18"/>
                            <w:szCs w:val="18"/>
                          </w:rPr>
                          <w:t>报</w:t>
                        </w:r>
                        <w:r>
                          <w:rPr>
                            <w:rFonts w:ascii="宋体" w:hAnsi="宋体" w:cs="宋体" w:eastAsia="宋体" w:hint="default"/>
                            <w:w w:val="101"/>
                            <w:sz w:val="18"/>
                            <w:szCs w:val="18"/>
                          </w:rPr>
                          <w:t>（</w:t>
                        </w:r>
                        <w:r>
                          <w:rPr>
                            <w:rFonts w:ascii="Times New Roman" w:hAnsi="Times New Roman" w:cs="Times New Roman" w:eastAsia="Times New Roman" w:hint="default"/>
                            <w:w w:val="101"/>
                            <w:sz w:val="18"/>
                            <w:szCs w:val="18"/>
                          </w:rPr>
                          <w:t>2</w:t>
                        </w:r>
                        <w:r>
                          <w:rPr>
                            <w:rFonts w:ascii="Times New Roman" w:hAnsi="Times New Roman" w:cs="Times New Roman" w:eastAsia="Times New Roman" w:hint="default"/>
                            <w:spacing w:val="-5"/>
                            <w:w w:val="101"/>
                            <w:sz w:val="18"/>
                            <w:szCs w:val="18"/>
                          </w:rPr>
                          <w:t>0</w:t>
                        </w:r>
                        <w:r>
                          <w:rPr>
                            <w:rFonts w:ascii="Times New Roman" w:hAnsi="Times New Roman" w:cs="Times New Roman" w:eastAsia="Times New Roman" w:hint="default"/>
                            <w:w w:val="101"/>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pacing w:val="-5"/>
                            <w:w w:val="101"/>
                            <w:sz w:val="18"/>
                            <w:szCs w:val="18"/>
                          </w:rPr>
                          <w:t>年</w:t>
                        </w:r>
                        <w:r>
                          <w:rPr>
                            <w:rFonts w:ascii="宋体" w:hAnsi="宋体" w:cs="宋体" w:eastAsia="宋体" w:hint="default"/>
                            <w:w w:val="101"/>
                            <w:sz w:val="18"/>
                            <w:szCs w:val="18"/>
                          </w:rPr>
                          <w:t>修订</w:t>
                        </w:r>
                        <w:r>
                          <w:rPr>
                            <w:rFonts w:ascii="宋体" w:hAnsi="宋体" w:cs="宋体" w:eastAsia="宋体" w:hint="default"/>
                            <w:spacing w:val="-96"/>
                            <w:w w:val="101"/>
                            <w:sz w:val="18"/>
                            <w:szCs w:val="18"/>
                          </w:rPr>
                          <w:t>）</w:t>
                        </w:r>
                        <w:r>
                          <w:rPr>
                            <w:rFonts w:ascii="宋体" w:hAnsi="宋体" w:cs="宋体" w:eastAsia="宋体" w:hint="default"/>
                            <w:spacing w:val="-92"/>
                            <w:w w:val="101"/>
                            <w:sz w:val="18"/>
                            <w:szCs w:val="18"/>
                          </w:rPr>
                          <w:t>》</w:t>
                        </w:r>
                        <w:r>
                          <w:rPr>
                            <w:rFonts w:ascii="宋体" w:hAnsi="宋体" w:cs="宋体" w:eastAsia="宋体" w:hint="default"/>
                            <w:spacing w:val="-5"/>
                            <w:w w:val="101"/>
                            <w:sz w:val="18"/>
                            <w:szCs w:val="18"/>
                          </w:rPr>
                          <w:t>（</w:t>
                        </w:r>
                        <w:r>
                          <w:rPr>
                            <w:rFonts w:ascii="宋体" w:hAnsi="宋体" w:cs="宋体" w:eastAsia="宋体" w:hint="default"/>
                            <w:w w:val="101"/>
                            <w:sz w:val="18"/>
                            <w:szCs w:val="18"/>
                          </w:rPr>
                          <w:t>财会</w:t>
                        </w:r>
                        <w:r>
                          <w:rPr>
                            <w:rFonts w:ascii="宋体" w:hAnsi="宋体" w:cs="宋体" w:eastAsia="宋体" w:hint="default"/>
                            <w:sz w:val="18"/>
                            <w:szCs w:val="18"/>
                          </w:rPr>
                        </w:r>
                      </w:p>
                      <w:p>
                        <w:pPr>
                          <w:pStyle w:val="TableParagraph"/>
                          <w:spacing w:line="300" w:lineRule="auto" w:before="13"/>
                          <w:ind w:left="24" w:right="89"/>
                          <w:jc w:val="left"/>
                          <w:rPr>
                            <w:rFonts w:ascii="宋体" w:hAnsi="宋体" w:cs="宋体" w:eastAsia="宋体" w:hint="default"/>
                            <w:sz w:val="18"/>
                            <w:szCs w:val="18"/>
                          </w:rPr>
                        </w:pPr>
                        <w:r>
                          <w:rPr>
                            <w:rFonts w:ascii="宋体" w:hAnsi="宋体" w:cs="宋体" w:eastAsia="宋体" w:hint="default"/>
                            <w:spacing w:val="-1"/>
                            <w:w w:val="101"/>
                            <w:sz w:val="18"/>
                            <w:szCs w:val="18"/>
                          </w:rPr>
                          <w:t>〔</w:t>
                        </w:r>
                        <w:r>
                          <w:rPr>
                            <w:rFonts w:ascii="Times New Roman" w:hAnsi="Times New Roman" w:cs="Times New Roman" w:eastAsia="Times New Roman" w:hint="default"/>
                            <w:spacing w:val="-1"/>
                            <w:w w:val="101"/>
                            <w:sz w:val="18"/>
                            <w:szCs w:val="18"/>
                          </w:rPr>
                          <w:t>2017</w:t>
                        </w:r>
                        <w:r>
                          <w:rPr>
                            <w:rFonts w:ascii="宋体" w:hAnsi="宋体" w:cs="宋体" w:eastAsia="宋体" w:hint="default"/>
                            <w:spacing w:val="-1"/>
                            <w:w w:val="101"/>
                            <w:sz w:val="18"/>
                            <w:szCs w:val="18"/>
                          </w:rPr>
                          <w:t>〕</w:t>
                        </w:r>
                        <w:r>
                          <w:rPr>
                            <w:rFonts w:ascii="Times New Roman" w:hAnsi="Times New Roman" w:cs="Times New Roman" w:eastAsia="Times New Roman" w:hint="default"/>
                            <w:spacing w:val="-1"/>
                            <w:w w:val="101"/>
                            <w:sz w:val="18"/>
                            <w:szCs w:val="18"/>
                          </w:rPr>
                          <w:t>14</w:t>
                        </w:r>
                        <w:r>
                          <w:rPr>
                            <w:rFonts w:ascii="Times New Roman" w:hAnsi="Times New Roman" w:cs="Times New Roman" w:eastAsia="Times New Roman" w:hint="default"/>
                            <w:w w:val="101"/>
                            <w:sz w:val="18"/>
                            <w:szCs w:val="18"/>
                          </w:rPr>
                          <w:t> </w:t>
                        </w:r>
                        <w:r>
                          <w:rPr>
                            <w:rFonts w:ascii="宋体" w:hAnsi="宋体" w:cs="宋体" w:eastAsia="宋体" w:hint="default"/>
                            <w:spacing w:val="-11"/>
                            <w:w w:val="101"/>
                            <w:sz w:val="18"/>
                            <w:szCs w:val="18"/>
                          </w:rPr>
                          <w:t>号）（上述准则以下统称</w:t>
                        </w:r>
                        <w:r>
                          <w:rPr>
                            <w:rFonts w:ascii="Times New Roman" w:hAnsi="Times New Roman" w:cs="Times New Roman" w:eastAsia="Times New Roman" w:hint="default"/>
                            <w:spacing w:val="-11"/>
                            <w:w w:val="101"/>
                            <w:sz w:val="18"/>
                            <w:szCs w:val="18"/>
                          </w:rPr>
                          <w:t>"</w:t>
                        </w:r>
                        <w:r>
                          <w:rPr>
                            <w:rFonts w:ascii="宋体" w:hAnsi="宋体" w:cs="宋体" w:eastAsia="宋体" w:hint="default"/>
                            <w:spacing w:val="-11"/>
                            <w:w w:val="101"/>
                            <w:sz w:val="18"/>
                            <w:szCs w:val="18"/>
                          </w:rPr>
                          <w:t>新金融工具准则</w:t>
                        </w:r>
                        <w:r>
                          <w:rPr>
                            <w:rFonts w:ascii="Times New Roman" w:hAnsi="Times New Roman" w:cs="Times New Roman" w:eastAsia="Times New Roman" w:hint="default"/>
                            <w:spacing w:val="-11"/>
                            <w:w w:val="101"/>
                            <w:sz w:val="18"/>
                            <w:szCs w:val="18"/>
                          </w:rPr>
                          <w:t>"</w:t>
                        </w:r>
                        <w:r>
                          <w:rPr>
                            <w:rFonts w:ascii="宋体" w:hAnsi="宋体" w:cs="宋体" w:eastAsia="宋体" w:hint="default"/>
                            <w:spacing w:val="-11"/>
                            <w:w w:val="101"/>
                            <w:sz w:val="18"/>
                            <w:szCs w:val="18"/>
                          </w:rPr>
                          <w:t>）。公</w:t>
                        </w:r>
                        <w:r>
                          <w:rPr>
                            <w:rFonts w:ascii="宋体" w:hAnsi="宋体" w:cs="宋体" w:eastAsia="宋体" w:hint="default"/>
                            <w:spacing w:val="-79"/>
                            <w:w w:val="101"/>
                            <w:sz w:val="18"/>
                            <w:szCs w:val="18"/>
                          </w:rPr>
                          <w:t> </w:t>
                        </w:r>
                        <w:r>
                          <w:rPr>
                            <w:rFonts w:ascii="宋体" w:hAnsi="宋体" w:cs="宋体" w:eastAsia="宋体" w:hint="default"/>
                            <w:spacing w:val="-79"/>
                            <w:w w:val="101"/>
                            <w:sz w:val="18"/>
                            <w:szCs w:val="18"/>
                          </w:rPr>
                        </w:r>
                        <w:r>
                          <w:rPr>
                            <w:rFonts w:ascii="宋体" w:hAnsi="宋体" w:cs="宋体" w:eastAsia="宋体" w:hint="default"/>
                            <w:sz w:val="18"/>
                            <w:szCs w:val="18"/>
                          </w:rPr>
                          <w:t>司于</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日起执行新金融工具准则。</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2" w:lineRule="auto"/>
                          <w:ind w:left="24" w:right="80"/>
                          <w:jc w:val="left"/>
                          <w:rPr>
                            <w:rFonts w:ascii="宋体" w:hAnsi="宋体" w:cs="宋体" w:eastAsia="宋体" w:hint="default"/>
                            <w:sz w:val="18"/>
                            <w:szCs w:val="18"/>
                          </w:rPr>
                        </w:pPr>
                        <w:r>
                          <w:rPr>
                            <w:rFonts w:ascii="宋体" w:hAnsi="宋体" w:cs="宋体" w:eastAsia="宋体" w:hint="default"/>
                            <w:spacing w:val="-2"/>
                            <w:sz w:val="18"/>
                            <w:szCs w:val="18"/>
                          </w:rPr>
                          <w:t>第七届董事会第二</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十九次会议</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482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24" w:right="17"/>
                          <w:jc w:val="both"/>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30 </w:t>
                        </w:r>
                        <w:r>
                          <w:rPr>
                            <w:rFonts w:ascii="宋体" w:hAnsi="宋体" w:cs="宋体" w:eastAsia="宋体" w:hint="default"/>
                            <w:spacing w:val="-6"/>
                            <w:sz w:val="18"/>
                            <w:szCs w:val="18"/>
                          </w:rPr>
                          <w:t>日，财政部颁布了《关于修订印发</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pacing w:val="-5"/>
                            <w:sz w:val="18"/>
                            <w:szCs w:val="18"/>
                          </w:rPr>
                          <w:t>年度</w:t>
                        </w:r>
                        <w:r>
                          <w:rPr>
                            <w:rFonts w:ascii="宋体" w:hAnsi="宋体" w:cs="宋体" w:eastAsia="宋体" w:hint="default"/>
                            <w:spacing w:val="-86"/>
                            <w:sz w:val="18"/>
                            <w:szCs w:val="18"/>
                          </w:rPr>
                          <w:t> </w:t>
                        </w:r>
                        <w:r>
                          <w:rPr>
                            <w:rFonts w:ascii="宋体" w:hAnsi="宋体" w:cs="宋体" w:eastAsia="宋体" w:hint="default"/>
                            <w:spacing w:val="-8"/>
                            <w:w w:val="101"/>
                            <w:sz w:val="18"/>
                            <w:szCs w:val="18"/>
                          </w:rPr>
                          <w:t>一般企业财务报表格式的通知》（财会〔</w:t>
                        </w:r>
                        <w:r>
                          <w:rPr>
                            <w:rFonts w:ascii="Times New Roman" w:hAnsi="Times New Roman" w:cs="Times New Roman" w:eastAsia="Times New Roman" w:hint="default"/>
                            <w:spacing w:val="-8"/>
                            <w:w w:val="101"/>
                            <w:sz w:val="18"/>
                            <w:szCs w:val="18"/>
                          </w:rPr>
                          <w:t>2019</w:t>
                        </w:r>
                        <w:r>
                          <w:rPr>
                            <w:rFonts w:ascii="宋体" w:hAnsi="宋体" w:cs="宋体" w:eastAsia="宋体" w:hint="default"/>
                            <w:spacing w:val="-8"/>
                            <w:w w:val="101"/>
                            <w:sz w:val="18"/>
                            <w:szCs w:val="18"/>
                          </w:rPr>
                          <w:t>〕</w:t>
                        </w:r>
                        <w:r>
                          <w:rPr>
                            <w:rFonts w:ascii="Times New Roman" w:hAnsi="Times New Roman" w:cs="Times New Roman" w:eastAsia="Times New Roman" w:hint="default"/>
                            <w:spacing w:val="-8"/>
                            <w:w w:val="101"/>
                            <w:sz w:val="18"/>
                            <w:szCs w:val="18"/>
                          </w:rPr>
                          <w:t>6</w:t>
                        </w:r>
                        <w:r>
                          <w:rPr>
                            <w:rFonts w:ascii="Times New Roman" w:hAnsi="Times New Roman" w:cs="Times New Roman" w:eastAsia="Times New Roman" w:hint="default"/>
                            <w:w w:val="101"/>
                            <w:sz w:val="18"/>
                            <w:szCs w:val="18"/>
                          </w:rPr>
                          <w:t> </w:t>
                        </w:r>
                        <w:r>
                          <w:rPr>
                            <w:rFonts w:ascii="宋体" w:hAnsi="宋体" w:cs="宋体" w:eastAsia="宋体" w:hint="default"/>
                            <w:spacing w:val="-20"/>
                            <w:w w:val="101"/>
                            <w:sz w:val="18"/>
                            <w:szCs w:val="18"/>
                          </w:rPr>
                          <w:t>号），修订了</w:t>
                        </w:r>
                        <w:r>
                          <w:rPr>
                            <w:rFonts w:ascii="宋体" w:hAnsi="宋体" w:cs="宋体" w:eastAsia="宋体" w:hint="default"/>
                            <w:spacing w:val="-80"/>
                            <w:w w:val="101"/>
                            <w:sz w:val="18"/>
                            <w:szCs w:val="18"/>
                          </w:rPr>
                          <w:t> </w:t>
                        </w:r>
                        <w:r>
                          <w:rPr>
                            <w:rFonts w:ascii="宋体" w:hAnsi="宋体" w:cs="宋体" w:eastAsia="宋体" w:hint="default"/>
                            <w:spacing w:val="-80"/>
                            <w:w w:val="101"/>
                            <w:sz w:val="18"/>
                            <w:szCs w:val="18"/>
                          </w:rPr>
                        </w:r>
                        <w:r>
                          <w:rPr>
                            <w:rFonts w:ascii="宋体" w:hAnsi="宋体" w:cs="宋体" w:eastAsia="宋体" w:hint="default"/>
                            <w:spacing w:val="-3"/>
                            <w:sz w:val="18"/>
                            <w:szCs w:val="18"/>
                          </w:rPr>
                          <w:t>一般企业财务报表格式。</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12" w:lineRule="auto"/>
                          <w:ind w:left="24" w:right="80"/>
                          <w:jc w:val="left"/>
                          <w:rPr>
                            <w:rFonts w:ascii="宋体" w:hAnsi="宋体" w:cs="宋体" w:eastAsia="宋体" w:hint="default"/>
                            <w:sz w:val="18"/>
                            <w:szCs w:val="18"/>
                          </w:rPr>
                        </w:pPr>
                        <w:r>
                          <w:rPr>
                            <w:rFonts w:ascii="宋体" w:hAnsi="宋体" w:cs="宋体" w:eastAsia="宋体" w:hint="default"/>
                            <w:spacing w:val="-2"/>
                            <w:sz w:val="18"/>
                            <w:szCs w:val="18"/>
                          </w:rPr>
                          <w:t>第七届董事会第二</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十四次会议</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94"/>
                          <w:jc w:val="both"/>
                          <w:rPr>
                            <w:rFonts w:ascii="宋体" w:hAnsi="宋体" w:cs="宋体" w:eastAsia="宋体" w:hint="default"/>
                            <w:sz w:val="18"/>
                            <w:szCs w:val="18"/>
                          </w:rPr>
                        </w:pPr>
                        <w:r>
                          <w:rPr>
                            <w:rFonts w:ascii="宋体" w:hAnsi="宋体" w:cs="宋体" w:eastAsia="宋体" w:hint="default"/>
                            <w:spacing w:val="-3"/>
                            <w:sz w:val="18"/>
                            <w:szCs w:val="18"/>
                          </w:rPr>
                          <w:t>本次会计政策变更只涉及财务报表项目</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的列报和调整，对公司资产总额、净资</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4"/>
                            <w:sz w:val="18"/>
                            <w:szCs w:val="18"/>
                          </w:rPr>
                          <w:t>产、营业收入、净利润等均不产生影响</w:t>
                        </w:r>
                      </w:p>
                    </w:tc>
                  </w:tr>
                  <w:tr>
                    <w:trPr>
                      <w:trHeight w:val="1028" w:hRule="exact"/>
                    </w:trPr>
                    <w:tc>
                      <w:tcPr>
                        <w:tcW w:w="482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24" w:right="26"/>
                          <w:jc w:val="both"/>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日，财政部发布了《关于印发修订企业会计准</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w w:val="101"/>
                            <w:sz w:val="18"/>
                            <w:szCs w:val="18"/>
                          </w:rPr>
                          <w:t>则第</w:t>
                        </w:r>
                        <w:r>
                          <w:rPr>
                            <w:rFonts w:ascii="宋体" w:hAnsi="宋体" w:cs="宋体" w:eastAsia="宋体" w:hint="default"/>
                            <w:spacing w:val="-46"/>
                            <w:w w:val="101"/>
                            <w:sz w:val="18"/>
                            <w:szCs w:val="18"/>
                          </w:rPr>
                          <w:t> </w:t>
                        </w:r>
                        <w:r>
                          <w:rPr>
                            <w:rFonts w:ascii="Times New Roman" w:hAnsi="Times New Roman" w:cs="Times New Roman" w:eastAsia="Times New Roman" w:hint="default"/>
                            <w:w w:val="101"/>
                            <w:sz w:val="18"/>
                            <w:szCs w:val="18"/>
                          </w:rPr>
                          <w:t>7 </w:t>
                        </w:r>
                        <w:r>
                          <w:rPr>
                            <w:rFonts w:ascii="宋体" w:hAnsi="宋体" w:cs="宋体" w:eastAsia="宋体" w:hint="default"/>
                            <w:spacing w:val="-6"/>
                            <w:w w:val="101"/>
                            <w:sz w:val="18"/>
                            <w:szCs w:val="18"/>
                          </w:rPr>
                          <w:t>号</w:t>
                        </w:r>
                        <w:r>
                          <w:rPr>
                            <w:rFonts w:ascii="Times New Roman" w:hAnsi="Times New Roman" w:cs="Times New Roman" w:eastAsia="Times New Roman" w:hint="default"/>
                            <w:spacing w:val="-6"/>
                            <w:w w:val="101"/>
                            <w:sz w:val="18"/>
                            <w:szCs w:val="18"/>
                          </w:rPr>
                          <w:t>--</w:t>
                        </w:r>
                        <w:r>
                          <w:rPr>
                            <w:rFonts w:ascii="宋体" w:hAnsi="宋体" w:cs="宋体" w:eastAsia="宋体" w:hint="default"/>
                            <w:spacing w:val="-6"/>
                            <w:w w:val="101"/>
                            <w:sz w:val="18"/>
                            <w:szCs w:val="18"/>
                          </w:rPr>
                          <w:t>非货币性资产交换的通知》（财会〔</w:t>
                        </w:r>
                        <w:r>
                          <w:rPr>
                            <w:rFonts w:ascii="Times New Roman" w:hAnsi="Times New Roman" w:cs="Times New Roman" w:eastAsia="Times New Roman" w:hint="default"/>
                            <w:spacing w:val="-6"/>
                            <w:w w:val="101"/>
                            <w:sz w:val="18"/>
                            <w:szCs w:val="18"/>
                          </w:rPr>
                          <w:t>2019</w:t>
                        </w:r>
                        <w:r>
                          <w:rPr>
                            <w:rFonts w:ascii="宋体" w:hAnsi="宋体" w:cs="宋体" w:eastAsia="宋体" w:hint="default"/>
                            <w:spacing w:val="-6"/>
                            <w:w w:val="101"/>
                            <w:sz w:val="18"/>
                            <w:szCs w:val="18"/>
                          </w:rPr>
                          <w:t>〕</w:t>
                        </w:r>
                        <w:r>
                          <w:rPr>
                            <w:rFonts w:ascii="Times New Roman" w:hAnsi="Times New Roman" w:cs="Times New Roman" w:eastAsia="Times New Roman" w:hint="default"/>
                            <w:spacing w:val="-6"/>
                            <w:w w:val="101"/>
                            <w:sz w:val="18"/>
                            <w:szCs w:val="18"/>
                          </w:rPr>
                          <w:t>8</w:t>
                        </w:r>
                        <w:r>
                          <w:rPr>
                            <w:rFonts w:ascii="Times New Roman" w:hAnsi="Times New Roman" w:cs="Times New Roman" w:eastAsia="Times New Roman" w:hint="default"/>
                            <w:spacing w:val="-5"/>
                            <w:w w:val="101"/>
                            <w:sz w:val="18"/>
                            <w:szCs w:val="18"/>
                          </w:rPr>
                          <w:t> </w:t>
                        </w:r>
                        <w:r>
                          <w:rPr>
                            <w:rFonts w:ascii="宋体" w:hAnsi="宋体" w:cs="宋体" w:eastAsia="宋体" w:hint="default"/>
                            <w:spacing w:val="-32"/>
                            <w:w w:val="101"/>
                            <w:sz w:val="18"/>
                            <w:szCs w:val="18"/>
                          </w:rPr>
                          <w:t>号），</w:t>
                        </w:r>
                        <w:r>
                          <w:rPr>
                            <w:rFonts w:ascii="宋体" w:hAnsi="宋体" w:cs="宋体" w:eastAsia="宋体" w:hint="default"/>
                            <w:w w:val="101"/>
                            <w:sz w:val="18"/>
                            <w:szCs w:val="18"/>
                          </w:rPr>
                          <w:t> </w:t>
                        </w:r>
                        <w:r>
                          <w:rPr>
                            <w:rFonts w:ascii="宋体" w:hAnsi="宋体" w:cs="宋体" w:eastAsia="宋体" w:hint="default"/>
                            <w:sz w:val="18"/>
                            <w:szCs w:val="18"/>
                          </w:rPr>
                          <w:t>公司于</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日执行新准则。</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12" w:lineRule="auto"/>
                          <w:ind w:left="24" w:right="80"/>
                          <w:jc w:val="left"/>
                          <w:rPr>
                            <w:rFonts w:ascii="宋体" w:hAnsi="宋体" w:cs="宋体" w:eastAsia="宋体" w:hint="default"/>
                            <w:sz w:val="18"/>
                            <w:szCs w:val="18"/>
                          </w:rPr>
                        </w:pPr>
                        <w:r>
                          <w:rPr>
                            <w:rFonts w:ascii="宋体" w:hAnsi="宋体" w:cs="宋体" w:eastAsia="宋体" w:hint="default"/>
                            <w:spacing w:val="-2"/>
                            <w:sz w:val="18"/>
                            <w:szCs w:val="18"/>
                          </w:rPr>
                          <w:t>第七届董事会第二</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十九次会议</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4821"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3"/>
                          <w:ind w:left="24" w:right="17"/>
                          <w:jc w:val="both"/>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2"/>
                            <w:sz w:val="18"/>
                            <w:szCs w:val="18"/>
                          </w:rPr>
                          <w:t> </w:t>
                        </w:r>
                        <w:r>
                          <w:rPr>
                            <w:rFonts w:ascii="宋体" w:hAnsi="宋体" w:cs="宋体" w:eastAsia="宋体" w:hint="default"/>
                            <w:spacing w:val="-6"/>
                            <w:sz w:val="18"/>
                            <w:szCs w:val="18"/>
                          </w:rPr>
                          <w:t>日，财政部发布了《关于印发修订企业会计准</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w w:val="101"/>
                            <w:sz w:val="18"/>
                            <w:szCs w:val="18"/>
                          </w:rPr>
                          <w:t>则第</w:t>
                        </w:r>
                        <w:r>
                          <w:rPr>
                            <w:rFonts w:ascii="宋体" w:hAnsi="宋体" w:cs="宋体" w:eastAsia="宋体" w:hint="default"/>
                            <w:spacing w:val="-44"/>
                            <w:w w:val="101"/>
                            <w:sz w:val="18"/>
                            <w:szCs w:val="18"/>
                          </w:rPr>
                          <w:t> </w:t>
                        </w:r>
                        <w:r>
                          <w:rPr>
                            <w:rFonts w:ascii="Times New Roman" w:hAnsi="Times New Roman" w:cs="Times New Roman" w:eastAsia="Times New Roman" w:hint="default"/>
                            <w:w w:val="101"/>
                            <w:sz w:val="18"/>
                            <w:szCs w:val="18"/>
                          </w:rPr>
                          <w:t>12</w:t>
                        </w:r>
                        <w:r>
                          <w:rPr>
                            <w:rFonts w:ascii="Times New Roman" w:hAnsi="Times New Roman" w:cs="Times New Roman" w:eastAsia="Times New Roman" w:hint="default"/>
                            <w:spacing w:val="1"/>
                            <w:w w:val="101"/>
                            <w:sz w:val="18"/>
                            <w:szCs w:val="18"/>
                          </w:rPr>
                          <w:t> </w:t>
                        </w:r>
                        <w:r>
                          <w:rPr>
                            <w:rFonts w:ascii="宋体" w:hAnsi="宋体" w:cs="宋体" w:eastAsia="宋体" w:hint="default"/>
                            <w:spacing w:val="-10"/>
                            <w:w w:val="101"/>
                            <w:sz w:val="18"/>
                            <w:szCs w:val="18"/>
                          </w:rPr>
                          <w:t>号</w:t>
                        </w:r>
                        <w:r>
                          <w:rPr>
                            <w:rFonts w:ascii="Times New Roman" w:hAnsi="Times New Roman" w:cs="Times New Roman" w:eastAsia="Times New Roman" w:hint="default"/>
                            <w:spacing w:val="-10"/>
                            <w:w w:val="101"/>
                            <w:sz w:val="18"/>
                            <w:szCs w:val="18"/>
                          </w:rPr>
                          <w:t>--</w:t>
                        </w:r>
                        <w:r>
                          <w:rPr>
                            <w:rFonts w:ascii="宋体" w:hAnsi="宋体" w:cs="宋体" w:eastAsia="宋体" w:hint="default"/>
                            <w:spacing w:val="-10"/>
                            <w:w w:val="101"/>
                            <w:sz w:val="18"/>
                            <w:szCs w:val="18"/>
                          </w:rPr>
                          <w:t>债务重组的通知》（财会〔</w:t>
                        </w:r>
                        <w:r>
                          <w:rPr>
                            <w:rFonts w:ascii="Times New Roman" w:hAnsi="Times New Roman" w:cs="Times New Roman" w:eastAsia="Times New Roman" w:hint="default"/>
                            <w:spacing w:val="-10"/>
                            <w:w w:val="101"/>
                            <w:sz w:val="18"/>
                            <w:szCs w:val="18"/>
                          </w:rPr>
                          <w:t>2019</w:t>
                        </w:r>
                        <w:r>
                          <w:rPr>
                            <w:rFonts w:ascii="宋体" w:hAnsi="宋体" w:cs="宋体" w:eastAsia="宋体" w:hint="default"/>
                            <w:spacing w:val="-10"/>
                            <w:w w:val="101"/>
                            <w:sz w:val="18"/>
                            <w:szCs w:val="18"/>
                          </w:rPr>
                          <w:t>〕</w:t>
                        </w:r>
                        <w:r>
                          <w:rPr>
                            <w:rFonts w:ascii="Times New Roman" w:hAnsi="Times New Roman" w:cs="Times New Roman" w:eastAsia="Times New Roman" w:hint="default"/>
                            <w:spacing w:val="-10"/>
                            <w:w w:val="101"/>
                            <w:sz w:val="18"/>
                            <w:szCs w:val="18"/>
                          </w:rPr>
                          <w:t>9</w:t>
                        </w:r>
                        <w:r>
                          <w:rPr>
                            <w:rFonts w:ascii="Times New Roman" w:hAnsi="Times New Roman" w:cs="Times New Roman" w:eastAsia="Times New Roman" w:hint="default"/>
                            <w:spacing w:val="-4"/>
                            <w:w w:val="101"/>
                            <w:sz w:val="18"/>
                            <w:szCs w:val="18"/>
                          </w:rPr>
                          <w:t> </w:t>
                        </w:r>
                        <w:r>
                          <w:rPr>
                            <w:rFonts w:ascii="宋体" w:hAnsi="宋体" w:cs="宋体" w:eastAsia="宋体" w:hint="default"/>
                            <w:spacing w:val="-18"/>
                            <w:w w:val="101"/>
                            <w:sz w:val="18"/>
                            <w:szCs w:val="18"/>
                          </w:rPr>
                          <w:t>号）（以下简称</w:t>
                        </w:r>
                        <w:r>
                          <w:rPr>
                            <w:rFonts w:ascii="宋体" w:hAnsi="宋体" w:cs="宋体" w:eastAsia="宋体" w:hint="default"/>
                            <w:spacing w:val="-89"/>
                            <w:w w:val="101"/>
                            <w:sz w:val="18"/>
                            <w:szCs w:val="18"/>
                          </w:rPr>
                          <w:t> </w:t>
                        </w:r>
                        <w:r>
                          <w:rPr>
                            <w:rFonts w:ascii="宋体" w:hAnsi="宋体" w:cs="宋体" w:eastAsia="宋体" w:hint="default"/>
                            <w:spacing w:val="-89"/>
                            <w:w w:val="101"/>
                            <w:sz w:val="18"/>
                            <w:szCs w:val="18"/>
                          </w:rPr>
                        </w:r>
                        <w:r>
                          <w:rPr>
                            <w:rFonts w:ascii="Times New Roman" w:hAnsi="Times New Roman" w:cs="Times New Roman" w:eastAsia="Times New Roman" w:hint="default"/>
                            <w:spacing w:val="-1"/>
                            <w:w w:val="101"/>
                            <w:sz w:val="18"/>
                            <w:szCs w:val="18"/>
                          </w:rPr>
                          <w:t>"</w:t>
                        </w:r>
                        <w:r>
                          <w:rPr>
                            <w:rFonts w:ascii="宋体" w:hAnsi="宋体" w:cs="宋体" w:eastAsia="宋体" w:hint="default"/>
                            <w:spacing w:val="-1"/>
                            <w:w w:val="101"/>
                            <w:sz w:val="18"/>
                            <w:szCs w:val="18"/>
                          </w:rPr>
                          <w:t>财会〔</w:t>
                        </w:r>
                        <w:r>
                          <w:rPr>
                            <w:rFonts w:ascii="Times New Roman" w:hAnsi="Times New Roman" w:cs="Times New Roman" w:eastAsia="Times New Roman" w:hint="default"/>
                            <w:spacing w:val="-1"/>
                            <w:w w:val="101"/>
                            <w:sz w:val="18"/>
                            <w:szCs w:val="18"/>
                          </w:rPr>
                          <w:t>2019</w:t>
                        </w:r>
                        <w:r>
                          <w:rPr>
                            <w:rFonts w:ascii="Times New Roman" w:hAnsi="Times New Roman" w:cs="Times New Roman" w:eastAsia="Times New Roman" w:hint="default"/>
                            <w:spacing w:val="-2"/>
                            <w:w w:val="101"/>
                            <w:sz w:val="18"/>
                            <w:szCs w:val="18"/>
                          </w:rPr>
                          <w:t> </w:t>
                        </w:r>
                        <w:r>
                          <w:rPr>
                            <w:rFonts w:ascii="宋体" w:hAnsi="宋体" w:cs="宋体" w:eastAsia="宋体" w:hint="default"/>
                            <w:spacing w:val="-15"/>
                            <w:w w:val="101"/>
                            <w:sz w:val="18"/>
                            <w:szCs w:val="18"/>
                          </w:rPr>
                          <w:t>号</w:t>
                        </w:r>
                        <w:r>
                          <w:rPr>
                            <w:rFonts w:ascii="Times New Roman" w:hAnsi="Times New Roman" w:cs="Times New Roman" w:eastAsia="Times New Roman" w:hint="default"/>
                            <w:spacing w:val="-15"/>
                            <w:w w:val="101"/>
                            <w:sz w:val="18"/>
                            <w:szCs w:val="18"/>
                          </w:rPr>
                          <w:t>"</w:t>
                        </w:r>
                        <w:r>
                          <w:rPr>
                            <w:rFonts w:ascii="宋体" w:hAnsi="宋体" w:cs="宋体" w:eastAsia="宋体" w:hint="default"/>
                            <w:spacing w:val="-15"/>
                            <w:w w:val="101"/>
                            <w:sz w:val="18"/>
                            <w:szCs w:val="18"/>
                          </w:rPr>
                          <w:t>），公司于</w:t>
                        </w:r>
                        <w:r>
                          <w:rPr>
                            <w:rFonts w:ascii="宋体" w:hAnsi="宋体" w:cs="宋体" w:eastAsia="宋体" w:hint="default"/>
                            <w:spacing w:val="-47"/>
                            <w:w w:val="101"/>
                            <w:sz w:val="18"/>
                            <w:szCs w:val="18"/>
                          </w:rPr>
                          <w:t> </w:t>
                        </w:r>
                        <w:r>
                          <w:rPr>
                            <w:rFonts w:ascii="Times New Roman" w:hAnsi="Times New Roman" w:cs="Times New Roman" w:eastAsia="Times New Roman" w:hint="default"/>
                            <w:spacing w:val="-2"/>
                            <w:w w:val="101"/>
                            <w:sz w:val="18"/>
                            <w:szCs w:val="18"/>
                          </w:rPr>
                          <w:t>2019 </w:t>
                        </w:r>
                        <w:r>
                          <w:rPr>
                            <w:rFonts w:ascii="宋体" w:hAnsi="宋体" w:cs="宋体" w:eastAsia="宋体" w:hint="default"/>
                            <w:w w:val="101"/>
                            <w:sz w:val="18"/>
                            <w:szCs w:val="18"/>
                          </w:rPr>
                          <w:t>年</w:t>
                        </w:r>
                        <w:r>
                          <w:rPr>
                            <w:rFonts w:ascii="宋体" w:hAnsi="宋体" w:cs="宋体" w:eastAsia="宋体" w:hint="default"/>
                            <w:spacing w:val="-47"/>
                            <w:w w:val="101"/>
                            <w:sz w:val="18"/>
                            <w:szCs w:val="18"/>
                          </w:rPr>
                          <w:t> </w:t>
                        </w:r>
                        <w:r>
                          <w:rPr>
                            <w:rFonts w:ascii="Times New Roman" w:hAnsi="Times New Roman" w:cs="Times New Roman" w:eastAsia="Times New Roman" w:hint="default"/>
                            <w:w w:val="101"/>
                            <w:sz w:val="18"/>
                            <w:szCs w:val="18"/>
                          </w:rPr>
                          <w:t>1</w:t>
                        </w:r>
                        <w:r>
                          <w:rPr>
                            <w:rFonts w:ascii="Times New Roman" w:hAnsi="Times New Roman" w:cs="Times New Roman" w:eastAsia="Times New Roman" w:hint="default"/>
                            <w:spacing w:val="-2"/>
                            <w:w w:val="101"/>
                            <w:sz w:val="18"/>
                            <w:szCs w:val="18"/>
                          </w:rPr>
                          <w:t> </w:t>
                        </w:r>
                        <w:r>
                          <w:rPr>
                            <w:rFonts w:ascii="宋体" w:hAnsi="宋体" w:cs="宋体" w:eastAsia="宋体" w:hint="default"/>
                            <w:w w:val="101"/>
                            <w:sz w:val="18"/>
                            <w:szCs w:val="18"/>
                          </w:rPr>
                          <w:t>月</w:t>
                        </w:r>
                        <w:r>
                          <w:rPr>
                            <w:rFonts w:ascii="宋体" w:hAnsi="宋体" w:cs="宋体" w:eastAsia="宋体" w:hint="default"/>
                            <w:spacing w:val="-47"/>
                            <w:w w:val="101"/>
                            <w:sz w:val="18"/>
                            <w:szCs w:val="18"/>
                          </w:rPr>
                          <w:t> </w:t>
                        </w:r>
                        <w:r>
                          <w:rPr>
                            <w:rFonts w:ascii="Times New Roman" w:hAnsi="Times New Roman" w:cs="Times New Roman" w:eastAsia="Times New Roman" w:hint="default"/>
                            <w:w w:val="101"/>
                            <w:sz w:val="18"/>
                            <w:szCs w:val="18"/>
                          </w:rPr>
                          <w:t>1</w:t>
                        </w:r>
                        <w:r>
                          <w:rPr>
                            <w:rFonts w:ascii="Times New Roman" w:hAnsi="Times New Roman" w:cs="Times New Roman" w:eastAsia="Times New Roman" w:hint="default"/>
                            <w:spacing w:val="-2"/>
                            <w:w w:val="101"/>
                            <w:sz w:val="18"/>
                            <w:szCs w:val="18"/>
                          </w:rPr>
                          <w:t> </w:t>
                        </w:r>
                        <w:r>
                          <w:rPr>
                            <w:rFonts w:ascii="宋体" w:hAnsi="宋体" w:cs="宋体" w:eastAsia="宋体" w:hint="default"/>
                            <w:spacing w:val="-3"/>
                            <w:w w:val="101"/>
                            <w:sz w:val="18"/>
                            <w:szCs w:val="18"/>
                          </w:rPr>
                          <w:t>日执行新准则。</w:t>
                        </w:r>
                        <w:r>
                          <w:rPr>
                            <w:rFonts w:ascii="宋体" w:hAnsi="宋体" w:cs="宋体" w:eastAsia="宋体" w:hint="default"/>
                            <w:spacing w:val="-3"/>
                            <w:sz w:val="18"/>
                            <w:szCs w:val="18"/>
                          </w:rPr>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 w:right="80"/>
                          <w:jc w:val="left"/>
                          <w:rPr>
                            <w:rFonts w:ascii="宋体" w:hAnsi="宋体" w:cs="宋体" w:eastAsia="宋体" w:hint="default"/>
                            <w:sz w:val="18"/>
                            <w:szCs w:val="18"/>
                          </w:rPr>
                        </w:pPr>
                        <w:r>
                          <w:rPr>
                            <w:rFonts w:ascii="宋体" w:hAnsi="宋体" w:cs="宋体" w:eastAsia="宋体" w:hint="default"/>
                            <w:spacing w:val="-2"/>
                            <w:sz w:val="18"/>
                            <w:szCs w:val="18"/>
                          </w:rPr>
                          <w:t>第七届董事会第二</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十九次会议</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1022" w:hRule="exact"/>
                    </w:trPr>
                    <w:tc>
                      <w:tcPr>
                        <w:tcW w:w="4821"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3"/>
                          <w:ind w:left="24" w:right="17"/>
                          <w:jc w:val="both"/>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2"/>
                            <w:sz w:val="18"/>
                            <w:szCs w:val="18"/>
                          </w:rPr>
                          <w:t> </w:t>
                        </w:r>
                        <w:r>
                          <w:rPr>
                            <w:rFonts w:ascii="宋体" w:hAnsi="宋体" w:cs="宋体" w:eastAsia="宋体" w:hint="default"/>
                            <w:spacing w:val="-6"/>
                            <w:sz w:val="18"/>
                            <w:szCs w:val="18"/>
                          </w:rPr>
                          <w:t>日，财政部发布了《关于修订印发合并财务报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w w:val="101"/>
                            <w:sz w:val="18"/>
                            <w:szCs w:val="18"/>
                          </w:rPr>
                          <w:t>表格式（</w:t>
                        </w:r>
                        <w:r>
                          <w:rPr>
                            <w:rFonts w:ascii="Times New Roman" w:hAnsi="Times New Roman" w:cs="Times New Roman" w:eastAsia="Times New Roman" w:hint="default"/>
                            <w:spacing w:val="-2"/>
                            <w:w w:val="101"/>
                            <w:sz w:val="18"/>
                            <w:szCs w:val="18"/>
                          </w:rPr>
                          <w:t>2019</w:t>
                        </w:r>
                        <w:r>
                          <w:rPr>
                            <w:rFonts w:ascii="Times New Roman" w:hAnsi="Times New Roman" w:cs="Times New Roman" w:eastAsia="Times New Roman" w:hint="default"/>
                            <w:w w:val="101"/>
                            <w:sz w:val="18"/>
                            <w:szCs w:val="18"/>
                          </w:rPr>
                          <w:t> </w:t>
                        </w:r>
                        <w:r>
                          <w:rPr>
                            <w:rFonts w:ascii="宋体" w:hAnsi="宋体" w:cs="宋体" w:eastAsia="宋体" w:hint="default"/>
                            <w:spacing w:val="-8"/>
                            <w:w w:val="101"/>
                            <w:sz w:val="18"/>
                            <w:szCs w:val="18"/>
                          </w:rPr>
                          <w:t>版）的通知》（财会〔</w:t>
                        </w:r>
                        <w:r>
                          <w:rPr>
                            <w:rFonts w:ascii="Times New Roman" w:hAnsi="Times New Roman" w:cs="Times New Roman" w:eastAsia="Times New Roman" w:hint="default"/>
                            <w:spacing w:val="-8"/>
                            <w:w w:val="101"/>
                            <w:sz w:val="18"/>
                            <w:szCs w:val="18"/>
                          </w:rPr>
                          <w:t>2019</w:t>
                        </w:r>
                        <w:r>
                          <w:rPr>
                            <w:rFonts w:ascii="宋体" w:hAnsi="宋体" w:cs="宋体" w:eastAsia="宋体" w:hint="default"/>
                            <w:spacing w:val="-8"/>
                            <w:w w:val="101"/>
                            <w:sz w:val="18"/>
                            <w:szCs w:val="18"/>
                          </w:rPr>
                          <w:t>〕</w:t>
                        </w:r>
                        <w:r>
                          <w:rPr>
                            <w:rFonts w:ascii="Times New Roman" w:hAnsi="Times New Roman" w:cs="Times New Roman" w:eastAsia="Times New Roman" w:hint="default"/>
                            <w:spacing w:val="-8"/>
                            <w:w w:val="101"/>
                            <w:sz w:val="18"/>
                            <w:szCs w:val="18"/>
                          </w:rPr>
                          <w:t>16</w:t>
                        </w:r>
                        <w:r>
                          <w:rPr>
                            <w:rFonts w:ascii="Times New Roman" w:hAnsi="Times New Roman" w:cs="Times New Roman" w:eastAsia="Times New Roman" w:hint="default"/>
                            <w:w w:val="101"/>
                            <w:sz w:val="18"/>
                            <w:szCs w:val="18"/>
                          </w:rPr>
                          <w:t> </w:t>
                        </w:r>
                        <w:r>
                          <w:rPr>
                            <w:rFonts w:ascii="宋体" w:hAnsi="宋体" w:cs="宋体" w:eastAsia="宋体" w:hint="default"/>
                            <w:spacing w:val="-15"/>
                            <w:w w:val="101"/>
                            <w:sz w:val="18"/>
                            <w:szCs w:val="18"/>
                          </w:rPr>
                          <w:t>号）（以下简称</w:t>
                        </w:r>
                        <w:r>
                          <w:rPr>
                            <w:rFonts w:ascii="宋体" w:hAnsi="宋体" w:cs="宋体" w:eastAsia="宋体" w:hint="default"/>
                            <w:spacing w:val="-87"/>
                            <w:w w:val="101"/>
                            <w:sz w:val="18"/>
                            <w:szCs w:val="18"/>
                          </w:rPr>
                          <w:t> </w:t>
                        </w:r>
                        <w:r>
                          <w:rPr>
                            <w:rFonts w:ascii="宋体" w:hAnsi="宋体" w:cs="宋体" w:eastAsia="宋体" w:hint="default"/>
                            <w:spacing w:val="-87"/>
                            <w:w w:val="101"/>
                            <w:sz w:val="18"/>
                            <w:szCs w:val="18"/>
                          </w:rPr>
                        </w:r>
                        <w:r>
                          <w:rPr>
                            <w:rFonts w:ascii="Times New Roman" w:hAnsi="Times New Roman" w:cs="Times New Roman" w:eastAsia="Times New Roman" w:hint="default"/>
                            <w:spacing w:val="-2"/>
                            <w:w w:val="101"/>
                            <w:sz w:val="18"/>
                            <w:szCs w:val="18"/>
                          </w:rPr>
                          <w:t>"</w:t>
                        </w:r>
                        <w:r>
                          <w:rPr>
                            <w:rFonts w:ascii="宋体" w:hAnsi="宋体" w:cs="宋体" w:eastAsia="宋体" w:hint="default"/>
                            <w:spacing w:val="-2"/>
                            <w:w w:val="101"/>
                            <w:sz w:val="18"/>
                            <w:szCs w:val="18"/>
                          </w:rPr>
                          <w:t>财会〔</w:t>
                        </w:r>
                        <w:r>
                          <w:rPr>
                            <w:rFonts w:ascii="Times New Roman" w:hAnsi="Times New Roman" w:cs="Times New Roman" w:eastAsia="Times New Roman" w:hint="default"/>
                            <w:spacing w:val="-2"/>
                            <w:w w:val="101"/>
                            <w:sz w:val="18"/>
                            <w:szCs w:val="18"/>
                          </w:rPr>
                          <w:t>2019</w:t>
                        </w:r>
                        <w:r>
                          <w:rPr>
                            <w:rFonts w:ascii="宋体" w:hAnsi="宋体" w:cs="宋体" w:eastAsia="宋体" w:hint="default"/>
                            <w:spacing w:val="-2"/>
                            <w:w w:val="101"/>
                            <w:sz w:val="18"/>
                            <w:szCs w:val="18"/>
                          </w:rPr>
                          <w:t>〕</w:t>
                        </w:r>
                        <w:r>
                          <w:rPr>
                            <w:rFonts w:ascii="Times New Roman" w:hAnsi="Times New Roman" w:cs="Times New Roman" w:eastAsia="Times New Roman" w:hint="default"/>
                            <w:spacing w:val="-2"/>
                            <w:w w:val="101"/>
                            <w:sz w:val="18"/>
                            <w:szCs w:val="18"/>
                          </w:rPr>
                          <w:t>16</w:t>
                        </w:r>
                        <w:r>
                          <w:rPr>
                            <w:rFonts w:ascii="Times New Roman" w:hAnsi="Times New Roman" w:cs="Times New Roman" w:eastAsia="Times New Roman" w:hint="default"/>
                            <w:spacing w:val="5"/>
                            <w:w w:val="101"/>
                            <w:sz w:val="18"/>
                            <w:szCs w:val="18"/>
                          </w:rPr>
                          <w:t> </w:t>
                        </w:r>
                        <w:r>
                          <w:rPr>
                            <w:rFonts w:ascii="宋体" w:hAnsi="宋体" w:cs="宋体" w:eastAsia="宋体" w:hint="default"/>
                            <w:spacing w:val="-8"/>
                            <w:w w:val="101"/>
                            <w:sz w:val="18"/>
                            <w:szCs w:val="18"/>
                          </w:rPr>
                          <w:t>号</w:t>
                        </w:r>
                        <w:r>
                          <w:rPr>
                            <w:rFonts w:ascii="Times New Roman" w:hAnsi="Times New Roman" w:cs="Times New Roman" w:eastAsia="Times New Roman" w:hint="default"/>
                            <w:spacing w:val="-8"/>
                            <w:w w:val="101"/>
                            <w:sz w:val="18"/>
                            <w:szCs w:val="18"/>
                          </w:rPr>
                          <w:t>"</w:t>
                        </w:r>
                        <w:r>
                          <w:rPr>
                            <w:rFonts w:ascii="宋体" w:hAnsi="宋体" w:cs="宋体" w:eastAsia="宋体" w:hint="default"/>
                            <w:spacing w:val="-8"/>
                            <w:w w:val="101"/>
                            <w:sz w:val="18"/>
                            <w:szCs w:val="18"/>
                          </w:rPr>
                          <w:t>），修订了合并财务报表格式。</w:t>
                        </w:r>
                        <w:r>
                          <w:rPr>
                            <w:rFonts w:ascii="宋体" w:hAnsi="宋体" w:cs="宋体" w:eastAsia="宋体" w:hint="default"/>
                            <w:spacing w:val="-8"/>
                            <w:sz w:val="18"/>
                            <w:szCs w:val="18"/>
                          </w:rPr>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 w:right="80"/>
                          <w:jc w:val="left"/>
                          <w:rPr>
                            <w:rFonts w:ascii="宋体" w:hAnsi="宋体" w:cs="宋体" w:eastAsia="宋体" w:hint="default"/>
                            <w:sz w:val="18"/>
                            <w:szCs w:val="18"/>
                          </w:rPr>
                        </w:pPr>
                        <w:r>
                          <w:rPr>
                            <w:rFonts w:ascii="宋体" w:hAnsi="宋体" w:cs="宋体" w:eastAsia="宋体" w:hint="default"/>
                            <w:spacing w:val="-2"/>
                            <w:sz w:val="18"/>
                            <w:szCs w:val="18"/>
                          </w:rPr>
                          <w:t>第七届董事会第二</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十四次会议</w:t>
                        </w:r>
                      </w:p>
                    </w:tc>
                    <w:tc>
                      <w:tcPr>
                        <w:tcW w:w="3193" w:type="dxa"/>
                        <w:tcBorders>
                          <w:top w:val="single" w:sz="4" w:space="0" w:color="000000"/>
                          <w:left w:val="single" w:sz="4" w:space="0" w:color="000000"/>
                          <w:bottom w:val="single" w:sz="4" w:space="0" w:color="000000"/>
                          <w:right w:val="single" w:sz="4" w:space="0" w:color="000000"/>
                        </w:tcBorders>
                      </w:tcPr>
                      <w:p>
                        <w:pPr/>
                      </w:p>
                    </w:tc>
                  </w:tr>
                </w:tbl>
                <w:p>
                  <w:pPr/>
                </w:p>
              </w:txbxContent>
            </v:textbox>
            <w10:wrap type="none"/>
          </v:shape>
        </w:pict>
      </w:r>
      <w:r>
        <w:rPr>
          <w:w w:val="101"/>
        </w:rPr>
        <w:t>。</w:t>
      </w:r>
      <w:r>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4"/>
          <w:szCs w:val="24"/>
        </w:rPr>
      </w:pPr>
    </w:p>
    <w:p>
      <w:pPr>
        <w:pStyle w:val="BodyText"/>
        <w:spacing w:line="300" w:lineRule="auto" w:before="46"/>
        <w:ind w:right="1137" w:firstLine="369"/>
        <w:jc w:val="both"/>
      </w:pPr>
      <w:r>
        <w:rPr>
          <w:spacing w:val="-3"/>
        </w:rPr>
        <w:t>依照《关于修订印发合并财务报表格式（</w:t>
      </w:r>
      <w:r>
        <w:rPr>
          <w:rFonts w:ascii="Times New Roman" w:hAnsi="Times New Roman" w:cs="Times New Roman" w:eastAsia="Times New Roman" w:hint="default"/>
          <w:spacing w:val="-3"/>
        </w:rPr>
        <w:t>2019</w:t>
      </w:r>
      <w:r>
        <w:rPr>
          <w:spacing w:val="-3"/>
        </w:rPr>
        <w:t>版）的通知》</w:t>
      </w:r>
      <w:r>
        <w:rPr>
          <w:rFonts w:ascii="Times New Roman" w:hAnsi="Times New Roman" w:cs="Times New Roman" w:eastAsia="Times New Roman" w:hint="default"/>
          <w:spacing w:val="-3"/>
        </w:rPr>
        <w:t>(</w:t>
      </w:r>
      <w:r>
        <w:rPr>
          <w:spacing w:val="-3"/>
        </w:rPr>
        <w:t>财会【</w:t>
      </w:r>
      <w:r>
        <w:rPr>
          <w:rFonts w:ascii="Times New Roman" w:hAnsi="Times New Roman" w:cs="Times New Roman" w:eastAsia="Times New Roman" w:hint="default"/>
          <w:spacing w:val="-3"/>
        </w:rPr>
        <w:t>2019</w:t>
      </w:r>
      <w:r>
        <w:rPr>
          <w:spacing w:val="-3"/>
        </w:rPr>
        <w:t>】</w:t>
      </w:r>
      <w:r>
        <w:rPr>
          <w:rFonts w:ascii="Times New Roman" w:hAnsi="Times New Roman" w:cs="Times New Roman" w:eastAsia="Times New Roman" w:hint="default"/>
          <w:spacing w:val="-3"/>
        </w:rPr>
        <w:t>6</w:t>
      </w:r>
      <w:r>
        <w:rPr>
          <w:spacing w:val="-3"/>
        </w:rPr>
        <w:t>号</w:t>
      </w:r>
      <w:r>
        <w:rPr>
          <w:rFonts w:ascii="Times New Roman" w:hAnsi="Times New Roman" w:cs="Times New Roman" w:eastAsia="Times New Roman" w:hint="default"/>
          <w:spacing w:val="-3"/>
        </w:rPr>
        <w:t>)</w:t>
      </w:r>
      <w:r>
        <w:rPr>
          <w:spacing w:val="-3"/>
        </w:rPr>
        <w:t>、《关于修订印发</w:t>
      </w:r>
      <w:r>
        <w:rPr>
          <w:rFonts w:ascii="Times New Roman" w:hAnsi="Times New Roman" w:cs="Times New Roman" w:eastAsia="Times New Roman" w:hint="default"/>
          <w:spacing w:val="-3"/>
        </w:rPr>
        <w:t>2019</w:t>
      </w:r>
      <w:r>
        <w:rPr>
          <w:spacing w:val="-3"/>
        </w:rPr>
        <w:t>年度一般企业财</w:t>
      </w:r>
      <w:r>
        <w:rPr>
          <w:w w:val="101"/>
        </w:rPr>
        <w:t> </w:t>
      </w:r>
      <w:r>
        <w:rPr>
          <w:spacing w:val="-3"/>
        </w:rPr>
        <w:t>务报表格式的通知》</w:t>
      </w:r>
      <w:r>
        <w:rPr>
          <w:rFonts w:ascii="Times New Roman" w:hAnsi="Times New Roman" w:cs="Times New Roman" w:eastAsia="Times New Roman" w:hint="default"/>
          <w:spacing w:val="-3"/>
        </w:rPr>
        <w:t>(</w:t>
      </w:r>
      <w:r>
        <w:rPr>
          <w:spacing w:val="-3"/>
        </w:rPr>
        <w:t>财会【</w:t>
      </w:r>
      <w:r>
        <w:rPr>
          <w:rFonts w:ascii="Times New Roman" w:hAnsi="Times New Roman" w:cs="Times New Roman" w:eastAsia="Times New Roman" w:hint="default"/>
          <w:spacing w:val="-3"/>
        </w:rPr>
        <w:t>2019</w:t>
      </w:r>
      <w:r>
        <w:rPr>
          <w:spacing w:val="-3"/>
        </w:rPr>
        <w:t>】</w:t>
      </w:r>
      <w:r>
        <w:rPr>
          <w:rFonts w:ascii="Times New Roman" w:hAnsi="Times New Roman" w:cs="Times New Roman" w:eastAsia="Times New Roman" w:hint="default"/>
          <w:spacing w:val="-3"/>
        </w:rPr>
        <w:t>16</w:t>
      </w:r>
      <w:r>
        <w:rPr>
          <w:spacing w:val="-3"/>
        </w:rPr>
        <w:t>号</w:t>
      </w:r>
      <w:r>
        <w:rPr>
          <w:rFonts w:ascii="Times New Roman" w:hAnsi="Times New Roman" w:cs="Times New Roman" w:eastAsia="Times New Roman" w:hint="default"/>
          <w:spacing w:val="-3"/>
        </w:rPr>
        <w:t>)</w:t>
      </w:r>
      <w:r>
        <w:rPr>
          <w:spacing w:val="-3"/>
        </w:rPr>
        <w:t>，本集团按照上述通知编制</w:t>
      </w:r>
      <w:r>
        <w:rPr>
          <w:spacing w:val="58"/>
        </w:rPr>
        <w:t> </w:t>
      </w: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spacing w:val="-3"/>
        </w:rPr>
        <w:t>年年度财务报表，并对对资产负债表的年初数进</w:t>
      </w:r>
      <w:r>
        <w:rPr>
          <w:spacing w:val="-71"/>
        </w:rPr>
        <w:t> </w:t>
      </w:r>
      <w:r>
        <w:rPr>
          <w:spacing w:val="-71"/>
        </w:rPr>
      </w:r>
      <w:r>
        <w:rPr/>
        <w:t>行调整如下：</w:t>
      </w:r>
    </w:p>
    <w:p>
      <w:pPr>
        <w:pStyle w:val="BodyText"/>
        <w:spacing w:line="240" w:lineRule="auto" w:before="70"/>
        <w:ind w:left="0" w:right="1121"/>
        <w:jc w:val="right"/>
      </w:pPr>
      <w:r>
        <w:rPr>
          <w:spacing w:val="-2"/>
        </w:rPr>
        <w:t>单位：元</w:t>
      </w:r>
    </w:p>
    <w:p>
      <w:pPr>
        <w:spacing w:line="240" w:lineRule="auto" w:before="13"/>
        <w:rPr>
          <w:rFonts w:ascii="宋体" w:hAnsi="宋体" w:cs="宋体" w:eastAsia="宋体" w:hint="default"/>
          <w:sz w:val="7"/>
          <w:szCs w:val="7"/>
        </w:rPr>
      </w:pPr>
    </w:p>
    <w:tbl>
      <w:tblPr>
        <w:tblW w:w="0" w:type="auto"/>
        <w:jc w:val="left"/>
        <w:tblInd w:w="143" w:type="dxa"/>
        <w:tblLayout w:type="fixed"/>
        <w:tblCellMar>
          <w:top w:w="0" w:type="dxa"/>
          <w:left w:w="0" w:type="dxa"/>
          <w:bottom w:w="0" w:type="dxa"/>
          <w:right w:w="0" w:type="dxa"/>
        </w:tblCellMar>
        <w:tblLook w:val="01E0"/>
      </w:tblPr>
      <w:tblGrid>
        <w:gridCol w:w="2665"/>
        <w:gridCol w:w="2195"/>
        <w:gridCol w:w="2339"/>
        <w:gridCol w:w="2430"/>
      </w:tblGrid>
      <w:tr>
        <w:trPr>
          <w:trHeight w:val="605" w:hRule="exact"/>
        </w:trPr>
        <w:tc>
          <w:tcPr>
            <w:tcW w:w="2665" w:type="dxa"/>
            <w:vMerge w:val="restart"/>
            <w:tcBorders>
              <w:top w:val="single" w:sz="6" w:space="0" w:color="000000"/>
              <w:left w:val="single" w:sz="6" w:space="0" w:color="000000"/>
              <w:right w:val="single" w:sz="6" w:space="0" w:color="000000"/>
            </w:tcBorders>
          </w:tcPr>
          <w:p>
            <w:pPr>
              <w:pStyle w:val="TableParagraph"/>
              <w:spacing w:line="240" w:lineRule="auto" w:before="25"/>
              <w:ind w:left="9" w:right="0"/>
              <w:jc w:val="center"/>
              <w:rPr>
                <w:rFonts w:ascii="宋体" w:hAnsi="宋体" w:cs="宋体" w:eastAsia="宋体" w:hint="default"/>
                <w:sz w:val="18"/>
                <w:szCs w:val="18"/>
              </w:rPr>
            </w:pPr>
            <w:r>
              <w:rPr>
                <w:rFonts w:ascii="宋体" w:hAnsi="宋体" w:cs="宋体" w:eastAsia="宋体" w:hint="default"/>
                <w:b/>
                <w:bCs/>
                <w:sz w:val="18"/>
                <w:szCs w:val="18"/>
              </w:rPr>
              <w:t>影响项目</w:t>
            </w:r>
            <w:r>
              <w:rPr>
                <w:rFonts w:ascii="宋体" w:hAnsi="宋体" w:cs="宋体" w:eastAsia="宋体" w:hint="default"/>
                <w:sz w:val="18"/>
                <w:szCs w:val="18"/>
              </w:rPr>
            </w:r>
          </w:p>
        </w:tc>
        <w:tc>
          <w:tcPr>
            <w:tcW w:w="6963"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2018</w:t>
            </w:r>
            <w:r>
              <w:rPr>
                <w:rFonts w:ascii="宋体" w:hAnsi="宋体" w:cs="宋体" w:eastAsia="宋体" w:hint="default"/>
                <w:b/>
                <w:bCs/>
                <w:sz w:val="18"/>
                <w:szCs w:val="18"/>
              </w:rPr>
              <w:t>年</w:t>
            </w:r>
            <w:r>
              <w:rPr>
                <w:rFonts w:ascii="Times New Roman" w:hAnsi="Times New Roman" w:cs="Times New Roman" w:eastAsia="Times New Roman" w:hint="default"/>
                <w:b/>
                <w:bCs/>
                <w:sz w:val="18"/>
                <w:szCs w:val="18"/>
              </w:rPr>
              <w:t>12</w:t>
            </w:r>
            <w:r>
              <w:rPr>
                <w:rFonts w:ascii="宋体" w:hAnsi="宋体" w:cs="宋体" w:eastAsia="宋体" w:hint="default"/>
                <w:b/>
                <w:bCs/>
                <w:sz w:val="18"/>
                <w:szCs w:val="18"/>
              </w:rPr>
              <w:t>月</w:t>
            </w:r>
            <w:r>
              <w:rPr>
                <w:rFonts w:ascii="Times New Roman" w:hAnsi="Times New Roman" w:cs="Times New Roman" w:eastAsia="Times New Roman" w:hint="default"/>
                <w:b/>
                <w:bCs/>
                <w:sz w:val="18"/>
                <w:szCs w:val="18"/>
              </w:rPr>
              <w:t>31</w:t>
            </w:r>
            <w:r>
              <w:rPr>
                <w:rFonts w:ascii="宋体" w:hAnsi="宋体" w:cs="宋体" w:eastAsia="宋体" w:hint="default"/>
                <w:b/>
                <w:bCs/>
                <w:sz w:val="18"/>
                <w:szCs w:val="18"/>
              </w:rPr>
              <w:t>日</w:t>
            </w:r>
            <w:r>
              <w:rPr>
                <w:rFonts w:ascii="宋体" w:hAnsi="宋体" w:cs="宋体" w:eastAsia="宋体" w:hint="default"/>
                <w:sz w:val="18"/>
                <w:szCs w:val="18"/>
              </w:rPr>
            </w:r>
          </w:p>
        </w:tc>
      </w:tr>
      <w:tr>
        <w:trPr>
          <w:trHeight w:val="356" w:hRule="exact"/>
        </w:trPr>
        <w:tc>
          <w:tcPr>
            <w:tcW w:w="2665" w:type="dxa"/>
            <w:vMerge/>
            <w:tcBorders>
              <w:left w:val="single" w:sz="6" w:space="0" w:color="000000"/>
              <w:bottom w:val="single" w:sz="6" w:space="0" w:color="000000"/>
              <w:right w:val="single" w:sz="6" w:space="0" w:color="000000"/>
            </w:tcBorders>
          </w:tcPr>
          <w:p>
            <w:pP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9" w:right="0"/>
              <w:jc w:val="center"/>
              <w:rPr>
                <w:rFonts w:ascii="宋体" w:hAnsi="宋体" w:cs="宋体" w:eastAsia="宋体" w:hint="default"/>
                <w:sz w:val="18"/>
                <w:szCs w:val="18"/>
              </w:rPr>
            </w:pPr>
            <w:r>
              <w:rPr>
                <w:rFonts w:ascii="宋体" w:hAnsi="宋体" w:cs="宋体" w:eastAsia="宋体" w:hint="default"/>
                <w:b/>
                <w:bCs/>
                <w:sz w:val="18"/>
                <w:szCs w:val="18"/>
              </w:rPr>
              <w:t>调整前</w:t>
            </w:r>
            <w:r>
              <w:rPr>
                <w:rFonts w:ascii="宋体" w:hAnsi="宋体" w:cs="宋体" w:eastAsia="宋体" w:hint="default"/>
                <w:sz w:val="18"/>
                <w:szCs w:val="18"/>
              </w:rPr>
            </w:r>
          </w:p>
        </w:tc>
        <w:tc>
          <w:tcPr>
            <w:tcW w:w="23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9" w:right="0"/>
              <w:jc w:val="center"/>
              <w:rPr>
                <w:rFonts w:ascii="宋体" w:hAnsi="宋体" w:cs="宋体" w:eastAsia="宋体" w:hint="default"/>
                <w:sz w:val="18"/>
                <w:szCs w:val="18"/>
              </w:rPr>
            </w:pPr>
            <w:r>
              <w:rPr>
                <w:rFonts w:ascii="宋体" w:hAnsi="宋体" w:cs="宋体" w:eastAsia="宋体" w:hint="default"/>
                <w:b/>
                <w:bCs/>
                <w:sz w:val="18"/>
                <w:szCs w:val="18"/>
              </w:rPr>
              <w:t>调整金额</w:t>
            </w:r>
            <w:r>
              <w:rPr>
                <w:rFonts w:ascii="宋体" w:hAnsi="宋体" w:cs="宋体" w:eastAsia="宋体" w:hint="default"/>
                <w:sz w:val="18"/>
                <w:szCs w:val="18"/>
              </w:rPr>
            </w:r>
          </w:p>
        </w:tc>
        <w:tc>
          <w:tcPr>
            <w:tcW w:w="24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4" w:right="0"/>
              <w:jc w:val="center"/>
              <w:rPr>
                <w:rFonts w:ascii="宋体" w:hAnsi="宋体" w:cs="宋体" w:eastAsia="宋体" w:hint="default"/>
                <w:sz w:val="18"/>
                <w:szCs w:val="18"/>
              </w:rPr>
            </w:pPr>
            <w:r>
              <w:rPr>
                <w:rFonts w:ascii="宋体" w:hAnsi="宋体" w:cs="宋体" w:eastAsia="宋体" w:hint="default"/>
                <w:b/>
                <w:bCs/>
                <w:sz w:val="18"/>
                <w:szCs w:val="18"/>
              </w:rPr>
              <w:t>调整后</w:t>
            </w:r>
            <w:r>
              <w:rPr>
                <w:rFonts w:ascii="宋体" w:hAnsi="宋体" w:cs="宋体" w:eastAsia="宋体" w:hint="default"/>
                <w:sz w:val="18"/>
                <w:szCs w:val="18"/>
              </w:rPr>
            </w:r>
          </w:p>
        </w:tc>
      </w:tr>
      <w:tr>
        <w:trPr>
          <w:trHeight w:val="355" w:hRule="exact"/>
        </w:trPr>
        <w:tc>
          <w:tcPr>
            <w:tcW w:w="2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195" w:type="dxa"/>
            <w:tcBorders>
              <w:top w:val="single" w:sz="6" w:space="0" w:color="000000"/>
              <w:left w:val="single" w:sz="6" w:space="0" w:color="000000"/>
              <w:bottom w:val="single" w:sz="6" w:space="0" w:color="000000"/>
              <w:right w:val="single" w:sz="6" w:space="0" w:color="000000"/>
            </w:tcBorders>
          </w:tcPr>
          <w:p>
            <w:pPr/>
          </w:p>
        </w:tc>
        <w:tc>
          <w:tcPr>
            <w:tcW w:w="23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1"/>
                <w:sz w:val="18"/>
              </w:rPr>
              <w:t>27,583,989.36</w:t>
            </w:r>
          </w:p>
        </w:tc>
        <w:tc>
          <w:tcPr>
            <w:tcW w:w="24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0"/>
              <w:jc w:val="right"/>
              <w:rPr>
                <w:rFonts w:ascii="Times New Roman" w:hAnsi="Times New Roman" w:cs="Times New Roman" w:eastAsia="Times New Roman" w:hint="default"/>
                <w:sz w:val="18"/>
                <w:szCs w:val="18"/>
              </w:rPr>
            </w:pPr>
            <w:r>
              <w:rPr>
                <w:rFonts w:ascii="Times New Roman"/>
                <w:spacing w:val="-1"/>
                <w:sz w:val="18"/>
              </w:rPr>
              <w:t>27,583,989.36</w:t>
            </w:r>
          </w:p>
        </w:tc>
      </w:tr>
      <w:tr>
        <w:trPr>
          <w:trHeight w:val="360" w:hRule="exact"/>
        </w:trPr>
        <w:tc>
          <w:tcPr>
            <w:tcW w:w="2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195" w:type="dxa"/>
            <w:tcBorders>
              <w:top w:val="single" w:sz="6" w:space="0" w:color="000000"/>
              <w:left w:val="single" w:sz="6" w:space="0" w:color="000000"/>
              <w:bottom w:val="single" w:sz="6" w:space="0" w:color="000000"/>
              <w:right w:val="single" w:sz="6" w:space="0" w:color="000000"/>
            </w:tcBorders>
          </w:tcPr>
          <w:p>
            <w:pPr/>
          </w:p>
        </w:tc>
        <w:tc>
          <w:tcPr>
            <w:tcW w:w="23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4"/>
              <w:jc w:val="right"/>
              <w:rPr>
                <w:rFonts w:ascii="Times New Roman" w:hAnsi="Times New Roman" w:cs="Times New Roman" w:eastAsia="Times New Roman" w:hint="default"/>
                <w:sz w:val="18"/>
                <w:szCs w:val="18"/>
              </w:rPr>
            </w:pPr>
            <w:r>
              <w:rPr>
                <w:rFonts w:ascii="Times New Roman"/>
                <w:spacing w:val="-1"/>
                <w:sz w:val="18"/>
              </w:rPr>
              <w:t>487,364,109.98</w:t>
            </w:r>
          </w:p>
        </w:tc>
        <w:tc>
          <w:tcPr>
            <w:tcW w:w="24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9"/>
              <w:jc w:val="right"/>
              <w:rPr>
                <w:rFonts w:ascii="Times New Roman" w:hAnsi="Times New Roman" w:cs="Times New Roman" w:eastAsia="Times New Roman" w:hint="default"/>
                <w:sz w:val="18"/>
                <w:szCs w:val="18"/>
              </w:rPr>
            </w:pPr>
            <w:r>
              <w:rPr>
                <w:rFonts w:ascii="Times New Roman"/>
                <w:spacing w:val="-1"/>
                <w:sz w:val="18"/>
              </w:rPr>
              <w:t>487,364,109.98</w:t>
            </w:r>
          </w:p>
        </w:tc>
      </w:tr>
      <w:tr>
        <w:trPr>
          <w:trHeight w:val="355" w:hRule="exact"/>
        </w:trPr>
        <w:tc>
          <w:tcPr>
            <w:tcW w:w="2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应收票据及应收账款</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514,948,099.34</w:t>
            </w:r>
          </w:p>
        </w:tc>
        <w:tc>
          <w:tcPr>
            <w:tcW w:w="23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1"/>
                <w:sz w:val="18"/>
              </w:rPr>
              <w:t>-514,948,099.34</w:t>
            </w:r>
          </w:p>
        </w:tc>
        <w:tc>
          <w:tcPr>
            <w:tcW w:w="2430" w:type="dxa"/>
            <w:tcBorders>
              <w:top w:val="single" w:sz="6" w:space="0" w:color="000000"/>
              <w:left w:val="single" w:sz="6" w:space="0" w:color="000000"/>
              <w:bottom w:val="single" w:sz="6" w:space="0" w:color="000000"/>
              <w:right w:val="single" w:sz="6" w:space="0" w:color="000000"/>
            </w:tcBorders>
          </w:tcPr>
          <w:p>
            <w:pPr/>
          </w:p>
        </w:tc>
      </w:tr>
      <w:tr>
        <w:trPr>
          <w:trHeight w:val="355" w:hRule="exact"/>
        </w:trPr>
        <w:tc>
          <w:tcPr>
            <w:tcW w:w="2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195" w:type="dxa"/>
            <w:tcBorders>
              <w:top w:val="single" w:sz="6" w:space="0" w:color="000000"/>
              <w:left w:val="single" w:sz="6" w:space="0" w:color="000000"/>
              <w:bottom w:val="single" w:sz="6" w:space="0" w:color="000000"/>
              <w:right w:val="single" w:sz="6" w:space="0" w:color="000000"/>
            </w:tcBorders>
          </w:tcPr>
          <w:p>
            <w:pPr/>
          </w:p>
        </w:tc>
        <w:tc>
          <w:tcPr>
            <w:tcW w:w="23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1"/>
                <w:sz w:val="18"/>
              </w:rPr>
              <w:t>140,903,273.04</w:t>
            </w:r>
          </w:p>
        </w:tc>
        <w:tc>
          <w:tcPr>
            <w:tcW w:w="24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
              <w:jc w:val="right"/>
              <w:rPr>
                <w:rFonts w:ascii="Times New Roman" w:hAnsi="Times New Roman" w:cs="Times New Roman" w:eastAsia="Times New Roman" w:hint="default"/>
                <w:sz w:val="18"/>
                <w:szCs w:val="18"/>
              </w:rPr>
            </w:pPr>
            <w:r>
              <w:rPr>
                <w:rFonts w:ascii="Times New Roman"/>
                <w:spacing w:val="-1"/>
                <w:sz w:val="18"/>
              </w:rPr>
              <w:t>140,903,273.04</w:t>
            </w:r>
          </w:p>
        </w:tc>
      </w:tr>
      <w:tr>
        <w:trPr>
          <w:trHeight w:val="356" w:hRule="exact"/>
        </w:trPr>
        <w:tc>
          <w:tcPr>
            <w:tcW w:w="2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195" w:type="dxa"/>
            <w:tcBorders>
              <w:top w:val="single" w:sz="6" w:space="0" w:color="000000"/>
              <w:left w:val="single" w:sz="6" w:space="0" w:color="000000"/>
              <w:bottom w:val="single" w:sz="6" w:space="0" w:color="000000"/>
              <w:right w:val="single" w:sz="6" w:space="0" w:color="000000"/>
            </w:tcBorders>
          </w:tcPr>
          <w:p>
            <w:pPr/>
          </w:p>
        </w:tc>
        <w:tc>
          <w:tcPr>
            <w:tcW w:w="23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4"/>
              <w:jc w:val="right"/>
              <w:rPr>
                <w:rFonts w:ascii="Times New Roman" w:hAnsi="Times New Roman" w:cs="Times New Roman" w:eastAsia="Times New Roman" w:hint="default"/>
                <w:sz w:val="18"/>
                <w:szCs w:val="18"/>
              </w:rPr>
            </w:pPr>
            <w:r>
              <w:rPr>
                <w:rFonts w:ascii="Times New Roman"/>
                <w:spacing w:val="-1"/>
                <w:sz w:val="18"/>
              </w:rPr>
              <w:t>420,590,320.18</w:t>
            </w:r>
          </w:p>
        </w:tc>
        <w:tc>
          <w:tcPr>
            <w:tcW w:w="24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9"/>
              <w:jc w:val="right"/>
              <w:rPr>
                <w:rFonts w:ascii="Times New Roman" w:hAnsi="Times New Roman" w:cs="Times New Roman" w:eastAsia="Times New Roman" w:hint="default"/>
                <w:sz w:val="18"/>
                <w:szCs w:val="18"/>
              </w:rPr>
            </w:pPr>
            <w:r>
              <w:rPr>
                <w:rFonts w:ascii="Times New Roman"/>
                <w:spacing w:val="-1"/>
                <w:sz w:val="18"/>
              </w:rPr>
              <w:t>420,590,320.18</w:t>
            </w:r>
          </w:p>
        </w:tc>
      </w:tr>
      <w:tr>
        <w:trPr>
          <w:trHeight w:val="355" w:hRule="exact"/>
        </w:trPr>
        <w:tc>
          <w:tcPr>
            <w:tcW w:w="2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应付票据及应付账款</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561,493,593.22</w:t>
            </w:r>
          </w:p>
        </w:tc>
        <w:tc>
          <w:tcPr>
            <w:tcW w:w="23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1"/>
                <w:sz w:val="18"/>
              </w:rPr>
              <w:t>-561,493,593.22</w:t>
            </w:r>
          </w:p>
        </w:tc>
        <w:tc>
          <w:tcPr>
            <w:tcW w:w="2430"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40" w:lineRule="auto" w:before="53"/>
        <w:ind w:left="446" w:right="855"/>
        <w:jc w:val="left"/>
      </w:pPr>
      <w:r>
        <w:rPr>
          <w:spacing w:val="-3"/>
        </w:rPr>
        <w:t>该变更对本集团的财务状况、经营成果和现金流量无影响。</w:t>
      </w:r>
    </w:p>
    <w:p>
      <w:pPr>
        <w:spacing w:after="0" w:line="240" w:lineRule="auto"/>
        <w:jc w:val="left"/>
        <w:sectPr>
          <w:pgSz w:w="11910" w:h="16840"/>
          <w:pgMar w:header="746" w:footer="974" w:top="1060" w:bottom="1160" w:left="980" w:right="0"/>
        </w:sectPr>
      </w:pPr>
    </w:p>
    <w:p>
      <w:pPr>
        <w:spacing w:line="240" w:lineRule="auto" w:before="7"/>
        <w:rPr>
          <w:rFonts w:ascii="宋体" w:hAnsi="宋体" w:cs="宋体" w:eastAsia="宋体" w:hint="default"/>
          <w:sz w:val="24"/>
          <w:szCs w:val="24"/>
        </w:rPr>
      </w:pPr>
    </w:p>
    <w:p>
      <w:pPr>
        <w:pStyle w:val="Heading4"/>
        <w:spacing w:line="240" w:lineRule="auto" w:before="36"/>
        <w:ind w:right="855"/>
        <w:jc w:val="left"/>
        <w:rPr>
          <w:b w:val="0"/>
          <w:bCs w:val="0"/>
        </w:rPr>
      </w:pPr>
      <w:r>
        <w:rPr/>
        <w:t>（</w:t>
      </w:r>
      <w:r>
        <w:rPr>
          <w:rFonts w:ascii="Times New Roman" w:hAnsi="Times New Roman" w:cs="Times New Roman" w:eastAsia="Times New Roman" w:hint="default"/>
        </w:rPr>
        <w:t>2</w:t>
      </w:r>
      <w:r>
        <w:rPr/>
        <w:t>）重要会计估计变更</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855"/>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8"/>
        <w:rPr>
          <w:rFonts w:ascii="宋体" w:hAnsi="宋体" w:cs="宋体" w:eastAsia="宋体" w:hint="default"/>
          <w:sz w:val="25"/>
          <w:szCs w:val="25"/>
        </w:rPr>
      </w:pPr>
    </w:p>
    <w:p>
      <w:pPr>
        <w:pStyle w:val="Heading4"/>
        <w:spacing w:line="240" w:lineRule="auto"/>
        <w:ind w:right="855"/>
        <w:jc w:val="left"/>
        <w:rPr>
          <w:b w:val="0"/>
          <w:bCs w:val="0"/>
        </w:rPr>
      </w:pP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年起执行新金融工具准则、新收入准则或新租赁准则调整执行当年年初财务报表相关项目情况</w:t>
      </w:r>
      <w:r>
        <w:rPr>
          <w:b w:val="0"/>
          <w:bCs w:val="0"/>
        </w:rPr>
      </w:r>
    </w:p>
    <w:p>
      <w:pPr>
        <w:spacing w:line="240" w:lineRule="auto" w:before="2"/>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6" w:footer="974" w:top="1060" w:bottom="1160" w:left="980" w:right="0"/>
        </w:sectPr>
      </w:pPr>
    </w:p>
    <w:p>
      <w:pPr>
        <w:pStyle w:val="BodyText"/>
        <w:spacing w:line="338" w:lineRule="auto" w:before="46"/>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1"/>
        </w:rPr>
        <w:t> </w:t>
      </w:r>
      <w:r>
        <w:rPr/>
        <w:t>不适用</w:t>
      </w:r>
      <w:r>
        <w:rPr>
          <w:w w:val="101"/>
        </w:rPr>
        <w:t> </w:t>
      </w:r>
      <w:r>
        <w:rPr>
          <w:spacing w:val="-3"/>
        </w:rPr>
        <w:t>合并资产负债表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2" w:equalWidth="0">
            <w:col w:w="1537" w:space="7386"/>
            <w:col w:w="2007"/>
          </w:cols>
        </w:sectPr>
      </w:pP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209"/>
        <w:gridCol w:w="2454"/>
        <w:gridCol w:w="2454"/>
        <w:gridCol w:w="2454"/>
      </w:tblGrid>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调整数</w:t>
            </w: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98"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货币资金</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1,164,959,545.29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1,164,959,545.29</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结算备付金</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拆出资金</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交易性金融资产</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102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90"/>
              <w:jc w:val="both"/>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以公允价值计量且其</w:t>
            </w:r>
            <w:r>
              <w:rPr>
                <w:rFonts w:ascii="宋体" w:hAnsi="宋体" w:cs="宋体" w:eastAsia="宋体" w:hint="default"/>
                <w:w w:val="101"/>
                <w:sz w:val="18"/>
                <w:szCs w:val="18"/>
              </w:rPr>
              <w:t> </w:t>
            </w:r>
            <w:r>
              <w:rPr>
                <w:rFonts w:ascii="宋体" w:hAnsi="宋体" w:cs="宋体" w:eastAsia="宋体" w:hint="default"/>
                <w:spacing w:val="-3"/>
                <w:sz w:val="18"/>
                <w:szCs w:val="18"/>
              </w:rPr>
              <w:t>变动计入当期损益的金融</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资产</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衍生金融资产</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应收票据</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27,583,989.36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27,583,989.36</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应收账款</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487,364,109.98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485,708,841.17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-1,655,268.81</w:t>
            </w:r>
          </w:p>
        </w:tc>
      </w:tr>
      <w:tr>
        <w:trPr>
          <w:trHeight w:val="399"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应收款项融资</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预付款项</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69,570,218.74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69,541,463.38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-28,755.36</w:t>
            </w: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应收保费</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应收分保账款</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应收分保合同准备金</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其他应收款</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45,264,607.33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45,022,112.94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-242,494.39</w:t>
            </w: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spacing w:val="-3"/>
                <w:sz w:val="18"/>
                <w:szCs w:val="18"/>
              </w:rPr>
              <w:t>其中：应收利息</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3"/>
                <w:sz w:val="18"/>
                <w:szCs w:val="18"/>
              </w:rPr>
              <w:t> </w:t>
            </w:r>
            <w:r>
              <w:rPr>
                <w:rFonts w:ascii="宋体" w:hAnsi="宋体" w:cs="宋体" w:eastAsia="宋体" w:hint="default"/>
                <w:sz w:val="18"/>
                <w:szCs w:val="18"/>
              </w:rPr>
              <w:t>应收股利</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买入返售金融资产</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存货</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604,196,809.15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604,196,809.15</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合同资产</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持有待售资产</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4"/>
              <w:ind w:left="24" w:right="19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一年内到期的非流动</w:t>
            </w:r>
            <w:r>
              <w:rPr>
                <w:rFonts w:ascii="宋体" w:hAnsi="宋体" w:cs="宋体" w:eastAsia="宋体" w:hint="default"/>
                <w:w w:val="101"/>
                <w:sz w:val="18"/>
                <w:szCs w:val="18"/>
              </w:rPr>
              <w:t> </w:t>
            </w:r>
            <w:r>
              <w:rPr>
                <w:rFonts w:ascii="宋体" w:hAnsi="宋体" w:cs="宋体" w:eastAsia="宋体" w:hint="default"/>
                <w:sz w:val="18"/>
                <w:szCs w:val="18"/>
              </w:rPr>
              <w:t>资产</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其他流动资产</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5,193,760.45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5,193,760.45</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2,404,133,040.30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2,402,206,521.74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-1,926,518.56</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209"/>
        <w:gridCol w:w="2454"/>
        <w:gridCol w:w="2454"/>
        <w:gridCol w:w="2454"/>
      </w:tblGrid>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98"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发放贷款和垫款</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债权投资</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可供出售金融资产</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122,356,313.89</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-122,356,313.89</w:t>
            </w: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其他债权投资</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持有至到期投资</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长期应收款</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长期股权投资</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54,205,791.61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54,205,791.61</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其他权益工具投资</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552,617.17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552,617.17</w:t>
            </w:r>
          </w:p>
        </w:tc>
      </w:tr>
      <w:tr>
        <w:trPr>
          <w:trHeight w:val="398"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其他非流动金融资产</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121,803,696.72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121,803,696.72</w:t>
            </w:r>
          </w:p>
        </w:tc>
      </w:tr>
      <w:tr>
        <w:trPr>
          <w:trHeight w:val="404"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投资性房地产</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85,310,846.98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85,310,846.98</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固定资产</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227,139,168.03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227,139,168.03</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在建工程</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生产性生物资产</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油气资产</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使用权资产</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无形资产</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129,080,513.69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129,080,513.69</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开发支出</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18,011,550.64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18,011,550.64</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商誉</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26,625,069.25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26,625,069.25</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长期待摊费用</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3,304,669.81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3,304,669.81</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递延所得税资产</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26,763,884.98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26,990,756.56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226,871.58</w:t>
            </w:r>
          </w:p>
        </w:tc>
      </w:tr>
      <w:tr>
        <w:trPr>
          <w:trHeight w:val="398"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其他非流动资产</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非流动资产合计</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692,797,808.88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693,024,680.46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226,871.58</w:t>
            </w:r>
          </w:p>
        </w:tc>
      </w:tr>
      <w:tr>
        <w:trPr>
          <w:trHeight w:val="404"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3,096,930,849.18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3,095,231,202.20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-1,699,646.98</w:t>
            </w: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98"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短期借款</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405,000,000.00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405,532,249.33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532,249.33</w:t>
            </w: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向中央银行借款</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拆入资金</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交易性金融负债</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102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190"/>
              <w:jc w:val="both"/>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以公允价值计量且其</w:t>
            </w:r>
            <w:r>
              <w:rPr>
                <w:rFonts w:ascii="宋体" w:hAnsi="宋体" w:cs="宋体" w:eastAsia="宋体" w:hint="default"/>
                <w:w w:val="101"/>
                <w:sz w:val="18"/>
                <w:szCs w:val="18"/>
              </w:rPr>
              <w:t> </w:t>
            </w:r>
            <w:r>
              <w:rPr>
                <w:rFonts w:ascii="宋体" w:hAnsi="宋体" w:cs="宋体" w:eastAsia="宋体" w:hint="default"/>
                <w:spacing w:val="-3"/>
                <w:sz w:val="18"/>
                <w:szCs w:val="18"/>
              </w:rPr>
              <w:t>变动计入当期损益的金融</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负债</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衍生金融负债</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应付票据</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140,903,273.04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140,903,273.04</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应付账款</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420,590,320.18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420,590,320.18</w:t>
            </w:r>
          </w:p>
        </w:tc>
        <w:tc>
          <w:tcPr>
            <w:tcW w:w="245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6"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209"/>
        <w:gridCol w:w="2454"/>
        <w:gridCol w:w="2454"/>
        <w:gridCol w:w="2454"/>
      </w:tblGrid>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预收款项</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174,187,986.03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174,187,986.03</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合同负债</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卖出回购金融资产款</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吸收存款及同业存放</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代理买卖证券款</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代理承销证券款</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应付职工薪酬</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42,266,375.00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42,266,375.00</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应交税费</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84,423,591.23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84,423,591.23</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其他应付款</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14,883,638.65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14,350,981.22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-532,657.43</w:t>
            </w:r>
          </w:p>
        </w:tc>
      </w:tr>
      <w:tr>
        <w:trPr>
          <w:trHeight w:val="398"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spacing w:val="-3"/>
                <w:sz w:val="18"/>
                <w:szCs w:val="18"/>
              </w:rPr>
              <w:t>其中：应付利息</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532,657.43</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-532,657.43</w:t>
            </w:r>
          </w:p>
        </w:tc>
      </w:tr>
      <w:tr>
        <w:trPr>
          <w:trHeight w:val="404"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3"/>
                <w:sz w:val="18"/>
                <w:szCs w:val="18"/>
              </w:rPr>
              <w:t> </w:t>
            </w:r>
            <w:r>
              <w:rPr>
                <w:rFonts w:ascii="宋体" w:hAnsi="宋体" w:cs="宋体" w:eastAsia="宋体" w:hint="default"/>
                <w:sz w:val="18"/>
                <w:szCs w:val="18"/>
              </w:rPr>
              <w:t>应付股利</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应付手续费及佣金</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应付分保账款</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持有待售负债</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8"/>
              <w:ind w:left="24" w:right="19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一年内到期的非流动</w:t>
            </w:r>
            <w:r>
              <w:rPr>
                <w:rFonts w:ascii="宋体" w:hAnsi="宋体" w:cs="宋体" w:eastAsia="宋体" w:hint="default"/>
                <w:w w:val="101"/>
                <w:sz w:val="18"/>
                <w:szCs w:val="18"/>
              </w:rPr>
              <w:t> </w:t>
            </w:r>
            <w:r>
              <w:rPr>
                <w:rFonts w:ascii="宋体" w:hAnsi="宋体" w:cs="宋体" w:eastAsia="宋体" w:hint="default"/>
                <w:sz w:val="18"/>
                <w:szCs w:val="18"/>
              </w:rPr>
              <w:t>负债</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617,243.26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617,243.26</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其他流动负债</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1,282,872,427.39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1,282,872,019.29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-408.10</w:t>
            </w:r>
          </w:p>
        </w:tc>
      </w:tr>
      <w:tr>
        <w:trPr>
          <w:trHeight w:val="398"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保险合同准备金</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长期借款</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1,543,108.17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1,543,516.27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408.10</w:t>
            </w: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应付债券</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spacing w:val="-3"/>
                <w:sz w:val="18"/>
                <w:szCs w:val="18"/>
              </w:rPr>
              <w:t>其中：优先股</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3"/>
                <w:sz w:val="18"/>
                <w:szCs w:val="18"/>
              </w:rPr>
              <w:t> </w:t>
            </w:r>
            <w:r>
              <w:rPr>
                <w:rFonts w:ascii="宋体" w:hAnsi="宋体" w:cs="宋体" w:eastAsia="宋体" w:hint="default"/>
                <w:sz w:val="18"/>
                <w:szCs w:val="18"/>
              </w:rPr>
              <w:t>永续债</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租赁负债</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长期应付款</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345,286.72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345,286.72</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长期应付职工薪酬</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预计负债</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7,277,312.50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pacing w:val="-1"/>
                <w:sz w:val="18"/>
              </w:rPr>
              <w:t>7,277,312.50</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递延收益</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23,397,166.77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23,397,166.77</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递延所得税负债</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7,481,382.75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7,481,382.75</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其他非流动负债</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pacing w:val="-3"/>
                <w:sz w:val="18"/>
                <w:szCs w:val="18"/>
              </w:rPr>
              <w:t>非流动负债合计</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8"/>
                <w:szCs w:val="18"/>
              </w:rPr>
            </w:pPr>
            <w:r>
              <w:rPr>
                <w:rFonts w:ascii="Times New Roman"/>
                <w:spacing w:val="-1"/>
                <w:sz w:val="18"/>
              </w:rPr>
              <w:t>40,044,256.91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pacing w:val="-1"/>
                <w:sz w:val="18"/>
              </w:rPr>
              <w:t>40,044,665.01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2"/>
              <w:jc w:val="right"/>
              <w:rPr>
                <w:rFonts w:ascii="Times New Roman" w:hAnsi="Times New Roman" w:cs="Times New Roman" w:eastAsia="Times New Roman" w:hint="default"/>
                <w:sz w:val="18"/>
                <w:szCs w:val="18"/>
              </w:rPr>
            </w:pPr>
            <w:r>
              <w:rPr>
                <w:rFonts w:ascii="Times New Roman"/>
                <w:spacing w:val="-1"/>
                <w:sz w:val="18"/>
              </w:rPr>
              <w:t>408.10</w:t>
            </w: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1,322,916,684.30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1,322,916,684.30</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6"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209"/>
        <w:gridCol w:w="2454"/>
        <w:gridCol w:w="2454"/>
        <w:gridCol w:w="2454"/>
      </w:tblGrid>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股本</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246,606,046.00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246,606,046.00</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其他权益工具</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spacing w:val="-3"/>
                <w:sz w:val="18"/>
                <w:szCs w:val="18"/>
              </w:rPr>
              <w:t>其中：优先股</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3"/>
                <w:sz w:val="18"/>
                <w:szCs w:val="18"/>
              </w:rPr>
              <w:t> </w:t>
            </w:r>
            <w:r>
              <w:rPr>
                <w:rFonts w:ascii="宋体" w:hAnsi="宋体" w:cs="宋体" w:eastAsia="宋体" w:hint="default"/>
                <w:sz w:val="18"/>
                <w:szCs w:val="18"/>
              </w:rPr>
              <w:t>永续债</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资本公积</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796,924,208.60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796,924,208.60</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减：库存股</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其他综合收益</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专项储备</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1,381,606.74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1,381,606.74</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盈余公积</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82,733,944.89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82,590,196.56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-143,748.33</w:t>
            </w:r>
          </w:p>
        </w:tc>
      </w:tr>
      <w:tr>
        <w:trPr>
          <w:trHeight w:val="398"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一般风险准备</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未分配利润</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387,394,501.93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385,403,661.35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-1,990,840.58</w:t>
            </w:r>
          </w:p>
        </w:tc>
      </w:tr>
      <w:tr>
        <w:trPr>
          <w:trHeight w:val="715"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90"/>
              <w:jc w:val="left"/>
              <w:rPr>
                <w:rFonts w:ascii="宋体" w:hAnsi="宋体" w:cs="宋体" w:eastAsia="宋体" w:hint="default"/>
                <w:sz w:val="18"/>
                <w:szCs w:val="18"/>
              </w:rPr>
            </w:pPr>
            <w:r>
              <w:rPr>
                <w:rFonts w:ascii="宋体" w:hAnsi="宋体" w:cs="宋体" w:eastAsia="宋体" w:hint="default"/>
                <w:spacing w:val="-3"/>
                <w:sz w:val="18"/>
                <w:szCs w:val="18"/>
              </w:rPr>
              <w:t>归属于母公司所有者权益</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合计</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1,515,040,308.16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2"/>
                <w:sz w:val="18"/>
              </w:rPr>
              <w:t>1,512,905,719.25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-2,134,588.91</w:t>
            </w: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少数股东权益</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258,973,856.72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259,408,798.65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434,941.93</w:t>
            </w:r>
          </w:p>
        </w:tc>
      </w:tr>
      <w:tr>
        <w:trPr>
          <w:trHeight w:val="398"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所有者权益合计</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1,774,014,164.88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1,772,314,517.90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-1,699,646.98</w:t>
            </w:r>
          </w:p>
        </w:tc>
      </w:tr>
      <w:tr>
        <w:trPr>
          <w:trHeight w:val="404"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2"/>
                <w:sz w:val="18"/>
              </w:rPr>
              <w:t>3,096,930,849.18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pacing w:val="-2"/>
                <w:sz w:val="18"/>
              </w:rPr>
              <w:t>3,095,231,202.20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2"/>
              <w:jc w:val="right"/>
              <w:rPr>
                <w:rFonts w:ascii="Times New Roman" w:hAnsi="Times New Roman" w:cs="Times New Roman" w:eastAsia="Times New Roman" w:hint="default"/>
                <w:sz w:val="18"/>
                <w:szCs w:val="18"/>
              </w:rPr>
            </w:pPr>
            <w:r>
              <w:rPr>
                <w:rFonts w:ascii="Times New Roman"/>
                <w:spacing w:val="-1"/>
                <w:sz w:val="18"/>
              </w:rPr>
              <w:t>-1,699,646.98</w:t>
            </w:r>
          </w:p>
        </w:tc>
      </w:tr>
    </w:tbl>
    <w:p>
      <w:pPr>
        <w:pStyle w:val="BodyText"/>
        <w:spacing w:line="240" w:lineRule="auto" w:before="53"/>
        <w:ind w:right="855"/>
        <w:jc w:val="left"/>
      </w:pPr>
      <w:r>
        <w:rPr/>
        <w:t>调整情况说明</w:t>
      </w:r>
    </w:p>
    <w:p>
      <w:pPr>
        <w:spacing w:line="240" w:lineRule="auto" w:before="0"/>
        <w:rPr>
          <w:rFonts w:ascii="宋体" w:hAnsi="宋体" w:cs="宋体" w:eastAsia="宋体" w:hint="default"/>
          <w:sz w:val="15"/>
          <w:szCs w:val="15"/>
        </w:rPr>
      </w:pPr>
    </w:p>
    <w:p>
      <w:pPr>
        <w:pStyle w:val="BodyText"/>
        <w:spacing w:line="300" w:lineRule="auto"/>
        <w:ind w:right="855" w:firstLine="441"/>
        <w:jc w:val="left"/>
      </w:pPr>
      <w:r>
        <w:rPr>
          <w:spacing w:val="-2"/>
        </w:rPr>
        <w:t>本集团于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日，本集团对分类为以摊余成本计量的金融资产根据原金融工具准则确认的损失准备与根据新金</w:t>
      </w:r>
      <w:r>
        <w:rPr>
          <w:w w:val="101"/>
        </w:rPr>
        <w:t> </w:t>
      </w:r>
      <w:r>
        <w:rPr>
          <w:spacing w:val="-3"/>
        </w:rPr>
        <w:t>融工具准则确认的信用损失准备的调节情况详见上表。</w:t>
      </w:r>
    </w:p>
    <w:p>
      <w:pPr>
        <w:spacing w:line="240" w:lineRule="auto" w:before="1"/>
        <w:rPr>
          <w:rFonts w:ascii="宋体" w:hAnsi="宋体" w:cs="宋体" w:eastAsia="宋体" w:hint="default"/>
          <w:sz w:val="8"/>
          <w:szCs w:val="8"/>
        </w:rPr>
      </w:pPr>
    </w:p>
    <w:p>
      <w:pPr>
        <w:pStyle w:val="BodyText"/>
        <w:spacing w:line="240" w:lineRule="auto" w:before="46"/>
        <w:ind w:right="855"/>
        <w:jc w:val="left"/>
      </w:pPr>
      <w:r>
        <w:rPr/>
        <w:t>母公司资产负债表</w:t>
      </w:r>
    </w:p>
    <w:p>
      <w:pPr>
        <w:pStyle w:val="BodyText"/>
        <w:spacing w:line="240" w:lineRule="auto" w:before="115"/>
        <w:ind w:left="0" w:right="1121"/>
        <w:jc w:val="right"/>
      </w:pPr>
      <w:r>
        <w:rPr>
          <w:spacing w:val="-2"/>
        </w:rPr>
        <w:t>单位：元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209"/>
        <w:gridCol w:w="2454"/>
        <w:gridCol w:w="2454"/>
        <w:gridCol w:w="2454"/>
      </w:tblGrid>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调整数</w:t>
            </w: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货币资金</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731,183,937.95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731,183,937.95</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交易性金融资产</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90"/>
              <w:jc w:val="both"/>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以公允价值计量且其</w:t>
            </w:r>
            <w:r>
              <w:rPr>
                <w:rFonts w:ascii="宋体" w:hAnsi="宋体" w:cs="宋体" w:eastAsia="宋体" w:hint="default"/>
                <w:w w:val="101"/>
                <w:sz w:val="18"/>
                <w:szCs w:val="18"/>
              </w:rPr>
              <w:t> </w:t>
            </w:r>
            <w:r>
              <w:rPr>
                <w:rFonts w:ascii="宋体" w:hAnsi="宋体" w:cs="宋体" w:eastAsia="宋体" w:hint="default"/>
                <w:spacing w:val="-3"/>
                <w:sz w:val="18"/>
                <w:szCs w:val="18"/>
              </w:rPr>
              <w:t>变动计入当期损益的金融</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资产</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衍生金融资产</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应收票据</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27,433,989.36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27,433,989.36</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应收账款</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363,159,891.41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361,666,424.25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-1,493,467.16</w:t>
            </w: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应收款项融资</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预付款项</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47,963,173.01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47,963,301.02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128.01</w:t>
            </w: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其他应收款</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45,268,483.10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45,070,665.42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-197,817.68</w:t>
            </w:r>
          </w:p>
        </w:tc>
      </w:tr>
      <w:tr>
        <w:trPr>
          <w:trHeight w:val="398"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spacing w:val="-3"/>
                <w:sz w:val="18"/>
                <w:szCs w:val="18"/>
              </w:rPr>
              <w:t>其中：应收利息</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6"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209"/>
        <w:gridCol w:w="2454"/>
        <w:gridCol w:w="2454"/>
        <w:gridCol w:w="2454"/>
      </w:tblGrid>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3"/>
                <w:sz w:val="18"/>
                <w:szCs w:val="18"/>
              </w:rPr>
              <w:t> </w:t>
            </w:r>
            <w:r>
              <w:rPr>
                <w:rFonts w:ascii="宋体" w:hAnsi="宋体" w:cs="宋体" w:eastAsia="宋体" w:hint="default"/>
                <w:sz w:val="18"/>
                <w:szCs w:val="18"/>
              </w:rPr>
              <w:t>应收股利</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存货</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449,626,599.84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449,626,599.84</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合同资产</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持有待售资产</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24" w:right="19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一年内到期的非流动</w:t>
            </w:r>
            <w:r>
              <w:rPr>
                <w:rFonts w:ascii="宋体" w:hAnsi="宋体" w:cs="宋体" w:eastAsia="宋体" w:hint="default"/>
                <w:w w:val="101"/>
                <w:sz w:val="18"/>
                <w:szCs w:val="18"/>
              </w:rPr>
              <w:t> </w:t>
            </w:r>
            <w:r>
              <w:rPr>
                <w:rFonts w:ascii="宋体" w:hAnsi="宋体" w:cs="宋体" w:eastAsia="宋体" w:hint="default"/>
                <w:sz w:val="18"/>
                <w:szCs w:val="18"/>
              </w:rPr>
              <w:t>资产</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其他流动资产</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3,834,909.60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3,834,909.60</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1,668,470,984.27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2"/>
                <w:sz w:val="18"/>
              </w:rPr>
              <w:t>1,666,779,827.44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-1,691,156.83</w:t>
            </w: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债权投资</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可供出售金融资产</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120,783,696.72</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-120,783,696.72</w:t>
            </w:r>
          </w:p>
        </w:tc>
      </w:tr>
      <w:tr>
        <w:trPr>
          <w:trHeight w:val="404"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其他债权投资</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持有至到期投资</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长期应收款</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长期股权投资</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556,611,410.66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556,611,410.66</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其他权益工具投资</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其他非流动金融资产</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120,783,696.72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120,783,696.72</w:t>
            </w: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投资性房地产</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69,193,858.76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69,193,858.76</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固定资产</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187,490,267.99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187,490,267.99</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在建工程</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生产性生物资产</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油气资产</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使用权资产</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无形资产</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8"/>
                <w:szCs w:val="18"/>
              </w:rPr>
            </w:pPr>
            <w:r>
              <w:rPr>
                <w:rFonts w:ascii="Times New Roman"/>
                <w:spacing w:val="-1"/>
                <w:sz w:val="18"/>
              </w:rPr>
              <w:t>32,959,593.86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pacing w:val="-1"/>
                <w:sz w:val="18"/>
              </w:rPr>
              <w:t>32,959,593.86</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开发支出</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3,584,565.72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3,584,565.72</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商誉</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长期待摊费用</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1,106,304.20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1,106,304.20</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递延所得税资产</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8"/>
                <w:szCs w:val="18"/>
              </w:rPr>
            </w:pPr>
            <w:r>
              <w:rPr>
                <w:rFonts w:ascii="Times New Roman"/>
                <w:spacing w:val="-1"/>
                <w:sz w:val="18"/>
              </w:rPr>
              <w:t>15,589,761.31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pacing w:val="-1"/>
                <w:sz w:val="18"/>
              </w:rPr>
              <w:t>15,843,434.83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2"/>
              <w:jc w:val="right"/>
              <w:rPr>
                <w:rFonts w:ascii="Times New Roman" w:hAnsi="Times New Roman" w:cs="Times New Roman" w:eastAsia="Times New Roman" w:hint="default"/>
                <w:sz w:val="18"/>
                <w:szCs w:val="18"/>
              </w:rPr>
            </w:pPr>
            <w:r>
              <w:rPr>
                <w:rFonts w:ascii="Times New Roman"/>
                <w:spacing w:val="-1"/>
                <w:sz w:val="18"/>
              </w:rPr>
              <w:t>253,673.52</w:t>
            </w: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其他非流动资产</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非流动资产合计</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987,319,459.22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987,573,132.74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253,673.52</w:t>
            </w:r>
          </w:p>
        </w:tc>
      </w:tr>
      <w:tr>
        <w:trPr>
          <w:trHeight w:val="401"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2,655,790,443.49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2,654,352,960.18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-1,437,483.31</w:t>
            </w:r>
          </w:p>
        </w:tc>
      </w:tr>
      <w:tr>
        <w:trPr>
          <w:trHeight w:val="401"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短期借款</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405,000,000.00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405,532,249.33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532,249.33</w:t>
            </w: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交易性金融负债</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6"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209"/>
        <w:gridCol w:w="2454"/>
        <w:gridCol w:w="2454"/>
        <w:gridCol w:w="2454"/>
      </w:tblGrid>
      <w:tr>
        <w:trPr>
          <w:trHeight w:val="1027"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190"/>
              <w:jc w:val="both"/>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以公允价值计量且其</w:t>
            </w:r>
            <w:r>
              <w:rPr>
                <w:rFonts w:ascii="宋体" w:hAnsi="宋体" w:cs="宋体" w:eastAsia="宋体" w:hint="default"/>
                <w:w w:val="101"/>
                <w:sz w:val="18"/>
                <w:szCs w:val="18"/>
              </w:rPr>
              <w:t> </w:t>
            </w:r>
            <w:r>
              <w:rPr>
                <w:rFonts w:ascii="宋体" w:hAnsi="宋体" w:cs="宋体" w:eastAsia="宋体" w:hint="default"/>
                <w:spacing w:val="-3"/>
                <w:sz w:val="18"/>
                <w:szCs w:val="18"/>
              </w:rPr>
              <w:t>变动计入当期损益的金融</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负债</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衍生金融负债</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应付票据</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105,369,651.74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105,369,651.74</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应付账款</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337,139,416.76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337,139,416.76</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预收款项</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170,235,305.37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170,235,305.37</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合同负债</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应付职工薪酬</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7,519,229.36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7,519,229.36</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应交税费</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44,377,742.20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44,377,742.20</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其他应付款</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7,319,975.18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6,787,317.75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-532,657.43</w:t>
            </w:r>
          </w:p>
        </w:tc>
      </w:tr>
      <w:tr>
        <w:trPr>
          <w:trHeight w:val="399"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spacing w:val="-3"/>
                <w:sz w:val="18"/>
                <w:szCs w:val="18"/>
              </w:rPr>
              <w:t>其中：应付利息</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532,657.43</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-532,657.43</w:t>
            </w: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3"/>
                <w:sz w:val="18"/>
                <w:szCs w:val="18"/>
              </w:rPr>
              <w:t> </w:t>
            </w:r>
            <w:r>
              <w:rPr>
                <w:rFonts w:ascii="宋体" w:hAnsi="宋体" w:cs="宋体" w:eastAsia="宋体" w:hint="default"/>
                <w:sz w:val="18"/>
                <w:szCs w:val="18"/>
              </w:rPr>
              <w:t>应付股利</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持有待售负债</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19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一年内到期的非流动</w:t>
            </w:r>
            <w:r>
              <w:rPr>
                <w:rFonts w:ascii="宋体" w:hAnsi="宋体" w:cs="宋体" w:eastAsia="宋体" w:hint="default"/>
                <w:w w:val="101"/>
                <w:sz w:val="18"/>
                <w:szCs w:val="18"/>
              </w:rPr>
              <w:t> </w:t>
            </w:r>
            <w:r>
              <w:rPr>
                <w:rFonts w:ascii="宋体" w:hAnsi="宋体" w:cs="宋体" w:eastAsia="宋体" w:hint="default"/>
                <w:sz w:val="18"/>
                <w:szCs w:val="18"/>
              </w:rPr>
              <w:t>负债</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617,243.26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617,243.26</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其他流动负债</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1,077,578,563.87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2"/>
                <w:sz w:val="18"/>
              </w:rPr>
              <w:t>1,077,578,155.77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-408.10</w:t>
            </w: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长期借款</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1,543,108.17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1,543,516.27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408.10</w:t>
            </w:r>
          </w:p>
        </w:tc>
      </w:tr>
      <w:tr>
        <w:trPr>
          <w:trHeight w:val="398"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应付债券</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spacing w:val="-3"/>
                <w:sz w:val="18"/>
                <w:szCs w:val="18"/>
              </w:rPr>
              <w:t>其中：优先股</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3"/>
                <w:sz w:val="18"/>
                <w:szCs w:val="18"/>
              </w:rPr>
              <w:t> </w:t>
            </w:r>
            <w:r>
              <w:rPr>
                <w:rFonts w:ascii="宋体" w:hAnsi="宋体" w:cs="宋体" w:eastAsia="宋体" w:hint="default"/>
                <w:sz w:val="18"/>
                <w:szCs w:val="18"/>
              </w:rPr>
              <w:t>永续债</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租赁负债</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长期应付款</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长期应付职工薪酬</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预计负债</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7,277,312.50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7,277,312.50</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递延收益</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21,052,634.59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21,052,634.59</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递延所得税负债</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其他非流动负债</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非流动负债合计</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29,873,055.26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29,873,463.36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408.10</w:t>
            </w:r>
          </w:p>
        </w:tc>
      </w:tr>
      <w:tr>
        <w:trPr>
          <w:trHeight w:val="404"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1,107,451,619.13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1,107,451,619.13</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股本</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246,606,046.00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246,606,046.00</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其他权益工具</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6"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209"/>
        <w:gridCol w:w="2454"/>
        <w:gridCol w:w="2454"/>
        <w:gridCol w:w="2454"/>
      </w:tblGrid>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spacing w:val="-3"/>
                <w:sz w:val="18"/>
                <w:szCs w:val="18"/>
              </w:rPr>
              <w:t>其中：优先股</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3"/>
                <w:sz w:val="18"/>
                <w:szCs w:val="18"/>
              </w:rPr>
              <w:t> </w:t>
            </w:r>
            <w:r>
              <w:rPr>
                <w:rFonts w:ascii="宋体" w:hAnsi="宋体" w:cs="宋体" w:eastAsia="宋体" w:hint="default"/>
                <w:sz w:val="18"/>
                <w:szCs w:val="18"/>
              </w:rPr>
              <w:t>永续债</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资本公积</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852,317,552.66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pacing w:val="-1"/>
                <w:sz w:val="18"/>
              </w:rPr>
              <w:t>852,317,552.66</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减：库存股</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其他综合收益</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专项储备</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盈余公积</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87,713,720.54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87,569,972.21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-143,748.33</w:t>
            </w: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未分配利润</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361,701,505.16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360,407,770.18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-1,293,734.98</w:t>
            </w: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所有者权益合计</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1,548,338,824.36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1,546,901,341.05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-1,437,483.31</w:t>
            </w: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2,655,790,443.49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2,654,352,960.18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-1,437,483.31</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6"/>
        <w:ind w:right="855"/>
        <w:jc w:val="left"/>
        <w:rPr>
          <w:b w:val="0"/>
          <w:bCs w:val="0"/>
        </w:rPr>
      </w:pPr>
      <w:r>
        <w:rPr/>
        <w:t>（</w:t>
      </w:r>
      <w:r>
        <w:rPr>
          <w:rFonts w:ascii="Times New Roman" w:hAnsi="Times New Roman" w:cs="Times New Roman" w:eastAsia="Times New Roman" w:hint="default"/>
        </w:rPr>
        <w:t>4</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年起执行新金融工具准则或新租赁准则追溯调整前期比较数据说明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855"/>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1"/>
        </w:rPr>
        <w:t> </w:t>
      </w:r>
      <w:r>
        <w:rPr/>
        <w:t>不适用</w:t>
      </w:r>
    </w:p>
    <w:p>
      <w:pPr>
        <w:spacing w:line="240" w:lineRule="auto" w:before="13"/>
        <w:rPr>
          <w:rFonts w:ascii="宋体" w:hAnsi="宋体" w:cs="宋体" w:eastAsia="宋体" w:hint="default"/>
          <w:sz w:val="13"/>
          <w:szCs w:val="13"/>
        </w:rPr>
      </w:pPr>
    </w:p>
    <w:p>
      <w:pPr>
        <w:pStyle w:val="BodyText"/>
        <w:spacing w:line="300" w:lineRule="auto"/>
        <w:ind w:right="855" w:firstLine="441"/>
        <w:jc w:val="left"/>
      </w:pPr>
      <w:r>
        <w:rPr>
          <w:spacing w:val="-2"/>
        </w:rPr>
        <w:t>本集团于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日，本集团对分类为以摊余成本计量的金融资产根据金融工具原账面价值和在新金融工具准则施</w:t>
      </w:r>
      <w:r>
        <w:rPr>
          <w:w w:val="101"/>
        </w:rPr>
        <w:t> </w:t>
      </w:r>
      <w:r>
        <w:rPr>
          <w:spacing w:val="-3"/>
        </w:rPr>
        <w:t>行日的新账面价值之间的差额，公司采用新金融工具准则的影响见下表</w:t>
      </w:r>
    </w:p>
    <w:p>
      <w:pPr>
        <w:spacing w:before="119"/>
        <w:ind w:left="0" w:right="1121" w:firstLine="0"/>
        <w:jc w:val="right"/>
        <w:rPr>
          <w:rFonts w:ascii="宋体" w:hAnsi="宋体" w:cs="宋体" w:eastAsia="宋体" w:hint="default"/>
          <w:sz w:val="22"/>
          <w:szCs w:val="22"/>
        </w:rPr>
      </w:pPr>
      <w:r>
        <w:rPr>
          <w:rFonts w:ascii="宋体" w:hAnsi="宋体" w:cs="宋体" w:eastAsia="宋体" w:hint="default"/>
          <w:sz w:val="22"/>
          <w:szCs w:val="22"/>
        </w:rPr>
        <w:t>单位：元</w:t>
      </w:r>
    </w:p>
    <w:p>
      <w:pPr>
        <w:spacing w:line="240" w:lineRule="auto" w:before="9"/>
        <w:rPr>
          <w:rFonts w:ascii="宋体" w:hAnsi="宋体" w:cs="宋体" w:eastAsia="宋体" w:hint="default"/>
          <w:sz w:val="12"/>
          <w:szCs w:val="12"/>
        </w:rPr>
      </w:pPr>
    </w:p>
    <w:tbl>
      <w:tblPr>
        <w:tblW w:w="0" w:type="auto"/>
        <w:jc w:val="left"/>
        <w:tblInd w:w="143" w:type="dxa"/>
        <w:tblLayout w:type="fixed"/>
        <w:tblCellMar>
          <w:top w:w="0" w:type="dxa"/>
          <w:left w:w="0" w:type="dxa"/>
          <w:bottom w:w="0" w:type="dxa"/>
          <w:right w:w="0" w:type="dxa"/>
        </w:tblCellMar>
        <w:tblLook w:val="01E0"/>
      </w:tblPr>
      <w:tblGrid>
        <w:gridCol w:w="2569"/>
        <w:gridCol w:w="2449"/>
        <w:gridCol w:w="2449"/>
        <w:gridCol w:w="2108"/>
      </w:tblGrid>
      <w:tr>
        <w:trPr>
          <w:trHeight w:val="346" w:hRule="exact"/>
        </w:trPr>
        <w:tc>
          <w:tcPr>
            <w:tcW w:w="2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86" w:right="0"/>
              <w:jc w:val="center"/>
              <w:rPr>
                <w:rFonts w:ascii="宋体" w:hAnsi="宋体" w:cs="宋体" w:eastAsia="宋体" w:hint="default"/>
                <w:sz w:val="18"/>
                <w:szCs w:val="18"/>
              </w:rPr>
            </w:pPr>
            <w:r>
              <w:rPr>
                <w:rFonts w:ascii="宋体" w:hAnsi="宋体" w:cs="宋体" w:eastAsia="宋体" w:hint="default"/>
                <w:b/>
                <w:bCs/>
                <w:spacing w:val="-3"/>
                <w:sz w:val="18"/>
                <w:szCs w:val="18"/>
              </w:rPr>
              <w:t>项目</w:t>
            </w:r>
            <w:r>
              <w:rPr>
                <w:rFonts w:ascii="宋体" w:hAnsi="宋体" w:cs="宋体" w:eastAsia="宋体" w:hint="default"/>
                <w:b/>
                <w:bCs/>
                <w:w w:val="100"/>
                <w:sz w:val="18"/>
                <w:szCs w:val="18"/>
              </w:rPr>
              <w:t> </w:t>
            </w:r>
            <w:r>
              <w:rPr>
                <w:rFonts w:ascii="宋体" w:hAnsi="宋体" w:cs="宋体" w:eastAsia="宋体" w:hint="default"/>
                <w:w w:val="100"/>
                <w:sz w:val="18"/>
                <w:szCs w:val="18"/>
              </w:rPr>
            </w:r>
          </w:p>
        </w:tc>
        <w:tc>
          <w:tcPr>
            <w:tcW w:w="24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86" w:right="0"/>
              <w:jc w:val="left"/>
              <w:rPr>
                <w:rFonts w:ascii="宋体" w:hAnsi="宋体" w:cs="宋体" w:eastAsia="宋体" w:hint="default"/>
                <w:sz w:val="18"/>
                <w:szCs w:val="18"/>
              </w:rPr>
            </w:pPr>
            <w:r>
              <w:rPr>
                <w:rFonts w:ascii="宋体" w:hAnsi="宋体" w:cs="宋体" w:eastAsia="宋体" w:hint="default"/>
                <w:b/>
                <w:bCs/>
                <w:sz w:val="18"/>
                <w:szCs w:val="18"/>
              </w:rPr>
              <w:t>2018</w:t>
            </w:r>
            <w:r>
              <w:rPr>
                <w:rFonts w:ascii="宋体" w:hAnsi="宋体" w:cs="宋体" w:eastAsia="宋体" w:hint="default"/>
                <w:b/>
                <w:bCs/>
                <w:sz w:val="18"/>
                <w:szCs w:val="18"/>
              </w:rPr>
              <w:t>年</w:t>
            </w:r>
            <w:r>
              <w:rPr>
                <w:rFonts w:ascii="宋体" w:hAnsi="宋体" w:cs="宋体" w:eastAsia="宋体" w:hint="default"/>
                <w:b/>
                <w:bCs/>
                <w:sz w:val="18"/>
                <w:szCs w:val="18"/>
              </w:rPr>
              <w:t>12</w:t>
            </w:r>
            <w:r>
              <w:rPr>
                <w:rFonts w:ascii="宋体" w:hAnsi="宋体" w:cs="宋体" w:eastAsia="宋体" w:hint="default"/>
                <w:b/>
                <w:bCs/>
                <w:sz w:val="18"/>
                <w:szCs w:val="18"/>
              </w:rPr>
              <w:t>月</w:t>
            </w:r>
            <w:r>
              <w:rPr>
                <w:rFonts w:ascii="宋体" w:hAnsi="宋体" w:cs="宋体" w:eastAsia="宋体" w:hint="default"/>
                <w:b/>
                <w:bCs/>
                <w:sz w:val="18"/>
                <w:szCs w:val="18"/>
              </w:rPr>
              <w:t>31</w:t>
            </w:r>
            <w:r>
              <w:rPr>
                <w:rFonts w:ascii="宋体" w:hAnsi="宋体" w:cs="宋体" w:eastAsia="宋体" w:hint="default"/>
                <w:b/>
                <w:bCs/>
                <w:sz w:val="18"/>
                <w:szCs w:val="18"/>
              </w:rPr>
              <w:t>日</w:t>
            </w:r>
            <w:r>
              <w:rPr>
                <w:rFonts w:ascii="宋体" w:hAnsi="宋体" w:cs="宋体" w:eastAsia="宋体" w:hint="default"/>
                <w:b/>
                <w:bCs/>
                <w:w w:val="100"/>
                <w:sz w:val="18"/>
                <w:szCs w:val="18"/>
              </w:rPr>
              <w:t> </w:t>
            </w:r>
            <w:r>
              <w:rPr>
                <w:rFonts w:ascii="宋体" w:hAnsi="宋体" w:cs="宋体" w:eastAsia="宋体" w:hint="default"/>
                <w:w w:val="100"/>
                <w:sz w:val="18"/>
                <w:szCs w:val="18"/>
              </w:rPr>
            </w:r>
          </w:p>
        </w:tc>
        <w:tc>
          <w:tcPr>
            <w:tcW w:w="24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677" w:right="0"/>
              <w:jc w:val="left"/>
              <w:rPr>
                <w:rFonts w:ascii="宋体" w:hAnsi="宋体" w:cs="宋体" w:eastAsia="宋体" w:hint="default"/>
                <w:sz w:val="18"/>
                <w:szCs w:val="18"/>
              </w:rPr>
            </w:pPr>
            <w:r>
              <w:rPr>
                <w:rFonts w:ascii="宋体" w:hAnsi="宋体" w:cs="宋体" w:eastAsia="宋体" w:hint="default"/>
                <w:b/>
                <w:bCs/>
                <w:sz w:val="18"/>
                <w:szCs w:val="18"/>
              </w:rPr>
              <w:t>2019</w:t>
            </w:r>
            <w:r>
              <w:rPr>
                <w:rFonts w:ascii="宋体" w:hAnsi="宋体" w:cs="宋体" w:eastAsia="宋体" w:hint="default"/>
                <w:b/>
                <w:bCs/>
                <w:sz w:val="18"/>
                <w:szCs w:val="18"/>
              </w:rPr>
              <w:t>年</w:t>
            </w:r>
            <w:r>
              <w:rPr>
                <w:rFonts w:ascii="宋体" w:hAnsi="宋体" w:cs="宋体" w:eastAsia="宋体" w:hint="default"/>
                <w:b/>
                <w:bCs/>
                <w:sz w:val="18"/>
                <w:szCs w:val="18"/>
              </w:rPr>
              <w:t>1</w:t>
            </w:r>
            <w:r>
              <w:rPr>
                <w:rFonts w:ascii="宋体" w:hAnsi="宋体" w:cs="宋体" w:eastAsia="宋体" w:hint="default"/>
                <w:b/>
                <w:bCs/>
                <w:sz w:val="18"/>
                <w:szCs w:val="18"/>
              </w:rPr>
              <w:t>月</w:t>
            </w:r>
            <w:r>
              <w:rPr>
                <w:rFonts w:ascii="宋体" w:hAnsi="宋体" w:cs="宋体" w:eastAsia="宋体" w:hint="default"/>
                <w:b/>
                <w:bCs/>
                <w:sz w:val="18"/>
                <w:szCs w:val="18"/>
              </w:rPr>
              <w:t>1</w:t>
            </w:r>
            <w:r>
              <w:rPr>
                <w:rFonts w:ascii="宋体" w:hAnsi="宋体" w:cs="宋体" w:eastAsia="宋体" w:hint="default"/>
                <w:b/>
                <w:bCs/>
                <w:sz w:val="18"/>
                <w:szCs w:val="18"/>
              </w:rPr>
              <w:t>日</w:t>
            </w:r>
            <w:r>
              <w:rPr>
                <w:rFonts w:ascii="宋体" w:hAnsi="宋体" w:cs="宋体" w:eastAsia="宋体" w:hint="default"/>
                <w:b/>
                <w:bCs/>
                <w:w w:val="100"/>
                <w:sz w:val="18"/>
                <w:szCs w:val="18"/>
              </w:rPr>
              <w:t> </w:t>
            </w:r>
            <w:r>
              <w:rPr>
                <w:rFonts w:ascii="宋体" w:hAnsi="宋体" w:cs="宋体" w:eastAsia="宋体" w:hint="default"/>
                <w:w w:val="100"/>
                <w:sz w:val="18"/>
                <w:szCs w:val="18"/>
              </w:rPr>
            </w: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96" w:right="0"/>
              <w:jc w:val="center"/>
              <w:rPr>
                <w:rFonts w:ascii="宋体" w:hAnsi="宋体" w:cs="宋体" w:eastAsia="宋体" w:hint="default"/>
                <w:sz w:val="18"/>
                <w:szCs w:val="18"/>
              </w:rPr>
            </w:pPr>
            <w:r>
              <w:rPr>
                <w:rFonts w:ascii="宋体" w:hAnsi="宋体" w:cs="宋体" w:eastAsia="宋体" w:hint="default"/>
                <w:b/>
                <w:bCs/>
                <w:spacing w:val="-3"/>
                <w:sz w:val="18"/>
                <w:szCs w:val="18"/>
              </w:rPr>
              <w:t>差额</w:t>
            </w:r>
            <w:r>
              <w:rPr>
                <w:rFonts w:ascii="宋体" w:hAnsi="宋体" w:cs="宋体" w:eastAsia="宋体" w:hint="default"/>
                <w:b/>
                <w:bCs/>
                <w:w w:val="100"/>
                <w:sz w:val="18"/>
                <w:szCs w:val="18"/>
              </w:rPr>
              <w:t> </w:t>
            </w:r>
            <w:r>
              <w:rPr>
                <w:rFonts w:ascii="宋体" w:hAnsi="宋体" w:cs="宋体" w:eastAsia="宋体" w:hint="default"/>
                <w:w w:val="100"/>
                <w:sz w:val="18"/>
                <w:szCs w:val="18"/>
              </w:rPr>
            </w:r>
          </w:p>
        </w:tc>
      </w:tr>
      <w:tr>
        <w:trPr>
          <w:trHeight w:val="346" w:hRule="exact"/>
        </w:trPr>
        <w:tc>
          <w:tcPr>
            <w:tcW w:w="2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应收账款</w:t>
            </w:r>
            <w:r>
              <w:rPr>
                <w:rFonts w:ascii="宋体" w:hAnsi="宋体" w:cs="宋体" w:eastAsia="宋体" w:hint="default"/>
                <w:sz w:val="18"/>
                <w:szCs w:val="18"/>
              </w:rPr>
              <w:t> </w:t>
            </w:r>
          </w:p>
        </w:tc>
        <w:tc>
          <w:tcPr>
            <w:tcW w:w="24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5"/>
              <w:jc w:val="right"/>
              <w:rPr>
                <w:rFonts w:ascii="宋体" w:hAnsi="宋体" w:cs="宋体" w:eastAsia="宋体" w:hint="default"/>
                <w:sz w:val="18"/>
                <w:szCs w:val="18"/>
              </w:rPr>
            </w:pPr>
            <w:r>
              <w:rPr>
                <w:rFonts w:ascii="宋体"/>
                <w:spacing w:val="-2"/>
                <w:sz w:val="18"/>
              </w:rPr>
              <w:t>487,364,109.98</w:t>
            </w:r>
          </w:p>
        </w:tc>
        <w:tc>
          <w:tcPr>
            <w:tcW w:w="24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4"/>
              <w:jc w:val="right"/>
              <w:rPr>
                <w:rFonts w:ascii="宋体" w:hAnsi="宋体" w:cs="宋体" w:eastAsia="宋体" w:hint="default"/>
                <w:sz w:val="18"/>
                <w:szCs w:val="18"/>
              </w:rPr>
            </w:pPr>
            <w:r>
              <w:rPr>
                <w:rFonts w:ascii="宋体"/>
                <w:spacing w:val="-2"/>
                <w:sz w:val="18"/>
              </w:rPr>
              <w:t>485,708,841.17</w:t>
            </w: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5"/>
              <w:jc w:val="right"/>
              <w:rPr>
                <w:rFonts w:ascii="宋体" w:hAnsi="宋体" w:cs="宋体" w:eastAsia="宋体" w:hint="default"/>
                <w:sz w:val="18"/>
                <w:szCs w:val="18"/>
              </w:rPr>
            </w:pPr>
            <w:r>
              <w:rPr>
                <w:rFonts w:ascii="宋体"/>
                <w:spacing w:val="-1"/>
                <w:sz w:val="18"/>
              </w:rPr>
              <w:t>-1,655,268.81</w:t>
            </w:r>
          </w:p>
        </w:tc>
      </w:tr>
      <w:tr>
        <w:trPr>
          <w:trHeight w:val="350" w:hRule="exact"/>
        </w:trPr>
        <w:tc>
          <w:tcPr>
            <w:tcW w:w="2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pacing w:val="-3"/>
                <w:sz w:val="18"/>
                <w:szCs w:val="18"/>
              </w:rPr>
              <w:t>其他应收款</w:t>
            </w:r>
            <w:r>
              <w:rPr>
                <w:rFonts w:ascii="宋体" w:hAnsi="宋体" w:cs="宋体" w:eastAsia="宋体" w:hint="default"/>
                <w:sz w:val="18"/>
                <w:szCs w:val="18"/>
              </w:rPr>
              <w:t> </w:t>
            </w:r>
          </w:p>
        </w:tc>
        <w:tc>
          <w:tcPr>
            <w:tcW w:w="24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5"/>
              <w:jc w:val="right"/>
              <w:rPr>
                <w:rFonts w:ascii="宋体" w:hAnsi="宋体" w:cs="宋体" w:eastAsia="宋体" w:hint="default"/>
                <w:sz w:val="18"/>
                <w:szCs w:val="18"/>
              </w:rPr>
            </w:pPr>
            <w:r>
              <w:rPr>
                <w:rFonts w:ascii="宋体"/>
                <w:spacing w:val="-1"/>
                <w:sz w:val="18"/>
              </w:rPr>
              <w:t>45,264,607.33</w:t>
            </w:r>
          </w:p>
        </w:tc>
        <w:tc>
          <w:tcPr>
            <w:tcW w:w="24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5"/>
              <w:jc w:val="right"/>
              <w:rPr>
                <w:rFonts w:ascii="宋体" w:hAnsi="宋体" w:cs="宋体" w:eastAsia="宋体" w:hint="default"/>
                <w:sz w:val="18"/>
                <w:szCs w:val="18"/>
              </w:rPr>
            </w:pPr>
            <w:r>
              <w:rPr>
                <w:rFonts w:ascii="宋体"/>
                <w:spacing w:val="-1"/>
                <w:sz w:val="18"/>
              </w:rPr>
              <w:t>45,022,112.94</w:t>
            </w: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5"/>
              <w:jc w:val="right"/>
              <w:rPr>
                <w:rFonts w:ascii="宋体" w:hAnsi="宋体" w:cs="宋体" w:eastAsia="宋体" w:hint="default"/>
                <w:sz w:val="18"/>
                <w:szCs w:val="18"/>
              </w:rPr>
            </w:pPr>
            <w:r>
              <w:rPr>
                <w:rFonts w:ascii="宋体"/>
                <w:spacing w:val="-1"/>
                <w:sz w:val="18"/>
              </w:rPr>
              <w:t>-242,494.39</w:t>
            </w:r>
          </w:p>
        </w:tc>
      </w:tr>
      <w:tr>
        <w:trPr>
          <w:trHeight w:val="346" w:hRule="exact"/>
        </w:trPr>
        <w:tc>
          <w:tcPr>
            <w:tcW w:w="2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预付账款</w:t>
            </w:r>
            <w:r>
              <w:rPr>
                <w:rFonts w:ascii="宋体" w:hAnsi="宋体" w:cs="宋体" w:eastAsia="宋体" w:hint="default"/>
                <w:sz w:val="18"/>
                <w:szCs w:val="18"/>
              </w:rPr>
              <w:t> </w:t>
            </w:r>
          </w:p>
        </w:tc>
        <w:tc>
          <w:tcPr>
            <w:tcW w:w="24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5"/>
              <w:jc w:val="right"/>
              <w:rPr>
                <w:rFonts w:ascii="宋体" w:hAnsi="宋体" w:cs="宋体" w:eastAsia="宋体" w:hint="default"/>
                <w:sz w:val="18"/>
                <w:szCs w:val="18"/>
              </w:rPr>
            </w:pPr>
            <w:r>
              <w:rPr>
                <w:rFonts w:ascii="宋体"/>
                <w:spacing w:val="-1"/>
                <w:sz w:val="18"/>
              </w:rPr>
              <w:t>69,570,218.74</w:t>
            </w:r>
          </w:p>
        </w:tc>
        <w:tc>
          <w:tcPr>
            <w:tcW w:w="24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5"/>
              <w:jc w:val="right"/>
              <w:rPr>
                <w:rFonts w:ascii="宋体" w:hAnsi="宋体" w:cs="宋体" w:eastAsia="宋体" w:hint="default"/>
                <w:sz w:val="18"/>
                <w:szCs w:val="18"/>
              </w:rPr>
            </w:pPr>
            <w:r>
              <w:rPr>
                <w:rFonts w:ascii="宋体"/>
                <w:spacing w:val="-1"/>
                <w:sz w:val="18"/>
              </w:rPr>
              <w:t>69,541,463.38</w:t>
            </w: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5"/>
              <w:jc w:val="right"/>
              <w:rPr>
                <w:rFonts w:ascii="宋体" w:hAnsi="宋体" w:cs="宋体" w:eastAsia="宋体" w:hint="default"/>
                <w:sz w:val="18"/>
                <w:szCs w:val="18"/>
              </w:rPr>
            </w:pPr>
            <w:r>
              <w:rPr>
                <w:rFonts w:ascii="宋体"/>
                <w:spacing w:val="-1"/>
                <w:sz w:val="18"/>
              </w:rPr>
              <w:t>-28,755.36</w:t>
            </w:r>
          </w:p>
        </w:tc>
      </w:tr>
      <w:tr>
        <w:trPr>
          <w:trHeight w:val="346" w:hRule="exact"/>
        </w:trPr>
        <w:tc>
          <w:tcPr>
            <w:tcW w:w="2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可供出售金融资产</w:t>
            </w:r>
            <w:r>
              <w:rPr>
                <w:rFonts w:ascii="宋体" w:hAnsi="宋体" w:cs="宋体" w:eastAsia="宋体" w:hint="default"/>
                <w:spacing w:val="-5"/>
                <w:sz w:val="18"/>
                <w:szCs w:val="18"/>
              </w:rPr>
              <w:t> </w:t>
            </w:r>
            <w:r>
              <w:rPr>
                <w:rFonts w:ascii="宋体" w:hAnsi="宋体" w:cs="宋体" w:eastAsia="宋体" w:hint="default"/>
                <w:sz w:val="18"/>
                <w:szCs w:val="18"/>
              </w:rPr>
              <w:t> </w:t>
            </w:r>
          </w:p>
        </w:tc>
        <w:tc>
          <w:tcPr>
            <w:tcW w:w="24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5"/>
              <w:jc w:val="right"/>
              <w:rPr>
                <w:rFonts w:ascii="宋体" w:hAnsi="宋体" w:cs="宋体" w:eastAsia="宋体" w:hint="default"/>
                <w:sz w:val="18"/>
                <w:szCs w:val="18"/>
              </w:rPr>
            </w:pPr>
            <w:r>
              <w:rPr>
                <w:rFonts w:ascii="宋体"/>
                <w:spacing w:val="-2"/>
                <w:sz w:val="18"/>
              </w:rPr>
              <w:t>122,356,313.89</w:t>
            </w:r>
          </w:p>
        </w:tc>
        <w:tc>
          <w:tcPr>
            <w:tcW w:w="2449" w:type="dxa"/>
            <w:tcBorders>
              <w:top w:val="single" w:sz="6" w:space="0" w:color="000000"/>
              <w:left w:val="single" w:sz="6" w:space="0" w:color="000000"/>
              <w:bottom w:val="single" w:sz="6" w:space="0" w:color="000000"/>
              <w:right w:val="single" w:sz="6" w:space="0" w:color="000000"/>
            </w:tcBorders>
          </w:tcPr>
          <w:p>
            <w:pP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5"/>
              <w:jc w:val="right"/>
              <w:rPr>
                <w:rFonts w:ascii="宋体" w:hAnsi="宋体" w:cs="宋体" w:eastAsia="宋体" w:hint="default"/>
                <w:sz w:val="18"/>
                <w:szCs w:val="18"/>
              </w:rPr>
            </w:pPr>
            <w:r>
              <w:rPr>
                <w:rFonts w:ascii="宋体"/>
                <w:spacing w:val="-1"/>
                <w:sz w:val="18"/>
              </w:rPr>
              <w:t>-122,356,313.89</w:t>
            </w:r>
          </w:p>
        </w:tc>
      </w:tr>
      <w:tr>
        <w:trPr>
          <w:trHeight w:val="350" w:hRule="exact"/>
        </w:trPr>
        <w:tc>
          <w:tcPr>
            <w:tcW w:w="2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z w:val="18"/>
                <w:szCs w:val="18"/>
              </w:rPr>
              <w:t>其他权益工具投资</w:t>
            </w:r>
            <w:r>
              <w:rPr>
                <w:rFonts w:ascii="宋体" w:hAnsi="宋体" w:cs="宋体" w:eastAsia="宋体" w:hint="default"/>
                <w:spacing w:val="-5"/>
                <w:sz w:val="18"/>
                <w:szCs w:val="18"/>
              </w:rPr>
              <w:t> </w:t>
            </w:r>
            <w:r>
              <w:rPr>
                <w:rFonts w:ascii="宋体" w:hAnsi="宋体" w:cs="宋体" w:eastAsia="宋体" w:hint="default"/>
                <w:sz w:val="18"/>
                <w:szCs w:val="18"/>
              </w:rPr>
              <w:t> </w:t>
            </w:r>
          </w:p>
        </w:tc>
        <w:tc>
          <w:tcPr>
            <w:tcW w:w="2449" w:type="dxa"/>
            <w:tcBorders>
              <w:top w:val="single" w:sz="6" w:space="0" w:color="000000"/>
              <w:left w:val="single" w:sz="6" w:space="0" w:color="000000"/>
              <w:bottom w:val="single" w:sz="6" w:space="0" w:color="000000"/>
              <w:right w:val="single" w:sz="6" w:space="0" w:color="000000"/>
            </w:tcBorders>
          </w:tcPr>
          <w:p>
            <w:pPr/>
          </w:p>
        </w:tc>
        <w:tc>
          <w:tcPr>
            <w:tcW w:w="24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5"/>
              <w:jc w:val="right"/>
              <w:rPr>
                <w:rFonts w:ascii="宋体" w:hAnsi="宋体" w:cs="宋体" w:eastAsia="宋体" w:hint="default"/>
                <w:sz w:val="18"/>
                <w:szCs w:val="18"/>
              </w:rPr>
            </w:pPr>
            <w:r>
              <w:rPr>
                <w:rFonts w:ascii="宋体"/>
                <w:color w:val="333333"/>
                <w:spacing w:val="-1"/>
                <w:sz w:val="18"/>
              </w:rPr>
              <w:t>552,617.17</w:t>
            </w:r>
            <w:r>
              <w:rPr>
                <w:rFonts w:ascii="宋体"/>
                <w:spacing w:val="-1"/>
                <w:sz w:val="18"/>
              </w:rPr>
            </w: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5"/>
              <w:jc w:val="right"/>
              <w:rPr>
                <w:rFonts w:ascii="宋体" w:hAnsi="宋体" w:cs="宋体" w:eastAsia="宋体" w:hint="default"/>
                <w:sz w:val="18"/>
                <w:szCs w:val="18"/>
              </w:rPr>
            </w:pPr>
            <w:r>
              <w:rPr>
                <w:rFonts w:ascii="宋体"/>
                <w:color w:val="333333"/>
                <w:spacing w:val="-1"/>
                <w:sz w:val="18"/>
              </w:rPr>
              <w:t>552,617.17</w:t>
            </w:r>
            <w:r>
              <w:rPr>
                <w:rFonts w:ascii="宋体"/>
                <w:spacing w:val="-1"/>
                <w:sz w:val="18"/>
              </w:rPr>
            </w:r>
          </w:p>
        </w:tc>
      </w:tr>
      <w:tr>
        <w:trPr>
          <w:trHeight w:val="346" w:hRule="exact"/>
        </w:trPr>
        <w:tc>
          <w:tcPr>
            <w:tcW w:w="2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其他非流动金融资产</w:t>
            </w:r>
            <w:r>
              <w:rPr>
                <w:rFonts w:ascii="宋体" w:hAnsi="宋体" w:cs="宋体" w:eastAsia="宋体" w:hint="default"/>
                <w:sz w:val="18"/>
                <w:szCs w:val="18"/>
              </w:rPr>
              <w:t> </w:t>
            </w:r>
          </w:p>
        </w:tc>
        <w:tc>
          <w:tcPr>
            <w:tcW w:w="2449" w:type="dxa"/>
            <w:tcBorders>
              <w:top w:val="single" w:sz="6" w:space="0" w:color="000000"/>
              <w:left w:val="single" w:sz="6" w:space="0" w:color="000000"/>
              <w:bottom w:val="single" w:sz="6" w:space="0" w:color="000000"/>
              <w:right w:val="single" w:sz="6" w:space="0" w:color="000000"/>
            </w:tcBorders>
          </w:tcPr>
          <w:p>
            <w:pPr/>
          </w:p>
        </w:tc>
        <w:tc>
          <w:tcPr>
            <w:tcW w:w="24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4"/>
              <w:jc w:val="right"/>
              <w:rPr>
                <w:rFonts w:ascii="宋体" w:hAnsi="宋体" w:cs="宋体" w:eastAsia="宋体" w:hint="default"/>
                <w:sz w:val="18"/>
                <w:szCs w:val="18"/>
              </w:rPr>
            </w:pPr>
            <w:r>
              <w:rPr>
                <w:rFonts w:ascii="宋体"/>
                <w:color w:val="333333"/>
                <w:spacing w:val="-2"/>
                <w:sz w:val="18"/>
              </w:rPr>
              <w:t>121,803,696.72</w:t>
            </w:r>
            <w:r>
              <w:rPr>
                <w:rFonts w:ascii="宋体"/>
                <w:spacing w:val="-2"/>
                <w:sz w:val="18"/>
              </w:rPr>
            </w: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5"/>
              <w:jc w:val="right"/>
              <w:rPr>
                <w:rFonts w:ascii="宋体" w:hAnsi="宋体" w:cs="宋体" w:eastAsia="宋体" w:hint="default"/>
                <w:sz w:val="18"/>
                <w:szCs w:val="18"/>
              </w:rPr>
            </w:pPr>
            <w:r>
              <w:rPr>
                <w:rFonts w:ascii="宋体"/>
                <w:color w:val="333333"/>
                <w:spacing w:val="-2"/>
                <w:sz w:val="18"/>
              </w:rPr>
              <w:t>121,803,696.72</w:t>
            </w:r>
            <w:r>
              <w:rPr>
                <w:rFonts w:ascii="宋体"/>
                <w:spacing w:val="-2"/>
                <w:sz w:val="18"/>
              </w:rPr>
            </w:r>
          </w:p>
        </w:tc>
      </w:tr>
      <w:tr>
        <w:trPr>
          <w:trHeight w:val="346" w:hRule="exact"/>
        </w:trPr>
        <w:tc>
          <w:tcPr>
            <w:tcW w:w="2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w:t>
            </w:r>
            <w:r>
              <w:rPr>
                <w:rFonts w:ascii="宋体" w:hAnsi="宋体" w:cs="宋体" w:eastAsia="宋体" w:hint="default"/>
                <w:spacing w:val="-5"/>
                <w:sz w:val="18"/>
                <w:szCs w:val="18"/>
              </w:rPr>
              <w:t> </w:t>
            </w:r>
            <w:r>
              <w:rPr>
                <w:rFonts w:ascii="宋体" w:hAnsi="宋体" w:cs="宋体" w:eastAsia="宋体" w:hint="default"/>
                <w:sz w:val="18"/>
                <w:szCs w:val="18"/>
              </w:rPr>
              <w:t> </w:t>
            </w:r>
          </w:p>
        </w:tc>
        <w:tc>
          <w:tcPr>
            <w:tcW w:w="24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5"/>
              <w:jc w:val="right"/>
              <w:rPr>
                <w:rFonts w:ascii="宋体" w:hAnsi="宋体" w:cs="宋体" w:eastAsia="宋体" w:hint="default"/>
                <w:sz w:val="18"/>
                <w:szCs w:val="18"/>
              </w:rPr>
            </w:pPr>
            <w:r>
              <w:rPr>
                <w:rFonts w:ascii="宋体"/>
                <w:spacing w:val="-1"/>
                <w:sz w:val="18"/>
              </w:rPr>
              <w:t>26,763,884.98</w:t>
            </w:r>
          </w:p>
        </w:tc>
        <w:tc>
          <w:tcPr>
            <w:tcW w:w="24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5"/>
              <w:jc w:val="right"/>
              <w:rPr>
                <w:rFonts w:ascii="宋体" w:hAnsi="宋体" w:cs="宋体" w:eastAsia="宋体" w:hint="default"/>
                <w:sz w:val="18"/>
                <w:szCs w:val="18"/>
              </w:rPr>
            </w:pPr>
            <w:r>
              <w:rPr>
                <w:rFonts w:ascii="宋体"/>
                <w:spacing w:val="-1"/>
                <w:sz w:val="18"/>
              </w:rPr>
              <w:t>26,990,756.56</w:t>
            </w: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5"/>
              <w:jc w:val="right"/>
              <w:rPr>
                <w:rFonts w:ascii="宋体" w:hAnsi="宋体" w:cs="宋体" w:eastAsia="宋体" w:hint="default"/>
                <w:sz w:val="18"/>
                <w:szCs w:val="18"/>
              </w:rPr>
            </w:pPr>
            <w:r>
              <w:rPr>
                <w:rFonts w:ascii="宋体"/>
                <w:spacing w:val="-1"/>
                <w:sz w:val="18"/>
              </w:rPr>
              <w:t>226,871.58</w:t>
            </w:r>
          </w:p>
        </w:tc>
      </w:tr>
      <w:tr>
        <w:trPr>
          <w:trHeight w:val="346" w:hRule="exact"/>
        </w:trPr>
        <w:tc>
          <w:tcPr>
            <w:tcW w:w="2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盈余公积</w:t>
            </w:r>
            <w:r>
              <w:rPr>
                <w:rFonts w:ascii="宋体" w:hAnsi="宋体" w:cs="宋体" w:eastAsia="宋体" w:hint="default"/>
                <w:sz w:val="18"/>
                <w:szCs w:val="18"/>
              </w:rPr>
              <w:t> </w:t>
            </w:r>
          </w:p>
        </w:tc>
        <w:tc>
          <w:tcPr>
            <w:tcW w:w="24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5"/>
              <w:jc w:val="right"/>
              <w:rPr>
                <w:rFonts w:ascii="宋体" w:hAnsi="宋体" w:cs="宋体" w:eastAsia="宋体" w:hint="default"/>
                <w:sz w:val="18"/>
                <w:szCs w:val="18"/>
              </w:rPr>
            </w:pPr>
            <w:r>
              <w:rPr>
                <w:rFonts w:ascii="宋体"/>
                <w:spacing w:val="-1"/>
                <w:sz w:val="18"/>
              </w:rPr>
              <w:t>82,733,944.89</w:t>
            </w:r>
          </w:p>
        </w:tc>
        <w:tc>
          <w:tcPr>
            <w:tcW w:w="24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5"/>
              <w:jc w:val="right"/>
              <w:rPr>
                <w:rFonts w:ascii="宋体" w:hAnsi="宋体" w:cs="宋体" w:eastAsia="宋体" w:hint="default"/>
                <w:sz w:val="18"/>
                <w:szCs w:val="18"/>
              </w:rPr>
            </w:pPr>
            <w:r>
              <w:rPr>
                <w:rFonts w:ascii="宋体"/>
                <w:spacing w:val="-1"/>
                <w:sz w:val="18"/>
              </w:rPr>
              <w:t>82,590,196.56</w:t>
            </w: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5"/>
              <w:jc w:val="right"/>
              <w:rPr>
                <w:rFonts w:ascii="宋体" w:hAnsi="宋体" w:cs="宋体" w:eastAsia="宋体" w:hint="default"/>
                <w:sz w:val="18"/>
                <w:szCs w:val="18"/>
              </w:rPr>
            </w:pPr>
            <w:r>
              <w:rPr>
                <w:rFonts w:ascii="宋体"/>
                <w:spacing w:val="-1"/>
                <w:sz w:val="18"/>
              </w:rPr>
              <w:t>-143,748.33</w:t>
            </w:r>
          </w:p>
        </w:tc>
      </w:tr>
      <w:tr>
        <w:trPr>
          <w:trHeight w:val="350" w:hRule="exact"/>
        </w:trPr>
        <w:tc>
          <w:tcPr>
            <w:tcW w:w="2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z w:val="18"/>
                <w:szCs w:val="18"/>
              </w:rPr>
              <w:t>未分配利润</w:t>
            </w:r>
            <w:r>
              <w:rPr>
                <w:rFonts w:ascii="宋体" w:hAnsi="宋体" w:cs="宋体" w:eastAsia="宋体" w:hint="default"/>
                <w:spacing w:val="-5"/>
                <w:sz w:val="18"/>
                <w:szCs w:val="18"/>
              </w:rPr>
              <w:t> </w:t>
            </w:r>
            <w:r>
              <w:rPr>
                <w:rFonts w:ascii="宋体" w:hAnsi="宋体" w:cs="宋体" w:eastAsia="宋体" w:hint="default"/>
                <w:sz w:val="18"/>
                <w:szCs w:val="18"/>
              </w:rPr>
              <w:t> </w:t>
            </w:r>
          </w:p>
        </w:tc>
        <w:tc>
          <w:tcPr>
            <w:tcW w:w="24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5"/>
              <w:jc w:val="right"/>
              <w:rPr>
                <w:rFonts w:ascii="宋体" w:hAnsi="宋体" w:cs="宋体" w:eastAsia="宋体" w:hint="default"/>
                <w:sz w:val="18"/>
                <w:szCs w:val="18"/>
              </w:rPr>
            </w:pPr>
            <w:r>
              <w:rPr>
                <w:rFonts w:ascii="宋体"/>
                <w:spacing w:val="-2"/>
                <w:sz w:val="18"/>
              </w:rPr>
              <w:t>387,394,501.93</w:t>
            </w:r>
          </w:p>
        </w:tc>
        <w:tc>
          <w:tcPr>
            <w:tcW w:w="24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4"/>
              <w:jc w:val="right"/>
              <w:rPr>
                <w:rFonts w:ascii="宋体" w:hAnsi="宋体" w:cs="宋体" w:eastAsia="宋体" w:hint="default"/>
                <w:sz w:val="18"/>
                <w:szCs w:val="18"/>
              </w:rPr>
            </w:pPr>
            <w:r>
              <w:rPr>
                <w:rFonts w:ascii="宋体"/>
                <w:spacing w:val="-2"/>
                <w:sz w:val="18"/>
              </w:rPr>
              <w:t>385,403,661.35</w:t>
            </w: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5"/>
              <w:jc w:val="right"/>
              <w:rPr>
                <w:rFonts w:ascii="宋体" w:hAnsi="宋体" w:cs="宋体" w:eastAsia="宋体" w:hint="default"/>
                <w:sz w:val="18"/>
                <w:szCs w:val="18"/>
              </w:rPr>
            </w:pPr>
            <w:r>
              <w:rPr>
                <w:rFonts w:ascii="宋体"/>
                <w:spacing w:val="-1"/>
                <w:sz w:val="18"/>
              </w:rPr>
              <w:t>-1,990,840.58</w:t>
            </w:r>
          </w:p>
        </w:tc>
      </w:tr>
      <w:tr>
        <w:trPr>
          <w:trHeight w:val="346" w:hRule="exact"/>
        </w:trPr>
        <w:tc>
          <w:tcPr>
            <w:tcW w:w="2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少数股东权益</w:t>
            </w:r>
            <w:r>
              <w:rPr>
                <w:rFonts w:ascii="宋体" w:hAnsi="宋体" w:cs="宋体" w:eastAsia="宋体" w:hint="default"/>
                <w:spacing w:val="-5"/>
                <w:sz w:val="18"/>
                <w:szCs w:val="18"/>
              </w:rPr>
              <w:t> </w:t>
            </w:r>
            <w:r>
              <w:rPr>
                <w:rFonts w:ascii="宋体" w:hAnsi="宋体" w:cs="宋体" w:eastAsia="宋体" w:hint="default"/>
                <w:sz w:val="18"/>
                <w:szCs w:val="18"/>
              </w:rPr>
              <w:t> </w:t>
            </w:r>
          </w:p>
        </w:tc>
        <w:tc>
          <w:tcPr>
            <w:tcW w:w="24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5"/>
              <w:jc w:val="right"/>
              <w:rPr>
                <w:rFonts w:ascii="宋体" w:hAnsi="宋体" w:cs="宋体" w:eastAsia="宋体" w:hint="default"/>
                <w:sz w:val="18"/>
                <w:szCs w:val="18"/>
              </w:rPr>
            </w:pPr>
            <w:r>
              <w:rPr>
                <w:rFonts w:ascii="宋体"/>
                <w:spacing w:val="-2"/>
                <w:sz w:val="18"/>
              </w:rPr>
              <w:t>258,973,856.72</w:t>
            </w:r>
          </w:p>
        </w:tc>
        <w:tc>
          <w:tcPr>
            <w:tcW w:w="24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4"/>
              <w:jc w:val="right"/>
              <w:rPr>
                <w:rFonts w:ascii="宋体" w:hAnsi="宋体" w:cs="宋体" w:eastAsia="宋体" w:hint="default"/>
                <w:sz w:val="18"/>
                <w:szCs w:val="18"/>
              </w:rPr>
            </w:pPr>
            <w:r>
              <w:rPr>
                <w:rFonts w:ascii="宋体"/>
                <w:spacing w:val="-2"/>
                <w:sz w:val="18"/>
              </w:rPr>
              <w:t>259,408,798.65</w:t>
            </w: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5"/>
              <w:jc w:val="right"/>
              <w:rPr>
                <w:rFonts w:ascii="宋体" w:hAnsi="宋体" w:cs="宋体" w:eastAsia="宋体" w:hint="default"/>
                <w:sz w:val="18"/>
                <w:szCs w:val="18"/>
              </w:rPr>
            </w:pPr>
            <w:r>
              <w:rPr>
                <w:rFonts w:ascii="宋体"/>
                <w:spacing w:val="-1"/>
                <w:sz w:val="18"/>
              </w:rPr>
              <w:t>434,941.93</w:t>
            </w:r>
          </w:p>
        </w:tc>
      </w:tr>
    </w:tbl>
    <w:p>
      <w:pPr>
        <w:spacing w:line="240" w:lineRule="auto" w:before="1"/>
        <w:rPr>
          <w:rFonts w:ascii="宋体" w:hAnsi="宋体" w:cs="宋体" w:eastAsia="宋体" w:hint="default"/>
          <w:sz w:val="18"/>
          <w:szCs w:val="18"/>
        </w:rPr>
      </w:pPr>
    </w:p>
    <w:p>
      <w:pPr>
        <w:spacing w:before="26"/>
        <w:ind w:left="153" w:right="855" w:firstLine="0"/>
        <w:jc w:val="left"/>
        <w:rPr>
          <w:rFonts w:ascii="宋体" w:hAnsi="宋体" w:cs="宋体" w:eastAsia="宋体" w:hint="default"/>
          <w:sz w:val="24"/>
          <w:szCs w:val="24"/>
        </w:rPr>
      </w:pPr>
      <w:r>
        <w:rPr>
          <w:rFonts w:ascii="宋体" w:hAnsi="宋体" w:cs="宋体" w:eastAsia="宋体" w:hint="default"/>
          <w:b/>
          <w:bCs/>
          <w:sz w:val="24"/>
          <w:szCs w:val="24"/>
        </w:rPr>
        <w:t>六、税项</w:t>
      </w:r>
      <w:r>
        <w:rPr>
          <w:rFonts w:ascii="宋体" w:hAnsi="宋体" w:cs="宋体" w:eastAsia="宋体" w:hint="default"/>
          <w:sz w:val="24"/>
          <w:szCs w:val="24"/>
        </w:rPr>
      </w:r>
    </w:p>
    <w:p>
      <w:pPr>
        <w:spacing w:line="240" w:lineRule="auto" w:before="7"/>
        <w:rPr>
          <w:rFonts w:ascii="宋体" w:hAnsi="宋体" w:cs="宋体" w:eastAsia="宋体" w:hint="default"/>
          <w:b/>
          <w:bCs/>
          <w:sz w:val="24"/>
          <w:szCs w:val="24"/>
        </w:rPr>
      </w:pPr>
    </w:p>
    <w:p>
      <w:pPr>
        <w:pStyle w:val="Heading4"/>
        <w:spacing w:line="240" w:lineRule="auto"/>
        <w:ind w:right="855"/>
        <w:jc w:val="left"/>
        <w:rPr>
          <w:b w:val="0"/>
          <w:bCs w:val="0"/>
        </w:rPr>
      </w:pPr>
      <w:r>
        <w:rPr>
          <w:rFonts w:ascii="Times New Roman" w:hAnsi="Times New Roman" w:cs="Times New Roman" w:eastAsia="Times New Roman" w:hint="default"/>
        </w:rPr>
        <w:t>1</w:t>
      </w:r>
      <w:r>
        <w:rPr/>
        <w:t>、主要税种及税率</w:t>
      </w:r>
      <w:r>
        <w:rPr>
          <w:b w:val="0"/>
          <w:bCs w:val="0"/>
        </w:rPr>
      </w:r>
    </w:p>
    <w:p>
      <w:pPr>
        <w:spacing w:line="240" w:lineRule="auto" w:before="11"/>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2555"/>
        <w:gridCol w:w="3828"/>
        <w:gridCol w:w="3193"/>
      </w:tblGrid>
      <w:tr>
        <w:trPr>
          <w:trHeight w:val="403" w:hRule="exact"/>
        </w:trPr>
        <w:tc>
          <w:tcPr>
            <w:tcW w:w="25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3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317" w:hRule="exact"/>
        </w:trPr>
        <w:tc>
          <w:tcPr>
            <w:tcW w:w="2555"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8" w:type="dxa"/>
            <w:vMerge w:val="restart"/>
            <w:tcBorders>
              <w:top w:val="single" w:sz="4" w:space="0" w:color="000000"/>
              <w:left w:val="single" w:sz="4" w:space="0" w:color="000000"/>
              <w:right w:val="single" w:sz="4" w:space="0" w:color="000000"/>
            </w:tcBorders>
          </w:tcPr>
          <w:p>
            <w:pPr>
              <w:pStyle w:val="TableParagraph"/>
              <w:spacing w:line="307" w:lineRule="auto" w:before="53"/>
              <w:ind w:left="24" w:right="13"/>
              <w:jc w:val="both"/>
              <w:rPr>
                <w:rFonts w:ascii="宋体" w:hAnsi="宋体" w:cs="宋体" w:eastAsia="宋体" w:hint="default"/>
                <w:sz w:val="18"/>
                <w:szCs w:val="18"/>
              </w:rPr>
            </w:pPr>
            <w:r>
              <w:rPr>
                <w:rFonts w:ascii="宋体" w:hAnsi="宋体" w:cs="宋体" w:eastAsia="宋体" w:hint="default"/>
                <w:spacing w:val="-1"/>
                <w:w w:val="101"/>
                <w:sz w:val="18"/>
                <w:szCs w:val="18"/>
              </w:rPr>
              <w:t>应税收入按</w:t>
            </w:r>
            <w:r>
              <w:rPr>
                <w:rFonts w:ascii="宋体" w:hAnsi="宋体" w:cs="宋体" w:eastAsia="宋体" w:hint="default"/>
                <w:spacing w:val="-45"/>
                <w:w w:val="101"/>
                <w:sz w:val="18"/>
                <w:szCs w:val="18"/>
              </w:rPr>
              <w:t> </w:t>
            </w:r>
            <w:r>
              <w:rPr>
                <w:rFonts w:ascii="Times New Roman" w:hAnsi="Times New Roman" w:cs="Times New Roman" w:eastAsia="Times New Roman" w:hint="default"/>
                <w:spacing w:val="-11"/>
                <w:w w:val="101"/>
                <w:sz w:val="18"/>
                <w:szCs w:val="18"/>
              </w:rPr>
              <w:t>16%</w:t>
            </w:r>
            <w:r>
              <w:rPr>
                <w:rFonts w:ascii="宋体" w:hAnsi="宋体" w:cs="宋体" w:eastAsia="宋体" w:hint="default"/>
                <w:spacing w:val="-11"/>
                <w:w w:val="101"/>
                <w:sz w:val="18"/>
                <w:szCs w:val="18"/>
              </w:rPr>
              <w:t>（</w:t>
            </w:r>
            <w:r>
              <w:rPr>
                <w:rFonts w:ascii="Times New Roman" w:hAnsi="Times New Roman" w:cs="Times New Roman" w:eastAsia="Times New Roman" w:hint="default"/>
                <w:spacing w:val="-11"/>
                <w:w w:val="101"/>
                <w:sz w:val="18"/>
                <w:szCs w:val="18"/>
              </w:rPr>
              <w:t>13%</w:t>
            </w:r>
            <w:r>
              <w:rPr>
                <w:rFonts w:ascii="宋体" w:hAnsi="宋体" w:cs="宋体" w:eastAsia="宋体" w:hint="default"/>
                <w:spacing w:val="-11"/>
                <w:w w:val="101"/>
                <w:sz w:val="18"/>
                <w:szCs w:val="18"/>
              </w:rPr>
              <w:t>）、</w:t>
            </w:r>
            <w:r>
              <w:rPr>
                <w:rFonts w:ascii="Times New Roman" w:hAnsi="Times New Roman" w:cs="Times New Roman" w:eastAsia="Times New Roman" w:hint="default"/>
                <w:spacing w:val="-11"/>
                <w:w w:val="101"/>
                <w:sz w:val="18"/>
                <w:szCs w:val="18"/>
              </w:rPr>
              <w:t>10%</w:t>
            </w:r>
            <w:r>
              <w:rPr>
                <w:rFonts w:ascii="宋体" w:hAnsi="宋体" w:cs="宋体" w:eastAsia="宋体" w:hint="default"/>
                <w:spacing w:val="-11"/>
                <w:w w:val="101"/>
                <w:sz w:val="18"/>
                <w:szCs w:val="18"/>
              </w:rPr>
              <w:t>（</w:t>
            </w:r>
            <w:r>
              <w:rPr>
                <w:rFonts w:ascii="Times New Roman" w:hAnsi="Times New Roman" w:cs="Times New Roman" w:eastAsia="Times New Roman" w:hint="default"/>
                <w:spacing w:val="-11"/>
                <w:w w:val="101"/>
                <w:sz w:val="18"/>
                <w:szCs w:val="18"/>
              </w:rPr>
              <w:t>9%</w:t>
            </w:r>
            <w:r>
              <w:rPr>
                <w:rFonts w:ascii="宋体" w:hAnsi="宋体" w:cs="宋体" w:eastAsia="宋体" w:hint="default"/>
                <w:spacing w:val="-11"/>
                <w:w w:val="101"/>
                <w:sz w:val="18"/>
                <w:szCs w:val="18"/>
              </w:rPr>
              <w:t>）、</w:t>
            </w:r>
            <w:r>
              <w:rPr>
                <w:rFonts w:ascii="Times New Roman" w:hAnsi="Times New Roman" w:cs="Times New Roman" w:eastAsia="Times New Roman" w:hint="default"/>
                <w:spacing w:val="-11"/>
                <w:w w:val="101"/>
                <w:sz w:val="18"/>
                <w:szCs w:val="18"/>
              </w:rPr>
              <w:t>6%</w:t>
            </w:r>
            <w:r>
              <w:rPr>
                <w:rFonts w:ascii="宋体" w:hAnsi="宋体" w:cs="宋体" w:eastAsia="宋体" w:hint="default"/>
                <w:spacing w:val="-11"/>
                <w:w w:val="101"/>
                <w:sz w:val="18"/>
                <w:szCs w:val="18"/>
              </w:rPr>
              <w:t>、</w:t>
            </w:r>
            <w:r>
              <w:rPr>
                <w:rFonts w:ascii="Times New Roman" w:hAnsi="Times New Roman" w:cs="Times New Roman" w:eastAsia="Times New Roman" w:hint="default"/>
                <w:spacing w:val="-11"/>
                <w:w w:val="101"/>
                <w:sz w:val="18"/>
                <w:szCs w:val="18"/>
              </w:rPr>
              <w:t>5%</w:t>
            </w:r>
            <w:r>
              <w:rPr>
                <w:rFonts w:ascii="Times New Roman" w:hAnsi="Times New Roman" w:cs="Times New Roman" w:eastAsia="Times New Roman" w:hint="default"/>
                <w:spacing w:val="-40"/>
                <w:w w:val="101"/>
                <w:sz w:val="18"/>
                <w:szCs w:val="18"/>
              </w:rPr>
              <w:t> </w:t>
            </w:r>
            <w:r>
              <w:rPr>
                <w:rFonts w:ascii="宋体" w:hAnsi="宋体" w:cs="宋体" w:eastAsia="宋体" w:hint="default"/>
                <w:spacing w:val="-3"/>
                <w:sz w:val="18"/>
                <w:szCs w:val="18"/>
              </w:rPr>
              <w:t>的税率计算销项税，并按扣除当期允许抵扣的进</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pacing w:val="-3"/>
                <w:sz w:val="18"/>
                <w:szCs w:val="18"/>
              </w:rPr>
              <w:t>项税额后的差额计缴增值税。</w:t>
            </w:r>
          </w:p>
        </w:tc>
        <w:tc>
          <w:tcPr>
            <w:tcW w:w="319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w w:val="101"/>
                <w:sz w:val="18"/>
                <w:szCs w:val="18"/>
              </w:rPr>
              <w:t>16</w:t>
            </w:r>
            <w:r>
              <w:rPr>
                <w:rFonts w:ascii="Times New Roman" w:hAnsi="Times New Roman" w:cs="Times New Roman" w:eastAsia="Times New Roman" w:hint="default"/>
                <w:spacing w:val="-4"/>
                <w:w w:val="101"/>
                <w:sz w:val="18"/>
                <w:szCs w:val="18"/>
              </w:rPr>
              <w:t>%</w:t>
            </w:r>
            <w:r>
              <w:rPr>
                <w:rFonts w:ascii="宋体" w:hAnsi="宋体" w:cs="宋体" w:eastAsia="宋体" w:hint="default"/>
                <w:w w:val="101"/>
                <w:sz w:val="18"/>
                <w:szCs w:val="18"/>
              </w:rPr>
              <w:t>（</w:t>
            </w:r>
            <w:r>
              <w:rPr>
                <w:rFonts w:ascii="Times New Roman" w:hAnsi="Times New Roman" w:cs="Times New Roman" w:eastAsia="Times New Roman" w:hint="default"/>
                <w:w w:val="101"/>
                <w:sz w:val="18"/>
                <w:szCs w:val="18"/>
              </w:rPr>
              <w:t>1</w:t>
            </w:r>
            <w:r>
              <w:rPr>
                <w:rFonts w:ascii="Times New Roman" w:hAnsi="Times New Roman" w:cs="Times New Roman" w:eastAsia="Times New Roman" w:hint="default"/>
                <w:spacing w:val="-5"/>
                <w:w w:val="101"/>
                <w:sz w:val="18"/>
                <w:szCs w:val="18"/>
              </w:rPr>
              <w:t>3</w:t>
            </w:r>
            <w:r>
              <w:rPr>
                <w:rFonts w:ascii="Times New Roman" w:hAnsi="Times New Roman" w:cs="Times New Roman" w:eastAsia="Times New Roman" w:hint="default"/>
                <w:spacing w:val="1"/>
                <w:w w:val="101"/>
                <w:sz w:val="18"/>
                <w:szCs w:val="18"/>
              </w:rPr>
              <w:t>%</w:t>
            </w:r>
            <w:r>
              <w:rPr>
                <w:rFonts w:ascii="宋体" w:hAnsi="宋体" w:cs="宋体" w:eastAsia="宋体" w:hint="default"/>
                <w:spacing w:val="-96"/>
                <w:w w:val="101"/>
                <w:sz w:val="18"/>
                <w:szCs w:val="18"/>
              </w:rPr>
              <w:t>）</w:t>
            </w:r>
            <w:r>
              <w:rPr>
                <w:rFonts w:ascii="宋体" w:hAnsi="宋体" w:cs="宋体" w:eastAsia="宋体" w:hint="default"/>
                <w:w w:val="101"/>
                <w:sz w:val="18"/>
                <w:szCs w:val="18"/>
              </w:rPr>
              <w:t>、</w:t>
            </w:r>
            <w:r>
              <w:rPr>
                <w:rFonts w:ascii="Times New Roman" w:hAnsi="Times New Roman" w:cs="Times New Roman" w:eastAsia="Times New Roman" w:hint="default"/>
                <w:w w:val="101"/>
                <w:sz w:val="18"/>
                <w:szCs w:val="18"/>
              </w:rPr>
              <w:t>1</w:t>
            </w:r>
            <w:r>
              <w:rPr>
                <w:rFonts w:ascii="Times New Roman" w:hAnsi="Times New Roman" w:cs="Times New Roman" w:eastAsia="Times New Roman" w:hint="default"/>
                <w:spacing w:val="-5"/>
                <w:w w:val="101"/>
                <w:sz w:val="18"/>
                <w:szCs w:val="18"/>
              </w:rPr>
              <w:t>0</w:t>
            </w:r>
            <w:r>
              <w:rPr>
                <w:rFonts w:ascii="Times New Roman" w:hAnsi="Times New Roman" w:cs="Times New Roman" w:eastAsia="Times New Roman" w:hint="default"/>
                <w:spacing w:val="-4"/>
                <w:w w:val="101"/>
                <w:sz w:val="18"/>
                <w:szCs w:val="18"/>
              </w:rPr>
              <w:t>%</w:t>
            </w:r>
            <w:r>
              <w:rPr>
                <w:rFonts w:ascii="宋体" w:hAnsi="宋体" w:cs="宋体" w:eastAsia="宋体" w:hint="default"/>
                <w:w w:val="101"/>
                <w:sz w:val="18"/>
                <w:szCs w:val="18"/>
              </w:rPr>
              <w:t>（</w:t>
            </w:r>
            <w:r>
              <w:rPr>
                <w:rFonts w:ascii="Times New Roman" w:hAnsi="Times New Roman" w:cs="Times New Roman" w:eastAsia="Times New Roman" w:hint="default"/>
                <w:spacing w:val="-5"/>
                <w:w w:val="101"/>
                <w:sz w:val="18"/>
                <w:szCs w:val="18"/>
              </w:rPr>
              <w:t>9</w:t>
            </w:r>
            <w:r>
              <w:rPr>
                <w:rFonts w:ascii="Times New Roman" w:hAnsi="Times New Roman" w:cs="Times New Roman" w:eastAsia="Times New Roman" w:hint="default"/>
                <w:spacing w:val="1"/>
                <w:w w:val="101"/>
                <w:sz w:val="18"/>
                <w:szCs w:val="18"/>
              </w:rPr>
              <w:t>%</w:t>
            </w:r>
            <w:r>
              <w:rPr>
                <w:rFonts w:ascii="宋体" w:hAnsi="宋体" w:cs="宋体" w:eastAsia="宋体" w:hint="default"/>
                <w:spacing w:val="-92"/>
                <w:w w:val="101"/>
                <w:sz w:val="18"/>
                <w:szCs w:val="18"/>
              </w:rPr>
              <w:t>）</w:t>
            </w:r>
            <w:r>
              <w:rPr>
                <w:rFonts w:ascii="宋体" w:hAnsi="宋体" w:cs="宋体" w:eastAsia="宋体" w:hint="default"/>
                <w:spacing w:val="-5"/>
                <w:w w:val="101"/>
                <w:sz w:val="18"/>
                <w:szCs w:val="18"/>
              </w:rPr>
              <w:t>、</w:t>
            </w:r>
            <w:r>
              <w:rPr>
                <w:rFonts w:ascii="Times New Roman" w:hAnsi="Times New Roman" w:cs="Times New Roman" w:eastAsia="Times New Roman" w:hint="default"/>
                <w:w w:val="101"/>
                <w:sz w:val="18"/>
                <w:szCs w:val="18"/>
              </w:rPr>
              <w:t>6</w:t>
            </w:r>
            <w:r>
              <w:rPr>
                <w:rFonts w:ascii="Times New Roman" w:hAnsi="Times New Roman" w:cs="Times New Roman" w:eastAsia="Times New Roman" w:hint="default"/>
                <w:spacing w:val="-3"/>
                <w:w w:val="101"/>
                <w:sz w:val="18"/>
                <w:szCs w:val="18"/>
              </w:rPr>
              <w:t>%</w:t>
            </w:r>
            <w:r>
              <w:rPr>
                <w:rFonts w:ascii="宋体" w:hAnsi="宋体" w:cs="宋体" w:eastAsia="宋体" w:hint="default"/>
                <w:w w:val="101"/>
                <w:sz w:val="18"/>
                <w:szCs w:val="18"/>
              </w:rPr>
              <w:t>、</w:t>
            </w:r>
            <w:r>
              <w:rPr>
                <w:rFonts w:ascii="Times New Roman" w:hAnsi="Times New Roman" w:cs="Times New Roman" w:eastAsia="Times New Roman" w:hint="default"/>
                <w:spacing w:val="-5"/>
                <w:w w:val="101"/>
                <w:sz w:val="18"/>
                <w:szCs w:val="18"/>
              </w:rPr>
              <w:t>5%</w:t>
            </w:r>
            <w:r>
              <w:rPr>
                <w:rFonts w:ascii="Times New Roman" w:hAnsi="Times New Roman" w:cs="Times New Roman" w:eastAsia="Times New Roman" w:hint="default"/>
                <w:sz w:val="18"/>
                <w:szCs w:val="18"/>
              </w:rPr>
            </w:r>
          </w:p>
        </w:tc>
      </w:tr>
      <w:tr>
        <w:trPr>
          <w:trHeight w:val="394" w:hRule="exact"/>
        </w:trPr>
        <w:tc>
          <w:tcPr>
            <w:tcW w:w="255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828" w:type="dxa"/>
            <w:vMerge/>
            <w:tcBorders>
              <w:left w:val="single" w:sz="4" w:space="0" w:color="000000"/>
              <w:right w:val="single" w:sz="4" w:space="0" w:color="000000"/>
            </w:tcBorders>
          </w:tcPr>
          <w:p>
            <w:pPr/>
          </w:p>
        </w:tc>
        <w:tc>
          <w:tcPr>
            <w:tcW w:w="3193" w:type="dxa"/>
            <w:vMerge/>
            <w:tcBorders>
              <w:left w:val="single" w:sz="4" w:space="0" w:color="000000"/>
              <w:right w:val="single" w:sz="4" w:space="0" w:color="000000"/>
            </w:tcBorders>
          </w:tcPr>
          <w:p>
            <w:pPr/>
          </w:p>
        </w:tc>
      </w:tr>
      <w:tr>
        <w:trPr>
          <w:trHeight w:val="317" w:hRule="exact"/>
        </w:trPr>
        <w:tc>
          <w:tcPr>
            <w:tcW w:w="2555" w:type="dxa"/>
            <w:tcBorders>
              <w:top w:val="nil" w:sz="6" w:space="0" w:color="auto"/>
              <w:left w:val="single" w:sz="4" w:space="0" w:color="000000"/>
              <w:bottom w:val="single" w:sz="4" w:space="0" w:color="000000"/>
              <w:right w:val="single" w:sz="4" w:space="0" w:color="000000"/>
            </w:tcBorders>
            <w:shd w:val="clear" w:color="auto" w:fill="D2D2D2"/>
          </w:tcPr>
          <w:p>
            <w:pPr/>
          </w:p>
        </w:tc>
        <w:tc>
          <w:tcPr>
            <w:tcW w:w="3828" w:type="dxa"/>
            <w:vMerge/>
            <w:tcBorders>
              <w:left w:val="single" w:sz="4" w:space="0" w:color="000000"/>
              <w:bottom w:val="single" w:sz="4" w:space="0" w:color="000000"/>
              <w:right w:val="single" w:sz="4" w:space="0" w:color="000000"/>
            </w:tcBorders>
          </w:tcPr>
          <w:p>
            <w:pPr/>
          </w:p>
        </w:tc>
        <w:tc>
          <w:tcPr>
            <w:tcW w:w="3193" w:type="dxa"/>
            <w:vMerge/>
            <w:tcBorders>
              <w:left w:val="single" w:sz="4" w:space="0" w:color="000000"/>
              <w:bottom w:val="single" w:sz="4" w:space="0" w:color="000000"/>
              <w:right w:val="single" w:sz="4" w:space="0" w:color="000000"/>
            </w:tcBorders>
          </w:tcPr>
          <w:p>
            <w:pPr/>
          </w:p>
        </w:tc>
      </w:tr>
      <w:tr>
        <w:trPr>
          <w:trHeight w:val="403" w:hRule="exact"/>
        </w:trPr>
        <w:tc>
          <w:tcPr>
            <w:tcW w:w="25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城市维护建设税</w:t>
            </w:r>
          </w:p>
        </w:tc>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按实际缴纳的流转税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7%</w:t>
            </w:r>
          </w:p>
        </w:tc>
      </w:tr>
    </w:tbl>
    <w:p>
      <w:pPr>
        <w:spacing w:after="0" w:line="240" w:lineRule="auto"/>
        <w:jc w:val="left"/>
        <w:rPr>
          <w:rFonts w:ascii="Times New Roman" w:hAnsi="Times New Roman" w:cs="Times New Roman" w:eastAsia="Times New Roman" w:hint="default"/>
          <w:sz w:val="18"/>
          <w:szCs w:val="18"/>
        </w:rPr>
        <w:sectPr>
          <w:pgSz w:w="11910" w:h="16840"/>
          <w:pgMar w:header="746" w:footer="974"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2555"/>
        <w:gridCol w:w="3828"/>
        <w:gridCol w:w="3193"/>
      </w:tblGrid>
      <w:tr>
        <w:trPr>
          <w:trHeight w:val="403" w:hRule="exact"/>
        </w:trPr>
        <w:tc>
          <w:tcPr>
            <w:tcW w:w="25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企业所得额</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p>
        </w:tc>
      </w:tr>
      <w:tr>
        <w:trPr>
          <w:trHeight w:val="398" w:hRule="exact"/>
        </w:trPr>
        <w:tc>
          <w:tcPr>
            <w:tcW w:w="2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按实际缴纳的流转税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3%</w:t>
            </w:r>
          </w:p>
        </w:tc>
      </w:tr>
      <w:tr>
        <w:trPr>
          <w:trHeight w:val="404" w:hRule="exact"/>
        </w:trPr>
        <w:tc>
          <w:tcPr>
            <w:tcW w:w="2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pacing w:val="-3"/>
                <w:sz w:val="18"/>
                <w:szCs w:val="18"/>
              </w:rPr>
              <w:t>地方教育费附加</w:t>
            </w:r>
          </w:p>
        </w:tc>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pacing w:val="-3"/>
                <w:sz w:val="18"/>
                <w:szCs w:val="18"/>
              </w:rPr>
              <w:t>按实际缴纳的流转税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4" w:right="0"/>
              <w:jc w:val="left"/>
              <w:rPr>
                <w:rFonts w:ascii="Times New Roman" w:hAnsi="Times New Roman" w:cs="Times New Roman" w:eastAsia="Times New Roman" w:hint="default"/>
                <w:sz w:val="18"/>
                <w:szCs w:val="18"/>
              </w:rPr>
            </w:pPr>
            <w:r>
              <w:rPr>
                <w:rFonts w:ascii="Times New Roman"/>
                <w:sz w:val="18"/>
              </w:rPr>
              <w:t>2%</w:t>
            </w:r>
          </w:p>
        </w:tc>
      </w:tr>
      <w:tr>
        <w:trPr>
          <w:trHeight w:val="715" w:hRule="exact"/>
        </w:trPr>
        <w:tc>
          <w:tcPr>
            <w:tcW w:w="2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3"/>
                <w:sz w:val="18"/>
                <w:szCs w:val="18"/>
              </w:rPr>
              <w:t>按自用房产余值或出租房产租金收入</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24" w:right="32"/>
              <w:jc w:val="left"/>
              <w:rPr>
                <w:rFonts w:ascii="宋体" w:hAnsi="宋体" w:cs="宋体" w:eastAsia="宋体" w:hint="default"/>
                <w:sz w:val="18"/>
                <w:szCs w:val="18"/>
              </w:rPr>
            </w:pPr>
            <w:r>
              <w:rPr>
                <w:rFonts w:ascii="宋体" w:hAnsi="宋体" w:cs="宋体" w:eastAsia="宋体" w:hint="default"/>
                <w:sz w:val="18"/>
                <w:szCs w:val="18"/>
              </w:rPr>
              <w:t>按自用房产余值的</w:t>
            </w:r>
            <w:r>
              <w:rPr>
                <w:rFonts w:ascii="宋体" w:hAnsi="宋体" w:cs="宋体" w:eastAsia="宋体" w:hint="default"/>
                <w:spacing w:val="-20"/>
                <w:sz w:val="18"/>
                <w:szCs w:val="18"/>
              </w:rPr>
              <w:t> </w:t>
            </w:r>
            <w:r>
              <w:rPr>
                <w:rFonts w:ascii="Times New Roman" w:hAnsi="Times New Roman" w:cs="Times New Roman" w:eastAsia="Times New Roman" w:hint="default"/>
                <w:spacing w:val="-3"/>
                <w:sz w:val="18"/>
                <w:szCs w:val="18"/>
              </w:rPr>
              <w:t>1.2%</w:t>
            </w:r>
            <w:r>
              <w:rPr>
                <w:rFonts w:ascii="宋体" w:hAnsi="宋体" w:cs="宋体" w:eastAsia="宋体" w:hint="default"/>
                <w:spacing w:val="-3"/>
                <w:sz w:val="18"/>
                <w:szCs w:val="18"/>
              </w:rPr>
              <w:t>计缴或出租房产</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租金收入的</w:t>
            </w:r>
            <w:r>
              <w:rPr>
                <w:rFonts w:ascii="宋体" w:hAnsi="宋体" w:cs="宋体" w:eastAsia="宋体" w:hint="default"/>
                <w:spacing w:val="-24"/>
                <w:sz w:val="18"/>
                <w:szCs w:val="18"/>
              </w:rPr>
              <w:t> </w:t>
            </w:r>
            <w:r>
              <w:rPr>
                <w:rFonts w:ascii="Times New Roman" w:hAnsi="Times New Roman" w:cs="Times New Roman" w:eastAsia="Times New Roman" w:hint="default"/>
                <w:spacing w:val="-3"/>
                <w:sz w:val="18"/>
                <w:szCs w:val="18"/>
              </w:rPr>
              <w:t>12%</w:t>
            </w:r>
            <w:r>
              <w:rPr>
                <w:rFonts w:ascii="宋体" w:hAnsi="宋体" w:cs="宋体" w:eastAsia="宋体" w:hint="default"/>
                <w:spacing w:val="-3"/>
                <w:sz w:val="18"/>
                <w:szCs w:val="18"/>
              </w:rPr>
              <w:t>计缴。</w:t>
            </w:r>
          </w:p>
        </w:tc>
      </w:tr>
      <w:tr>
        <w:trPr>
          <w:trHeight w:val="715" w:hRule="exact"/>
        </w:trPr>
        <w:tc>
          <w:tcPr>
            <w:tcW w:w="2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土地增值税</w:t>
            </w:r>
          </w:p>
        </w:tc>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土地增值额</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3"/>
              <w:ind w:left="24" w:right="94"/>
              <w:jc w:val="left"/>
              <w:rPr>
                <w:rFonts w:ascii="宋体" w:hAnsi="宋体" w:cs="宋体" w:eastAsia="宋体" w:hint="default"/>
                <w:sz w:val="18"/>
                <w:szCs w:val="18"/>
              </w:rPr>
            </w:pPr>
            <w:r>
              <w:rPr>
                <w:rFonts w:ascii="宋体" w:hAnsi="宋体" w:cs="宋体" w:eastAsia="宋体" w:hint="default"/>
                <w:spacing w:val="-3"/>
                <w:sz w:val="18"/>
                <w:szCs w:val="18"/>
              </w:rPr>
              <w:t>根据转让房地产所取得的增值额按超率</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累进税率计缴。</w:t>
            </w:r>
          </w:p>
        </w:tc>
      </w:tr>
    </w:tbl>
    <w:p>
      <w:pPr>
        <w:pStyle w:val="BodyText"/>
        <w:spacing w:line="240" w:lineRule="auto" w:before="54"/>
        <w:ind w:right="855"/>
        <w:jc w:val="left"/>
      </w:pPr>
      <w:r>
        <w:rPr>
          <w:spacing w:val="-3"/>
        </w:rPr>
        <w:t>存在不同企业所得税税率纳税主体的，披露情况说明</w:t>
      </w:r>
    </w:p>
    <w:p>
      <w:pPr>
        <w:spacing w:line="240" w:lineRule="auto" w:before="10"/>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783"/>
        <w:gridCol w:w="4788"/>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9" w:right="0"/>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）云南南天电子信息产业股份有限公司</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）北京南天软件有限公司</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399"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）北京南天信息工程有限公司</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）上海南天电脑系统有限公司</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）广州南天电脑系统有限公司</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）昆明南天电脑系统有限公司</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399"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7</w:t>
            </w:r>
            <w:r>
              <w:rPr>
                <w:rFonts w:ascii="宋体" w:hAnsi="宋体" w:cs="宋体" w:eastAsia="宋体" w:hint="default"/>
                <w:sz w:val="18"/>
                <w:szCs w:val="18"/>
              </w:rPr>
              <w:t>）云南南天信息设备有限公司</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8</w:t>
            </w:r>
            <w:r>
              <w:rPr>
                <w:rFonts w:ascii="宋体" w:hAnsi="宋体" w:cs="宋体" w:eastAsia="宋体" w:hint="default"/>
                <w:sz w:val="18"/>
                <w:szCs w:val="18"/>
              </w:rPr>
              <w:t>）深圳南天东华科技有限公司</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9</w:t>
            </w:r>
            <w:r>
              <w:rPr>
                <w:rFonts w:ascii="宋体" w:hAnsi="宋体" w:cs="宋体" w:eastAsia="宋体" w:hint="default"/>
                <w:spacing w:val="-3"/>
                <w:sz w:val="18"/>
                <w:szCs w:val="18"/>
              </w:rPr>
              <w:t>）成都南天佳信信息工程有限公司</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10</w:t>
            </w:r>
            <w:r>
              <w:rPr>
                <w:rFonts w:ascii="宋体" w:hAnsi="宋体" w:cs="宋体" w:eastAsia="宋体" w:hint="default"/>
                <w:spacing w:val="-3"/>
                <w:sz w:val="18"/>
                <w:szCs w:val="18"/>
              </w:rPr>
              <w:t>）云南红岭云科技股份有限公司</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399"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11</w:t>
            </w:r>
            <w:r>
              <w:rPr>
                <w:rFonts w:ascii="宋体" w:hAnsi="宋体" w:cs="宋体" w:eastAsia="宋体" w:hint="default"/>
                <w:spacing w:val="-3"/>
                <w:sz w:val="18"/>
                <w:szCs w:val="18"/>
              </w:rPr>
              <w:t>）北京星立方科技发展股份有限公司</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12</w:t>
            </w:r>
            <w:r>
              <w:rPr>
                <w:rFonts w:ascii="宋体" w:hAnsi="宋体" w:cs="宋体" w:eastAsia="宋体" w:hint="default"/>
                <w:spacing w:val="-3"/>
                <w:sz w:val="18"/>
                <w:szCs w:val="18"/>
              </w:rPr>
              <w:t>）北京南天智联信息科技有限公司</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0"/>
              <w:jc w:val="left"/>
              <w:rPr>
                <w:rFonts w:ascii="Times New Roman" w:hAnsi="Times New Roman" w:cs="Times New Roman" w:eastAsia="Times New Roman" w:hint="default"/>
                <w:sz w:val="18"/>
                <w:szCs w:val="18"/>
              </w:rPr>
            </w:pPr>
            <w:r>
              <w:rPr>
                <w:rFonts w:ascii="Times New Roman"/>
                <w:sz w:val="18"/>
              </w:rPr>
              <w:t>0%</w:t>
            </w:r>
          </w:p>
        </w:tc>
      </w:tr>
    </w:tbl>
    <w:p>
      <w:pPr>
        <w:spacing w:line="240" w:lineRule="auto" w:before="3"/>
        <w:rPr>
          <w:rFonts w:ascii="宋体" w:hAnsi="宋体" w:cs="宋体" w:eastAsia="宋体" w:hint="default"/>
          <w:sz w:val="19"/>
          <w:szCs w:val="19"/>
        </w:rPr>
      </w:pPr>
    </w:p>
    <w:p>
      <w:pPr>
        <w:pStyle w:val="Heading4"/>
        <w:spacing w:line="240" w:lineRule="auto" w:before="36"/>
        <w:ind w:right="855"/>
        <w:jc w:val="left"/>
        <w:rPr>
          <w:b w:val="0"/>
          <w:bCs w:val="0"/>
        </w:rPr>
      </w:pPr>
      <w:r>
        <w:rPr>
          <w:rFonts w:ascii="Times New Roman" w:hAnsi="Times New Roman" w:cs="Times New Roman" w:eastAsia="Times New Roman" w:hint="default"/>
        </w:rPr>
        <w:t>2</w:t>
      </w:r>
      <w:r>
        <w:rPr/>
        <w:t>、税收优惠</w:t>
      </w:r>
      <w:r>
        <w:rPr>
          <w:b w:val="0"/>
          <w:bCs w:val="0"/>
        </w:rPr>
      </w:r>
    </w:p>
    <w:p>
      <w:pPr>
        <w:pStyle w:val="BodyText"/>
        <w:spacing w:line="430" w:lineRule="atLeast" w:before="169"/>
        <w:ind w:left="513" w:right="855"/>
        <w:jc w:val="left"/>
      </w:pPr>
      <w:r>
        <w:rPr>
          <w:spacing w:val="-3"/>
        </w:rPr>
        <w:t>（</w:t>
      </w:r>
      <w:r>
        <w:rPr>
          <w:rFonts w:ascii="Times New Roman" w:hAnsi="Times New Roman" w:cs="Times New Roman" w:eastAsia="Times New Roman" w:hint="default"/>
          <w:spacing w:val="-3"/>
        </w:rPr>
        <w:t>1</w:t>
      </w:r>
      <w:r>
        <w:rPr>
          <w:spacing w:val="-3"/>
        </w:rPr>
        <w:t>）云南南天电子信息产业股份有限公司</w:t>
      </w:r>
      <w:r>
        <w:rPr>
          <w:spacing w:val="-29"/>
        </w:rPr>
        <w:t> </w:t>
      </w:r>
      <w:r>
        <w:rPr>
          <w:spacing w:val="-29"/>
        </w:rPr>
      </w:r>
      <w:r>
        <w:rPr>
          <w:spacing w:val="-1"/>
        </w:rPr>
        <w:t>云南南天电子信息产业股份有限公司根据云发改办西部</w:t>
      </w:r>
      <w:r>
        <w:rPr>
          <w:rFonts w:ascii="Times New Roman" w:hAnsi="Times New Roman" w:cs="Times New Roman" w:eastAsia="Times New Roman" w:hint="default"/>
          <w:spacing w:val="-1"/>
        </w:rPr>
        <w:t>[2013]397</w:t>
      </w:r>
      <w:r>
        <w:rPr>
          <w:spacing w:val="-1"/>
        </w:rPr>
        <w:t>号文件，云南省发展和改革委员会确认本公司符合国</w:t>
      </w:r>
    </w:p>
    <w:p>
      <w:pPr>
        <w:pStyle w:val="BodyText"/>
        <w:spacing w:line="300" w:lineRule="auto" w:before="63"/>
        <w:ind w:right="855"/>
        <w:jc w:val="left"/>
      </w:pPr>
      <w:r>
        <w:rPr>
          <w:spacing w:val="-3"/>
        </w:rPr>
        <w:t>家发展改革委第</w:t>
      </w:r>
      <w:r>
        <w:rPr>
          <w:rFonts w:ascii="Times New Roman" w:hAnsi="Times New Roman" w:cs="Times New Roman" w:eastAsia="Times New Roman" w:hint="default"/>
          <w:spacing w:val="-3"/>
        </w:rPr>
        <w:t>9</w:t>
      </w:r>
      <w:r>
        <w:rPr>
          <w:spacing w:val="-3"/>
        </w:rPr>
        <w:t>号令《产业结构调整指导目录（</w:t>
      </w:r>
      <w:r>
        <w:rPr>
          <w:rFonts w:ascii="Times New Roman" w:hAnsi="Times New Roman" w:cs="Times New Roman" w:eastAsia="Times New Roman" w:hint="default"/>
          <w:spacing w:val="-3"/>
        </w:rPr>
        <w:t>2011</w:t>
      </w:r>
      <w:r>
        <w:rPr>
          <w:spacing w:val="-3"/>
        </w:rPr>
        <w:t>年本）（修正）》鼓励类有关条款，是国家鼓励类产业，报告期内公</w:t>
      </w:r>
      <w:r>
        <w:rPr>
          <w:spacing w:val="81"/>
        </w:rPr>
        <w:t> </w:t>
      </w:r>
      <w:r>
        <w:rPr>
          <w:spacing w:val="81"/>
        </w:rPr>
      </w:r>
      <w:r>
        <w:rPr>
          <w:spacing w:val="-3"/>
        </w:rPr>
        <w:t>司享受西部大开发企业所得税优惠政策，执行</w:t>
      </w:r>
      <w:r>
        <w:rPr>
          <w:rFonts w:ascii="Times New Roman" w:hAnsi="Times New Roman" w:cs="Times New Roman" w:eastAsia="Times New Roman" w:hint="default"/>
          <w:spacing w:val="-3"/>
        </w:rPr>
        <w:t>15%</w:t>
      </w:r>
      <w:r>
        <w:rPr>
          <w:spacing w:val="-3"/>
        </w:rPr>
        <w:t>所得税税率优惠政策。</w:t>
      </w:r>
    </w:p>
    <w:p>
      <w:pPr>
        <w:pStyle w:val="BodyText"/>
        <w:spacing w:line="240" w:lineRule="auto" w:before="133"/>
        <w:ind w:left="513" w:right="855"/>
        <w:jc w:val="left"/>
      </w:pPr>
      <w:r>
        <w:rPr/>
        <w:t>（</w:t>
      </w:r>
      <w:r>
        <w:rPr>
          <w:rFonts w:ascii="Times New Roman" w:hAnsi="Times New Roman" w:cs="Times New Roman" w:eastAsia="Times New Roman" w:hint="default"/>
        </w:rPr>
        <w:t>2</w:t>
      </w:r>
      <w:r>
        <w:rPr/>
        <w:t>）北京南天软件有限公司</w:t>
      </w:r>
    </w:p>
    <w:p>
      <w:pPr>
        <w:spacing w:line="240" w:lineRule="auto" w:before="0"/>
        <w:rPr>
          <w:rFonts w:ascii="宋体" w:hAnsi="宋体" w:cs="宋体" w:eastAsia="宋体" w:hint="default"/>
          <w:sz w:val="14"/>
          <w:szCs w:val="14"/>
        </w:rPr>
      </w:pPr>
    </w:p>
    <w:p>
      <w:pPr>
        <w:pStyle w:val="BodyText"/>
        <w:spacing w:line="300" w:lineRule="auto"/>
        <w:ind w:right="1123" w:firstLine="360"/>
        <w:jc w:val="both"/>
      </w:pPr>
      <w:r>
        <w:rPr>
          <w:spacing w:val="-1"/>
        </w:rPr>
        <w:t>北京南天软件有限公司获得高新技术企业认证，根据《中华人民共和国企业所得税法》（中华人民共和国主席令第</w:t>
      </w:r>
      <w:r>
        <w:rPr>
          <w:rFonts w:ascii="Times New Roman" w:hAnsi="Times New Roman" w:cs="Times New Roman" w:eastAsia="Times New Roman" w:hint="default"/>
          <w:spacing w:val="-1"/>
        </w:rPr>
        <w:t>63</w:t>
      </w:r>
      <w:r>
        <w:rPr>
          <w:rFonts w:ascii="Times New Roman" w:hAnsi="Times New Roman" w:cs="Times New Roman" w:eastAsia="Times New Roman" w:hint="default"/>
          <w:w w:val="101"/>
        </w:rPr>
        <w:t> </w:t>
      </w:r>
      <w:r>
        <w:rPr>
          <w:spacing w:val="-6"/>
        </w:rPr>
        <w:t>号）文件第二十八条的规定：</w:t>
      </w:r>
      <w:r>
        <w:rPr>
          <w:rFonts w:ascii="Times New Roman" w:hAnsi="Times New Roman" w:cs="Times New Roman" w:eastAsia="Times New Roman" w:hint="default"/>
          <w:spacing w:val="-6"/>
        </w:rPr>
        <w:t>“</w:t>
      </w:r>
      <w:r>
        <w:rPr>
          <w:spacing w:val="-6"/>
        </w:rPr>
        <w:t>国家需要重点扶持的高新技术企业，减按</w:t>
      </w:r>
      <w:r>
        <w:rPr>
          <w:rFonts w:ascii="Times New Roman" w:hAnsi="Times New Roman" w:cs="Times New Roman" w:eastAsia="Times New Roman" w:hint="default"/>
          <w:spacing w:val="-6"/>
        </w:rPr>
        <w:t>15%</w:t>
      </w:r>
      <w:r>
        <w:rPr>
          <w:spacing w:val="-6"/>
        </w:rPr>
        <w:t>的税率征收企业所得税</w:t>
      </w:r>
      <w:r>
        <w:rPr>
          <w:rFonts w:ascii="Times New Roman" w:hAnsi="Times New Roman" w:cs="Times New Roman" w:eastAsia="Times New Roman" w:hint="default"/>
          <w:spacing w:val="-6"/>
        </w:rPr>
        <w:t>”</w:t>
      </w:r>
      <w:r>
        <w:rPr>
          <w:spacing w:val="-6"/>
        </w:rPr>
        <w:t>。报告期该公司执行</w:t>
      </w:r>
      <w:r>
        <w:rPr>
          <w:rFonts w:ascii="Times New Roman" w:hAnsi="Times New Roman" w:cs="Times New Roman" w:eastAsia="Times New Roman" w:hint="default"/>
          <w:spacing w:val="-6"/>
        </w:rPr>
        <w:t>15%</w:t>
      </w:r>
      <w:r>
        <w:rPr>
          <w:rFonts w:ascii="Times New Roman" w:hAnsi="Times New Roman" w:cs="Times New Roman" w:eastAsia="Times New Roman" w:hint="default"/>
          <w:spacing w:val="2"/>
        </w:rPr>
        <w:t> </w:t>
      </w:r>
      <w:r>
        <w:rPr>
          <w:rFonts w:ascii="Times New Roman" w:hAnsi="Times New Roman" w:cs="Times New Roman" w:eastAsia="Times New Roman" w:hint="default"/>
          <w:spacing w:val="2"/>
        </w:rPr>
      </w:r>
      <w:r>
        <w:rPr/>
        <w:t>所得税税率优惠政策。</w:t>
      </w:r>
    </w:p>
    <w:p>
      <w:pPr>
        <w:pStyle w:val="BodyText"/>
        <w:spacing w:line="432" w:lineRule="exact" w:before="16"/>
        <w:ind w:left="513" w:right="855"/>
        <w:jc w:val="left"/>
      </w:pPr>
      <w:r>
        <w:rPr/>
        <w:t>（</w:t>
      </w:r>
      <w:r>
        <w:rPr>
          <w:rFonts w:ascii="Times New Roman" w:hAnsi="Times New Roman" w:cs="Times New Roman" w:eastAsia="Times New Roman" w:hint="default"/>
        </w:rPr>
        <w:t>3</w:t>
      </w:r>
      <w:r>
        <w:rPr/>
        <w:t>）北京南天信息工程有限公司</w:t>
      </w:r>
      <w:r>
        <w:rPr>
          <w:spacing w:val="-86"/>
        </w:rPr>
        <w:t> </w:t>
      </w:r>
      <w:r>
        <w:rPr>
          <w:spacing w:val="-86"/>
        </w:rPr>
      </w:r>
      <w:r>
        <w:rPr>
          <w:spacing w:val="-4"/>
        </w:rPr>
        <w:t>北京南天信息工程有限公司获得高新技术企业认证，根据《中华人民共和国企业所得税法》（中华人民共和国主席令第</w:t>
      </w:r>
    </w:p>
    <w:p>
      <w:pPr>
        <w:pStyle w:val="BodyText"/>
        <w:spacing w:line="240" w:lineRule="auto" w:before="15"/>
        <w:ind w:right="855"/>
        <w:jc w:val="left"/>
      </w:pPr>
      <w:r>
        <w:rPr>
          <w:rFonts w:ascii="Times New Roman" w:hAnsi="Times New Roman" w:cs="Times New Roman" w:eastAsia="Times New Roman" w:hint="default"/>
          <w:spacing w:val="-3"/>
        </w:rPr>
        <w:t>63</w:t>
      </w:r>
      <w:r>
        <w:rPr>
          <w:spacing w:val="-3"/>
        </w:rPr>
        <w:t>号）文件第二十八条的规定：</w:t>
      </w:r>
      <w:r>
        <w:rPr>
          <w:rFonts w:ascii="Times New Roman" w:hAnsi="Times New Roman" w:cs="Times New Roman" w:eastAsia="Times New Roman" w:hint="default"/>
          <w:spacing w:val="-3"/>
        </w:rPr>
        <w:t>“</w:t>
      </w:r>
      <w:r>
        <w:rPr>
          <w:spacing w:val="-3"/>
        </w:rPr>
        <w:t>国家需要重点扶持的高新技术企业，减按</w:t>
      </w:r>
      <w:r>
        <w:rPr>
          <w:rFonts w:ascii="Times New Roman" w:hAnsi="Times New Roman" w:cs="Times New Roman" w:eastAsia="Times New Roman" w:hint="default"/>
          <w:spacing w:val="-3"/>
        </w:rPr>
        <w:t>15%</w:t>
      </w:r>
      <w:r>
        <w:rPr>
          <w:spacing w:val="-3"/>
        </w:rPr>
        <w:t>的税率征收企业所得税</w:t>
      </w:r>
      <w:r>
        <w:rPr>
          <w:rFonts w:ascii="Times New Roman" w:hAnsi="Times New Roman" w:cs="Times New Roman" w:eastAsia="Times New Roman" w:hint="default"/>
          <w:spacing w:val="-3"/>
        </w:rPr>
        <w:t>”</w:t>
      </w:r>
      <w:r>
        <w:rPr>
          <w:spacing w:val="-3"/>
        </w:rPr>
        <w:t>。报告期该公司执行</w:t>
      </w:r>
    </w:p>
    <w:p>
      <w:pPr>
        <w:pStyle w:val="BodyText"/>
        <w:spacing w:line="240" w:lineRule="auto" w:before="62"/>
        <w:ind w:right="855"/>
        <w:jc w:val="left"/>
      </w:pPr>
      <w:r>
        <w:rPr>
          <w:rFonts w:ascii="Times New Roman" w:hAnsi="Times New Roman" w:cs="Times New Roman" w:eastAsia="Times New Roman" w:hint="default"/>
        </w:rPr>
        <w:t>15%</w:t>
      </w:r>
      <w:r>
        <w:rPr/>
        <w:t>所得税税率优惠政策。</w:t>
      </w:r>
    </w:p>
    <w:p>
      <w:pPr>
        <w:spacing w:line="240" w:lineRule="auto" w:before="13"/>
        <w:rPr>
          <w:rFonts w:ascii="宋体" w:hAnsi="宋体" w:cs="宋体" w:eastAsia="宋体" w:hint="default"/>
          <w:sz w:val="13"/>
          <w:szCs w:val="13"/>
        </w:rPr>
      </w:pPr>
    </w:p>
    <w:p>
      <w:pPr>
        <w:pStyle w:val="BodyText"/>
        <w:spacing w:line="240" w:lineRule="auto"/>
        <w:ind w:left="513" w:right="855"/>
        <w:jc w:val="left"/>
      </w:pPr>
      <w:r>
        <w:rPr/>
        <w:t>（</w:t>
      </w:r>
      <w:r>
        <w:rPr>
          <w:rFonts w:ascii="Times New Roman" w:hAnsi="Times New Roman" w:cs="Times New Roman" w:eastAsia="Times New Roman" w:hint="default"/>
        </w:rPr>
        <w:t>4</w:t>
      </w:r>
      <w:r>
        <w:rPr/>
        <w:t>）上海南天电脑系统有限公司</w:t>
      </w:r>
    </w:p>
    <w:p>
      <w:pPr>
        <w:spacing w:after="0" w:line="240" w:lineRule="auto"/>
        <w:jc w:val="left"/>
        <w:sectPr>
          <w:pgSz w:w="11910" w:h="16840"/>
          <w:pgMar w:header="746" w:footer="974"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6"/>
        <w:ind w:left="513" w:right="855"/>
        <w:jc w:val="left"/>
      </w:pPr>
      <w:r>
        <w:rPr>
          <w:spacing w:val="-4"/>
        </w:rPr>
        <w:t>上海南天电脑系统有限公司获得高新技术企业认证，根据《中华人民共和国企业所得税法》（中华人民共和国主席令第</w:t>
      </w:r>
    </w:p>
    <w:p>
      <w:pPr>
        <w:pStyle w:val="BodyText"/>
        <w:spacing w:line="240" w:lineRule="auto" w:before="76"/>
        <w:ind w:right="855"/>
        <w:jc w:val="left"/>
      </w:pPr>
      <w:r>
        <w:rPr>
          <w:rFonts w:ascii="Times New Roman" w:hAnsi="Times New Roman" w:cs="Times New Roman" w:eastAsia="Times New Roman" w:hint="default"/>
          <w:spacing w:val="-3"/>
        </w:rPr>
        <w:t>63</w:t>
      </w:r>
      <w:r>
        <w:rPr>
          <w:spacing w:val="-3"/>
        </w:rPr>
        <w:t>号）文件第二十八条的规定：</w:t>
      </w:r>
      <w:r>
        <w:rPr>
          <w:rFonts w:ascii="Times New Roman" w:hAnsi="Times New Roman" w:cs="Times New Roman" w:eastAsia="Times New Roman" w:hint="default"/>
          <w:spacing w:val="-3"/>
        </w:rPr>
        <w:t>“</w:t>
      </w:r>
      <w:r>
        <w:rPr>
          <w:spacing w:val="-3"/>
        </w:rPr>
        <w:t>国家需要重点扶持的高新技术企业，减按</w:t>
      </w:r>
      <w:r>
        <w:rPr>
          <w:rFonts w:ascii="Times New Roman" w:hAnsi="Times New Roman" w:cs="Times New Roman" w:eastAsia="Times New Roman" w:hint="default"/>
          <w:spacing w:val="-3"/>
        </w:rPr>
        <w:t>15%</w:t>
      </w:r>
      <w:r>
        <w:rPr>
          <w:spacing w:val="-3"/>
        </w:rPr>
        <w:t>的税率征收企业所得税</w:t>
      </w:r>
      <w:r>
        <w:rPr>
          <w:rFonts w:ascii="Times New Roman" w:hAnsi="Times New Roman" w:cs="Times New Roman" w:eastAsia="Times New Roman" w:hint="default"/>
          <w:spacing w:val="-3"/>
        </w:rPr>
        <w:t>”</w:t>
      </w:r>
      <w:r>
        <w:rPr>
          <w:spacing w:val="-3"/>
        </w:rPr>
        <w:t>。报告期该公司执行</w:t>
      </w:r>
    </w:p>
    <w:p>
      <w:pPr>
        <w:pStyle w:val="BodyText"/>
        <w:spacing w:line="240" w:lineRule="auto" w:before="63"/>
        <w:ind w:right="855"/>
        <w:jc w:val="left"/>
      </w:pPr>
      <w:r>
        <w:rPr>
          <w:rFonts w:ascii="Times New Roman" w:hAnsi="Times New Roman" w:cs="Times New Roman" w:eastAsia="Times New Roman" w:hint="default"/>
        </w:rPr>
        <w:t>15%</w:t>
      </w:r>
      <w:r>
        <w:rPr/>
        <w:t>所得税税率优惠政策。</w:t>
      </w:r>
    </w:p>
    <w:p>
      <w:pPr>
        <w:pStyle w:val="BodyText"/>
        <w:spacing w:line="420" w:lineRule="atLeast" w:before="12"/>
        <w:ind w:left="513" w:right="855"/>
        <w:jc w:val="left"/>
      </w:pPr>
      <w:r>
        <w:rPr/>
        <w:t>（</w:t>
      </w:r>
      <w:r>
        <w:rPr>
          <w:rFonts w:ascii="Times New Roman" w:hAnsi="Times New Roman" w:cs="Times New Roman" w:eastAsia="Times New Roman" w:hint="default"/>
        </w:rPr>
        <w:t>5</w:t>
      </w:r>
      <w:r>
        <w:rPr/>
        <w:t>）广州南天电脑系统有限公司</w:t>
      </w:r>
      <w:r>
        <w:rPr>
          <w:spacing w:val="-86"/>
        </w:rPr>
        <w:t> </w:t>
      </w:r>
      <w:r>
        <w:rPr>
          <w:spacing w:val="-86"/>
        </w:rPr>
      </w:r>
      <w:r>
        <w:rPr>
          <w:spacing w:val="-4"/>
        </w:rPr>
        <w:t>广州南天电脑系统有限公司获得高新技术企业认证，根据《中华人民共和国企业所得税法》（中华人民共和国主席令第</w:t>
      </w:r>
    </w:p>
    <w:p>
      <w:pPr>
        <w:pStyle w:val="BodyText"/>
        <w:spacing w:line="240" w:lineRule="auto" w:before="76"/>
        <w:ind w:right="855"/>
        <w:jc w:val="left"/>
      </w:pPr>
      <w:r>
        <w:rPr>
          <w:rFonts w:ascii="Times New Roman" w:hAnsi="Times New Roman" w:cs="Times New Roman" w:eastAsia="Times New Roman" w:hint="default"/>
          <w:spacing w:val="-3"/>
        </w:rPr>
        <w:t>63</w:t>
      </w:r>
      <w:r>
        <w:rPr>
          <w:spacing w:val="-3"/>
        </w:rPr>
        <w:t>号）文件第二十八条的规定：</w:t>
      </w:r>
      <w:r>
        <w:rPr>
          <w:rFonts w:ascii="Times New Roman" w:hAnsi="Times New Roman" w:cs="Times New Roman" w:eastAsia="Times New Roman" w:hint="default"/>
          <w:spacing w:val="-3"/>
        </w:rPr>
        <w:t>“</w:t>
      </w:r>
      <w:r>
        <w:rPr>
          <w:spacing w:val="-3"/>
        </w:rPr>
        <w:t>国家需要重点扶持的高新技术企业，减按</w:t>
      </w:r>
      <w:r>
        <w:rPr>
          <w:rFonts w:ascii="Times New Roman" w:hAnsi="Times New Roman" w:cs="Times New Roman" w:eastAsia="Times New Roman" w:hint="default"/>
          <w:spacing w:val="-3"/>
        </w:rPr>
        <w:t>15%</w:t>
      </w:r>
      <w:r>
        <w:rPr>
          <w:spacing w:val="-3"/>
        </w:rPr>
        <w:t>的税率征收企业所得税</w:t>
      </w:r>
      <w:r>
        <w:rPr>
          <w:rFonts w:ascii="Times New Roman" w:hAnsi="Times New Roman" w:cs="Times New Roman" w:eastAsia="Times New Roman" w:hint="default"/>
          <w:spacing w:val="-3"/>
        </w:rPr>
        <w:t>”</w:t>
      </w:r>
      <w:r>
        <w:rPr>
          <w:spacing w:val="-3"/>
        </w:rPr>
        <w:t>。报告期该公司执行</w:t>
      </w:r>
    </w:p>
    <w:p>
      <w:pPr>
        <w:pStyle w:val="BodyText"/>
        <w:spacing w:line="240" w:lineRule="auto" w:before="63"/>
        <w:ind w:right="855"/>
        <w:jc w:val="left"/>
      </w:pPr>
      <w:r>
        <w:rPr>
          <w:rFonts w:ascii="Times New Roman" w:hAnsi="Times New Roman" w:cs="Times New Roman" w:eastAsia="Times New Roman" w:hint="default"/>
        </w:rPr>
        <w:t>15%</w:t>
      </w:r>
      <w:r>
        <w:rPr/>
        <w:t>所得税税率优惠政策。</w:t>
      </w:r>
    </w:p>
    <w:p>
      <w:pPr>
        <w:pStyle w:val="BodyText"/>
        <w:spacing w:line="446" w:lineRule="exact" w:before="36"/>
        <w:ind w:left="513" w:right="855"/>
        <w:jc w:val="left"/>
      </w:pPr>
      <w:r>
        <w:rPr/>
        <w:t>（</w:t>
      </w:r>
      <w:r>
        <w:rPr>
          <w:rFonts w:ascii="Times New Roman" w:hAnsi="Times New Roman" w:cs="Times New Roman" w:eastAsia="Times New Roman" w:hint="default"/>
        </w:rPr>
        <w:t>6</w:t>
      </w:r>
      <w:r>
        <w:rPr/>
        <w:t>）昆明南天电脑系统有限公司</w:t>
      </w:r>
      <w:r>
        <w:rPr>
          <w:spacing w:val="-86"/>
        </w:rPr>
        <w:t> </w:t>
      </w:r>
      <w:r>
        <w:rPr>
          <w:spacing w:val="-86"/>
        </w:rPr>
      </w:r>
      <w:r>
        <w:rPr>
          <w:spacing w:val="-4"/>
        </w:rPr>
        <w:t>昆明南天电脑系统有限公司根据云发改办西部</w:t>
      </w:r>
      <w:r>
        <w:rPr>
          <w:spacing w:val="-4"/>
          <w:sz w:val="22"/>
          <w:szCs w:val="22"/>
        </w:rPr>
        <w:t>（</w:t>
      </w:r>
      <w:r>
        <w:rPr>
          <w:rFonts w:ascii="Times New Roman" w:hAnsi="Times New Roman" w:cs="Times New Roman" w:eastAsia="Times New Roman" w:hint="default"/>
          <w:spacing w:val="-4"/>
          <w:sz w:val="22"/>
          <w:szCs w:val="22"/>
        </w:rPr>
        <w:t>2016</w:t>
      </w:r>
      <w:r>
        <w:rPr>
          <w:spacing w:val="-4"/>
          <w:sz w:val="22"/>
          <w:szCs w:val="22"/>
        </w:rPr>
        <w:t>）</w:t>
      </w:r>
      <w:r>
        <w:rPr>
          <w:rFonts w:ascii="Times New Roman" w:hAnsi="Times New Roman" w:cs="Times New Roman" w:eastAsia="Times New Roman" w:hint="default"/>
          <w:spacing w:val="-4"/>
          <w:sz w:val="22"/>
          <w:szCs w:val="22"/>
        </w:rPr>
        <w:t>361</w:t>
      </w:r>
      <w:r>
        <w:rPr>
          <w:spacing w:val="-4"/>
          <w:sz w:val="22"/>
          <w:szCs w:val="22"/>
        </w:rPr>
        <w:t>号</w:t>
      </w:r>
      <w:r>
        <w:rPr>
          <w:spacing w:val="-4"/>
        </w:rPr>
        <w:t>文件，云南省发展和改革委员会确认该公司符合国家发</w:t>
      </w:r>
    </w:p>
    <w:p>
      <w:pPr>
        <w:pStyle w:val="BodyText"/>
        <w:spacing w:line="300" w:lineRule="auto"/>
        <w:ind w:right="855"/>
        <w:jc w:val="left"/>
      </w:pPr>
      <w:r>
        <w:rPr>
          <w:spacing w:val="-3"/>
        </w:rPr>
        <w:t>展改革委第</w:t>
      </w:r>
      <w:r>
        <w:rPr>
          <w:rFonts w:ascii="Times New Roman" w:hAnsi="Times New Roman" w:cs="Times New Roman" w:eastAsia="Times New Roman" w:hint="default"/>
          <w:spacing w:val="-3"/>
        </w:rPr>
        <w:t>9</w:t>
      </w:r>
      <w:r>
        <w:rPr>
          <w:spacing w:val="-3"/>
        </w:rPr>
        <w:t>号令《产业结构调整指导目录（</w:t>
      </w:r>
      <w:r>
        <w:rPr>
          <w:rFonts w:ascii="Times New Roman" w:hAnsi="Times New Roman" w:cs="Times New Roman" w:eastAsia="Times New Roman" w:hint="default"/>
          <w:spacing w:val="-3"/>
        </w:rPr>
        <w:t>2011</w:t>
      </w:r>
      <w:r>
        <w:rPr>
          <w:spacing w:val="-3"/>
        </w:rPr>
        <w:t>年本）（修正）》鼓励类有关条款，是国家鼓励类产业，报告期内该公司</w:t>
      </w:r>
      <w:r>
        <w:rPr>
          <w:spacing w:val="81"/>
        </w:rPr>
        <w:t> </w:t>
      </w:r>
      <w:r>
        <w:rPr>
          <w:spacing w:val="81"/>
        </w:rPr>
      </w:r>
      <w:r>
        <w:rPr>
          <w:spacing w:val="-3"/>
        </w:rPr>
        <w:t>享受西部大开发企业所得税优惠政策，执行</w:t>
      </w:r>
      <w:r>
        <w:rPr>
          <w:rFonts w:ascii="Times New Roman" w:hAnsi="Times New Roman" w:cs="Times New Roman" w:eastAsia="Times New Roman" w:hint="default"/>
          <w:spacing w:val="-3"/>
        </w:rPr>
        <w:t>15%</w:t>
      </w:r>
      <w:r>
        <w:rPr>
          <w:spacing w:val="-3"/>
        </w:rPr>
        <w:t>所得税税率优惠政策。</w:t>
      </w:r>
    </w:p>
    <w:p>
      <w:pPr>
        <w:pStyle w:val="BodyText"/>
        <w:spacing w:line="240" w:lineRule="auto" w:before="133"/>
        <w:ind w:left="513" w:right="855"/>
        <w:jc w:val="left"/>
      </w:pPr>
      <w:r>
        <w:rPr/>
        <w:t>（</w:t>
      </w:r>
      <w:r>
        <w:rPr>
          <w:rFonts w:ascii="Times New Roman" w:hAnsi="Times New Roman" w:cs="Times New Roman" w:eastAsia="Times New Roman" w:hint="default"/>
        </w:rPr>
        <w:t>7</w:t>
      </w:r>
      <w:r>
        <w:rPr/>
        <w:t>）云南南天信息设备有限公司</w:t>
      </w:r>
    </w:p>
    <w:p>
      <w:pPr>
        <w:spacing w:line="240" w:lineRule="auto" w:before="0"/>
        <w:rPr>
          <w:rFonts w:ascii="宋体" w:hAnsi="宋体" w:cs="宋体" w:eastAsia="宋体" w:hint="default"/>
          <w:sz w:val="14"/>
          <w:szCs w:val="14"/>
        </w:rPr>
      </w:pPr>
    </w:p>
    <w:p>
      <w:pPr>
        <w:pStyle w:val="BodyText"/>
        <w:spacing w:line="300" w:lineRule="auto"/>
        <w:ind w:right="1123" w:firstLine="360"/>
        <w:jc w:val="both"/>
      </w:pPr>
      <w:r>
        <w:rPr>
          <w:spacing w:val="-1"/>
        </w:rPr>
        <w:t>云南南天信息设备有限公司根据云发改办西部</w:t>
      </w:r>
      <w:r>
        <w:rPr>
          <w:rFonts w:ascii="Times New Roman" w:hAnsi="Times New Roman" w:cs="Times New Roman" w:eastAsia="Times New Roman" w:hint="default"/>
          <w:spacing w:val="-1"/>
        </w:rPr>
        <w:t>[2013]408</w:t>
      </w:r>
      <w:r>
        <w:rPr>
          <w:spacing w:val="-1"/>
        </w:rPr>
        <w:t>号文件，云南省发展和改革委员会确认该公司符合国家发展改</w:t>
      </w:r>
      <w:r>
        <w:rPr>
          <w:w w:val="101"/>
        </w:rPr>
        <w:t> </w:t>
      </w:r>
      <w:r>
        <w:rPr>
          <w:spacing w:val="-3"/>
        </w:rPr>
        <w:t>革委第</w:t>
      </w:r>
      <w:r>
        <w:rPr>
          <w:rFonts w:ascii="Times New Roman" w:hAnsi="Times New Roman" w:cs="Times New Roman" w:eastAsia="Times New Roman" w:hint="default"/>
          <w:spacing w:val="-3"/>
        </w:rPr>
        <w:t>9</w:t>
      </w:r>
      <w:r>
        <w:rPr>
          <w:spacing w:val="-3"/>
        </w:rPr>
        <w:t>号令《产业结构调整指导目录（</w:t>
      </w:r>
      <w:r>
        <w:rPr>
          <w:rFonts w:ascii="Times New Roman" w:hAnsi="Times New Roman" w:cs="Times New Roman" w:eastAsia="Times New Roman" w:hint="default"/>
          <w:spacing w:val="-3"/>
        </w:rPr>
        <w:t>2011</w:t>
      </w:r>
      <w:r>
        <w:rPr>
          <w:spacing w:val="-3"/>
        </w:rPr>
        <w:t>年本）（修正）》鼓励类有关条款，是国家鼓励类产业，报告期内该公司享受</w:t>
      </w:r>
      <w:r>
        <w:rPr>
          <w:spacing w:val="82"/>
        </w:rPr>
        <w:t> </w:t>
      </w:r>
      <w:r>
        <w:rPr>
          <w:spacing w:val="82"/>
        </w:rPr>
      </w:r>
      <w:r>
        <w:rPr>
          <w:spacing w:val="-3"/>
        </w:rPr>
        <w:t>西部大开发企业所得税优惠政策，执行</w:t>
      </w:r>
      <w:r>
        <w:rPr>
          <w:rFonts w:ascii="Times New Roman" w:hAnsi="Times New Roman" w:cs="Times New Roman" w:eastAsia="Times New Roman" w:hint="default"/>
          <w:spacing w:val="-3"/>
        </w:rPr>
        <w:t>15%</w:t>
      </w:r>
      <w:r>
        <w:rPr>
          <w:spacing w:val="-3"/>
        </w:rPr>
        <w:t>所得税税率优惠政策。</w:t>
      </w:r>
    </w:p>
    <w:p>
      <w:pPr>
        <w:pStyle w:val="BodyText"/>
        <w:spacing w:line="240" w:lineRule="auto" w:before="133"/>
        <w:ind w:left="513" w:right="855"/>
        <w:jc w:val="left"/>
      </w:pPr>
      <w:r>
        <w:rPr/>
        <w:t>（</w:t>
      </w:r>
      <w:r>
        <w:rPr>
          <w:rFonts w:ascii="Times New Roman" w:hAnsi="Times New Roman" w:cs="Times New Roman" w:eastAsia="Times New Roman" w:hint="default"/>
        </w:rPr>
        <w:t>8</w:t>
      </w:r>
      <w:r>
        <w:rPr/>
        <w:t>）深圳南天东华科技有限公司</w:t>
      </w:r>
    </w:p>
    <w:p>
      <w:pPr>
        <w:spacing w:line="240" w:lineRule="auto" w:before="0"/>
        <w:rPr>
          <w:rFonts w:ascii="宋体" w:hAnsi="宋体" w:cs="宋体" w:eastAsia="宋体" w:hint="default"/>
          <w:sz w:val="14"/>
          <w:szCs w:val="14"/>
        </w:rPr>
      </w:pPr>
    </w:p>
    <w:p>
      <w:pPr>
        <w:pStyle w:val="BodyText"/>
        <w:spacing w:line="240" w:lineRule="auto"/>
        <w:ind w:left="513" w:right="855"/>
        <w:jc w:val="left"/>
      </w:pPr>
      <w:r>
        <w:rPr>
          <w:spacing w:val="-4"/>
        </w:rPr>
        <w:t>深圳南天东华科技有限公司获得高新技术企业认证，根据《中华人民共和国企业所得税法》（中华人民共和国主席令第</w:t>
      </w:r>
    </w:p>
    <w:p>
      <w:pPr>
        <w:pStyle w:val="BodyText"/>
        <w:spacing w:line="240" w:lineRule="auto" w:before="76"/>
        <w:ind w:right="855"/>
        <w:jc w:val="left"/>
      </w:pPr>
      <w:r>
        <w:rPr>
          <w:rFonts w:ascii="Times New Roman" w:hAnsi="Times New Roman" w:cs="Times New Roman" w:eastAsia="Times New Roman" w:hint="default"/>
          <w:spacing w:val="-3"/>
        </w:rPr>
        <w:t>63</w:t>
      </w:r>
      <w:r>
        <w:rPr>
          <w:spacing w:val="-3"/>
        </w:rPr>
        <w:t>号）文件第二十八条的规定：</w:t>
      </w:r>
      <w:r>
        <w:rPr>
          <w:rFonts w:ascii="Times New Roman" w:hAnsi="Times New Roman" w:cs="Times New Roman" w:eastAsia="Times New Roman" w:hint="default"/>
          <w:spacing w:val="-3"/>
        </w:rPr>
        <w:t>“</w:t>
      </w:r>
      <w:r>
        <w:rPr>
          <w:spacing w:val="-3"/>
        </w:rPr>
        <w:t>国家需要重点扶持的高新技术企业，减按</w:t>
      </w:r>
      <w:r>
        <w:rPr>
          <w:rFonts w:ascii="Times New Roman" w:hAnsi="Times New Roman" w:cs="Times New Roman" w:eastAsia="Times New Roman" w:hint="default"/>
          <w:spacing w:val="-3"/>
        </w:rPr>
        <w:t>15%</w:t>
      </w:r>
      <w:r>
        <w:rPr>
          <w:spacing w:val="-3"/>
        </w:rPr>
        <w:t>的税率征收企业所得税</w:t>
      </w:r>
      <w:r>
        <w:rPr>
          <w:rFonts w:ascii="Times New Roman" w:hAnsi="Times New Roman" w:cs="Times New Roman" w:eastAsia="Times New Roman" w:hint="default"/>
          <w:spacing w:val="-3"/>
        </w:rPr>
        <w:t>”</w:t>
      </w:r>
      <w:r>
        <w:rPr>
          <w:spacing w:val="-3"/>
        </w:rPr>
        <w:t>。报告期该公司执行</w:t>
      </w:r>
    </w:p>
    <w:p>
      <w:pPr>
        <w:pStyle w:val="BodyText"/>
        <w:spacing w:line="240" w:lineRule="auto" w:before="63"/>
        <w:ind w:right="855"/>
        <w:jc w:val="left"/>
      </w:pPr>
      <w:r>
        <w:rPr>
          <w:rFonts w:ascii="Times New Roman" w:hAnsi="Times New Roman" w:cs="Times New Roman" w:eastAsia="Times New Roman" w:hint="default"/>
        </w:rPr>
        <w:t>15%</w:t>
      </w:r>
      <w:r>
        <w:rPr/>
        <w:t>所得税税率优惠政策。</w:t>
      </w:r>
    </w:p>
    <w:p>
      <w:pPr>
        <w:pStyle w:val="BodyText"/>
        <w:spacing w:line="420" w:lineRule="atLeast" w:before="12"/>
        <w:ind w:left="513" w:right="855"/>
        <w:jc w:val="left"/>
      </w:pPr>
      <w:r>
        <w:rPr>
          <w:spacing w:val="-3"/>
        </w:rPr>
        <w:t>（</w:t>
      </w:r>
      <w:r>
        <w:rPr>
          <w:rFonts w:ascii="Times New Roman" w:hAnsi="Times New Roman" w:cs="Times New Roman" w:eastAsia="Times New Roman" w:hint="default"/>
          <w:spacing w:val="-3"/>
        </w:rPr>
        <w:t>9</w:t>
      </w:r>
      <w:r>
        <w:rPr>
          <w:spacing w:val="-3"/>
        </w:rPr>
        <w:t>）成都南天佳信信息工程有限公司</w:t>
      </w:r>
      <w:r>
        <w:rPr>
          <w:spacing w:val="-35"/>
        </w:rPr>
        <w:t> </w:t>
      </w:r>
      <w:r>
        <w:rPr>
          <w:spacing w:val="-35"/>
        </w:rPr>
      </w:r>
      <w:r>
        <w:rPr>
          <w:spacing w:val="-4"/>
        </w:rPr>
        <w:t>成都南天佳信信息工程有限公司获得高新技术企业认证，根据《中华人民共和国企业所得税法》（中华人民共和国主席</w:t>
      </w:r>
    </w:p>
    <w:p>
      <w:pPr>
        <w:pStyle w:val="BodyText"/>
        <w:spacing w:line="300" w:lineRule="auto" w:before="76"/>
        <w:ind w:right="855"/>
        <w:jc w:val="left"/>
      </w:pPr>
      <w:r>
        <w:rPr>
          <w:spacing w:val="-3"/>
        </w:rPr>
        <w:t>令第</w:t>
      </w:r>
      <w:r>
        <w:rPr>
          <w:rFonts w:ascii="Times New Roman" w:hAnsi="Times New Roman" w:cs="Times New Roman" w:eastAsia="Times New Roman" w:hint="default"/>
          <w:spacing w:val="-3"/>
        </w:rPr>
        <w:t>63</w:t>
      </w:r>
      <w:r>
        <w:rPr>
          <w:spacing w:val="-3"/>
        </w:rPr>
        <w:t>号）文件第二十八条的规定：</w:t>
      </w:r>
      <w:r>
        <w:rPr>
          <w:rFonts w:ascii="Times New Roman" w:hAnsi="Times New Roman" w:cs="Times New Roman" w:eastAsia="Times New Roman" w:hint="default"/>
          <w:spacing w:val="-3"/>
        </w:rPr>
        <w:t>“</w:t>
      </w:r>
      <w:r>
        <w:rPr>
          <w:spacing w:val="-3"/>
        </w:rPr>
        <w:t>国家需要重点扶持的高新技术企业，减按</w:t>
      </w:r>
      <w:r>
        <w:rPr>
          <w:rFonts w:ascii="Times New Roman" w:hAnsi="Times New Roman" w:cs="Times New Roman" w:eastAsia="Times New Roman" w:hint="default"/>
          <w:spacing w:val="-3"/>
        </w:rPr>
        <w:t>15%</w:t>
      </w:r>
      <w:r>
        <w:rPr>
          <w:spacing w:val="-3"/>
        </w:rPr>
        <w:t>的税率征收企业所得税</w:t>
      </w:r>
      <w:r>
        <w:rPr>
          <w:rFonts w:ascii="Times New Roman" w:hAnsi="Times New Roman" w:cs="Times New Roman" w:eastAsia="Times New Roman" w:hint="default"/>
          <w:spacing w:val="-3"/>
        </w:rPr>
        <w:t>”</w:t>
      </w:r>
      <w:r>
        <w:rPr>
          <w:spacing w:val="-3"/>
        </w:rPr>
        <w:t>。报告期该公司</w:t>
      </w:r>
      <w:r>
        <w:rPr>
          <w:spacing w:val="42"/>
        </w:rPr>
        <w:t> </w:t>
      </w:r>
      <w:r>
        <w:rPr>
          <w:spacing w:val="42"/>
        </w:rPr>
      </w:r>
      <w:r>
        <w:rPr/>
        <w:t>执行</w:t>
      </w:r>
      <w:r>
        <w:rPr>
          <w:rFonts w:ascii="Times New Roman" w:hAnsi="Times New Roman" w:cs="Times New Roman" w:eastAsia="Times New Roman" w:hint="default"/>
        </w:rPr>
        <w:t>15%</w:t>
      </w:r>
      <w:r>
        <w:rPr/>
        <w:t>所得税税率优惠政策。</w:t>
      </w:r>
    </w:p>
    <w:p>
      <w:pPr>
        <w:pStyle w:val="BodyText"/>
        <w:spacing w:line="415" w:lineRule="auto" w:before="133"/>
        <w:ind w:left="513" w:right="855"/>
        <w:jc w:val="left"/>
      </w:pPr>
      <w:r>
        <w:rPr>
          <w:spacing w:val="-3"/>
        </w:rPr>
        <w:t>（</w:t>
      </w:r>
      <w:r>
        <w:rPr>
          <w:rFonts w:ascii="Times New Roman" w:hAnsi="Times New Roman" w:cs="Times New Roman" w:eastAsia="Times New Roman" w:hint="default"/>
          <w:spacing w:val="-3"/>
        </w:rPr>
        <w:t>10</w:t>
      </w:r>
      <w:r>
        <w:rPr>
          <w:spacing w:val="-3"/>
        </w:rPr>
        <w:t>）云南红岭云科技股份有限公司</w:t>
      </w:r>
      <w:r>
        <w:rPr>
          <w:spacing w:val="-36"/>
        </w:rPr>
        <w:t> </w:t>
      </w:r>
      <w:r>
        <w:rPr>
          <w:spacing w:val="-36"/>
        </w:rPr>
      </w:r>
      <w:r>
        <w:rPr>
          <w:spacing w:val="-4"/>
        </w:rPr>
        <w:t>云南红岭云科技股份有限公司获得高新技术企业认证，根据《中华人民共和国企业所得税法》（中华人民共和国主席令</w:t>
      </w:r>
    </w:p>
    <w:p>
      <w:pPr>
        <w:pStyle w:val="BodyText"/>
        <w:spacing w:line="195" w:lineRule="exact"/>
        <w:ind w:right="855"/>
        <w:jc w:val="left"/>
      </w:pPr>
      <w:r>
        <w:rPr>
          <w:spacing w:val="-3"/>
        </w:rPr>
        <w:t>第</w:t>
      </w:r>
      <w:r>
        <w:rPr>
          <w:rFonts w:ascii="Times New Roman" w:hAnsi="Times New Roman" w:cs="Times New Roman" w:eastAsia="Times New Roman" w:hint="default"/>
          <w:spacing w:val="-3"/>
        </w:rPr>
        <w:t>63</w:t>
      </w:r>
      <w:r>
        <w:rPr>
          <w:spacing w:val="-3"/>
        </w:rPr>
        <w:t>号）文件第二十八条的规定：</w:t>
      </w:r>
      <w:r>
        <w:rPr>
          <w:rFonts w:ascii="Times New Roman" w:hAnsi="Times New Roman" w:cs="Times New Roman" w:eastAsia="Times New Roman" w:hint="default"/>
          <w:spacing w:val="-3"/>
        </w:rPr>
        <w:t>“</w:t>
      </w:r>
      <w:r>
        <w:rPr>
          <w:spacing w:val="-3"/>
        </w:rPr>
        <w:t>国家需要重点扶持的高新技术企业，减按</w:t>
      </w:r>
      <w:r>
        <w:rPr>
          <w:rFonts w:ascii="Times New Roman" w:hAnsi="Times New Roman" w:cs="Times New Roman" w:eastAsia="Times New Roman" w:hint="default"/>
          <w:spacing w:val="-3"/>
        </w:rPr>
        <w:t>15%</w:t>
      </w:r>
      <w:r>
        <w:rPr>
          <w:spacing w:val="-3"/>
        </w:rPr>
        <w:t>的税率征收企业所得税</w:t>
      </w:r>
      <w:r>
        <w:rPr>
          <w:rFonts w:ascii="Times New Roman" w:hAnsi="Times New Roman" w:cs="Times New Roman" w:eastAsia="Times New Roman" w:hint="default"/>
          <w:spacing w:val="-3"/>
        </w:rPr>
        <w:t>”</w:t>
      </w:r>
      <w:r>
        <w:rPr>
          <w:spacing w:val="-3"/>
        </w:rPr>
        <w:t>。报告期该公司执</w:t>
      </w:r>
    </w:p>
    <w:p>
      <w:pPr>
        <w:pStyle w:val="BodyText"/>
        <w:spacing w:line="240" w:lineRule="auto" w:before="63"/>
        <w:ind w:right="855"/>
        <w:jc w:val="left"/>
      </w:pPr>
      <w:r>
        <w:rPr>
          <w:spacing w:val="-3"/>
        </w:rPr>
        <w:t>行</w:t>
      </w:r>
      <w:r>
        <w:rPr>
          <w:rFonts w:ascii="Times New Roman" w:hAnsi="Times New Roman" w:cs="Times New Roman" w:eastAsia="Times New Roman" w:hint="default"/>
          <w:spacing w:val="-3"/>
        </w:rPr>
        <w:t>15%</w:t>
      </w:r>
      <w:r>
        <w:rPr>
          <w:spacing w:val="-3"/>
        </w:rPr>
        <w:t>所得税税率优惠政策。</w:t>
      </w:r>
    </w:p>
    <w:p>
      <w:pPr>
        <w:pStyle w:val="BodyText"/>
        <w:spacing w:line="420" w:lineRule="atLeast" w:before="12"/>
        <w:ind w:left="513" w:right="855"/>
        <w:jc w:val="left"/>
      </w:pPr>
      <w:r>
        <w:rPr>
          <w:spacing w:val="-3"/>
        </w:rPr>
        <w:t>（</w:t>
      </w:r>
      <w:r>
        <w:rPr>
          <w:rFonts w:ascii="Times New Roman" w:hAnsi="Times New Roman" w:cs="Times New Roman" w:eastAsia="Times New Roman" w:hint="default"/>
          <w:spacing w:val="-3"/>
        </w:rPr>
        <w:t>11</w:t>
      </w:r>
      <w:r>
        <w:rPr>
          <w:spacing w:val="-3"/>
        </w:rPr>
        <w:t>）北京星立方科技发展股份有限公司</w:t>
      </w:r>
      <w:r>
        <w:rPr>
          <w:spacing w:val="-30"/>
        </w:rPr>
        <w:t> </w:t>
      </w:r>
      <w:r>
        <w:rPr>
          <w:spacing w:val="-30"/>
        </w:rPr>
      </w:r>
      <w:r>
        <w:rPr>
          <w:spacing w:val="-4"/>
        </w:rPr>
        <w:t>北京星立方科技发展股份有限公司获得高新技术企业认证，根据《中华人民共和国企业所得税法》（中华人民共和国主</w:t>
      </w:r>
    </w:p>
    <w:p>
      <w:pPr>
        <w:pStyle w:val="BodyText"/>
        <w:spacing w:line="300" w:lineRule="auto" w:before="77"/>
        <w:ind w:right="855"/>
        <w:jc w:val="left"/>
      </w:pPr>
      <w:r>
        <w:rPr>
          <w:spacing w:val="-3"/>
        </w:rPr>
        <w:t>席令第</w:t>
      </w:r>
      <w:r>
        <w:rPr>
          <w:rFonts w:ascii="Times New Roman" w:hAnsi="Times New Roman" w:cs="Times New Roman" w:eastAsia="Times New Roman" w:hint="default"/>
          <w:spacing w:val="-3"/>
        </w:rPr>
        <w:t>63</w:t>
      </w:r>
      <w:r>
        <w:rPr>
          <w:spacing w:val="-3"/>
        </w:rPr>
        <w:t>号）文件第二十八条的规定：</w:t>
      </w:r>
      <w:r>
        <w:rPr>
          <w:rFonts w:ascii="Times New Roman" w:hAnsi="Times New Roman" w:cs="Times New Roman" w:eastAsia="Times New Roman" w:hint="default"/>
          <w:spacing w:val="-3"/>
        </w:rPr>
        <w:t>“</w:t>
      </w:r>
      <w:r>
        <w:rPr>
          <w:spacing w:val="-3"/>
        </w:rPr>
        <w:t>国家需要重点扶持的高新技术企业，减按</w:t>
      </w:r>
      <w:r>
        <w:rPr>
          <w:rFonts w:ascii="Times New Roman" w:hAnsi="Times New Roman" w:cs="Times New Roman" w:eastAsia="Times New Roman" w:hint="default"/>
          <w:spacing w:val="-3"/>
        </w:rPr>
        <w:t>15%</w:t>
      </w:r>
      <w:r>
        <w:rPr>
          <w:spacing w:val="-3"/>
        </w:rPr>
        <w:t>的税率征收企业所得税</w:t>
      </w:r>
      <w:r>
        <w:rPr>
          <w:rFonts w:ascii="Times New Roman" w:hAnsi="Times New Roman" w:cs="Times New Roman" w:eastAsia="Times New Roman" w:hint="default"/>
          <w:spacing w:val="-3"/>
        </w:rPr>
        <w:t>”</w:t>
      </w:r>
      <w:r>
        <w:rPr>
          <w:spacing w:val="-3"/>
        </w:rPr>
        <w:t>。报告期该公</w:t>
      </w:r>
      <w:r>
        <w:rPr>
          <w:spacing w:val="43"/>
        </w:rPr>
        <w:t> </w:t>
      </w:r>
      <w:r>
        <w:rPr>
          <w:spacing w:val="43"/>
        </w:rPr>
      </w:r>
      <w:r>
        <w:rPr>
          <w:spacing w:val="-3"/>
        </w:rPr>
        <w:t>司执行</w:t>
      </w:r>
      <w:r>
        <w:rPr>
          <w:rFonts w:ascii="Times New Roman" w:hAnsi="Times New Roman" w:cs="Times New Roman" w:eastAsia="Times New Roman" w:hint="default"/>
          <w:spacing w:val="-3"/>
        </w:rPr>
        <w:t>15%</w:t>
      </w:r>
      <w:r>
        <w:rPr>
          <w:spacing w:val="-3"/>
        </w:rPr>
        <w:t>所得税税率优惠政策。</w:t>
      </w:r>
    </w:p>
    <w:p>
      <w:pPr>
        <w:pStyle w:val="BodyText"/>
        <w:spacing w:line="240" w:lineRule="auto" w:before="133"/>
        <w:ind w:left="513" w:right="855"/>
        <w:jc w:val="left"/>
      </w:pPr>
      <w:r>
        <w:rPr>
          <w:spacing w:val="-3"/>
        </w:rPr>
        <w:t>（</w:t>
      </w:r>
      <w:r>
        <w:rPr>
          <w:rFonts w:ascii="Times New Roman" w:hAnsi="Times New Roman" w:cs="Times New Roman" w:eastAsia="Times New Roman" w:hint="default"/>
          <w:spacing w:val="-3"/>
        </w:rPr>
        <w:t>12</w:t>
      </w:r>
      <w:r>
        <w:rPr>
          <w:spacing w:val="-3"/>
        </w:rPr>
        <w:t>）北京南天智联信息科技有限公司</w:t>
      </w:r>
    </w:p>
    <w:p>
      <w:pPr>
        <w:spacing w:line="240" w:lineRule="auto" w:before="13"/>
        <w:rPr>
          <w:rFonts w:ascii="宋体" w:hAnsi="宋体" w:cs="宋体" w:eastAsia="宋体" w:hint="default"/>
          <w:sz w:val="13"/>
          <w:szCs w:val="13"/>
        </w:rPr>
      </w:pPr>
    </w:p>
    <w:p>
      <w:pPr>
        <w:pStyle w:val="BodyText"/>
        <w:spacing w:line="300" w:lineRule="auto"/>
        <w:ind w:right="855" w:firstLine="360"/>
        <w:jc w:val="left"/>
      </w:pPr>
      <w:r>
        <w:rPr>
          <w:spacing w:val="-3"/>
        </w:rPr>
        <w:t>根据财税【</w:t>
      </w:r>
      <w:r>
        <w:rPr>
          <w:rFonts w:ascii="Times New Roman" w:hAnsi="Times New Roman" w:cs="Times New Roman" w:eastAsia="Times New Roman" w:hint="default"/>
          <w:spacing w:val="-3"/>
        </w:rPr>
        <w:t>2012</w:t>
      </w:r>
      <w:r>
        <w:rPr>
          <w:spacing w:val="-3"/>
        </w:rPr>
        <w:t>】</w:t>
      </w:r>
      <w:r>
        <w:rPr>
          <w:rFonts w:ascii="Times New Roman" w:hAnsi="Times New Roman" w:cs="Times New Roman" w:eastAsia="Times New Roman" w:hint="default"/>
          <w:spacing w:val="-3"/>
        </w:rPr>
        <w:t>27</w:t>
      </w:r>
      <w:r>
        <w:rPr>
          <w:spacing w:val="-3"/>
        </w:rPr>
        <w:t>号文，我国境内符合条件的软件企业，经认定后，在</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日前自获利年度起计算优惠期，</w:t>
      </w:r>
      <w:r>
        <w:rPr>
          <w:w w:val="101"/>
        </w:rPr>
        <w:t> </w:t>
      </w:r>
      <w:r>
        <w:rPr>
          <w:spacing w:val="-4"/>
        </w:rPr>
        <w:t>第一年至第二年免征企业所得税，第三年至第五年按照</w:t>
      </w:r>
      <w:r>
        <w:rPr>
          <w:rFonts w:ascii="Times New Roman" w:hAnsi="Times New Roman" w:cs="Times New Roman" w:eastAsia="Times New Roman" w:hint="default"/>
          <w:spacing w:val="-4"/>
        </w:rPr>
        <w:t>25%</w:t>
      </w:r>
      <w:r>
        <w:rPr>
          <w:spacing w:val="-4"/>
        </w:rPr>
        <w:t>的法定税率减半征收企业所得税，并享受至期满为止；该公司自</w:t>
      </w:r>
      <w:r>
        <w:rPr>
          <w:spacing w:val="71"/>
        </w:rPr>
        <w:t> </w:t>
      </w:r>
      <w:r>
        <w:rPr>
          <w:spacing w:val="71"/>
        </w:rPr>
      </w:r>
      <w:r>
        <w:rPr>
          <w:rFonts w:ascii="Times New Roman" w:hAnsi="Times New Roman" w:cs="Times New Roman" w:eastAsia="Times New Roman" w:hint="default"/>
        </w:rPr>
        <w:t>2019</w:t>
      </w:r>
      <w:r>
        <w:rPr/>
        <w:t>年享受免企业所得税优惠政策。</w:t>
      </w:r>
    </w:p>
    <w:p>
      <w:pPr>
        <w:pStyle w:val="BodyText"/>
        <w:spacing w:line="240" w:lineRule="auto" w:before="133"/>
        <w:ind w:right="855"/>
        <w:jc w:val="left"/>
      </w:pPr>
      <w:r>
        <w:rPr>
          <w:spacing w:val="-3"/>
        </w:rPr>
        <w:t>公司需遵守《深圳证券交易所行业信息披露指引第 </w:t>
      </w:r>
      <w:r>
        <w:rPr>
          <w:rFonts w:ascii="Times New Roman" w:hAnsi="Times New Roman" w:cs="Times New Roman" w:eastAsia="Times New Roman" w:hint="default"/>
        </w:rPr>
        <w:t>12  </w:t>
      </w:r>
      <w:r>
        <w:rPr>
          <w:rFonts w:ascii="Times New Roman" w:hAnsi="Times New Roman" w:cs="Times New Roman" w:eastAsia="Times New Roman" w:hint="default"/>
          <w:spacing w:val="11"/>
        </w:rPr>
        <w:t> </w:t>
      </w:r>
      <w:r>
        <w:rPr>
          <w:spacing w:val="-3"/>
        </w:rPr>
        <w:t>号</w:t>
      </w:r>
      <w:r>
        <w:rPr>
          <w:rFonts w:ascii="Times New Roman" w:hAnsi="Times New Roman" w:cs="Times New Roman" w:eastAsia="Times New Roman" w:hint="default"/>
          <w:spacing w:val="-3"/>
        </w:rPr>
        <w:t>——</w:t>
      </w:r>
      <w:r>
        <w:rPr>
          <w:spacing w:val="-3"/>
        </w:rPr>
        <w:t>上市公司从事软件与信息技术服务业务》的披露要求</w:t>
      </w:r>
    </w:p>
    <w:p>
      <w:pPr>
        <w:spacing w:after="0" w:line="240" w:lineRule="auto"/>
        <w:jc w:val="left"/>
        <w:sectPr>
          <w:pgSz w:w="11910" w:h="16840"/>
          <w:pgMar w:header="746" w:footer="974" w:top="1060" w:bottom="1160" w:left="980" w:right="0"/>
        </w:sectPr>
      </w:pPr>
    </w:p>
    <w:p>
      <w:pPr>
        <w:spacing w:line="240" w:lineRule="auto" w:before="7"/>
        <w:rPr>
          <w:rFonts w:ascii="宋体" w:hAnsi="宋体" w:cs="宋体" w:eastAsia="宋体" w:hint="default"/>
          <w:sz w:val="24"/>
          <w:szCs w:val="24"/>
        </w:rPr>
      </w:pPr>
    </w:p>
    <w:p>
      <w:pPr>
        <w:spacing w:line="487" w:lineRule="auto" w:before="36"/>
        <w:ind w:left="153" w:right="785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七、合并财务报表项目注释</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、货币资金</w:t>
      </w:r>
      <w:r>
        <w:rPr>
          <w:rFonts w:ascii="宋体" w:hAnsi="宋体" w:cs="宋体" w:eastAsia="宋体" w:hint="default"/>
          <w:sz w:val="21"/>
          <w:szCs w:val="21"/>
        </w:rPr>
      </w:r>
    </w:p>
    <w:p>
      <w:pPr>
        <w:pStyle w:val="BodyText"/>
        <w:spacing w:line="240" w:lineRule="auto" w:before="105"/>
        <w:ind w:left="0" w:right="1121"/>
        <w:jc w:val="right"/>
      </w:pPr>
      <w:r>
        <w:rPr/>
        <w:t>单位：</w:t>
      </w:r>
      <w:r>
        <w:rPr>
          <w:spacing w:val="5"/>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3"/>
      </w:tblGrid>
      <w:tr>
        <w:trPr>
          <w:trHeight w:val="398"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86,205.65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244,346.68</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1,184,050,669.14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1,082,623,490.71</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71,659,145.35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82,091,707.90</w:t>
            </w:r>
          </w:p>
        </w:tc>
      </w:tr>
      <w:tr>
        <w:trPr>
          <w:trHeight w:val="398"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1,255,796,020.14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1,164,959,545.29</w:t>
            </w:r>
          </w:p>
        </w:tc>
      </w:tr>
    </w:tbl>
    <w:p>
      <w:pPr>
        <w:pStyle w:val="BodyText"/>
        <w:spacing w:line="240" w:lineRule="auto" w:before="54"/>
        <w:ind w:right="855"/>
        <w:jc w:val="left"/>
      </w:pPr>
      <w:r>
        <w:rPr/>
        <w:t>其他说明</w:t>
      </w:r>
    </w:p>
    <w:p>
      <w:pPr>
        <w:spacing w:line="240" w:lineRule="auto" w:before="8"/>
        <w:rPr>
          <w:rFonts w:ascii="宋体" w:hAnsi="宋体" w:cs="宋体" w:eastAsia="宋体" w:hint="default"/>
          <w:sz w:val="26"/>
          <w:szCs w:val="26"/>
        </w:rPr>
      </w:pPr>
    </w:p>
    <w:p>
      <w:pPr>
        <w:pStyle w:val="Heading4"/>
        <w:spacing w:line="240" w:lineRule="auto"/>
        <w:ind w:right="855"/>
        <w:jc w:val="left"/>
        <w:rPr>
          <w:b w:val="0"/>
          <w:bCs w:val="0"/>
        </w:rPr>
      </w:pPr>
      <w:r>
        <w:rPr>
          <w:rFonts w:ascii="Times New Roman" w:hAnsi="Times New Roman" w:cs="Times New Roman" w:eastAsia="Times New Roman" w:hint="default"/>
        </w:rPr>
        <w:t>2</w:t>
      </w:r>
      <w:r>
        <w:rPr/>
        <w:t>、应收票据</w:t>
      </w:r>
      <w:r>
        <w:rPr>
          <w:b w:val="0"/>
          <w:bCs w:val="0"/>
        </w:rPr>
      </w:r>
    </w:p>
    <w:p>
      <w:pPr>
        <w:spacing w:line="240" w:lineRule="auto" w:before="10"/>
        <w:rPr>
          <w:rFonts w:ascii="宋体" w:hAnsi="宋体" w:cs="宋体" w:eastAsia="宋体" w:hint="default"/>
          <w:b/>
          <w:bCs/>
          <w:sz w:val="24"/>
          <w:szCs w:val="24"/>
        </w:rPr>
      </w:pPr>
    </w:p>
    <w:p>
      <w:pPr>
        <w:spacing w:before="0"/>
        <w:ind w:left="153" w:right="85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）应收票据分类列示</w:t>
      </w:r>
      <w:r>
        <w:rPr>
          <w:rFonts w:ascii="宋体" w:hAnsi="宋体" w:cs="宋体" w:eastAsia="宋体" w:hint="default"/>
          <w:sz w:val="21"/>
          <w:szCs w:val="21"/>
        </w:rPr>
      </w:r>
    </w:p>
    <w:p>
      <w:pPr>
        <w:spacing w:line="240" w:lineRule="auto" w:before="2"/>
        <w:rPr>
          <w:rFonts w:ascii="宋体" w:hAnsi="宋体" w:cs="宋体" w:eastAsia="宋体" w:hint="default"/>
          <w:b/>
          <w:bCs/>
          <w:sz w:val="23"/>
          <w:szCs w:val="23"/>
        </w:rPr>
      </w:pPr>
    </w:p>
    <w:p>
      <w:pPr>
        <w:pStyle w:val="BodyText"/>
        <w:spacing w:line="240" w:lineRule="auto" w:before="46"/>
        <w:ind w:left="0" w:right="1121"/>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3"/>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15,174,152.40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27,583,989.36</w:t>
            </w:r>
          </w:p>
        </w:tc>
      </w:tr>
      <w:tr>
        <w:trPr>
          <w:trHeight w:val="399"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9,063,962.81</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24,238,115.21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27,583,989.36</w:t>
            </w:r>
          </w:p>
        </w:tc>
      </w:tr>
    </w:tbl>
    <w:p>
      <w:pPr>
        <w:pStyle w:val="BodyText"/>
        <w:spacing w:line="240" w:lineRule="auto" w:before="53"/>
        <w:ind w:left="0" w:right="1121"/>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637"/>
        <w:gridCol w:w="1200"/>
        <w:gridCol w:w="706"/>
        <w:gridCol w:w="567"/>
        <w:gridCol w:w="854"/>
        <w:gridCol w:w="509"/>
        <w:gridCol w:w="1191"/>
        <w:gridCol w:w="710"/>
        <w:gridCol w:w="605"/>
        <w:gridCol w:w="797"/>
        <w:gridCol w:w="792"/>
      </w:tblGrid>
      <w:tr>
        <w:trPr>
          <w:trHeight w:val="398" w:hRule="exact"/>
        </w:trPr>
        <w:tc>
          <w:tcPr>
            <w:tcW w:w="16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7"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6"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6" w:hRule="exact"/>
        </w:trPr>
        <w:tc>
          <w:tcPr>
            <w:tcW w:w="1637" w:type="dxa"/>
            <w:vMerge/>
            <w:tcBorders>
              <w:left w:val="single" w:sz="4" w:space="0" w:color="000000"/>
              <w:right w:val="single" w:sz="4" w:space="0" w:color="000000"/>
            </w:tcBorders>
            <w:shd w:val="clear" w:color="auto" w:fill="D2D2D2"/>
          </w:tcPr>
          <w:p>
            <w:pPr/>
          </w:p>
        </w:tc>
        <w:tc>
          <w:tcPr>
            <w:tcW w:w="190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9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2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4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509"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101"/>
              <w:ind w:left="71" w:right="60"/>
              <w:jc w:val="left"/>
              <w:rPr>
                <w:rFonts w:ascii="宋体" w:hAnsi="宋体" w:cs="宋体" w:eastAsia="宋体" w:hint="default"/>
                <w:sz w:val="18"/>
                <w:szCs w:val="18"/>
              </w:rPr>
            </w:pPr>
            <w:r>
              <w:rPr>
                <w:rFonts w:ascii="宋体" w:hAnsi="宋体" w:cs="宋体" w:eastAsia="宋体" w:hint="default"/>
                <w:sz w:val="18"/>
                <w:szCs w:val="18"/>
              </w:rPr>
              <w:t>账面</w:t>
            </w:r>
            <w:r>
              <w:rPr>
                <w:rFonts w:ascii="宋体" w:hAnsi="宋体" w:cs="宋体" w:eastAsia="宋体" w:hint="default"/>
                <w:spacing w:val="-86"/>
                <w:sz w:val="18"/>
                <w:szCs w:val="18"/>
              </w:rPr>
              <w:t> </w:t>
            </w:r>
            <w:r>
              <w:rPr>
                <w:rFonts w:ascii="宋体" w:hAnsi="宋体" w:cs="宋体" w:eastAsia="宋体" w:hint="default"/>
                <w:sz w:val="18"/>
                <w:szCs w:val="18"/>
              </w:rPr>
              <w:t>价值</w:t>
            </w:r>
          </w:p>
        </w:tc>
        <w:tc>
          <w:tcPr>
            <w:tcW w:w="190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8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0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3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6" w:hRule="exact"/>
        </w:trPr>
        <w:tc>
          <w:tcPr>
            <w:tcW w:w="1637" w:type="dxa"/>
            <w:vMerge/>
            <w:tcBorders>
              <w:left w:val="single" w:sz="4" w:space="0" w:color="000000"/>
              <w:bottom w:val="single" w:sz="4" w:space="0" w:color="000000"/>
              <w:right w:val="single" w:sz="4" w:space="0" w:color="000000"/>
            </w:tcBorders>
            <w:shd w:val="clear" w:color="auto" w:fill="D2D2D2"/>
          </w:tcPr>
          <w:p>
            <w:pPr/>
          </w:p>
        </w:tc>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8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67"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509" w:type="dxa"/>
            <w:vMerge/>
            <w:tcBorders>
              <w:left w:val="single" w:sz="4" w:space="0" w:color="000000"/>
              <w:bottom w:val="single" w:sz="4" w:space="0" w:color="000000"/>
              <w:right w:val="single" w:sz="4" w:space="0" w:color="000000"/>
            </w:tcBorders>
            <w:shd w:val="clear" w:color="auto" w:fill="D2D2D2"/>
          </w:tcPr>
          <w:p>
            <w:pPr/>
          </w:p>
        </w:tc>
        <w:tc>
          <w:tcPr>
            <w:tcW w:w="1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3"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792" w:type="dxa"/>
            <w:vMerge/>
            <w:tcBorders>
              <w:left w:val="single" w:sz="4" w:space="0" w:color="000000"/>
              <w:bottom w:val="single" w:sz="4" w:space="0" w:color="000000"/>
              <w:right w:val="single" w:sz="4" w:space="0" w:color="000000"/>
            </w:tcBorders>
            <w:shd w:val="clear" w:color="auto" w:fill="D2D2D2"/>
          </w:tcPr>
          <w:p>
            <w:pPr/>
          </w:p>
        </w:tc>
      </w:tr>
      <w:tr>
        <w:trPr>
          <w:trHeight w:val="398" w:hRule="exact"/>
        </w:trPr>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其中：</w:t>
            </w:r>
          </w:p>
        </w:tc>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0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0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9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0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5" w:hRule="exact"/>
        </w:trPr>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24" w:right="156"/>
              <w:jc w:val="left"/>
              <w:rPr>
                <w:rFonts w:ascii="宋体" w:hAnsi="宋体" w:cs="宋体" w:eastAsia="宋体" w:hint="default"/>
                <w:sz w:val="18"/>
                <w:szCs w:val="18"/>
              </w:rPr>
            </w:pPr>
            <w:r>
              <w:rPr>
                <w:rFonts w:ascii="宋体" w:hAnsi="宋体" w:cs="宋体" w:eastAsia="宋体" w:hint="default"/>
                <w:spacing w:val="-2"/>
                <w:sz w:val="18"/>
                <w:szCs w:val="18"/>
              </w:rPr>
              <w:t>按组合计提坏账准</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备的应收票据</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24,238,115.21</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8" w:right="0"/>
              <w:jc w:val="center"/>
              <w:rPr>
                <w:rFonts w:ascii="Times New Roman" w:hAnsi="Times New Roman" w:cs="Times New Roman" w:eastAsia="Times New Roman" w:hint="default"/>
                <w:sz w:val="18"/>
                <w:szCs w:val="18"/>
              </w:rPr>
            </w:pPr>
            <w:r>
              <w:rPr>
                <w:rFonts w:ascii="Times New Roman"/>
                <w:sz w:val="18"/>
              </w:rPr>
              <w:t>100.00%</w:t>
            </w:r>
          </w:p>
        </w:tc>
        <w:tc>
          <w:tcPr>
            <w:tcW w:w="567"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99" w:right="0"/>
              <w:jc w:val="center"/>
              <w:rPr>
                <w:rFonts w:ascii="Times New Roman" w:hAnsi="Times New Roman" w:cs="Times New Roman" w:eastAsia="Times New Roman" w:hint="default"/>
                <w:sz w:val="18"/>
                <w:szCs w:val="18"/>
              </w:rPr>
            </w:pPr>
            <w:r>
              <w:rPr>
                <w:rFonts w:ascii="Times New Roman"/>
                <w:sz w:val="18"/>
              </w:rPr>
              <w:t>27,583,989.36</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2" w:right="0"/>
              <w:jc w:val="center"/>
              <w:rPr>
                <w:rFonts w:ascii="Times New Roman" w:hAnsi="Times New Roman" w:cs="Times New Roman" w:eastAsia="Times New Roman" w:hint="default"/>
                <w:sz w:val="18"/>
                <w:szCs w:val="18"/>
              </w:rPr>
            </w:pPr>
            <w:r>
              <w:rPr>
                <w:rFonts w:ascii="Times New Roman"/>
                <w:sz w:val="18"/>
              </w:rPr>
              <w:t>100.00%</w:t>
            </w:r>
          </w:p>
        </w:tc>
        <w:tc>
          <w:tcPr>
            <w:tcW w:w="60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其中：</w:t>
            </w:r>
          </w:p>
        </w:tc>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0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0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9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0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15,174,152.40</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4" w:right="0"/>
              <w:jc w:val="center"/>
              <w:rPr>
                <w:rFonts w:ascii="Times New Roman" w:hAnsi="Times New Roman" w:cs="Times New Roman" w:eastAsia="Times New Roman" w:hint="default"/>
                <w:sz w:val="18"/>
                <w:szCs w:val="18"/>
              </w:rPr>
            </w:pPr>
            <w:r>
              <w:rPr>
                <w:rFonts w:ascii="Times New Roman"/>
                <w:sz w:val="18"/>
              </w:rPr>
              <w:t>62.60%</w:t>
            </w:r>
          </w:p>
        </w:tc>
        <w:tc>
          <w:tcPr>
            <w:tcW w:w="567"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99" w:right="0"/>
              <w:jc w:val="center"/>
              <w:rPr>
                <w:rFonts w:ascii="Times New Roman" w:hAnsi="Times New Roman" w:cs="Times New Roman" w:eastAsia="Times New Roman" w:hint="default"/>
                <w:sz w:val="18"/>
                <w:szCs w:val="18"/>
              </w:rPr>
            </w:pPr>
            <w:r>
              <w:rPr>
                <w:rFonts w:ascii="Times New Roman"/>
                <w:sz w:val="18"/>
              </w:rPr>
              <w:t>27,583,989.36</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2" w:right="0"/>
              <w:jc w:val="center"/>
              <w:rPr>
                <w:rFonts w:ascii="Times New Roman" w:hAnsi="Times New Roman" w:cs="Times New Roman" w:eastAsia="Times New Roman" w:hint="default"/>
                <w:sz w:val="18"/>
                <w:szCs w:val="18"/>
              </w:rPr>
            </w:pPr>
            <w:r>
              <w:rPr>
                <w:rFonts w:ascii="Times New Roman"/>
                <w:sz w:val="18"/>
              </w:rPr>
              <w:t>100.00%</w:t>
            </w:r>
          </w:p>
        </w:tc>
        <w:tc>
          <w:tcPr>
            <w:tcW w:w="60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9,063,962.81</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4" w:right="0"/>
              <w:jc w:val="center"/>
              <w:rPr>
                <w:rFonts w:ascii="Times New Roman" w:hAnsi="Times New Roman" w:cs="Times New Roman" w:eastAsia="Times New Roman" w:hint="default"/>
                <w:sz w:val="18"/>
                <w:szCs w:val="18"/>
              </w:rPr>
            </w:pPr>
            <w:r>
              <w:rPr>
                <w:rFonts w:ascii="Times New Roman"/>
                <w:sz w:val="18"/>
              </w:rPr>
              <w:t>37.40%</w:t>
            </w:r>
          </w:p>
        </w:tc>
        <w:tc>
          <w:tcPr>
            <w:tcW w:w="567"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1191"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24,238,115.21</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8" w:right="0"/>
              <w:jc w:val="center"/>
              <w:rPr>
                <w:rFonts w:ascii="Times New Roman" w:hAnsi="Times New Roman" w:cs="Times New Roman" w:eastAsia="Times New Roman" w:hint="default"/>
                <w:sz w:val="18"/>
                <w:szCs w:val="18"/>
              </w:rPr>
            </w:pPr>
            <w:r>
              <w:rPr>
                <w:rFonts w:ascii="Times New Roman"/>
                <w:sz w:val="18"/>
              </w:rPr>
              <w:t>100.00%</w:t>
            </w:r>
          </w:p>
        </w:tc>
        <w:tc>
          <w:tcPr>
            <w:tcW w:w="567"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9" w:right="0"/>
              <w:jc w:val="center"/>
              <w:rPr>
                <w:rFonts w:ascii="Times New Roman" w:hAnsi="Times New Roman" w:cs="Times New Roman" w:eastAsia="Times New Roman" w:hint="default"/>
                <w:sz w:val="18"/>
                <w:szCs w:val="18"/>
              </w:rPr>
            </w:pPr>
            <w:r>
              <w:rPr>
                <w:rFonts w:ascii="Times New Roman"/>
                <w:sz w:val="18"/>
              </w:rPr>
              <w:t>27,583,989.36</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2" w:right="0"/>
              <w:jc w:val="center"/>
              <w:rPr>
                <w:rFonts w:ascii="Times New Roman" w:hAnsi="Times New Roman" w:cs="Times New Roman" w:eastAsia="Times New Roman" w:hint="default"/>
                <w:sz w:val="18"/>
                <w:szCs w:val="18"/>
              </w:rPr>
            </w:pPr>
            <w:r>
              <w:rPr>
                <w:rFonts w:ascii="Times New Roman"/>
                <w:sz w:val="18"/>
              </w:rPr>
              <w:t>100.00%</w:t>
            </w:r>
          </w:p>
        </w:tc>
        <w:tc>
          <w:tcPr>
            <w:tcW w:w="60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4"/>
        <w:ind w:right="855"/>
        <w:jc w:val="left"/>
      </w:pPr>
      <w:r>
        <w:rPr>
          <w:spacing w:val="-3"/>
        </w:rPr>
        <w:t>如是按照预期信用损失一般模型计提应收票据坏账准备，请参照其他应收款的披露方式披露坏账准备的相关信息：</w:t>
      </w:r>
    </w:p>
    <w:p>
      <w:pPr>
        <w:pStyle w:val="BodyText"/>
        <w:spacing w:line="240" w:lineRule="auto" w:before="110"/>
        <w:ind w:right="855"/>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after="0" w:line="240" w:lineRule="auto"/>
        <w:jc w:val="left"/>
        <w:sectPr>
          <w:pgSz w:w="11910" w:h="16840"/>
          <w:pgMar w:header="746" w:footer="974" w:top="1060" w:bottom="1160" w:left="980" w:right="0"/>
        </w:sectPr>
      </w:pPr>
    </w:p>
    <w:p>
      <w:pPr>
        <w:spacing w:line="240" w:lineRule="auto" w:before="7"/>
        <w:rPr>
          <w:rFonts w:ascii="宋体" w:hAnsi="宋体" w:cs="宋体" w:eastAsia="宋体" w:hint="default"/>
          <w:sz w:val="24"/>
          <w:szCs w:val="24"/>
        </w:rPr>
      </w:pPr>
    </w:p>
    <w:p>
      <w:pPr>
        <w:pStyle w:val="Heading4"/>
        <w:spacing w:line="240" w:lineRule="auto" w:before="36"/>
        <w:ind w:right="855"/>
        <w:jc w:val="left"/>
        <w:rPr>
          <w:b w:val="0"/>
          <w:bCs w:val="0"/>
        </w:rPr>
      </w:pPr>
      <w:r>
        <w:rPr/>
        <w:t>（</w:t>
      </w:r>
      <w:r>
        <w:rPr>
          <w:rFonts w:ascii="Times New Roman" w:hAnsi="Times New Roman" w:cs="Times New Roman" w:eastAsia="Times New Roman" w:hint="default"/>
        </w:rPr>
        <w:t>2</w:t>
      </w:r>
      <w:r>
        <w:rPr/>
        <w:t>）期末公司已背书或贴现且在资产负债表日尚未到期的应收票据</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1"/>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3"/>
      </w:tblGrid>
      <w:tr>
        <w:trPr>
          <w:trHeight w:val="40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869"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782" w:right="0"/>
              <w:jc w:val="left"/>
              <w:rPr>
                <w:rFonts w:ascii="宋体" w:hAnsi="宋体" w:cs="宋体" w:eastAsia="宋体" w:hint="default"/>
                <w:sz w:val="18"/>
                <w:szCs w:val="18"/>
              </w:rPr>
            </w:pPr>
            <w:r>
              <w:rPr>
                <w:rFonts w:ascii="宋体" w:hAnsi="宋体" w:cs="宋体" w:eastAsia="宋体" w:hint="default"/>
                <w:spacing w:val="-3"/>
                <w:sz w:val="18"/>
                <w:szCs w:val="18"/>
              </w:rPr>
              <w:t>期末未终止确认金额</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37,154,454.00</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37,154,454.00</w:t>
            </w:r>
          </w:p>
        </w:tc>
        <w:tc>
          <w:tcPr>
            <w:tcW w:w="319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855"/>
        <w:jc w:val="left"/>
        <w:rPr>
          <w:b w:val="0"/>
          <w:bCs w:val="0"/>
        </w:rPr>
      </w:pPr>
      <w:r>
        <w:rPr>
          <w:rFonts w:ascii="Times New Roman" w:hAnsi="Times New Roman" w:cs="Times New Roman" w:eastAsia="Times New Roman" w:hint="default"/>
        </w:rPr>
        <w:t>3</w:t>
      </w:r>
      <w:r>
        <w:rPr/>
        <w:t>、应收账款</w:t>
      </w:r>
      <w:r>
        <w:rPr>
          <w:b w:val="0"/>
          <w:bCs w:val="0"/>
        </w:rPr>
      </w:r>
    </w:p>
    <w:p>
      <w:pPr>
        <w:spacing w:line="240" w:lineRule="auto" w:before="10"/>
        <w:rPr>
          <w:rFonts w:ascii="宋体" w:hAnsi="宋体" w:cs="宋体" w:eastAsia="宋体" w:hint="default"/>
          <w:b/>
          <w:bCs/>
          <w:sz w:val="24"/>
          <w:szCs w:val="24"/>
        </w:rPr>
      </w:pPr>
    </w:p>
    <w:p>
      <w:pPr>
        <w:spacing w:before="0"/>
        <w:ind w:left="153" w:right="85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）应收账款分类披露</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pStyle w:val="BodyText"/>
        <w:spacing w:line="240" w:lineRule="auto" w:before="46"/>
        <w:ind w:left="0" w:right="1121"/>
        <w:jc w:val="right"/>
      </w:pPr>
      <w:r>
        <w:rPr/>
        <w:t>单位：</w:t>
      </w:r>
      <w:r>
        <w:rPr>
          <w:spacing w:val="5"/>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37"/>
        <w:gridCol w:w="764"/>
        <w:gridCol w:w="759"/>
        <w:gridCol w:w="763"/>
        <w:gridCol w:w="764"/>
        <w:gridCol w:w="788"/>
        <w:gridCol w:w="778"/>
        <w:gridCol w:w="797"/>
        <w:gridCol w:w="797"/>
        <w:gridCol w:w="793"/>
        <w:gridCol w:w="931"/>
      </w:tblGrid>
      <w:tr>
        <w:trPr>
          <w:trHeight w:val="399" w:hRule="exact"/>
        </w:trPr>
        <w:tc>
          <w:tcPr>
            <w:tcW w:w="16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0"/>
              <w:ind w:left="5"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7"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6"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637" w:type="dxa"/>
            <w:vMerge/>
            <w:tcBorders>
              <w:left w:val="single" w:sz="4" w:space="0" w:color="000000"/>
              <w:right w:val="single" w:sz="4" w:space="0" w:color="000000"/>
            </w:tcBorders>
            <w:shd w:val="clear" w:color="auto" w:fill="D2D2D2"/>
          </w:tcPr>
          <w:p>
            <w:pPr/>
          </w:p>
        </w:tc>
        <w:tc>
          <w:tcPr>
            <w:tcW w:w="15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7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2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2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5" w:hRule="exact"/>
        </w:trPr>
        <w:tc>
          <w:tcPr>
            <w:tcW w:w="1637" w:type="dxa"/>
            <w:vMerge/>
            <w:tcBorders>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9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88" w:right="103" w:hanging="183"/>
              <w:jc w:val="left"/>
              <w:rPr>
                <w:rFonts w:ascii="宋体" w:hAnsi="宋体" w:cs="宋体" w:eastAsia="宋体" w:hint="default"/>
                <w:sz w:val="18"/>
                <w:szCs w:val="18"/>
              </w:rPr>
            </w:pPr>
            <w:r>
              <w:rPr>
                <w:rFonts w:ascii="宋体" w:hAnsi="宋体" w:cs="宋体" w:eastAsia="宋体" w:hint="default"/>
                <w:sz w:val="18"/>
                <w:szCs w:val="18"/>
              </w:rPr>
              <w:t>计提比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例</w:t>
            </w:r>
          </w:p>
        </w:tc>
        <w:tc>
          <w:tcPr>
            <w:tcW w:w="788" w:type="dxa"/>
            <w:vMerge/>
            <w:tcBorders>
              <w:left w:val="single" w:sz="4" w:space="0" w:color="000000"/>
              <w:bottom w:val="single" w:sz="4" w:space="0" w:color="000000"/>
              <w:right w:val="single" w:sz="4" w:space="0" w:color="000000"/>
            </w:tcBorders>
            <w:shd w:val="clear" w:color="auto" w:fill="D2D2D2"/>
          </w:tcPr>
          <w:p>
            <w:pP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1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27"/>
              <w:jc w:val="right"/>
              <w:rPr>
                <w:rFonts w:ascii="宋体" w:hAnsi="宋体" w:cs="宋体" w:eastAsia="宋体" w:hint="default"/>
                <w:sz w:val="18"/>
                <w:szCs w:val="18"/>
              </w:rPr>
            </w:pPr>
            <w:r>
              <w:rPr>
                <w:rFonts w:ascii="宋体" w:hAnsi="宋体" w:cs="宋体" w:eastAsia="宋体" w:hint="default"/>
                <w:spacing w:val="-2"/>
                <w:sz w:val="18"/>
                <w:szCs w:val="18"/>
              </w:rPr>
              <w:t>计提比例</w:t>
            </w: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716" w:hRule="exact"/>
        </w:trPr>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156"/>
              <w:jc w:val="left"/>
              <w:rPr>
                <w:rFonts w:ascii="宋体" w:hAnsi="宋体" w:cs="宋体" w:eastAsia="宋体" w:hint="default"/>
                <w:sz w:val="18"/>
                <w:szCs w:val="18"/>
              </w:rPr>
            </w:pPr>
            <w:r>
              <w:rPr>
                <w:rFonts w:ascii="宋体" w:hAnsi="宋体" w:cs="宋体" w:eastAsia="宋体" w:hint="default"/>
                <w:spacing w:val="-2"/>
                <w:sz w:val="18"/>
                <w:szCs w:val="18"/>
              </w:rPr>
              <w:t>按单项计提坏账准</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备的应收账款</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1" w:right="0"/>
              <w:jc w:val="left"/>
              <w:rPr>
                <w:rFonts w:ascii="Times New Roman" w:hAnsi="Times New Roman" w:cs="Times New Roman" w:eastAsia="Times New Roman" w:hint="default"/>
                <w:sz w:val="18"/>
                <w:szCs w:val="18"/>
              </w:rPr>
            </w:pPr>
            <w:r>
              <w:rPr>
                <w:rFonts w:ascii="Times New Roman"/>
                <w:sz w:val="18"/>
              </w:rPr>
              <w:t>10,897,8</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31.00</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1.59%</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5,600,93</w:t>
            </w:r>
          </w:p>
          <w:p>
            <w:pPr>
              <w:pStyle w:val="TableParagraph"/>
              <w:spacing w:line="240" w:lineRule="auto" w:before="105"/>
              <w:ind w:left="412" w:right="0"/>
              <w:jc w:val="left"/>
              <w:rPr>
                <w:rFonts w:ascii="Times New Roman" w:hAnsi="Times New Roman" w:cs="Times New Roman" w:eastAsia="Times New Roman" w:hint="default"/>
                <w:sz w:val="18"/>
                <w:szCs w:val="18"/>
              </w:rPr>
            </w:pPr>
            <w:r>
              <w:rPr>
                <w:rFonts w:ascii="Times New Roman"/>
                <w:sz w:val="18"/>
              </w:rPr>
              <w:t>1.00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51.39%</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5,296,900</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.00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10,897,83</w:t>
            </w:r>
          </w:p>
          <w:p>
            <w:pPr>
              <w:pStyle w:val="TableParagraph"/>
              <w:spacing w:line="240" w:lineRule="auto" w:before="105"/>
              <w:ind w:left="427" w:right="0"/>
              <w:jc w:val="left"/>
              <w:rPr>
                <w:rFonts w:ascii="Times New Roman" w:hAnsi="Times New Roman" w:cs="Times New Roman" w:eastAsia="Times New Roman" w:hint="default"/>
                <w:sz w:val="18"/>
                <w:szCs w:val="18"/>
              </w:rPr>
            </w:pPr>
            <w:r>
              <w:rPr>
                <w:rFonts w:ascii="Times New Roman"/>
                <w:sz w:val="18"/>
              </w:rPr>
              <w:t>1.00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5,600,931</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.00</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51.39%</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5,296,900.0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403" w:hRule="exact"/>
        </w:trPr>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5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0" w:hRule="exact"/>
        </w:trPr>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24" w:right="156"/>
              <w:jc w:val="left"/>
              <w:rPr>
                <w:rFonts w:ascii="宋体" w:hAnsi="宋体" w:cs="宋体" w:eastAsia="宋体" w:hint="default"/>
                <w:sz w:val="18"/>
                <w:szCs w:val="18"/>
              </w:rPr>
            </w:pPr>
            <w:r>
              <w:rPr>
                <w:rFonts w:ascii="宋体" w:hAnsi="宋体" w:cs="宋体" w:eastAsia="宋体" w:hint="default"/>
                <w:spacing w:val="-2"/>
                <w:sz w:val="18"/>
                <w:szCs w:val="18"/>
              </w:rPr>
              <w:t>按组合计提坏账准</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备的应收账款</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center"/>
              <w:rPr>
                <w:rFonts w:ascii="Times New Roman" w:hAnsi="Times New Roman" w:cs="Times New Roman" w:eastAsia="Times New Roman" w:hint="default"/>
                <w:sz w:val="18"/>
                <w:szCs w:val="18"/>
              </w:rPr>
            </w:pPr>
            <w:r>
              <w:rPr>
                <w:rFonts w:ascii="Times New Roman"/>
                <w:sz w:val="18"/>
              </w:rPr>
              <w:t>676,587,</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405.10</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98.41%</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97,900,6</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92.73</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14.47%</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578,686,7</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12.37</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556,742,5</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77.53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98.08%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 w:right="0"/>
              <w:jc w:val="left"/>
              <w:rPr>
                <w:rFonts w:ascii="Times New Roman" w:hAnsi="Times New Roman" w:cs="Times New Roman" w:eastAsia="Times New Roman" w:hint="default"/>
                <w:sz w:val="18"/>
                <w:szCs w:val="18"/>
              </w:rPr>
            </w:pPr>
            <w:r>
              <w:rPr>
                <w:rFonts w:ascii="Times New Roman"/>
                <w:sz w:val="18"/>
              </w:rPr>
              <w:t>76,330,63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6.36</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13.71%</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480,411,94</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1.17</w:t>
            </w:r>
          </w:p>
        </w:tc>
      </w:tr>
      <w:tr>
        <w:trPr>
          <w:trHeight w:val="404" w:hRule="exact"/>
        </w:trPr>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5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027" w:hRule="exact"/>
        </w:trPr>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156"/>
              <w:jc w:val="both"/>
              <w:rPr>
                <w:rFonts w:ascii="宋体" w:hAnsi="宋体" w:cs="宋体" w:eastAsia="宋体" w:hint="default"/>
                <w:sz w:val="18"/>
                <w:szCs w:val="18"/>
              </w:rPr>
            </w:pPr>
            <w:r>
              <w:rPr>
                <w:rFonts w:ascii="宋体" w:hAnsi="宋体" w:cs="宋体" w:eastAsia="宋体" w:hint="default"/>
                <w:spacing w:val="-2"/>
                <w:sz w:val="18"/>
                <w:szCs w:val="18"/>
              </w:rPr>
              <w:t>按预期信用风险组</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合计提坏账准备的</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应收账款</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9" w:right="0"/>
              <w:jc w:val="center"/>
              <w:rPr>
                <w:rFonts w:ascii="Times New Roman" w:hAnsi="Times New Roman" w:cs="Times New Roman" w:eastAsia="Times New Roman" w:hint="default"/>
                <w:sz w:val="18"/>
                <w:szCs w:val="18"/>
              </w:rPr>
            </w:pPr>
            <w:r>
              <w:rPr>
                <w:rFonts w:ascii="Times New Roman"/>
                <w:sz w:val="18"/>
              </w:rPr>
              <w:t>676,587,</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405.10</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98.41%</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97,900,6</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92.73</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14.47%</w:t>
            </w:r>
          </w:p>
        </w:tc>
        <w:tc>
          <w:tcPr>
            <w:tcW w:w="788"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556,742,5</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77.53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98.08%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76,330,63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6.36</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13.71%</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480,411,94</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1.17</w:t>
            </w:r>
          </w:p>
        </w:tc>
      </w:tr>
      <w:tr>
        <w:trPr>
          <w:trHeight w:val="716" w:hRule="exact"/>
        </w:trPr>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center"/>
              <w:rPr>
                <w:rFonts w:ascii="Times New Roman" w:hAnsi="Times New Roman" w:cs="Times New Roman" w:eastAsia="Times New Roman" w:hint="default"/>
                <w:sz w:val="18"/>
                <w:szCs w:val="18"/>
              </w:rPr>
            </w:pPr>
            <w:r>
              <w:rPr>
                <w:rFonts w:ascii="Times New Roman"/>
                <w:sz w:val="18"/>
              </w:rPr>
              <w:t>687,485,</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236.10</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2"/>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center"/>
              <w:rPr>
                <w:rFonts w:ascii="Times New Roman" w:hAnsi="Times New Roman" w:cs="Times New Roman" w:eastAsia="Times New Roman" w:hint="default"/>
                <w:sz w:val="18"/>
                <w:szCs w:val="18"/>
              </w:rPr>
            </w:pPr>
            <w:r>
              <w:rPr>
                <w:rFonts w:ascii="Times New Roman"/>
                <w:sz w:val="18"/>
              </w:rPr>
              <w:t>103,501,</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623.73</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15.06%</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583,983,6</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12.37</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567,640,4</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08.53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 w:right="0"/>
              <w:jc w:val="left"/>
              <w:rPr>
                <w:rFonts w:ascii="Times New Roman" w:hAnsi="Times New Roman" w:cs="Times New Roman" w:eastAsia="Times New Roman" w:hint="default"/>
                <w:sz w:val="18"/>
                <w:szCs w:val="18"/>
              </w:rPr>
            </w:pPr>
            <w:r>
              <w:rPr>
                <w:rFonts w:ascii="Times New Roman"/>
                <w:sz w:val="18"/>
              </w:rPr>
              <w:t>81,931,56</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7.36</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14.43%</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485,708,84</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1.17</w:t>
            </w:r>
          </w:p>
        </w:tc>
      </w:tr>
    </w:tbl>
    <w:p>
      <w:pPr>
        <w:pStyle w:val="BodyText"/>
        <w:spacing w:line="240" w:lineRule="auto" w:before="53"/>
        <w:ind w:right="855"/>
        <w:jc w:val="left"/>
      </w:pPr>
      <w:r>
        <w:rPr>
          <w:spacing w:val="-3"/>
        </w:rPr>
        <w:t>按单项计提坏账准备：年末单项计提坏账准备的应收账款</w:t>
      </w:r>
    </w:p>
    <w:p>
      <w:pPr>
        <w:pStyle w:val="BodyText"/>
        <w:spacing w:line="240" w:lineRule="auto" w:before="110"/>
        <w:ind w:left="0" w:right="1121"/>
        <w:jc w:val="right"/>
      </w:pPr>
      <w:r>
        <w:rPr/>
        <w:t>单位：</w:t>
      </w:r>
      <w:r>
        <w:rPr>
          <w:spacing w:val="5"/>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850"/>
        <w:gridCol w:w="710"/>
        <w:gridCol w:w="567"/>
        <w:gridCol w:w="850"/>
        <w:gridCol w:w="6598"/>
      </w:tblGrid>
      <w:tr>
        <w:trPr>
          <w:trHeight w:val="398" w:hRule="exact"/>
        </w:trPr>
        <w:tc>
          <w:tcPr>
            <w:tcW w:w="8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40" w:right="0"/>
              <w:jc w:val="left"/>
              <w:rPr>
                <w:rFonts w:ascii="宋体" w:hAnsi="宋体" w:cs="宋体" w:eastAsia="宋体" w:hint="default"/>
                <w:sz w:val="18"/>
                <w:szCs w:val="18"/>
              </w:rPr>
            </w:pPr>
            <w:r>
              <w:rPr>
                <w:rFonts w:ascii="宋体" w:hAnsi="宋体" w:cs="宋体" w:eastAsia="宋体" w:hint="default"/>
                <w:sz w:val="18"/>
                <w:szCs w:val="18"/>
              </w:rPr>
              <w:t>名称</w:t>
            </w:r>
          </w:p>
        </w:tc>
        <w:tc>
          <w:tcPr>
            <w:tcW w:w="872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6" w:hRule="exact"/>
        </w:trPr>
        <w:tc>
          <w:tcPr>
            <w:tcW w:w="850" w:type="dxa"/>
            <w:vMerge/>
            <w:tcBorders>
              <w:left w:val="single" w:sz="4" w:space="0" w:color="000000"/>
              <w:bottom w:val="single" w:sz="4" w:space="0" w:color="000000"/>
              <w:right w:val="single" w:sz="4" w:space="0" w:color="000000"/>
            </w:tcBorders>
            <w:shd w:val="clear" w:color="auto" w:fill="D2D2D2"/>
          </w:tcPr>
          <w:p>
            <w:pP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259" w:right="74" w:hanging="178"/>
              <w:jc w:val="left"/>
              <w:rPr>
                <w:rFonts w:ascii="宋体" w:hAnsi="宋体" w:cs="宋体" w:eastAsia="宋体" w:hint="default"/>
                <w:sz w:val="18"/>
                <w:szCs w:val="18"/>
              </w:rPr>
            </w:pPr>
            <w:r>
              <w:rPr>
                <w:rFonts w:ascii="宋体" w:hAnsi="宋体" w:cs="宋体" w:eastAsia="宋体" w:hint="default"/>
                <w:sz w:val="18"/>
                <w:szCs w:val="18"/>
              </w:rPr>
              <w:t>账面余</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额</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95" w:right="94"/>
              <w:jc w:val="left"/>
              <w:rPr>
                <w:rFonts w:ascii="宋体" w:hAnsi="宋体" w:cs="宋体" w:eastAsia="宋体" w:hint="default"/>
                <w:sz w:val="18"/>
                <w:szCs w:val="18"/>
              </w:rPr>
            </w:pPr>
            <w:r>
              <w:rPr>
                <w:rFonts w:ascii="宋体" w:hAnsi="宋体" w:cs="宋体" w:eastAsia="宋体" w:hint="default"/>
                <w:sz w:val="18"/>
                <w:szCs w:val="18"/>
              </w:rPr>
              <w:t>坏账</w:t>
            </w:r>
            <w:r>
              <w:rPr>
                <w:rFonts w:ascii="宋体" w:hAnsi="宋体" w:cs="宋体" w:eastAsia="宋体" w:hint="default"/>
                <w:spacing w:val="-86"/>
                <w:sz w:val="18"/>
                <w:szCs w:val="18"/>
              </w:rPr>
              <w:t> </w:t>
            </w:r>
            <w:r>
              <w:rPr>
                <w:rFonts w:ascii="宋体" w:hAnsi="宋体" w:cs="宋体" w:eastAsia="宋体" w:hint="default"/>
                <w:sz w:val="18"/>
                <w:szCs w:val="18"/>
              </w:rPr>
              <w:t>准备</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56"/>
              <w:jc w:val="right"/>
              <w:rPr>
                <w:rFonts w:ascii="宋体" w:hAnsi="宋体" w:cs="宋体" w:eastAsia="宋体" w:hint="default"/>
                <w:sz w:val="18"/>
                <w:szCs w:val="18"/>
              </w:rPr>
            </w:pPr>
            <w:r>
              <w:rPr>
                <w:rFonts w:ascii="宋体" w:hAnsi="宋体" w:cs="宋体" w:eastAsia="宋体" w:hint="default"/>
                <w:spacing w:val="-2"/>
                <w:sz w:val="18"/>
                <w:szCs w:val="18"/>
              </w:rPr>
              <w:t>计提比例</w:t>
            </w:r>
          </w:p>
        </w:tc>
        <w:tc>
          <w:tcPr>
            <w:tcW w:w="6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1652"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9" w:lineRule="auto" w:before="130"/>
              <w:ind w:left="24" w:right="89"/>
              <w:jc w:val="both"/>
              <w:rPr>
                <w:rFonts w:ascii="宋体" w:hAnsi="宋体" w:cs="宋体" w:eastAsia="宋体" w:hint="default"/>
                <w:sz w:val="18"/>
                <w:szCs w:val="18"/>
              </w:rPr>
            </w:pPr>
            <w:r>
              <w:rPr>
                <w:rFonts w:ascii="Times New Roman" w:hAnsi="Times New Roman" w:cs="Times New Roman" w:eastAsia="Times New Roman" w:hint="default"/>
                <w:sz w:val="18"/>
                <w:szCs w:val="18"/>
              </w:rPr>
              <w:t>A </w:t>
            </w:r>
            <w:r>
              <w:rPr>
                <w:rFonts w:ascii="宋体" w:hAnsi="宋体" w:cs="宋体" w:eastAsia="宋体" w:hint="default"/>
                <w:sz w:val="18"/>
                <w:szCs w:val="18"/>
              </w:rPr>
              <w:t>集团有</w:t>
            </w:r>
            <w:r>
              <w:rPr>
                <w:rFonts w:ascii="宋体" w:hAnsi="宋体" w:cs="宋体" w:eastAsia="宋体" w:hint="default"/>
                <w:spacing w:val="-86"/>
                <w:sz w:val="18"/>
                <w:szCs w:val="18"/>
              </w:rPr>
              <w:t> </w:t>
            </w:r>
            <w:r>
              <w:rPr>
                <w:rFonts w:ascii="宋体" w:hAnsi="宋体" w:cs="宋体" w:eastAsia="宋体" w:hint="default"/>
                <w:sz w:val="18"/>
                <w:szCs w:val="18"/>
              </w:rPr>
              <w:t>限责任公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7,567,00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2,270,</w:t>
            </w:r>
          </w:p>
          <w:p>
            <w:pPr>
              <w:pStyle w:val="TableParagraph"/>
              <w:spacing w:line="240" w:lineRule="auto" w:before="105"/>
              <w:ind w:left="38" w:right="0"/>
              <w:jc w:val="left"/>
              <w:rPr>
                <w:rFonts w:ascii="Times New Roman" w:hAnsi="Times New Roman" w:cs="Times New Roman" w:eastAsia="Times New Roman" w:hint="default"/>
                <w:sz w:val="18"/>
                <w:szCs w:val="18"/>
              </w:rPr>
            </w:pPr>
            <w:r>
              <w:rPr>
                <w:rFonts w:ascii="Times New Roman"/>
                <w:sz w:val="18"/>
              </w:rPr>
              <w:t>100.00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w:t>
            </w:r>
          </w:p>
        </w:tc>
        <w:tc>
          <w:tcPr>
            <w:tcW w:w="6598"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3"/>
              <w:ind w:left="23" w:right="-10"/>
              <w:jc w:val="left"/>
              <w:rPr>
                <w:rFonts w:ascii="宋体" w:hAnsi="宋体" w:cs="宋体" w:eastAsia="宋体" w:hint="default"/>
                <w:sz w:val="18"/>
                <w:szCs w:val="18"/>
              </w:rPr>
            </w:pPr>
            <w:r>
              <w:rPr>
                <w:rFonts w:ascii="宋体" w:hAnsi="宋体" w:cs="宋体" w:eastAsia="宋体" w:hint="default"/>
                <w:spacing w:val="-3"/>
                <w:sz w:val="18"/>
                <w:szCs w:val="18"/>
              </w:rPr>
              <w:t>南天信息子公司北京南天信息工程有限公司应收 </w:t>
            </w:r>
            <w:r>
              <w:rPr>
                <w:rFonts w:ascii="Times New Roman" w:hAnsi="Times New Roman" w:cs="Times New Roman" w:eastAsia="Times New Roman" w:hint="default"/>
                <w:sz w:val="18"/>
                <w:szCs w:val="18"/>
              </w:rPr>
              <w:t>A </w:t>
            </w:r>
            <w:r>
              <w:rPr>
                <w:rFonts w:ascii="宋体" w:hAnsi="宋体" w:cs="宋体" w:eastAsia="宋体" w:hint="default"/>
                <w:spacing w:val="-3"/>
                <w:sz w:val="18"/>
                <w:szCs w:val="18"/>
              </w:rPr>
              <w:t>康联医药集团有限责任公司货款</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Times New Roman" w:hAnsi="Times New Roman" w:cs="Times New Roman" w:eastAsia="Times New Roman" w:hint="default"/>
                <w:sz w:val="18"/>
                <w:szCs w:val="18"/>
              </w:rPr>
              <w:t>7,567,000.00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元，计提坏账准备</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2,270,100.00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元，由于</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6"/>
                <w:sz w:val="18"/>
                <w:szCs w:val="18"/>
              </w:rPr>
              <w:t> </w:t>
            </w:r>
            <w:r>
              <w:rPr>
                <w:rFonts w:ascii="宋体" w:hAnsi="宋体" w:cs="宋体" w:eastAsia="宋体" w:hint="default"/>
                <w:spacing w:val="-3"/>
                <w:sz w:val="18"/>
                <w:szCs w:val="18"/>
              </w:rPr>
              <w:t>公司在法院执行案件较多，</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
                <w:sz w:val="18"/>
                <w:szCs w:val="18"/>
              </w:rPr>
              <w:t>对外负债数额较大，目前该案尚未有执行回款，尚无法预测最终执行结果。鉴于北</w:t>
            </w:r>
            <w:r>
              <w:rPr>
                <w:rFonts w:ascii="宋体" w:hAnsi="宋体" w:cs="宋体" w:eastAsia="宋体" w:hint="default"/>
                <w:spacing w:val="14"/>
                <w:sz w:val="18"/>
                <w:szCs w:val="18"/>
              </w:rPr>
              <w:t> </w:t>
            </w:r>
            <w:r>
              <w:rPr>
                <w:rFonts w:ascii="宋体" w:hAnsi="宋体" w:cs="宋体" w:eastAsia="宋体" w:hint="default"/>
                <w:spacing w:val="14"/>
                <w:sz w:val="18"/>
                <w:szCs w:val="18"/>
              </w:rPr>
            </w:r>
            <w:r>
              <w:rPr>
                <w:rFonts w:ascii="宋体" w:hAnsi="宋体" w:cs="宋体" w:eastAsia="宋体" w:hint="default"/>
                <w:sz w:val="18"/>
                <w:szCs w:val="18"/>
              </w:rPr>
              <w:t>信工对</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医药还存在相关交易引起的应付账款</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7,521,598.00</w:t>
            </w:r>
            <w:r>
              <w:rPr>
                <w:rFonts w:ascii="Times New Roman" w:hAnsi="Times New Roman" w:cs="Times New Roman" w:eastAsia="Times New Roman" w:hint="default"/>
                <w:spacing w:val="7"/>
                <w:sz w:val="18"/>
                <w:szCs w:val="18"/>
              </w:rPr>
              <w:t> </w:t>
            </w:r>
            <w:r>
              <w:rPr>
                <w:rFonts w:ascii="宋体" w:hAnsi="宋体" w:cs="宋体" w:eastAsia="宋体" w:hint="default"/>
                <w:spacing w:val="-3"/>
                <w:sz w:val="18"/>
                <w:szCs w:val="18"/>
              </w:rPr>
              <w:t>元，综合考虑以后判断</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pacing w:val="-3"/>
                <w:sz w:val="18"/>
                <w:szCs w:val="18"/>
              </w:rPr>
              <w:t>坏账准备计提是充分的，不再继续计提。</w:t>
            </w:r>
          </w:p>
        </w:tc>
      </w:tr>
      <w:tr>
        <w:trPr>
          <w:trHeight w:val="715"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95" w:lineRule="auto" w:before="73"/>
              <w:ind w:left="24" w:right="60"/>
              <w:jc w:val="left"/>
              <w:rPr>
                <w:rFonts w:ascii="宋体" w:hAnsi="宋体" w:cs="宋体" w:eastAsia="宋体" w:hint="default"/>
                <w:sz w:val="18"/>
                <w:szCs w:val="18"/>
              </w:rPr>
            </w:pPr>
            <w:r>
              <w:rPr>
                <w:rFonts w:ascii="宋体" w:hAnsi="宋体" w:cs="宋体" w:eastAsia="宋体" w:hint="default"/>
                <w:sz w:val="18"/>
                <w:szCs w:val="18"/>
              </w:rPr>
              <w:t>新疆</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B </w:t>
            </w:r>
            <w:r>
              <w:rPr>
                <w:rFonts w:ascii="宋体" w:hAnsi="宋体" w:cs="宋体" w:eastAsia="宋体" w:hint="default"/>
                <w:sz w:val="18"/>
                <w:szCs w:val="18"/>
              </w:rPr>
              <w:t>科</w:t>
            </w:r>
            <w:r>
              <w:rPr>
                <w:rFonts w:ascii="宋体" w:hAnsi="宋体" w:cs="宋体" w:eastAsia="宋体" w:hint="default"/>
                <w:w w:val="101"/>
                <w:sz w:val="18"/>
                <w:szCs w:val="18"/>
              </w:rPr>
              <w:t> </w:t>
            </w:r>
            <w:r>
              <w:rPr>
                <w:rFonts w:ascii="宋体" w:hAnsi="宋体" w:cs="宋体" w:eastAsia="宋体" w:hint="default"/>
                <w:sz w:val="18"/>
                <w:szCs w:val="18"/>
              </w:rPr>
              <w:t>技有限公</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left"/>
              <w:rPr>
                <w:rFonts w:ascii="Times New Roman" w:hAnsi="Times New Roman" w:cs="Times New Roman" w:eastAsia="Times New Roman" w:hint="default"/>
                <w:sz w:val="18"/>
                <w:szCs w:val="18"/>
              </w:rPr>
            </w:pPr>
            <w:r>
              <w:rPr>
                <w:rFonts w:ascii="Times New Roman"/>
                <w:sz w:val="18"/>
              </w:rPr>
              <w:t>3,330,83</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1.00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3,330,</w:t>
            </w:r>
          </w:p>
          <w:p>
            <w:pPr>
              <w:pStyle w:val="TableParagraph"/>
              <w:spacing w:line="240" w:lineRule="auto" w:before="105"/>
              <w:ind w:left="38" w:right="0"/>
              <w:jc w:val="left"/>
              <w:rPr>
                <w:rFonts w:ascii="Times New Roman" w:hAnsi="Times New Roman" w:cs="Times New Roman" w:eastAsia="Times New Roman" w:hint="default"/>
                <w:sz w:val="18"/>
                <w:szCs w:val="18"/>
              </w:rPr>
            </w:pPr>
            <w:r>
              <w:rPr>
                <w:rFonts w:ascii="Times New Roman"/>
                <w:sz w:val="18"/>
              </w:rPr>
              <w:t>831.00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100.00%</w:t>
            </w:r>
          </w:p>
        </w:tc>
        <w:tc>
          <w:tcPr>
            <w:tcW w:w="6598" w:type="dxa"/>
            <w:tcBorders>
              <w:top w:val="single" w:sz="4" w:space="0" w:color="000000"/>
              <w:left w:val="single" w:sz="4" w:space="0" w:color="000000"/>
              <w:bottom w:val="single" w:sz="4" w:space="0" w:color="000000"/>
              <w:right w:val="single" w:sz="4" w:space="0" w:color="000000"/>
            </w:tcBorders>
          </w:tcPr>
          <w:p>
            <w:pPr>
              <w:pStyle w:val="TableParagraph"/>
              <w:spacing w:line="295" w:lineRule="auto" w:before="73"/>
              <w:ind w:left="23" w:right="17"/>
              <w:jc w:val="left"/>
              <w:rPr>
                <w:rFonts w:ascii="宋体" w:hAnsi="宋体" w:cs="宋体" w:eastAsia="宋体" w:hint="default"/>
                <w:sz w:val="18"/>
                <w:szCs w:val="18"/>
              </w:rPr>
            </w:pPr>
            <w:r>
              <w:rPr>
                <w:rFonts w:ascii="宋体" w:hAnsi="宋体" w:cs="宋体" w:eastAsia="宋体" w:hint="default"/>
                <w:spacing w:val="-3"/>
                <w:sz w:val="18"/>
                <w:szCs w:val="18"/>
              </w:rPr>
              <w:t>期末单项计提坏账准备原因主要是新疆</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B</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科技有限公司由于</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年开始出现大额拖</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5"/>
                <w:sz w:val="18"/>
                <w:szCs w:val="18"/>
              </w:rPr>
              <w:t>欠货款现象，从 </w:t>
            </w:r>
            <w:r>
              <w:rPr>
                <w:rFonts w:ascii="Times New Roman" w:hAnsi="Times New Roman" w:cs="Times New Roman" w:eastAsia="Times New Roman" w:hint="default"/>
                <w:spacing w:val="-3"/>
                <w:sz w:val="18"/>
                <w:szCs w:val="18"/>
              </w:rPr>
              <w:t>2011 </w:t>
            </w:r>
            <w:r>
              <w:rPr>
                <w:rFonts w:ascii="宋体" w:hAnsi="宋体" w:cs="宋体" w:eastAsia="宋体" w:hint="default"/>
                <w:spacing w:val="-4"/>
                <w:sz w:val="18"/>
                <w:szCs w:val="18"/>
              </w:rPr>
              <w:t>年开始本公司控制发货，并且加大催收货款，但新疆 </w:t>
            </w:r>
            <w:r>
              <w:rPr>
                <w:rFonts w:ascii="Times New Roman" w:hAnsi="Times New Roman" w:cs="Times New Roman" w:eastAsia="Times New Roman" w:hint="default"/>
                <w:sz w:val="18"/>
                <w:szCs w:val="18"/>
              </w:rPr>
              <w:t>B</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科技有</w:t>
            </w:r>
          </w:p>
        </w:tc>
      </w:tr>
    </w:tbl>
    <w:p>
      <w:pPr>
        <w:spacing w:after="0" w:line="295" w:lineRule="auto"/>
        <w:jc w:val="left"/>
        <w:rPr>
          <w:rFonts w:ascii="宋体" w:hAnsi="宋体" w:cs="宋体" w:eastAsia="宋体" w:hint="default"/>
          <w:sz w:val="18"/>
          <w:szCs w:val="18"/>
        </w:rPr>
        <w:sectPr>
          <w:pgSz w:w="11910" w:h="16840"/>
          <w:pgMar w:header="746" w:footer="974"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1"/>
          <w:szCs w:val="21"/>
        </w:rPr>
      </w:pPr>
    </w:p>
    <w:p>
      <w:pPr>
        <w:pStyle w:val="BodyText"/>
        <w:spacing w:line="240" w:lineRule="auto" w:before="46"/>
        <w:ind w:left="0" w:right="1141"/>
        <w:jc w:val="right"/>
      </w:pPr>
      <w:r>
        <w:rPr/>
        <w:pict>
          <v:shape style="position:absolute;margin-left:56.424pt;margin-top:-61.138268pt;width:479.5pt;height:116.7pt;mso-position-horizontal-relative:page;mso-position-vertical-relative:paragraph;z-index:20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50"/>
                    <w:gridCol w:w="710"/>
                    <w:gridCol w:w="567"/>
                    <w:gridCol w:w="850"/>
                    <w:gridCol w:w="6598"/>
                  </w:tblGrid>
                  <w:tr>
                    <w:trPr>
                      <w:trHeight w:val="1609"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w w:val="101"/>
                            <w:sz w:val="18"/>
                            <w:szCs w:val="18"/>
                          </w:rPr>
                          <w:t>司</w:t>
                        </w:r>
                        <w:r>
                          <w:rPr>
                            <w:rFonts w:ascii="宋体" w:hAnsi="宋体" w:cs="宋体" w:eastAsia="宋体" w:hint="default"/>
                            <w:sz w:val="18"/>
                            <w:szCs w:val="18"/>
                          </w:rPr>
                        </w:r>
                      </w:p>
                    </w:tc>
                    <w:tc>
                      <w:tcPr>
                        <w:tcW w:w="71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6598"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10"/>
                          <w:ind w:left="23" w:right="-14"/>
                          <w:jc w:val="left"/>
                          <w:rPr>
                            <w:rFonts w:ascii="宋体" w:hAnsi="宋体" w:cs="宋体" w:eastAsia="宋体" w:hint="default"/>
                            <w:sz w:val="18"/>
                            <w:szCs w:val="18"/>
                          </w:rPr>
                        </w:pPr>
                        <w:r>
                          <w:rPr>
                            <w:rFonts w:ascii="宋体" w:hAnsi="宋体" w:cs="宋体" w:eastAsia="宋体" w:hint="default"/>
                            <w:spacing w:val="-3"/>
                            <w:sz w:val="18"/>
                            <w:szCs w:val="18"/>
                          </w:rPr>
                          <w:t>限公司以无款和售后服务结算有异议等理由拒绝付款，自</w:t>
                        </w:r>
                        <w:r>
                          <w:rPr>
                            <w:rFonts w:ascii="宋体" w:hAnsi="宋体" w:cs="宋体" w:eastAsia="宋体" w:hint="default"/>
                            <w:spacing w:val="-32"/>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2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月后再无回款，</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3"/>
                            <w:sz w:val="18"/>
                            <w:szCs w:val="18"/>
                          </w:rPr>
                          <w:t>与对方发询证函无任何回应，本公司派业务负责人多次到新疆瀚丰科技有限公司公</w:t>
                        </w:r>
                        <w:r>
                          <w:rPr>
                            <w:rFonts w:ascii="宋体" w:hAnsi="宋体" w:cs="宋体" w:eastAsia="宋体" w:hint="default"/>
                            <w:spacing w:val="13"/>
                            <w:sz w:val="18"/>
                            <w:szCs w:val="18"/>
                          </w:rPr>
                          <w:t> </w:t>
                        </w:r>
                        <w:r>
                          <w:rPr>
                            <w:rFonts w:ascii="宋体" w:hAnsi="宋体" w:cs="宋体" w:eastAsia="宋体" w:hint="default"/>
                            <w:spacing w:val="13"/>
                            <w:sz w:val="18"/>
                            <w:szCs w:val="18"/>
                          </w:rPr>
                        </w:r>
                        <w:r>
                          <w:rPr>
                            <w:rFonts w:ascii="宋体" w:hAnsi="宋体" w:cs="宋体" w:eastAsia="宋体" w:hint="default"/>
                            <w:spacing w:val="-3"/>
                            <w:sz w:val="18"/>
                            <w:szCs w:val="18"/>
                          </w:rPr>
                          <w:t>司催收无任何结果。</w:t>
                        </w:r>
                        <w:r>
                          <w:rPr>
                            <w:rFonts w:ascii="Times New Roman" w:hAnsi="Times New Roman" w:cs="Times New Roman" w:eastAsia="Times New Roman" w:hint="default"/>
                            <w:spacing w:val="-3"/>
                            <w:sz w:val="18"/>
                            <w:szCs w:val="18"/>
                          </w:rPr>
                          <w:t>2014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月份经本公司业务负责人调查，新疆</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B</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科技有限公司</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6"/>
                            <w:sz w:val="18"/>
                            <w:szCs w:val="18"/>
                          </w:rPr>
                          <w:t>由于经营不善，现在已处在半关闭停业状态，</w:t>
                        </w:r>
                        <w:r>
                          <w:rPr>
                            <w:rFonts w:ascii="Times New Roman" w:hAnsi="Times New Roman" w:cs="Times New Roman" w:eastAsia="Times New Roman" w:hint="default"/>
                            <w:spacing w:val="-6"/>
                            <w:sz w:val="18"/>
                            <w:szCs w:val="18"/>
                          </w:rPr>
                          <w:t>2014 </w:t>
                        </w:r>
                        <w:r>
                          <w:rPr>
                            <w:rFonts w:ascii="宋体" w:hAnsi="宋体" w:cs="宋体" w:eastAsia="宋体" w:hint="default"/>
                            <w:sz w:val="18"/>
                            <w:szCs w:val="18"/>
                          </w:rPr>
                          <w:t>年 </w:t>
                        </w:r>
                        <w:r>
                          <w:rPr>
                            <w:rFonts w:ascii="Times New Roman" w:hAnsi="Times New Roman" w:cs="Times New Roman" w:eastAsia="Times New Roman" w:hint="default"/>
                            <w:sz w:val="18"/>
                            <w:szCs w:val="18"/>
                          </w:rPr>
                          <w:t>6 </w:t>
                        </w:r>
                        <w:r>
                          <w:rPr>
                            <w:rFonts w:ascii="宋体" w:hAnsi="宋体" w:cs="宋体" w:eastAsia="宋体" w:hint="default"/>
                            <w:sz w:val="18"/>
                            <w:szCs w:val="18"/>
                          </w:rPr>
                          <w:t>月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日经公司财务提出单项</w:t>
                        </w:r>
                      </w:p>
                      <w:p>
                        <w:pPr>
                          <w:pStyle w:val="TableParagraph"/>
                          <w:spacing w:line="240" w:lineRule="auto" w:before="7"/>
                          <w:ind w:left="23" w:right="0"/>
                          <w:jc w:val="left"/>
                          <w:rPr>
                            <w:rFonts w:ascii="宋体" w:hAnsi="宋体" w:cs="宋体" w:eastAsia="宋体" w:hint="default"/>
                            <w:sz w:val="18"/>
                            <w:szCs w:val="18"/>
                          </w:rPr>
                        </w:pPr>
                        <w:r>
                          <w:rPr>
                            <w:rFonts w:ascii="宋体" w:hAnsi="宋体" w:cs="宋体" w:eastAsia="宋体" w:hint="default"/>
                            <w:sz w:val="18"/>
                            <w:szCs w:val="18"/>
                          </w:rPr>
                          <w:t>计提坏账准备申请，</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2"/>
                            <w:sz w:val="18"/>
                            <w:szCs w:val="18"/>
                          </w:rPr>
                          <w:t> </w:t>
                        </w:r>
                        <w:r>
                          <w:rPr>
                            <w:rFonts w:ascii="宋体" w:hAnsi="宋体" w:cs="宋体" w:eastAsia="宋体" w:hint="default"/>
                            <w:spacing w:val="-3"/>
                            <w:sz w:val="18"/>
                            <w:szCs w:val="18"/>
                          </w:rPr>
                          <w:t>日经公司董事会决议同意按单项计提坏账准备</w:t>
                        </w:r>
                      </w:p>
                    </w:tc>
                  </w:tr>
                  <w:tr>
                    <w:trPr>
                      <w:trHeight w:val="715" w:hRule="exact"/>
                    </w:trPr>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left"/>
                          <w:rPr>
                            <w:rFonts w:ascii="Times New Roman" w:hAnsi="Times New Roman" w:cs="Times New Roman" w:eastAsia="Times New Roman" w:hint="default"/>
                            <w:sz w:val="18"/>
                            <w:szCs w:val="18"/>
                          </w:rPr>
                        </w:pPr>
                        <w:r>
                          <w:rPr>
                            <w:rFonts w:ascii="Times New Roman"/>
                            <w:sz w:val="18"/>
                          </w:rPr>
                          <w:t>10,897,8</w:t>
                        </w:r>
                      </w:p>
                      <w:p>
                        <w:pPr>
                          <w:pStyle w:val="TableParagraph"/>
                          <w:spacing w:line="240" w:lineRule="auto" w:before="110"/>
                          <w:ind w:left="273" w:right="0"/>
                          <w:jc w:val="left"/>
                          <w:rPr>
                            <w:rFonts w:ascii="Times New Roman" w:hAnsi="Times New Roman" w:cs="Times New Roman" w:eastAsia="Times New Roman" w:hint="default"/>
                            <w:sz w:val="18"/>
                            <w:szCs w:val="18"/>
                          </w:rPr>
                        </w:pPr>
                        <w:r>
                          <w:rPr>
                            <w:rFonts w:ascii="Times New Roman"/>
                            <w:sz w:val="18"/>
                          </w:rPr>
                          <w:t>31.00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5,600,</w:t>
                        </w:r>
                      </w:p>
                      <w:p>
                        <w:pPr>
                          <w:pStyle w:val="TableParagraph"/>
                          <w:spacing w:line="240" w:lineRule="auto" w:before="110"/>
                          <w:ind w:left="38" w:right="0"/>
                          <w:jc w:val="left"/>
                          <w:rPr>
                            <w:rFonts w:ascii="Times New Roman" w:hAnsi="Times New Roman" w:cs="Times New Roman" w:eastAsia="Times New Roman" w:hint="default"/>
                            <w:sz w:val="18"/>
                            <w:szCs w:val="18"/>
                          </w:rPr>
                        </w:pPr>
                        <w:r>
                          <w:rPr>
                            <w:rFonts w:ascii="Times New Roman"/>
                            <w:sz w:val="18"/>
                          </w:rPr>
                          <w:t>931.00</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w:t>
                        </w:r>
                      </w:p>
                    </w:tc>
                    <w:tc>
                      <w:tcPr>
                        <w:tcW w:w="6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p>
              </w:txbxContent>
            </v:textbox>
            <w10:wrap type="none"/>
          </v:shape>
        </w:pict>
      </w:r>
      <w:r>
        <w:rPr>
          <w:w w:val="101"/>
        </w:rPr>
        <w:t>。</w:t>
      </w:r>
      <w:r>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3"/>
          <w:szCs w:val="23"/>
        </w:rPr>
      </w:pPr>
    </w:p>
    <w:p>
      <w:pPr>
        <w:pStyle w:val="BodyText"/>
        <w:spacing w:line="240" w:lineRule="auto" w:before="46"/>
        <w:ind w:right="855"/>
        <w:jc w:val="left"/>
      </w:pPr>
      <w:r>
        <w:rPr/>
        <w:t>按组合计提坏账准备：</w:t>
      </w:r>
    </w:p>
    <w:p>
      <w:pPr>
        <w:pStyle w:val="BodyText"/>
        <w:spacing w:line="240" w:lineRule="auto" w:before="115"/>
        <w:ind w:left="0" w:right="1121"/>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1"/>
      </w:tblGrid>
      <w:tr>
        <w:trPr>
          <w:trHeight w:val="403" w:hRule="exact"/>
        </w:trPr>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17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391" w:type="dxa"/>
            <w:vMerge/>
            <w:tcBorders>
              <w:left w:val="single" w:sz="4" w:space="0" w:color="000000"/>
              <w:bottom w:val="single" w:sz="4" w:space="0" w:color="000000"/>
              <w:right w:val="single" w:sz="4" w:space="0" w:color="000000"/>
            </w:tcBorders>
            <w:shd w:val="clear" w:color="auto" w:fill="D2D2D2"/>
          </w:tcPr>
          <w:p>
            <w:pP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398"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422,072,396.43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8,441,447.92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2.00%</w:t>
            </w:r>
          </w:p>
        </w:tc>
      </w:tr>
      <w:tr>
        <w:trPr>
          <w:trHeight w:val="404"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8"/>
                <w:szCs w:val="18"/>
              </w:rPr>
            </w:pPr>
            <w:r>
              <w:rPr>
                <w:rFonts w:ascii="Times New Roman"/>
                <w:spacing w:val="-1"/>
                <w:sz w:val="18"/>
              </w:rPr>
              <w:t>82,220,417.08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pacing w:val="-1"/>
                <w:sz w:val="18"/>
              </w:rPr>
              <w:t>6,577,633.38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pacing w:val="-1"/>
                <w:sz w:val="18"/>
              </w:rPr>
              <w:t>8.00%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67,712,705.29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13,542,541.05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20.00%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38,490,414.88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11,547,124.45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30.00%</w:t>
            </w:r>
          </w:p>
        </w:tc>
      </w:tr>
      <w:tr>
        <w:trPr>
          <w:trHeight w:val="398"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13,832,542.47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5,533,016.98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40.00%</w:t>
            </w:r>
          </w:p>
        </w:tc>
      </w:tr>
      <w:tr>
        <w:trPr>
          <w:trHeight w:val="404"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年以上</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8"/>
                <w:szCs w:val="18"/>
              </w:rPr>
            </w:pPr>
            <w:r>
              <w:rPr>
                <w:rFonts w:ascii="Times New Roman"/>
                <w:spacing w:val="-1"/>
                <w:sz w:val="18"/>
              </w:rPr>
              <w:t>52,258,928.95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pacing w:val="-1"/>
                <w:sz w:val="18"/>
              </w:rPr>
              <w:t>52,258,928.95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pacing w:val="-2"/>
                <w:sz w:val="18"/>
              </w:rPr>
              <w:t>100.00%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676,587,405.10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97,900,692.73</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9"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38" w:lineRule="auto" w:before="53"/>
        <w:ind w:right="855"/>
        <w:jc w:val="left"/>
      </w:pPr>
      <w:r>
        <w:rPr>
          <w:spacing w:val="-3"/>
        </w:rPr>
        <w:t>确定该组合依据的说明：</w:t>
      </w:r>
      <w:r>
        <w:rPr>
          <w:spacing w:val="-56"/>
        </w:rPr>
        <w:t> </w:t>
      </w:r>
      <w:r>
        <w:rPr>
          <w:spacing w:val="-56"/>
        </w:rPr>
      </w:r>
      <w:r>
        <w:rPr>
          <w:spacing w:val="-3"/>
        </w:rPr>
        <w:t>按账龄组合：本公司根据以往的历史经验对应收款项计提比例作出最佳估计，参考应收款项的账龄进行信用风险组合分类</w:t>
      </w:r>
      <w:r>
        <w:rPr>
          <w:spacing w:val="66"/>
        </w:rPr>
        <w:t> </w:t>
      </w:r>
      <w:r>
        <w:rPr>
          <w:spacing w:val="66"/>
        </w:rPr>
      </w:r>
      <w:r>
        <w:rPr>
          <w:spacing w:val="-3"/>
        </w:rPr>
        <w:t>按账龄计提坏账准备的比例确认：按账龄与整个存续期预期信用损失率对照表计提。</w:t>
      </w:r>
    </w:p>
    <w:p>
      <w:pPr>
        <w:pStyle w:val="BodyText"/>
        <w:spacing w:line="240" w:lineRule="auto" w:before="46"/>
        <w:ind w:right="855"/>
        <w:jc w:val="left"/>
      </w:pPr>
      <w:r>
        <w:rPr>
          <w:spacing w:val="-3"/>
        </w:rPr>
        <w:t>如是按照预期信用损失一般模型计提应收账款坏账准备，请参照其他应收款的披露方式披露坏账准备的相关信息：</w:t>
      </w:r>
    </w:p>
    <w:p>
      <w:pPr>
        <w:pStyle w:val="BodyText"/>
        <w:spacing w:line="343" w:lineRule="auto" w:before="110"/>
        <w:ind w:right="8854"/>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2"/>
        </w:rPr>
        <w:t> </w:t>
      </w:r>
      <w:r>
        <w:rPr/>
        <w:t>不适用</w:t>
      </w:r>
      <w:r>
        <w:rPr>
          <w:w w:val="101"/>
        </w:rPr>
        <w:t> </w:t>
      </w:r>
      <w:r>
        <w:rPr/>
        <w:t>按账龄披露</w:t>
      </w:r>
    </w:p>
    <w:p>
      <w:pPr>
        <w:pStyle w:val="BodyText"/>
        <w:spacing w:line="240" w:lineRule="auto" w:before="37"/>
        <w:ind w:left="0" w:right="1121"/>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788"/>
        <w:gridCol w:w="4783"/>
      </w:tblGrid>
      <w:tr>
        <w:trPr>
          <w:trHeight w:val="399"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8"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年）</w:t>
            </w:r>
            <w:r>
              <w:rPr>
                <w:rFonts w:ascii="宋体" w:hAnsi="宋体" w:cs="宋体" w:eastAsia="宋体" w:hint="default"/>
                <w:sz w:val="18"/>
                <w:szCs w:val="18"/>
              </w:rPr>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422,072,396.43</w:t>
            </w:r>
          </w:p>
        </w:tc>
      </w:tr>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82,220,417.08</w:t>
            </w:r>
          </w:p>
        </w:tc>
      </w:tr>
      <w:tr>
        <w:trPr>
          <w:trHeight w:val="398"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67,712,705.29</w:t>
            </w:r>
          </w:p>
        </w:tc>
      </w:tr>
      <w:tr>
        <w:trPr>
          <w:trHeight w:val="404"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年以上</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115,479,717.30</w:t>
            </w:r>
          </w:p>
        </w:tc>
      </w:tr>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年</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38,490,414.88</w:t>
            </w:r>
          </w:p>
        </w:tc>
      </w:tr>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年</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13,832,542.47</w:t>
            </w:r>
          </w:p>
        </w:tc>
      </w:tr>
      <w:tr>
        <w:trPr>
          <w:trHeight w:val="398"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63,156,759.95</w:t>
            </w:r>
          </w:p>
        </w:tc>
      </w:tr>
      <w:tr>
        <w:trPr>
          <w:trHeight w:val="404"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687,485,236.10</w:t>
            </w:r>
          </w:p>
        </w:tc>
      </w:tr>
    </w:tbl>
    <w:p>
      <w:pPr>
        <w:pStyle w:val="BodyText"/>
        <w:spacing w:line="240" w:lineRule="auto" w:before="53"/>
        <w:ind w:right="855"/>
        <w:jc w:val="left"/>
      </w:pPr>
      <w:r>
        <w:rPr>
          <w:spacing w:val="-3"/>
        </w:rPr>
        <w:t>公司需要遵守《深圳证券交易所行业信息披露指引第 </w:t>
      </w:r>
      <w:r>
        <w:rPr>
          <w:rFonts w:ascii="Times New Roman" w:hAnsi="Times New Roman" w:cs="Times New Roman" w:eastAsia="Times New Roman" w:hint="default"/>
        </w:rPr>
        <w:t>12  </w:t>
      </w:r>
      <w:r>
        <w:rPr>
          <w:rFonts w:ascii="Times New Roman" w:hAnsi="Times New Roman" w:cs="Times New Roman" w:eastAsia="Times New Roman" w:hint="default"/>
          <w:spacing w:val="17"/>
        </w:rPr>
        <w:t> </w:t>
      </w:r>
      <w:r>
        <w:rPr>
          <w:spacing w:val="-3"/>
        </w:rPr>
        <w:t>号</w:t>
      </w:r>
      <w:r>
        <w:rPr>
          <w:rFonts w:ascii="Times New Roman" w:hAnsi="Times New Roman" w:cs="Times New Roman" w:eastAsia="Times New Roman" w:hint="default"/>
          <w:spacing w:val="-3"/>
        </w:rPr>
        <w:t>——</w:t>
      </w:r>
      <w:r>
        <w:rPr>
          <w:spacing w:val="-3"/>
        </w:rPr>
        <w:t>上市公司从事软件与信息技术服务业务》的披露要求</w:t>
      </w:r>
    </w:p>
    <w:p>
      <w:pPr>
        <w:spacing w:after="0" w:line="240" w:lineRule="auto"/>
        <w:jc w:val="left"/>
        <w:sectPr>
          <w:pgSz w:w="11910" w:h="16840"/>
          <w:pgMar w:header="746" w:footer="974" w:top="1060" w:bottom="1160" w:left="980" w:right="0"/>
        </w:sectPr>
      </w:pPr>
    </w:p>
    <w:p>
      <w:pPr>
        <w:spacing w:line="240" w:lineRule="auto" w:before="7"/>
        <w:rPr>
          <w:rFonts w:ascii="宋体" w:hAnsi="宋体" w:cs="宋体" w:eastAsia="宋体" w:hint="default"/>
          <w:sz w:val="24"/>
          <w:szCs w:val="24"/>
        </w:rPr>
      </w:pPr>
    </w:p>
    <w:p>
      <w:pPr>
        <w:pStyle w:val="Heading4"/>
        <w:spacing w:line="240" w:lineRule="auto" w:before="36"/>
        <w:ind w:right="855"/>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right="855"/>
        <w:jc w:val="left"/>
      </w:pPr>
      <w:r>
        <w:rPr>
          <w:spacing w:val="-3"/>
        </w:rPr>
        <w:t>本期计提坏账准备情况：</w:t>
      </w:r>
    </w:p>
    <w:p>
      <w:pPr>
        <w:pStyle w:val="BodyText"/>
        <w:spacing w:line="240" w:lineRule="auto" w:before="115"/>
        <w:ind w:left="0" w:right="1121"/>
        <w:jc w:val="right"/>
      </w:pPr>
      <w:r>
        <w:rPr/>
        <w:t>单位：</w:t>
      </w:r>
      <w:r>
        <w:rPr>
          <w:spacing w:val="5"/>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61"/>
        <w:gridCol w:w="1277"/>
        <w:gridCol w:w="1268"/>
        <w:gridCol w:w="1368"/>
        <w:gridCol w:w="1364"/>
        <w:gridCol w:w="1368"/>
        <w:gridCol w:w="1369"/>
      </w:tblGrid>
      <w:tr>
        <w:trPr>
          <w:trHeight w:val="401" w:hRule="exact"/>
        </w:trPr>
        <w:tc>
          <w:tcPr>
            <w:tcW w:w="15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2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3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9"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561" w:type="dxa"/>
            <w:vMerge/>
            <w:tcBorders>
              <w:left w:val="single" w:sz="4" w:space="0" w:color="000000"/>
              <w:bottom w:val="single" w:sz="4" w:space="0" w:color="000000"/>
              <w:right w:val="single" w:sz="4" w:space="0" w:color="000000"/>
            </w:tcBorders>
            <w:shd w:val="clear" w:color="auto" w:fill="D2D2D2"/>
          </w:tcPr>
          <w:p>
            <w:pPr/>
          </w:p>
        </w:tc>
        <w:tc>
          <w:tcPr>
            <w:tcW w:w="1277" w:type="dxa"/>
            <w:vMerge/>
            <w:tcBorders>
              <w:left w:val="single" w:sz="4" w:space="0" w:color="000000"/>
              <w:bottom w:val="single" w:sz="4" w:space="0" w:color="000000"/>
              <w:right w:val="single" w:sz="4" w:space="0" w:color="000000"/>
            </w:tcBorders>
            <w:shd w:val="clear" w:color="auto" w:fill="D2D2D2"/>
          </w:tcPr>
          <w:p>
            <w:pPr/>
          </w:p>
        </w:tc>
        <w:tc>
          <w:tcPr>
            <w:tcW w:w="1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0"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9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9"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应收账款坏账准备</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81,931,567.36</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20,604,318.91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23" w:right="0"/>
              <w:jc w:val="left"/>
              <w:rPr>
                <w:rFonts w:ascii="Times New Roman" w:hAnsi="Times New Roman" w:cs="Times New Roman" w:eastAsia="Times New Roman" w:hint="default"/>
                <w:sz w:val="18"/>
                <w:szCs w:val="18"/>
              </w:rPr>
            </w:pPr>
            <w:r>
              <w:rPr>
                <w:rFonts w:ascii="Times New Roman"/>
                <w:sz w:val="18"/>
              </w:rPr>
              <w:t>965,737.46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103,501,623.73</w:t>
            </w:r>
          </w:p>
        </w:tc>
      </w:tr>
      <w:tr>
        <w:trPr>
          <w:trHeight w:val="404" w:hRule="exact"/>
        </w:trPr>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81,931,567.36</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20,604,318.91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23" w:right="0"/>
              <w:jc w:val="left"/>
              <w:rPr>
                <w:rFonts w:ascii="Times New Roman" w:hAnsi="Times New Roman" w:cs="Times New Roman" w:eastAsia="Times New Roman" w:hint="default"/>
                <w:sz w:val="18"/>
                <w:szCs w:val="18"/>
              </w:rPr>
            </w:pPr>
            <w:r>
              <w:rPr>
                <w:rFonts w:ascii="Times New Roman"/>
                <w:sz w:val="18"/>
              </w:rPr>
              <w:t>965,737.46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103,501,623.73</w:t>
            </w:r>
          </w:p>
        </w:tc>
      </w:tr>
    </w:tbl>
    <w:p>
      <w:pPr>
        <w:pStyle w:val="BodyText"/>
        <w:spacing w:line="240" w:lineRule="auto" w:before="53"/>
        <w:ind w:right="855"/>
        <w:jc w:val="left"/>
      </w:pPr>
      <w:r>
        <w:rPr>
          <w:spacing w:val="-3"/>
        </w:rPr>
        <w:t>其中本期坏账准备收回或转回金额重要的：</w:t>
      </w:r>
    </w:p>
    <w:p>
      <w:pPr>
        <w:pStyle w:val="BodyText"/>
        <w:spacing w:line="240" w:lineRule="auto" w:before="110"/>
        <w:ind w:left="0" w:right="1121"/>
        <w:jc w:val="right"/>
      </w:pPr>
      <w:r>
        <w:rPr/>
        <w:t>单位：</w:t>
      </w:r>
      <w:r>
        <w:rPr>
          <w:spacing w:val="5"/>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3"/>
      </w:tblGrid>
      <w:tr>
        <w:trPr>
          <w:trHeight w:val="398"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60" w:right="0"/>
              <w:jc w:val="left"/>
              <w:rPr>
                <w:rFonts w:ascii="宋体" w:hAnsi="宋体" w:cs="宋体" w:eastAsia="宋体" w:hint="default"/>
                <w:sz w:val="18"/>
                <w:szCs w:val="18"/>
              </w:rPr>
            </w:pPr>
            <w:r>
              <w:rPr>
                <w:rFonts w:ascii="宋体" w:hAnsi="宋体" w:cs="宋体" w:eastAsia="宋体" w:hint="default"/>
                <w:spacing w:val="-3"/>
                <w:sz w:val="18"/>
                <w:szCs w:val="18"/>
              </w:rPr>
              <w:t>收回或转回金额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pStyle w:val="BodyText"/>
        <w:spacing w:line="240" w:lineRule="auto" w:before="10"/>
        <w:ind w:right="855"/>
        <w:jc w:val="left"/>
      </w:pPr>
      <w:r>
        <w:rPr>
          <w:spacing w:val="-3"/>
        </w:rPr>
        <w:t>其他未本年度收购海捷科技而增加的海捷科技期初计提的坏账准备。</w:t>
      </w:r>
    </w:p>
    <w:p>
      <w:pPr>
        <w:spacing w:line="240" w:lineRule="auto" w:before="0"/>
        <w:rPr>
          <w:rFonts w:ascii="宋体" w:hAnsi="宋体" w:cs="宋体" w:eastAsia="宋体" w:hint="default"/>
          <w:sz w:val="18"/>
          <w:szCs w:val="18"/>
        </w:rPr>
      </w:pPr>
    </w:p>
    <w:p>
      <w:pPr>
        <w:pStyle w:val="Heading4"/>
        <w:spacing w:line="240" w:lineRule="auto" w:before="118"/>
        <w:ind w:right="855"/>
        <w:jc w:val="left"/>
        <w:rPr>
          <w:b w:val="0"/>
          <w:bCs w:val="0"/>
        </w:rPr>
      </w:pPr>
      <w:r>
        <w:rPr/>
        <w:t>（</w:t>
      </w:r>
      <w:r>
        <w:rPr>
          <w:rFonts w:ascii="Times New Roman" w:hAnsi="Times New Roman" w:cs="Times New Roman" w:eastAsia="Times New Roman" w:hint="default"/>
        </w:rPr>
        <w:t>3</w:t>
      </w:r>
      <w:r>
        <w:rPr/>
        <w:t>）按欠款方归集的期末余额前五名的应收账款情况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1"/>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83"/>
        <w:gridCol w:w="2531"/>
        <w:gridCol w:w="2526"/>
        <w:gridCol w:w="2531"/>
      </w:tblGrid>
      <w:tr>
        <w:trPr>
          <w:trHeight w:val="716"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624"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2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537" w:right="0"/>
              <w:jc w:val="left"/>
              <w:rPr>
                <w:rFonts w:ascii="宋体" w:hAnsi="宋体" w:cs="宋体" w:eastAsia="宋体" w:hint="default"/>
                <w:sz w:val="18"/>
                <w:szCs w:val="18"/>
              </w:rPr>
            </w:pPr>
            <w:r>
              <w:rPr>
                <w:rFonts w:ascii="宋体" w:hAnsi="宋体" w:cs="宋体" w:eastAsia="宋体" w:hint="default"/>
                <w:sz w:val="18"/>
                <w:szCs w:val="18"/>
              </w:rPr>
              <w:t>应收账款期末余额</w:t>
            </w:r>
          </w:p>
        </w:tc>
        <w:tc>
          <w:tcPr>
            <w:tcW w:w="2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1080" w:right="80" w:hanging="990"/>
              <w:jc w:val="left"/>
              <w:rPr>
                <w:rFonts w:ascii="宋体" w:hAnsi="宋体" w:cs="宋体" w:eastAsia="宋体" w:hint="default"/>
                <w:sz w:val="18"/>
                <w:szCs w:val="18"/>
              </w:rPr>
            </w:pPr>
            <w:r>
              <w:rPr>
                <w:rFonts w:ascii="宋体" w:hAnsi="宋体" w:cs="宋体" w:eastAsia="宋体" w:hint="default"/>
                <w:spacing w:val="-3"/>
                <w:sz w:val="18"/>
                <w:szCs w:val="18"/>
              </w:rPr>
              <w:t>占应收账款期末余额合计数的</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比例</w:t>
            </w:r>
          </w:p>
        </w:tc>
        <w:tc>
          <w:tcPr>
            <w:tcW w:w="2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542"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398" w:hRule="exact"/>
        </w:trPr>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56,397,269.75</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8.20%</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13,976,043.99</w:t>
            </w:r>
          </w:p>
        </w:tc>
      </w:tr>
      <w:tr>
        <w:trPr>
          <w:trHeight w:val="403" w:hRule="exact"/>
        </w:trPr>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39,531,457.75</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1"/>
                <w:sz w:val="18"/>
              </w:rPr>
              <w:t>5.75%</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14,120,302.39</w:t>
            </w:r>
          </w:p>
        </w:tc>
      </w:tr>
      <w:tr>
        <w:trPr>
          <w:trHeight w:val="403" w:hRule="exact"/>
        </w:trPr>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31,500,000.00</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4.58%</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630,000.00</w:t>
            </w:r>
          </w:p>
        </w:tc>
      </w:tr>
      <w:tr>
        <w:trPr>
          <w:trHeight w:val="404" w:hRule="exact"/>
        </w:trPr>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25,230,493.69</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3.67%</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3,407,489.09</w:t>
            </w:r>
          </w:p>
        </w:tc>
      </w:tr>
      <w:tr>
        <w:trPr>
          <w:trHeight w:val="398" w:hRule="exact"/>
        </w:trPr>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24,586,950.00</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3.58%</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491,739.00</w:t>
            </w:r>
          </w:p>
        </w:tc>
      </w:tr>
      <w:tr>
        <w:trPr>
          <w:trHeight w:val="403"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177,246,171.19</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1"/>
                <w:sz w:val="18"/>
              </w:rPr>
              <w:t>25.78%</w:t>
            </w:r>
          </w:p>
        </w:tc>
        <w:tc>
          <w:tcPr>
            <w:tcW w:w="2531"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pStyle w:val="Heading4"/>
        <w:spacing w:line="240" w:lineRule="auto" w:before="36"/>
        <w:ind w:right="855"/>
        <w:jc w:val="left"/>
        <w:rPr>
          <w:b w:val="0"/>
          <w:bCs w:val="0"/>
        </w:rPr>
      </w:pPr>
      <w:r>
        <w:rPr/>
        <w:t>（</w:t>
      </w:r>
      <w:r>
        <w:rPr>
          <w:rFonts w:ascii="Times New Roman" w:hAnsi="Times New Roman" w:cs="Times New Roman" w:eastAsia="Times New Roman" w:hint="default"/>
        </w:rPr>
        <w:t>4</w:t>
      </w:r>
      <w:r>
        <w:rPr/>
        <w:t>）因金融资产转移而终止确认的应收账款</w:t>
      </w:r>
      <w:r>
        <w:rPr>
          <w:b w:val="0"/>
          <w:bCs w:val="0"/>
        </w:rPr>
      </w:r>
    </w:p>
    <w:p>
      <w:pPr>
        <w:spacing w:line="240" w:lineRule="auto" w:before="10"/>
        <w:rPr>
          <w:rFonts w:ascii="宋体" w:hAnsi="宋体" w:cs="宋体" w:eastAsia="宋体" w:hint="default"/>
          <w:b/>
          <w:bCs/>
          <w:sz w:val="24"/>
          <w:szCs w:val="24"/>
        </w:rPr>
      </w:pPr>
    </w:p>
    <w:p>
      <w:pPr>
        <w:spacing w:before="0"/>
        <w:ind w:left="153" w:right="85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）转移应收账款且继续涉入形成的资产、负债金额</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0"/>
        <w:ind w:left="153" w:right="85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、应收款项融资</w:t>
      </w:r>
      <w:r>
        <w:rPr>
          <w:rFonts w:ascii="宋体" w:hAnsi="宋体" w:cs="宋体" w:eastAsia="宋体" w:hint="default"/>
          <w:sz w:val="21"/>
          <w:szCs w:val="21"/>
        </w:rPr>
      </w:r>
    </w:p>
    <w:p>
      <w:pPr>
        <w:spacing w:line="240" w:lineRule="auto" w:before="2"/>
        <w:rPr>
          <w:rFonts w:ascii="宋体" w:hAnsi="宋体" w:cs="宋体" w:eastAsia="宋体" w:hint="default"/>
          <w:b/>
          <w:bCs/>
          <w:sz w:val="23"/>
          <w:szCs w:val="23"/>
        </w:rPr>
      </w:pPr>
    </w:p>
    <w:p>
      <w:pPr>
        <w:pStyle w:val="BodyText"/>
        <w:spacing w:line="240" w:lineRule="auto" w:before="46"/>
        <w:ind w:left="0" w:right="1121"/>
        <w:jc w:val="right"/>
      </w:pPr>
      <w:r>
        <w:rPr/>
        <w:t>单位：</w:t>
      </w:r>
      <w:r>
        <w:rPr>
          <w:spacing w:val="5"/>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3"/>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1400"/>
              <w:jc w:val="right"/>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12,838,560.00</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400"/>
              <w:jc w:val="righ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12,838,560.00</w:t>
            </w:r>
          </w:p>
        </w:tc>
        <w:tc>
          <w:tcPr>
            <w:tcW w:w="319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4"/>
        <w:ind w:right="855"/>
        <w:jc w:val="left"/>
      </w:pPr>
      <w:r>
        <w:rPr>
          <w:spacing w:val="-3"/>
        </w:rPr>
        <w:t>应收款项融资本期增减变动及公允价值变动情况</w:t>
      </w:r>
    </w:p>
    <w:p>
      <w:pPr>
        <w:pStyle w:val="BodyText"/>
        <w:spacing w:line="343" w:lineRule="auto" w:before="110"/>
        <w:ind w:right="855"/>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如是按照预期信用损失一般模型计提应收款项融资减值准备，请参照其他应收款的披露方式披露减值准备的相关信息：</w:t>
      </w:r>
    </w:p>
    <w:p>
      <w:pPr>
        <w:pStyle w:val="BodyText"/>
        <w:spacing w:line="240" w:lineRule="auto" w:before="37"/>
        <w:ind w:right="855"/>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after="0" w:line="240" w:lineRule="auto"/>
        <w:jc w:val="left"/>
        <w:sectPr>
          <w:pgSz w:w="11910" w:h="16840"/>
          <w:pgMar w:header="746" w:footer="974"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6"/>
        <w:ind w:right="855"/>
        <w:jc w:val="left"/>
      </w:pPr>
      <w:r>
        <w:rPr/>
        <w:t>其他说明：</w:t>
      </w:r>
    </w:p>
    <w:p>
      <w:pPr>
        <w:spacing w:line="240" w:lineRule="auto" w:before="8"/>
        <w:rPr>
          <w:rFonts w:ascii="宋体" w:hAnsi="宋体" w:cs="宋体" w:eastAsia="宋体" w:hint="default"/>
          <w:sz w:val="26"/>
          <w:szCs w:val="26"/>
        </w:rPr>
      </w:pPr>
    </w:p>
    <w:p>
      <w:pPr>
        <w:pStyle w:val="Heading4"/>
        <w:spacing w:line="240" w:lineRule="auto"/>
        <w:ind w:right="855"/>
        <w:jc w:val="left"/>
        <w:rPr>
          <w:b w:val="0"/>
          <w:bCs w:val="0"/>
        </w:rPr>
      </w:pPr>
      <w:r>
        <w:rPr>
          <w:rFonts w:ascii="Times New Roman" w:hAnsi="Times New Roman" w:cs="Times New Roman" w:eastAsia="Times New Roman" w:hint="default"/>
        </w:rPr>
        <w:t>5</w:t>
      </w:r>
      <w:r>
        <w:rPr/>
        <w:t>、预付款项</w:t>
      </w:r>
      <w:r>
        <w:rPr>
          <w:b w:val="0"/>
          <w:bCs w:val="0"/>
        </w:rPr>
      </w:r>
    </w:p>
    <w:p>
      <w:pPr>
        <w:spacing w:line="240" w:lineRule="auto" w:before="10"/>
        <w:rPr>
          <w:rFonts w:ascii="宋体" w:hAnsi="宋体" w:cs="宋体" w:eastAsia="宋体" w:hint="default"/>
          <w:b/>
          <w:bCs/>
          <w:sz w:val="24"/>
          <w:szCs w:val="24"/>
        </w:rPr>
      </w:pPr>
    </w:p>
    <w:p>
      <w:pPr>
        <w:spacing w:before="0"/>
        <w:ind w:left="153" w:right="85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）预付款项按账龄列示</w:t>
      </w:r>
      <w:r>
        <w:rPr>
          <w:rFonts w:ascii="宋体" w:hAnsi="宋体" w:cs="宋体" w:eastAsia="宋体" w:hint="default"/>
          <w:sz w:val="21"/>
          <w:szCs w:val="21"/>
        </w:rPr>
      </w:r>
    </w:p>
    <w:p>
      <w:pPr>
        <w:spacing w:line="240" w:lineRule="auto" w:before="2"/>
        <w:rPr>
          <w:rFonts w:ascii="宋体" w:hAnsi="宋体" w:cs="宋体" w:eastAsia="宋体" w:hint="default"/>
          <w:b/>
          <w:bCs/>
          <w:sz w:val="23"/>
          <w:szCs w:val="23"/>
        </w:rPr>
      </w:pPr>
    </w:p>
    <w:p>
      <w:pPr>
        <w:pStyle w:val="BodyText"/>
        <w:spacing w:line="240" w:lineRule="auto" w:before="46"/>
        <w:ind w:left="0" w:right="1121"/>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1"/>
        <w:gridCol w:w="1916"/>
        <w:gridCol w:w="1916"/>
        <w:gridCol w:w="1916"/>
        <w:gridCol w:w="1916"/>
      </w:tblGrid>
      <w:tr>
        <w:trPr>
          <w:trHeight w:val="403" w:hRule="exact"/>
        </w:trPr>
        <w:tc>
          <w:tcPr>
            <w:tcW w:w="19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1911"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89,645,840.52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98.35%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65,769,113.12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94.57%</w:t>
            </w:r>
          </w:p>
        </w:tc>
      </w:tr>
      <w:tr>
        <w:trPr>
          <w:trHeight w:val="398"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1,012,488.69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3"/>
                <w:sz w:val="18"/>
              </w:rPr>
              <w:t>1.11%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431,678.05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0.62%</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214,247.39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0.24%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3,251,874.74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4.68%</w:t>
            </w:r>
          </w:p>
        </w:tc>
      </w:tr>
      <w:tr>
        <w:trPr>
          <w:trHeight w:val="404"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275,281.20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0.30%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88,797.47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0.13%</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91,147,857.80</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69,541,463.38</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5"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3"/>
        <w:ind w:right="855"/>
        <w:jc w:val="left"/>
      </w:pPr>
      <w:r>
        <w:rPr/>
        <w:t>账龄超过 </w:t>
      </w:r>
      <w:r>
        <w:rPr>
          <w:rFonts w:ascii="Times New Roman" w:hAnsi="Times New Roman" w:cs="Times New Roman" w:eastAsia="Times New Roman" w:hint="default"/>
        </w:rPr>
        <w:t>1</w:t>
      </w:r>
      <w:r>
        <w:rPr>
          <w:rFonts w:ascii="Times New Roman" w:hAnsi="Times New Roman" w:cs="Times New Roman" w:eastAsia="Times New Roman" w:hint="default"/>
          <w:spacing w:val="20"/>
        </w:rPr>
        <w:t> </w:t>
      </w:r>
      <w:r>
        <w:rPr>
          <w:spacing w:val="-3"/>
        </w:rPr>
        <w:t>年且金额重要的预付款项未及时结算原因的说明：</w:t>
      </w:r>
    </w:p>
    <w:p>
      <w:pPr>
        <w:pStyle w:val="BodyText"/>
        <w:spacing w:line="240" w:lineRule="auto" w:before="96"/>
        <w:ind w:left="0" w:right="1121"/>
        <w:jc w:val="right"/>
      </w:pPr>
      <w:r>
        <w:rPr>
          <w:spacing w:val="-2"/>
        </w:rPr>
        <w:t>单位：元</w:t>
      </w:r>
    </w:p>
    <w:p>
      <w:pPr>
        <w:spacing w:line="240" w:lineRule="auto" w:before="4"/>
        <w:rPr>
          <w:rFonts w:ascii="宋体" w:hAnsi="宋体" w:cs="宋体" w:eastAsia="宋体" w:hint="default"/>
          <w:sz w:val="8"/>
          <w:szCs w:val="8"/>
        </w:rPr>
      </w:pPr>
    </w:p>
    <w:tbl>
      <w:tblPr>
        <w:tblW w:w="0" w:type="auto"/>
        <w:jc w:val="left"/>
        <w:tblInd w:w="143" w:type="dxa"/>
        <w:tblLayout w:type="fixed"/>
        <w:tblCellMar>
          <w:top w:w="0" w:type="dxa"/>
          <w:left w:w="0" w:type="dxa"/>
          <w:bottom w:w="0" w:type="dxa"/>
          <w:right w:w="0" w:type="dxa"/>
        </w:tblCellMar>
        <w:tblLook w:val="01E0"/>
      </w:tblPr>
      <w:tblGrid>
        <w:gridCol w:w="2978"/>
        <w:gridCol w:w="2093"/>
        <w:gridCol w:w="1705"/>
        <w:gridCol w:w="1244"/>
        <w:gridCol w:w="1666"/>
      </w:tblGrid>
      <w:tr>
        <w:trPr>
          <w:trHeight w:val="346" w:hRule="exact"/>
        </w:trPr>
        <w:tc>
          <w:tcPr>
            <w:tcW w:w="2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b/>
                <w:bCs/>
                <w:sz w:val="18"/>
                <w:szCs w:val="18"/>
              </w:rPr>
              <w:t>债权单位</w:t>
            </w:r>
            <w:r>
              <w:rPr>
                <w:rFonts w:ascii="宋体" w:hAnsi="宋体" w:cs="宋体" w:eastAsia="宋体" w:hint="default"/>
                <w:sz w:val="18"/>
                <w:szCs w:val="18"/>
              </w:rPr>
            </w:r>
          </w:p>
        </w:tc>
        <w:tc>
          <w:tcPr>
            <w:tcW w:w="20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681" w:right="0"/>
              <w:jc w:val="left"/>
              <w:rPr>
                <w:rFonts w:ascii="宋体" w:hAnsi="宋体" w:cs="宋体" w:eastAsia="宋体" w:hint="default"/>
                <w:sz w:val="18"/>
                <w:szCs w:val="18"/>
              </w:rPr>
            </w:pPr>
            <w:r>
              <w:rPr>
                <w:rFonts w:ascii="宋体" w:hAnsi="宋体" w:cs="宋体" w:eastAsia="宋体" w:hint="default"/>
                <w:b/>
                <w:bCs/>
                <w:sz w:val="18"/>
                <w:szCs w:val="18"/>
              </w:rPr>
              <w:t>债务单位</w:t>
            </w:r>
            <w:r>
              <w:rPr>
                <w:rFonts w:ascii="宋体" w:hAnsi="宋体" w:cs="宋体" w:eastAsia="宋体" w:hint="default"/>
                <w:sz w:val="18"/>
                <w:szCs w:val="18"/>
              </w:rPr>
            </w:r>
          </w:p>
        </w:tc>
        <w:tc>
          <w:tcPr>
            <w:tcW w:w="1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89"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9" w:right="0"/>
              <w:jc w:val="center"/>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83" w:right="0"/>
              <w:jc w:val="left"/>
              <w:rPr>
                <w:rFonts w:ascii="宋体" w:hAnsi="宋体" w:cs="宋体" w:eastAsia="宋体" w:hint="default"/>
                <w:sz w:val="18"/>
                <w:szCs w:val="18"/>
              </w:rPr>
            </w:pPr>
            <w:r>
              <w:rPr>
                <w:rFonts w:ascii="宋体" w:hAnsi="宋体" w:cs="宋体" w:eastAsia="宋体" w:hint="default"/>
                <w:b/>
                <w:bCs/>
                <w:sz w:val="18"/>
                <w:szCs w:val="18"/>
              </w:rPr>
              <w:t>未结算的原因</w:t>
            </w:r>
            <w:r>
              <w:rPr>
                <w:rFonts w:ascii="宋体" w:hAnsi="宋体" w:cs="宋体" w:eastAsia="宋体" w:hint="default"/>
                <w:sz w:val="18"/>
                <w:szCs w:val="18"/>
              </w:rPr>
            </w:r>
          </w:p>
        </w:tc>
      </w:tr>
      <w:tr>
        <w:trPr>
          <w:trHeight w:val="485" w:hRule="exact"/>
        </w:trPr>
        <w:tc>
          <w:tcPr>
            <w:tcW w:w="2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北京星立方科技发展股份有限公司</w:t>
            </w:r>
          </w:p>
        </w:tc>
        <w:tc>
          <w:tcPr>
            <w:tcW w:w="20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A</w:t>
            </w:r>
            <w:r>
              <w:rPr>
                <w:rFonts w:ascii="宋体" w:hAnsi="宋体" w:cs="宋体" w:eastAsia="宋体" w:hint="default"/>
                <w:sz w:val="18"/>
                <w:szCs w:val="18"/>
              </w:rPr>
              <w:t>有限公司</w:t>
            </w:r>
          </w:p>
        </w:tc>
        <w:tc>
          <w:tcPr>
            <w:tcW w:w="1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
              <w:jc w:val="right"/>
              <w:rPr>
                <w:rFonts w:ascii="Times New Roman" w:hAnsi="Times New Roman" w:cs="Times New Roman" w:eastAsia="Times New Roman" w:hint="default"/>
                <w:sz w:val="18"/>
                <w:szCs w:val="18"/>
              </w:rPr>
            </w:pPr>
            <w:r>
              <w:rPr>
                <w:rFonts w:ascii="Times New Roman"/>
                <w:spacing w:val="-1"/>
                <w:sz w:val="18"/>
              </w:rPr>
              <w:t>2,500,000.00</w:t>
            </w: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8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3-4</w:t>
            </w:r>
            <w:r>
              <w:rPr>
                <w:rFonts w:ascii="宋体" w:hAnsi="宋体" w:cs="宋体" w:eastAsia="宋体" w:hint="default"/>
                <w:sz w:val="18"/>
                <w:szCs w:val="18"/>
              </w:rPr>
              <w:t>年</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81" w:right="0"/>
              <w:jc w:val="left"/>
              <w:rPr>
                <w:rFonts w:ascii="宋体" w:hAnsi="宋体" w:cs="宋体" w:eastAsia="宋体" w:hint="default"/>
                <w:sz w:val="18"/>
                <w:szCs w:val="18"/>
              </w:rPr>
            </w:pPr>
            <w:r>
              <w:rPr>
                <w:rFonts w:ascii="宋体" w:hAnsi="宋体" w:cs="宋体" w:eastAsia="宋体" w:hint="default"/>
                <w:spacing w:val="-3"/>
                <w:sz w:val="18"/>
                <w:szCs w:val="18"/>
              </w:rPr>
              <w:t>尚未结算</w:t>
            </w:r>
          </w:p>
        </w:tc>
      </w:tr>
      <w:tr>
        <w:trPr>
          <w:trHeight w:val="494" w:hRule="exact"/>
        </w:trPr>
        <w:tc>
          <w:tcPr>
            <w:tcW w:w="2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云南南天电子信息产业股份有限公司</w:t>
            </w:r>
          </w:p>
        </w:tc>
        <w:tc>
          <w:tcPr>
            <w:tcW w:w="20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w:t>
            </w:r>
            <w:r>
              <w:rPr>
                <w:rFonts w:ascii="宋体" w:hAnsi="宋体" w:cs="宋体" w:eastAsia="宋体" w:hint="default"/>
                <w:sz w:val="18"/>
                <w:szCs w:val="18"/>
              </w:rPr>
              <w:t>有限公司</w:t>
            </w:r>
          </w:p>
        </w:tc>
        <w:tc>
          <w:tcPr>
            <w:tcW w:w="1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
              <w:jc w:val="right"/>
              <w:rPr>
                <w:rFonts w:ascii="Times New Roman" w:hAnsi="Times New Roman" w:cs="Times New Roman" w:eastAsia="Times New Roman" w:hint="default"/>
                <w:sz w:val="18"/>
                <w:szCs w:val="18"/>
              </w:rPr>
            </w:pPr>
            <w:r>
              <w:rPr>
                <w:rFonts w:ascii="Times New Roman"/>
                <w:spacing w:val="-1"/>
                <w:sz w:val="18"/>
              </w:rPr>
              <w:t>1,039,397.00</w:t>
            </w: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86"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年以上</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81" w:right="0"/>
              <w:jc w:val="left"/>
              <w:rPr>
                <w:rFonts w:ascii="宋体" w:hAnsi="宋体" w:cs="宋体" w:eastAsia="宋体" w:hint="default"/>
                <w:sz w:val="18"/>
                <w:szCs w:val="18"/>
              </w:rPr>
            </w:pPr>
            <w:r>
              <w:rPr>
                <w:rFonts w:ascii="宋体" w:hAnsi="宋体" w:cs="宋体" w:eastAsia="宋体" w:hint="default"/>
                <w:spacing w:val="-3"/>
                <w:sz w:val="18"/>
                <w:szCs w:val="18"/>
              </w:rPr>
              <w:t>尚未结算</w:t>
            </w:r>
          </w:p>
        </w:tc>
      </w:tr>
      <w:tr>
        <w:trPr>
          <w:trHeight w:val="490" w:hRule="exact"/>
        </w:trPr>
        <w:tc>
          <w:tcPr>
            <w:tcW w:w="2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云南红岭云科技股份有限公司</w:t>
            </w:r>
          </w:p>
        </w:tc>
        <w:tc>
          <w:tcPr>
            <w:tcW w:w="20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w:t>
            </w:r>
            <w:r>
              <w:rPr>
                <w:rFonts w:ascii="宋体" w:hAnsi="宋体" w:cs="宋体" w:eastAsia="宋体" w:hint="default"/>
                <w:sz w:val="18"/>
                <w:szCs w:val="18"/>
              </w:rPr>
              <w:t>有限公司</w:t>
            </w:r>
          </w:p>
        </w:tc>
        <w:tc>
          <w:tcPr>
            <w:tcW w:w="1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
              <w:jc w:val="right"/>
              <w:rPr>
                <w:rFonts w:ascii="Times New Roman" w:hAnsi="Times New Roman" w:cs="Times New Roman" w:eastAsia="Times New Roman" w:hint="default"/>
                <w:sz w:val="18"/>
                <w:szCs w:val="18"/>
              </w:rPr>
            </w:pPr>
            <w:r>
              <w:rPr>
                <w:rFonts w:ascii="Times New Roman"/>
                <w:spacing w:val="-1"/>
                <w:sz w:val="18"/>
              </w:rPr>
              <w:t>439,300.00</w:t>
            </w: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8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81" w:right="0"/>
              <w:jc w:val="left"/>
              <w:rPr>
                <w:rFonts w:ascii="宋体" w:hAnsi="宋体" w:cs="宋体" w:eastAsia="宋体" w:hint="default"/>
                <w:sz w:val="18"/>
                <w:szCs w:val="18"/>
              </w:rPr>
            </w:pPr>
            <w:r>
              <w:rPr>
                <w:rFonts w:ascii="宋体" w:hAnsi="宋体" w:cs="宋体" w:eastAsia="宋体" w:hint="default"/>
                <w:spacing w:val="-3"/>
                <w:sz w:val="18"/>
                <w:szCs w:val="18"/>
              </w:rPr>
              <w:t>尚未结算</w:t>
            </w:r>
          </w:p>
        </w:tc>
      </w:tr>
      <w:tr>
        <w:trPr>
          <w:trHeight w:val="495" w:hRule="exact"/>
        </w:trPr>
        <w:tc>
          <w:tcPr>
            <w:tcW w:w="2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pacing w:val="-3"/>
                <w:sz w:val="18"/>
                <w:szCs w:val="18"/>
              </w:rPr>
              <w:t>北京星立方科技发展股份有限公司</w:t>
            </w:r>
          </w:p>
        </w:tc>
        <w:tc>
          <w:tcPr>
            <w:tcW w:w="20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D</w:t>
            </w:r>
            <w:r>
              <w:rPr>
                <w:rFonts w:ascii="宋体" w:hAnsi="宋体" w:cs="宋体" w:eastAsia="宋体" w:hint="default"/>
                <w:sz w:val="18"/>
                <w:szCs w:val="18"/>
              </w:rPr>
              <w:t>科技有限公司</w:t>
            </w:r>
          </w:p>
        </w:tc>
        <w:tc>
          <w:tcPr>
            <w:tcW w:w="1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9"/>
              <w:jc w:val="right"/>
              <w:rPr>
                <w:rFonts w:ascii="Times New Roman" w:hAnsi="Times New Roman" w:cs="Times New Roman" w:eastAsia="Times New Roman" w:hint="default"/>
                <w:sz w:val="18"/>
                <w:szCs w:val="18"/>
              </w:rPr>
            </w:pPr>
            <w:r>
              <w:rPr>
                <w:rFonts w:ascii="Times New Roman"/>
                <w:spacing w:val="-1"/>
                <w:sz w:val="18"/>
              </w:rPr>
              <w:t>350,000.00</w:t>
            </w: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8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3-4</w:t>
            </w:r>
            <w:r>
              <w:rPr>
                <w:rFonts w:ascii="宋体" w:hAnsi="宋体" w:cs="宋体" w:eastAsia="宋体" w:hint="default"/>
                <w:sz w:val="18"/>
                <w:szCs w:val="18"/>
              </w:rPr>
              <w:t>年</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81" w:right="0"/>
              <w:jc w:val="left"/>
              <w:rPr>
                <w:rFonts w:ascii="宋体" w:hAnsi="宋体" w:cs="宋体" w:eastAsia="宋体" w:hint="default"/>
                <w:sz w:val="18"/>
                <w:szCs w:val="18"/>
              </w:rPr>
            </w:pPr>
            <w:r>
              <w:rPr>
                <w:rFonts w:ascii="宋体" w:hAnsi="宋体" w:cs="宋体" w:eastAsia="宋体" w:hint="default"/>
                <w:spacing w:val="-3"/>
                <w:sz w:val="18"/>
                <w:szCs w:val="18"/>
              </w:rPr>
              <w:t>尚未结算</w:t>
            </w:r>
          </w:p>
        </w:tc>
      </w:tr>
      <w:tr>
        <w:trPr>
          <w:trHeight w:val="494" w:hRule="exact"/>
        </w:trPr>
        <w:tc>
          <w:tcPr>
            <w:tcW w:w="2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云南南天电子信息产业股份有限公司</w:t>
            </w:r>
          </w:p>
        </w:tc>
        <w:tc>
          <w:tcPr>
            <w:tcW w:w="20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E</w:t>
            </w:r>
            <w:r>
              <w:rPr>
                <w:rFonts w:ascii="宋体" w:hAnsi="宋体" w:cs="宋体" w:eastAsia="宋体" w:hint="default"/>
                <w:sz w:val="18"/>
                <w:szCs w:val="18"/>
              </w:rPr>
              <w:t>有限公司</w:t>
            </w:r>
          </w:p>
        </w:tc>
        <w:tc>
          <w:tcPr>
            <w:tcW w:w="1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
              <w:jc w:val="right"/>
              <w:rPr>
                <w:rFonts w:ascii="Times New Roman" w:hAnsi="Times New Roman" w:cs="Times New Roman" w:eastAsia="Times New Roman" w:hint="default"/>
                <w:sz w:val="18"/>
                <w:szCs w:val="18"/>
              </w:rPr>
            </w:pPr>
            <w:r>
              <w:rPr>
                <w:rFonts w:ascii="Times New Roman"/>
                <w:spacing w:val="-1"/>
                <w:sz w:val="18"/>
              </w:rPr>
              <w:t>224,000.00</w:t>
            </w: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86"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年以上</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81" w:right="0"/>
              <w:jc w:val="left"/>
              <w:rPr>
                <w:rFonts w:ascii="宋体" w:hAnsi="宋体" w:cs="宋体" w:eastAsia="宋体" w:hint="default"/>
                <w:sz w:val="18"/>
                <w:szCs w:val="18"/>
              </w:rPr>
            </w:pPr>
            <w:r>
              <w:rPr>
                <w:rFonts w:ascii="宋体" w:hAnsi="宋体" w:cs="宋体" w:eastAsia="宋体" w:hint="default"/>
                <w:spacing w:val="-3"/>
                <w:sz w:val="18"/>
                <w:szCs w:val="18"/>
              </w:rPr>
              <w:t>尚未结算</w:t>
            </w:r>
          </w:p>
        </w:tc>
      </w:tr>
      <w:tr>
        <w:trPr>
          <w:trHeight w:val="485" w:hRule="exact"/>
        </w:trPr>
        <w:tc>
          <w:tcPr>
            <w:tcW w:w="2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云南南天电子信息产业股份有限公司</w:t>
            </w:r>
          </w:p>
        </w:tc>
        <w:tc>
          <w:tcPr>
            <w:tcW w:w="20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F</w:t>
            </w:r>
            <w:r>
              <w:rPr>
                <w:rFonts w:ascii="宋体" w:hAnsi="宋体" w:cs="宋体" w:eastAsia="宋体" w:hint="default"/>
                <w:sz w:val="18"/>
                <w:szCs w:val="18"/>
              </w:rPr>
              <w:t>有限公司</w:t>
            </w:r>
          </w:p>
        </w:tc>
        <w:tc>
          <w:tcPr>
            <w:tcW w:w="1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
              <w:jc w:val="right"/>
              <w:rPr>
                <w:rFonts w:ascii="Times New Roman" w:hAnsi="Times New Roman" w:cs="Times New Roman" w:eastAsia="Times New Roman" w:hint="default"/>
                <w:sz w:val="18"/>
                <w:szCs w:val="18"/>
              </w:rPr>
            </w:pPr>
            <w:r>
              <w:rPr>
                <w:rFonts w:ascii="Times New Roman"/>
                <w:spacing w:val="-1"/>
                <w:sz w:val="18"/>
              </w:rPr>
              <w:t>200,000.00</w:t>
            </w: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86"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年以上</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81" w:right="0"/>
              <w:jc w:val="left"/>
              <w:rPr>
                <w:rFonts w:ascii="宋体" w:hAnsi="宋体" w:cs="宋体" w:eastAsia="宋体" w:hint="default"/>
                <w:sz w:val="18"/>
                <w:szCs w:val="18"/>
              </w:rPr>
            </w:pPr>
            <w:r>
              <w:rPr>
                <w:rFonts w:ascii="宋体" w:hAnsi="宋体" w:cs="宋体" w:eastAsia="宋体" w:hint="default"/>
                <w:spacing w:val="-3"/>
                <w:sz w:val="18"/>
                <w:szCs w:val="18"/>
              </w:rPr>
              <w:t>尚未结算</w:t>
            </w:r>
          </w:p>
        </w:tc>
      </w:tr>
      <w:tr>
        <w:trPr>
          <w:trHeight w:val="346" w:hRule="exact"/>
        </w:trPr>
        <w:tc>
          <w:tcPr>
            <w:tcW w:w="2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0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06" w:right="0"/>
              <w:jc w:val="center"/>
              <w:rPr>
                <w:rFonts w:ascii="宋体" w:hAnsi="宋体" w:cs="宋体" w:eastAsia="宋体" w:hint="default"/>
                <w:sz w:val="18"/>
                <w:szCs w:val="18"/>
              </w:rPr>
            </w:pPr>
            <w:r>
              <w:rPr>
                <w:rFonts w:ascii="宋体"/>
                <w:b/>
                <w:w w:val="100"/>
                <w:sz w:val="18"/>
              </w:rPr>
              <w:t> </w:t>
            </w:r>
            <w:r>
              <w:rPr>
                <w:rFonts w:ascii="宋体"/>
                <w:w w:val="100"/>
                <w:sz w:val="18"/>
              </w:rPr>
            </w:r>
          </w:p>
        </w:tc>
        <w:tc>
          <w:tcPr>
            <w:tcW w:w="1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
              <w:jc w:val="right"/>
              <w:rPr>
                <w:rFonts w:ascii="Times New Roman" w:hAnsi="Times New Roman" w:cs="Times New Roman" w:eastAsia="Times New Roman" w:hint="default"/>
                <w:sz w:val="18"/>
                <w:szCs w:val="18"/>
              </w:rPr>
            </w:pPr>
            <w:r>
              <w:rPr>
                <w:rFonts w:ascii="Times New Roman"/>
                <w:b/>
                <w:spacing w:val="-1"/>
                <w:sz w:val="18"/>
              </w:rPr>
              <w:t>4,752,697.00</w:t>
            </w:r>
            <w:r>
              <w:rPr>
                <w:rFonts w:ascii="Times New Roman"/>
                <w:spacing w:val="-1"/>
                <w:sz w:val="18"/>
              </w:rPr>
            </w:r>
          </w:p>
        </w:tc>
        <w:tc>
          <w:tcPr>
            <w:tcW w:w="1244" w:type="dxa"/>
            <w:tcBorders>
              <w:top w:val="single" w:sz="6" w:space="0" w:color="000000"/>
              <w:left w:val="single" w:sz="6" w:space="0" w:color="000000"/>
              <w:bottom w:val="single" w:sz="6" w:space="0" w:color="000000"/>
              <w:right w:val="single" w:sz="6" w:space="0" w:color="000000"/>
            </w:tcBorders>
          </w:tcPr>
          <w:p>
            <w:pPr/>
          </w:p>
        </w:tc>
        <w:tc>
          <w:tcPr>
            <w:tcW w:w="1666"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855"/>
        <w:jc w:val="left"/>
        <w:rPr>
          <w:b w:val="0"/>
          <w:bCs w:val="0"/>
        </w:rPr>
      </w:pP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594" w:right="855"/>
        <w:jc w:val="left"/>
      </w:pPr>
      <w:r>
        <w:rPr>
          <w:spacing w:val="-3"/>
        </w:rPr>
        <w:t>年末预付账款前五名的情况</w:t>
      </w:r>
    </w:p>
    <w:p>
      <w:pPr>
        <w:spacing w:line="240" w:lineRule="auto" w:before="9"/>
        <w:rPr>
          <w:rFonts w:ascii="宋体" w:hAnsi="宋体" w:cs="宋体" w:eastAsia="宋体" w:hint="default"/>
          <w:sz w:val="20"/>
          <w:szCs w:val="20"/>
        </w:rPr>
      </w:pPr>
    </w:p>
    <w:p>
      <w:pPr>
        <w:pStyle w:val="Heading3"/>
        <w:spacing w:line="240" w:lineRule="auto"/>
        <w:ind w:left="0" w:right="1121"/>
        <w:jc w:val="right"/>
      </w:pPr>
      <w:r>
        <w:rPr/>
        <w:t>单位：元</w:t>
      </w:r>
    </w:p>
    <w:p>
      <w:pPr>
        <w:spacing w:line="240" w:lineRule="auto" w:before="4"/>
        <w:rPr>
          <w:rFonts w:ascii="宋体" w:hAnsi="宋体" w:cs="宋体" w:eastAsia="宋体" w:hint="default"/>
          <w:sz w:val="23"/>
          <w:szCs w:val="23"/>
        </w:rPr>
      </w:pPr>
    </w:p>
    <w:tbl>
      <w:tblPr>
        <w:tblW w:w="0" w:type="auto"/>
        <w:jc w:val="left"/>
        <w:tblInd w:w="143" w:type="dxa"/>
        <w:tblLayout w:type="fixed"/>
        <w:tblCellMar>
          <w:top w:w="0" w:type="dxa"/>
          <w:left w:w="0" w:type="dxa"/>
          <w:bottom w:w="0" w:type="dxa"/>
          <w:right w:w="0" w:type="dxa"/>
        </w:tblCellMar>
        <w:tblLook w:val="01E0"/>
      </w:tblPr>
      <w:tblGrid>
        <w:gridCol w:w="4456"/>
        <w:gridCol w:w="2012"/>
        <w:gridCol w:w="3217"/>
      </w:tblGrid>
      <w:tr>
        <w:trPr>
          <w:trHeight w:val="346" w:hRule="exact"/>
        </w:trPr>
        <w:tc>
          <w:tcPr>
            <w:tcW w:w="44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2"/>
              <w:jc w:val="center"/>
              <w:rPr>
                <w:rFonts w:ascii="宋体" w:hAnsi="宋体" w:cs="宋体" w:eastAsia="宋体" w:hint="default"/>
                <w:sz w:val="20"/>
                <w:szCs w:val="20"/>
              </w:rPr>
            </w:pPr>
            <w:r>
              <w:rPr>
                <w:rFonts w:ascii="宋体" w:hAnsi="宋体" w:cs="宋体" w:eastAsia="宋体" w:hint="default"/>
                <w:b/>
                <w:bCs/>
                <w:sz w:val="20"/>
                <w:szCs w:val="20"/>
              </w:rPr>
              <w:t>债务人名称</w:t>
            </w:r>
            <w:r>
              <w:rPr>
                <w:rFonts w:ascii="宋体" w:hAnsi="宋体" w:cs="宋体" w:eastAsia="宋体" w:hint="default"/>
                <w:sz w:val="20"/>
                <w:szCs w:val="20"/>
              </w:rPr>
            </w:r>
          </w:p>
        </w:tc>
        <w:tc>
          <w:tcPr>
            <w:tcW w:w="20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638" w:right="0"/>
              <w:jc w:val="left"/>
              <w:rPr>
                <w:rFonts w:ascii="宋体" w:hAnsi="宋体" w:cs="宋体" w:eastAsia="宋体" w:hint="default"/>
                <w:sz w:val="20"/>
                <w:szCs w:val="20"/>
              </w:rPr>
            </w:pPr>
            <w:r>
              <w:rPr>
                <w:rFonts w:ascii="宋体" w:hAnsi="宋体" w:cs="宋体" w:eastAsia="宋体" w:hint="default"/>
                <w:b/>
                <w:bCs/>
                <w:sz w:val="20"/>
                <w:szCs w:val="20"/>
              </w:rPr>
              <w:t>账面余额</w:t>
            </w:r>
            <w:r>
              <w:rPr>
                <w:rFonts w:ascii="宋体" w:hAnsi="宋体" w:cs="宋体" w:eastAsia="宋体" w:hint="default"/>
                <w:sz w:val="20"/>
                <w:szCs w:val="20"/>
              </w:rPr>
            </w:r>
          </w:p>
        </w:tc>
        <w:tc>
          <w:tcPr>
            <w:tcW w:w="3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340" w:right="0"/>
              <w:jc w:val="left"/>
              <w:rPr>
                <w:rFonts w:ascii="宋体" w:hAnsi="宋体" w:cs="宋体" w:eastAsia="宋体" w:hint="default"/>
                <w:sz w:val="20"/>
                <w:szCs w:val="20"/>
              </w:rPr>
            </w:pPr>
            <w:r>
              <w:rPr>
                <w:rFonts w:ascii="宋体" w:hAnsi="宋体" w:cs="宋体" w:eastAsia="宋体" w:hint="default"/>
                <w:b/>
                <w:bCs/>
                <w:sz w:val="20"/>
                <w:szCs w:val="20"/>
              </w:rPr>
              <w:t>占预付账款合计的比例（</w:t>
            </w:r>
            <w:r>
              <w:rPr>
                <w:rFonts w:ascii="Times New Roman" w:hAnsi="Times New Roman" w:cs="Times New Roman" w:eastAsia="Times New Roman" w:hint="default"/>
                <w:b/>
                <w:bCs/>
                <w:sz w:val="20"/>
                <w:szCs w:val="20"/>
              </w:rPr>
              <w:t>%</w:t>
            </w:r>
            <w:r>
              <w:rPr>
                <w:rFonts w:ascii="宋体" w:hAnsi="宋体" w:cs="宋体" w:eastAsia="宋体" w:hint="default"/>
                <w:b/>
                <w:bCs/>
                <w:sz w:val="20"/>
                <w:szCs w:val="20"/>
              </w:rPr>
              <w:t>）</w:t>
            </w:r>
            <w:r>
              <w:rPr>
                <w:rFonts w:ascii="宋体" w:hAnsi="宋体" w:cs="宋体" w:eastAsia="宋体" w:hint="default"/>
                <w:sz w:val="20"/>
                <w:szCs w:val="20"/>
              </w:rPr>
            </w:r>
          </w:p>
        </w:tc>
      </w:tr>
      <w:tr>
        <w:trPr>
          <w:trHeight w:val="350" w:hRule="exact"/>
        </w:trPr>
        <w:tc>
          <w:tcPr>
            <w:tcW w:w="44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4" w:right="0"/>
              <w:jc w:val="left"/>
              <w:rPr>
                <w:rFonts w:ascii="宋体" w:hAnsi="宋体" w:cs="宋体" w:eastAsia="宋体" w:hint="default"/>
                <w:sz w:val="20"/>
                <w:szCs w:val="20"/>
              </w:rPr>
            </w:pPr>
            <w:r>
              <w:rPr>
                <w:rFonts w:ascii="宋体" w:hAnsi="宋体" w:cs="宋体" w:eastAsia="宋体" w:hint="default"/>
                <w:sz w:val="20"/>
                <w:szCs w:val="20"/>
              </w:rPr>
              <w:t>第一名</w:t>
            </w:r>
          </w:p>
        </w:tc>
        <w:tc>
          <w:tcPr>
            <w:tcW w:w="20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4"/>
              <w:jc w:val="right"/>
              <w:rPr>
                <w:rFonts w:ascii="Times New Roman" w:hAnsi="Times New Roman" w:cs="Times New Roman" w:eastAsia="Times New Roman" w:hint="default"/>
                <w:sz w:val="20"/>
                <w:szCs w:val="20"/>
              </w:rPr>
            </w:pPr>
            <w:r>
              <w:rPr>
                <w:rFonts w:ascii="Times New Roman"/>
                <w:spacing w:val="-1"/>
                <w:sz w:val="20"/>
              </w:rPr>
              <w:t>17,578,000.00</w:t>
            </w:r>
          </w:p>
        </w:tc>
        <w:tc>
          <w:tcPr>
            <w:tcW w:w="3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right"/>
              <w:rPr>
                <w:rFonts w:ascii="Times New Roman" w:hAnsi="Times New Roman" w:cs="Times New Roman" w:eastAsia="Times New Roman" w:hint="default"/>
                <w:sz w:val="20"/>
                <w:szCs w:val="20"/>
              </w:rPr>
            </w:pPr>
            <w:r>
              <w:rPr>
                <w:rFonts w:ascii="Times New Roman"/>
                <w:spacing w:val="-1"/>
                <w:sz w:val="20"/>
              </w:rPr>
              <w:t>18.23</w:t>
            </w:r>
          </w:p>
        </w:tc>
      </w:tr>
      <w:tr>
        <w:trPr>
          <w:trHeight w:val="346" w:hRule="exact"/>
        </w:trPr>
        <w:tc>
          <w:tcPr>
            <w:tcW w:w="44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4" w:right="0"/>
              <w:jc w:val="left"/>
              <w:rPr>
                <w:rFonts w:ascii="宋体" w:hAnsi="宋体" w:cs="宋体" w:eastAsia="宋体" w:hint="default"/>
                <w:sz w:val="20"/>
                <w:szCs w:val="20"/>
              </w:rPr>
            </w:pPr>
            <w:r>
              <w:rPr>
                <w:rFonts w:ascii="宋体" w:hAnsi="宋体" w:cs="宋体" w:eastAsia="宋体" w:hint="default"/>
                <w:sz w:val="20"/>
                <w:szCs w:val="20"/>
              </w:rPr>
              <w:t>第二名</w:t>
            </w:r>
          </w:p>
        </w:tc>
        <w:tc>
          <w:tcPr>
            <w:tcW w:w="20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4"/>
              <w:jc w:val="right"/>
              <w:rPr>
                <w:rFonts w:ascii="Times New Roman" w:hAnsi="Times New Roman" w:cs="Times New Roman" w:eastAsia="Times New Roman" w:hint="default"/>
                <w:sz w:val="20"/>
                <w:szCs w:val="20"/>
              </w:rPr>
            </w:pPr>
            <w:r>
              <w:rPr>
                <w:rFonts w:ascii="Times New Roman"/>
                <w:spacing w:val="-1"/>
                <w:sz w:val="20"/>
              </w:rPr>
              <w:t>14,621,616.20</w:t>
            </w:r>
          </w:p>
        </w:tc>
        <w:tc>
          <w:tcPr>
            <w:tcW w:w="3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right"/>
              <w:rPr>
                <w:rFonts w:ascii="Times New Roman" w:hAnsi="Times New Roman" w:cs="Times New Roman" w:eastAsia="Times New Roman" w:hint="default"/>
                <w:sz w:val="20"/>
                <w:szCs w:val="20"/>
              </w:rPr>
            </w:pPr>
            <w:r>
              <w:rPr>
                <w:rFonts w:ascii="Times New Roman"/>
                <w:spacing w:val="-1"/>
                <w:sz w:val="20"/>
              </w:rPr>
              <w:t>15.16</w:t>
            </w:r>
          </w:p>
        </w:tc>
      </w:tr>
      <w:tr>
        <w:trPr>
          <w:trHeight w:val="346" w:hRule="exact"/>
        </w:trPr>
        <w:tc>
          <w:tcPr>
            <w:tcW w:w="44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left="4" w:right="0"/>
              <w:jc w:val="left"/>
              <w:rPr>
                <w:rFonts w:ascii="宋体" w:hAnsi="宋体" w:cs="宋体" w:eastAsia="宋体" w:hint="default"/>
                <w:sz w:val="20"/>
                <w:szCs w:val="20"/>
              </w:rPr>
            </w:pPr>
            <w:r>
              <w:rPr>
                <w:rFonts w:ascii="宋体" w:hAnsi="宋体" w:cs="宋体" w:eastAsia="宋体" w:hint="default"/>
                <w:sz w:val="20"/>
                <w:szCs w:val="20"/>
              </w:rPr>
              <w:t>第三名</w:t>
            </w:r>
          </w:p>
        </w:tc>
        <w:tc>
          <w:tcPr>
            <w:tcW w:w="20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4"/>
              <w:jc w:val="right"/>
              <w:rPr>
                <w:rFonts w:ascii="Times New Roman" w:hAnsi="Times New Roman" w:cs="Times New Roman" w:eastAsia="Times New Roman" w:hint="default"/>
                <w:sz w:val="20"/>
                <w:szCs w:val="20"/>
              </w:rPr>
            </w:pPr>
            <w:r>
              <w:rPr>
                <w:rFonts w:ascii="Times New Roman"/>
                <w:spacing w:val="-1"/>
                <w:sz w:val="20"/>
              </w:rPr>
              <w:t>15,075,000.00</w:t>
            </w:r>
          </w:p>
        </w:tc>
        <w:tc>
          <w:tcPr>
            <w:tcW w:w="3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0"/>
              <w:jc w:val="right"/>
              <w:rPr>
                <w:rFonts w:ascii="Times New Roman" w:hAnsi="Times New Roman" w:cs="Times New Roman" w:eastAsia="Times New Roman" w:hint="default"/>
                <w:sz w:val="20"/>
                <w:szCs w:val="20"/>
              </w:rPr>
            </w:pPr>
            <w:r>
              <w:rPr>
                <w:rFonts w:ascii="Times New Roman"/>
                <w:spacing w:val="-1"/>
                <w:sz w:val="20"/>
              </w:rPr>
              <w:t>15.63</w:t>
            </w:r>
          </w:p>
        </w:tc>
      </w:tr>
      <w:tr>
        <w:trPr>
          <w:trHeight w:val="346" w:hRule="exact"/>
        </w:trPr>
        <w:tc>
          <w:tcPr>
            <w:tcW w:w="44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4" w:right="0"/>
              <w:jc w:val="left"/>
              <w:rPr>
                <w:rFonts w:ascii="宋体" w:hAnsi="宋体" w:cs="宋体" w:eastAsia="宋体" w:hint="default"/>
                <w:sz w:val="20"/>
                <w:szCs w:val="20"/>
              </w:rPr>
            </w:pPr>
            <w:r>
              <w:rPr>
                <w:rFonts w:ascii="宋体" w:hAnsi="宋体" w:cs="宋体" w:eastAsia="宋体" w:hint="default"/>
                <w:sz w:val="20"/>
                <w:szCs w:val="20"/>
              </w:rPr>
              <w:t>第四名</w:t>
            </w:r>
          </w:p>
        </w:tc>
        <w:tc>
          <w:tcPr>
            <w:tcW w:w="20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4"/>
              <w:jc w:val="right"/>
              <w:rPr>
                <w:rFonts w:ascii="Times New Roman" w:hAnsi="Times New Roman" w:cs="Times New Roman" w:eastAsia="Times New Roman" w:hint="default"/>
                <w:sz w:val="20"/>
                <w:szCs w:val="20"/>
              </w:rPr>
            </w:pPr>
            <w:r>
              <w:rPr>
                <w:rFonts w:ascii="Times New Roman"/>
                <w:spacing w:val="-1"/>
                <w:sz w:val="20"/>
              </w:rPr>
              <w:t>7,000,000.00</w:t>
            </w:r>
          </w:p>
        </w:tc>
        <w:tc>
          <w:tcPr>
            <w:tcW w:w="3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right"/>
              <w:rPr>
                <w:rFonts w:ascii="Times New Roman" w:hAnsi="Times New Roman" w:cs="Times New Roman" w:eastAsia="Times New Roman" w:hint="default"/>
                <w:sz w:val="20"/>
                <w:szCs w:val="20"/>
              </w:rPr>
            </w:pPr>
            <w:r>
              <w:rPr>
                <w:rFonts w:ascii="Times New Roman"/>
                <w:spacing w:val="-1"/>
                <w:sz w:val="20"/>
              </w:rPr>
              <w:t>7.26</w:t>
            </w:r>
          </w:p>
        </w:tc>
      </w:tr>
      <w:tr>
        <w:trPr>
          <w:trHeight w:val="350" w:hRule="exact"/>
        </w:trPr>
        <w:tc>
          <w:tcPr>
            <w:tcW w:w="44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4" w:right="0"/>
              <w:jc w:val="left"/>
              <w:rPr>
                <w:rFonts w:ascii="宋体" w:hAnsi="宋体" w:cs="宋体" w:eastAsia="宋体" w:hint="default"/>
                <w:sz w:val="20"/>
                <w:szCs w:val="20"/>
              </w:rPr>
            </w:pPr>
            <w:r>
              <w:rPr>
                <w:rFonts w:ascii="宋体" w:hAnsi="宋体" w:cs="宋体" w:eastAsia="宋体" w:hint="default"/>
                <w:sz w:val="20"/>
                <w:szCs w:val="20"/>
              </w:rPr>
              <w:t>第五名</w:t>
            </w:r>
          </w:p>
        </w:tc>
        <w:tc>
          <w:tcPr>
            <w:tcW w:w="20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4"/>
              <w:jc w:val="right"/>
              <w:rPr>
                <w:rFonts w:ascii="Times New Roman" w:hAnsi="Times New Roman" w:cs="Times New Roman" w:eastAsia="Times New Roman" w:hint="default"/>
                <w:sz w:val="20"/>
                <w:szCs w:val="20"/>
              </w:rPr>
            </w:pPr>
            <w:r>
              <w:rPr>
                <w:rFonts w:ascii="Times New Roman"/>
                <w:spacing w:val="-1"/>
                <w:sz w:val="20"/>
              </w:rPr>
              <w:t>6,503,360.00</w:t>
            </w:r>
          </w:p>
        </w:tc>
        <w:tc>
          <w:tcPr>
            <w:tcW w:w="3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right"/>
              <w:rPr>
                <w:rFonts w:ascii="Times New Roman" w:hAnsi="Times New Roman" w:cs="Times New Roman" w:eastAsia="Times New Roman" w:hint="default"/>
                <w:sz w:val="20"/>
                <w:szCs w:val="20"/>
              </w:rPr>
            </w:pPr>
            <w:r>
              <w:rPr>
                <w:rFonts w:ascii="Times New Roman"/>
                <w:spacing w:val="-1"/>
                <w:sz w:val="20"/>
              </w:rPr>
              <w:t>6.74</w:t>
            </w:r>
          </w:p>
        </w:tc>
      </w:tr>
      <w:tr>
        <w:trPr>
          <w:trHeight w:val="346" w:hRule="exact"/>
        </w:trPr>
        <w:tc>
          <w:tcPr>
            <w:tcW w:w="44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2"/>
              <w:jc w:val="center"/>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0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4"/>
              <w:jc w:val="right"/>
              <w:rPr>
                <w:rFonts w:ascii="Times New Roman" w:hAnsi="Times New Roman" w:cs="Times New Roman" w:eastAsia="Times New Roman" w:hint="default"/>
                <w:sz w:val="20"/>
                <w:szCs w:val="20"/>
              </w:rPr>
            </w:pPr>
            <w:r>
              <w:rPr>
                <w:rFonts w:ascii="Times New Roman"/>
                <w:b/>
                <w:spacing w:val="-1"/>
                <w:sz w:val="20"/>
              </w:rPr>
              <w:t>60,777,976.20</w:t>
            </w:r>
            <w:r>
              <w:rPr>
                <w:rFonts w:ascii="Times New Roman"/>
                <w:spacing w:val="-1"/>
                <w:sz w:val="20"/>
              </w:rPr>
            </w:r>
          </w:p>
        </w:tc>
        <w:tc>
          <w:tcPr>
            <w:tcW w:w="3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right"/>
              <w:rPr>
                <w:rFonts w:ascii="Times New Roman" w:hAnsi="Times New Roman" w:cs="Times New Roman" w:eastAsia="Times New Roman" w:hint="default"/>
                <w:sz w:val="20"/>
                <w:szCs w:val="20"/>
              </w:rPr>
            </w:pPr>
            <w:r>
              <w:rPr>
                <w:rFonts w:ascii="Times New Roman"/>
                <w:b/>
                <w:spacing w:val="-1"/>
                <w:sz w:val="20"/>
              </w:rPr>
              <w:t>63.02</w:t>
            </w:r>
            <w:r>
              <w:rPr>
                <w:rFonts w:ascii="Times New Roman"/>
                <w:spacing w:val="-1"/>
                <w:sz w:val="20"/>
              </w:rPr>
            </w:r>
          </w:p>
        </w:tc>
      </w:tr>
    </w:tbl>
    <w:p>
      <w:pPr>
        <w:spacing w:after="0" w:line="240" w:lineRule="auto"/>
        <w:jc w:val="right"/>
        <w:rPr>
          <w:rFonts w:ascii="Times New Roman" w:hAnsi="Times New Roman" w:cs="Times New Roman" w:eastAsia="Times New Roman" w:hint="default"/>
          <w:sz w:val="20"/>
          <w:szCs w:val="20"/>
        </w:rPr>
        <w:sectPr>
          <w:pgSz w:w="11910" w:h="16840"/>
          <w:pgMar w:header="746" w:footer="974" w:top="1060" w:bottom="1160" w:left="980" w:right="0"/>
        </w:sectPr>
      </w:pPr>
    </w:p>
    <w:p>
      <w:pPr>
        <w:spacing w:line="240" w:lineRule="auto" w:before="12"/>
        <w:rPr>
          <w:rFonts w:ascii="宋体" w:hAnsi="宋体" w:cs="宋体" w:eastAsia="宋体" w:hint="default"/>
          <w:sz w:val="24"/>
          <w:szCs w:val="24"/>
        </w:rPr>
      </w:pPr>
    </w:p>
    <w:p>
      <w:pPr>
        <w:pStyle w:val="Heading4"/>
        <w:spacing w:line="240" w:lineRule="auto" w:before="36"/>
        <w:ind w:right="855"/>
        <w:jc w:val="left"/>
        <w:rPr>
          <w:b w:val="0"/>
          <w:bCs w:val="0"/>
        </w:rPr>
      </w:pPr>
      <w:r>
        <w:rPr>
          <w:rFonts w:ascii="Times New Roman" w:hAnsi="Times New Roman" w:cs="Times New Roman" w:eastAsia="Times New Roman" w:hint="default"/>
        </w:rPr>
        <w:t>6</w:t>
      </w:r>
      <w:r>
        <w:rPr/>
        <w:t>、其他应收款</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6"/>
        <w:ind w:left="0" w:right="1121"/>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3"/>
      </w:tblGrid>
      <w:tr>
        <w:trPr>
          <w:trHeight w:val="40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47,992,228.43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45,022,112.94</w:t>
            </w:r>
          </w:p>
        </w:tc>
      </w:tr>
      <w:tr>
        <w:trPr>
          <w:trHeight w:val="398"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47,992,228.43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45,022,112.94</w:t>
            </w:r>
          </w:p>
        </w:tc>
      </w:tr>
    </w:tbl>
    <w:p>
      <w:pPr>
        <w:spacing w:line="240" w:lineRule="auto" w:before="3"/>
        <w:rPr>
          <w:rFonts w:ascii="宋体" w:hAnsi="宋体" w:cs="宋体" w:eastAsia="宋体" w:hint="default"/>
          <w:sz w:val="19"/>
          <w:szCs w:val="19"/>
        </w:rPr>
      </w:pPr>
    </w:p>
    <w:p>
      <w:pPr>
        <w:pStyle w:val="Heading4"/>
        <w:spacing w:line="240" w:lineRule="auto" w:before="36"/>
        <w:ind w:right="855"/>
        <w:jc w:val="left"/>
        <w:rPr>
          <w:b w:val="0"/>
          <w:bCs w:val="0"/>
        </w:rPr>
      </w:pPr>
      <w:r>
        <w:rPr/>
        <w:t>（</w:t>
      </w:r>
      <w:r>
        <w:rPr>
          <w:rFonts w:ascii="Times New Roman" w:hAnsi="Times New Roman" w:cs="Times New Roman" w:eastAsia="Times New Roman" w:hint="default"/>
        </w:rPr>
        <w:t>1</w:t>
      </w:r>
      <w:r>
        <w:rPr/>
        <w:t>）其他应收款</w:t>
      </w:r>
      <w:r>
        <w:rPr>
          <w:b w:val="0"/>
          <w:bCs w:val="0"/>
        </w:rPr>
      </w:r>
    </w:p>
    <w:p>
      <w:pPr>
        <w:spacing w:line="240" w:lineRule="auto" w:before="10"/>
        <w:rPr>
          <w:rFonts w:ascii="宋体" w:hAnsi="宋体" w:cs="宋体" w:eastAsia="宋体" w:hint="default"/>
          <w:b/>
          <w:bCs/>
          <w:sz w:val="24"/>
          <w:szCs w:val="24"/>
        </w:rPr>
      </w:pPr>
    </w:p>
    <w:p>
      <w:pPr>
        <w:spacing w:before="0"/>
        <w:ind w:left="153" w:right="85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）其他应收款按款项性质分类情况</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pStyle w:val="BodyText"/>
        <w:spacing w:line="240" w:lineRule="auto" w:before="46"/>
        <w:ind w:left="0" w:right="1121"/>
        <w:jc w:val="right"/>
      </w:pPr>
      <w:r>
        <w:rPr/>
        <w:t>单位：</w:t>
      </w:r>
      <w:r>
        <w:rPr>
          <w:spacing w:val="5"/>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3"/>
      </w:tblGrid>
      <w:tr>
        <w:trPr>
          <w:trHeight w:val="40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398"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单项计提坏账准备的其他应收款</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按组合计提坏账准备的其他应收款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47,992,228.43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45,022,112.94</w:t>
            </w:r>
          </w:p>
        </w:tc>
      </w:tr>
      <w:tr>
        <w:trPr>
          <w:trHeight w:val="715"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3"/>
              <w:ind w:left="24" w:right="90"/>
              <w:jc w:val="left"/>
              <w:rPr>
                <w:rFonts w:ascii="宋体" w:hAnsi="宋体" w:cs="宋体" w:eastAsia="宋体" w:hint="default"/>
                <w:sz w:val="18"/>
                <w:szCs w:val="18"/>
              </w:rPr>
            </w:pPr>
            <w:r>
              <w:rPr>
                <w:rFonts w:ascii="宋体" w:hAnsi="宋体" w:cs="宋体" w:eastAsia="宋体" w:hint="default"/>
                <w:spacing w:val="-3"/>
                <w:sz w:val="18"/>
                <w:szCs w:val="18"/>
              </w:rPr>
              <w:t>其中：按预期信用风险组合计提坏账准</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备的其他应收款</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47,992,228.43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45,022,112.94</w:t>
            </w:r>
          </w:p>
        </w:tc>
      </w:tr>
    </w:tbl>
    <w:p>
      <w:pPr>
        <w:spacing w:line="240" w:lineRule="auto" w:before="3"/>
        <w:rPr>
          <w:rFonts w:ascii="宋体" w:hAnsi="宋体" w:cs="宋体" w:eastAsia="宋体" w:hint="default"/>
          <w:sz w:val="19"/>
          <w:szCs w:val="19"/>
        </w:rPr>
      </w:pPr>
    </w:p>
    <w:p>
      <w:pPr>
        <w:pStyle w:val="Heading4"/>
        <w:spacing w:line="240" w:lineRule="auto" w:before="36"/>
        <w:ind w:right="855"/>
        <w:jc w:val="left"/>
        <w:rPr>
          <w:b w:val="0"/>
          <w:bCs w:val="0"/>
        </w:rPr>
      </w:pPr>
      <w:r>
        <w:rPr>
          <w:rFonts w:ascii="Times New Roman" w:hAnsi="Times New Roman" w:cs="Times New Roman" w:eastAsia="Times New Roman" w:hint="default"/>
        </w:rPr>
        <w:t>2</w:t>
      </w:r>
      <w:r>
        <w:rPr/>
        <w:t>）坏账准备计提情况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6"/>
        <w:ind w:left="0" w:right="1121"/>
        <w:jc w:val="right"/>
      </w:pPr>
      <w:r>
        <w:rPr/>
        <w:t>单位：</w:t>
      </w:r>
      <w:r>
        <w:rPr>
          <w:spacing w:val="5"/>
        </w:rPr>
        <w:t> </w:t>
      </w:r>
      <w:r>
        <w:rPr/>
        <w:t>元</w:t>
      </w:r>
    </w:p>
    <w:p>
      <w:pPr>
        <w:spacing w:line="240" w:lineRule="auto" w:before="0"/>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71"/>
        <w:gridCol w:w="1297"/>
        <w:gridCol w:w="2098"/>
        <w:gridCol w:w="2103"/>
        <w:gridCol w:w="1801"/>
      </w:tblGrid>
      <w:tr>
        <w:trPr>
          <w:trHeight w:val="403" w:hRule="exact"/>
        </w:trPr>
        <w:tc>
          <w:tcPr>
            <w:tcW w:w="22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第一阶段</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86" w:right="0"/>
              <w:jc w:val="left"/>
              <w:rPr>
                <w:rFonts w:ascii="宋体" w:hAnsi="宋体" w:cs="宋体" w:eastAsia="宋体" w:hint="default"/>
                <w:sz w:val="18"/>
                <w:szCs w:val="18"/>
              </w:rPr>
            </w:pPr>
            <w:r>
              <w:rPr>
                <w:rFonts w:ascii="宋体" w:hAnsi="宋体" w:cs="宋体" w:eastAsia="宋体" w:hint="default"/>
                <w:sz w:val="18"/>
                <w:szCs w:val="18"/>
              </w:rPr>
              <w:t>第二阶段</w:t>
            </w:r>
          </w:p>
        </w:tc>
        <w:tc>
          <w:tcPr>
            <w:tcW w:w="2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第三阶段</w:t>
            </w:r>
          </w:p>
        </w:tc>
        <w:tc>
          <w:tcPr>
            <w:tcW w:w="18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15" w:hRule="exact"/>
        </w:trPr>
        <w:tc>
          <w:tcPr>
            <w:tcW w:w="2271" w:type="dxa"/>
            <w:vMerge/>
            <w:tcBorders>
              <w:left w:val="single" w:sz="4" w:space="0" w:color="000000"/>
              <w:bottom w:val="single" w:sz="4" w:space="0" w:color="000000"/>
              <w:right w:val="single" w:sz="4" w:space="0" w:color="000000"/>
            </w:tcBorders>
            <w:shd w:val="clear" w:color="auto" w:fill="D2D2D2"/>
          </w:tcPr>
          <w:p>
            <w:pPr/>
          </w:p>
        </w:tc>
        <w:tc>
          <w:tcPr>
            <w:tcW w:w="1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5" w:lineRule="auto" w:before="53"/>
              <w:ind w:left="196" w:right="50" w:hanging="140"/>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个月预</w:t>
            </w:r>
            <w:r>
              <w:rPr>
                <w:rFonts w:ascii="宋体" w:hAnsi="宋体" w:cs="宋体" w:eastAsia="宋体" w:hint="default"/>
                <w:w w:val="101"/>
                <w:sz w:val="18"/>
                <w:szCs w:val="18"/>
              </w:rPr>
              <w:t> </w:t>
            </w:r>
            <w:r>
              <w:rPr>
                <w:rFonts w:ascii="宋体" w:hAnsi="宋体" w:cs="宋体" w:eastAsia="宋体" w:hint="default"/>
                <w:sz w:val="18"/>
                <w:szCs w:val="18"/>
              </w:rPr>
              <w:t>期信用损失</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pacing w:val="-3"/>
                <w:sz w:val="18"/>
                <w:szCs w:val="18"/>
              </w:rPr>
              <w:t>整个存续期预期信用损失</w:t>
            </w:r>
          </w:p>
          <w:p>
            <w:pPr>
              <w:pStyle w:val="TableParagraph"/>
              <w:spacing w:line="240" w:lineRule="auto" w:before="71"/>
              <w:ind w:left="3"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未发生信用减值</w:t>
            </w:r>
            <w:r>
              <w:rPr>
                <w:rFonts w:ascii="Times New Roman" w:hAnsi="Times New Roman" w:cs="Times New Roman" w:eastAsia="Times New Roman" w:hint="default"/>
                <w:spacing w:val="-3"/>
                <w:sz w:val="18"/>
                <w:szCs w:val="18"/>
              </w:rPr>
              <w:t>)</w:t>
            </w:r>
          </w:p>
        </w:tc>
        <w:tc>
          <w:tcPr>
            <w:tcW w:w="2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pacing w:val="-3"/>
                <w:sz w:val="18"/>
                <w:szCs w:val="18"/>
              </w:rPr>
              <w:t>整个存续期预期信用损失</w:t>
            </w:r>
          </w:p>
          <w:p>
            <w:pPr>
              <w:pStyle w:val="TableParagraph"/>
              <w:spacing w:line="240" w:lineRule="auto" w:before="7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已发生信用减值</w:t>
            </w:r>
            <w:r>
              <w:rPr>
                <w:rFonts w:ascii="Times New Roman" w:hAnsi="Times New Roman" w:cs="Times New Roman" w:eastAsia="Times New Roman" w:hint="default"/>
                <w:spacing w:val="-3"/>
                <w:sz w:val="18"/>
                <w:szCs w:val="18"/>
              </w:rPr>
              <w:t>)</w:t>
            </w:r>
          </w:p>
        </w:tc>
        <w:tc>
          <w:tcPr>
            <w:tcW w:w="1801"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2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日余额</w:t>
            </w:r>
          </w:p>
        </w:tc>
        <w:tc>
          <w:tcPr>
            <w:tcW w:w="1297" w:type="dxa"/>
            <w:tcBorders>
              <w:top w:val="single" w:sz="4" w:space="0" w:color="000000"/>
              <w:left w:val="single" w:sz="4" w:space="0" w:color="000000"/>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5,994,550.39</w:t>
            </w:r>
          </w:p>
        </w:tc>
        <w:tc>
          <w:tcPr>
            <w:tcW w:w="2103" w:type="dxa"/>
            <w:tcBorders>
              <w:top w:val="single" w:sz="4" w:space="0" w:color="000000"/>
              <w:left w:val="single" w:sz="4" w:space="0" w:color="000000"/>
              <w:bottom w:val="single" w:sz="4" w:space="0" w:color="000000"/>
              <w:right w:val="single" w:sz="4" w:space="0" w:color="000000"/>
            </w:tcBorders>
          </w:tcPr>
          <w:p>
            <w:pP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5,994,550.39</w:t>
            </w:r>
          </w:p>
        </w:tc>
      </w:tr>
      <w:tr>
        <w:trPr>
          <w:trHeight w:val="401" w:hRule="exact"/>
        </w:trPr>
        <w:tc>
          <w:tcPr>
            <w:tcW w:w="22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日余额在本期</w:t>
            </w:r>
          </w:p>
        </w:tc>
        <w:tc>
          <w:tcPr>
            <w:tcW w:w="1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9"/>
              <w:ind w:left="9"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9"/>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9"/>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9"/>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3" w:hRule="exact"/>
        </w:trPr>
        <w:tc>
          <w:tcPr>
            <w:tcW w:w="22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297" w:type="dxa"/>
            <w:tcBorders>
              <w:top w:val="single" w:sz="4" w:space="0" w:color="000000"/>
              <w:left w:val="single" w:sz="4" w:space="0" w:color="000000"/>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1,762,066.12</w:t>
            </w:r>
          </w:p>
        </w:tc>
        <w:tc>
          <w:tcPr>
            <w:tcW w:w="2103" w:type="dxa"/>
            <w:tcBorders>
              <w:top w:val="single" w:sz="4" w:space="0" w:color="000000"/>
              <w:left w:val="single" w:sz="4" w:space="0" w:color="000000"/>
              <w:bottom w:val="single" w:sz="4" w:space="0" w:color="000000"/>
              <w:right w:val="single" w:sz="4" w:space="0" w:color="000000"/>
            </w:tcBorders>
          </w:tcPr>
          <w:p>
            <w:pP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1,762,066.12</w:t>
            </w:r>
          </w:p>
        </w:tc>
      </w:tr>
      <w:tr>
        <w:trPr>
          <w:trHeight w:val="403" w:hRule="exact"/>
        </w:trPr>
        <w:tc>
          <w:tcPr>
            <w:tcW w:w="22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本期转回</w:t>
            </w:r>
          </w:p>
        </w:tc>
        <w:tc>
          <w:tcPr>
            <w:tcW w:w="1297" w:type="dxa"/>
            <w:tcBorders>
              <w:top w:val="single" w:sz="4" w:space="0" w:color="000000"/>
              <w:left w:val="single" w:sz="4" w:space="0" w:color="000000"/>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288,191.62</w:t>
            </w:r>
          </w:p>
        </w:tc>
        <w:tc>
          <w:tcPr>
            <w:tcW w:w="2103" w:type="dxa"/>
            <w:tcBorders>
              <w:top w:val="single" w:sz="4" w:space="0" w:color="000000"/>
              <w:left w:val="single" w:sz="4" w:space="0" w:color="000000"/>
              <w:bottom w:val="single" w:sz="4" w:space="0" w:color="000000"/>
              <w:right w:val="single" w:sz="4" w:space="0" w:color="000000"/>
            </w:tcBorders>
          </w:tcPr>
          <w:p>
            <w:pP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288,191.62</w:t>
            </w:r>
          </w:p>
        </w:tc>
      </w:tr>
      <w:tr>
        <w:trPr>
          <w:trHeight w:val="398" w:hRule="exact"/>
        </w:trPr>
        <w:tc>
          <w:tcPr>
            <w:tcW w:w="22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297" w:type="dxa"/>
            <w:tcBorders>
              <w:top w:val="single" w:sz="4" w:space="0" w:color="000000"/>
              <w:left w:val="single" w:sz="4" w:space="0" w:color="000000"/>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68,633.74</w:t>
            </w:r>
          </w:p>
        </w:tc>
        <w:tc>
          <w:tcPr>
            <w:tcW w:w="2103" w:type="dxa"/>
            <w:tcBorders>
              <w:top w:val="single" w:sz="4" w:space="0" w:color="000000"/>
              <w:left w:val="single" w:sz="4" w:space="0" w:color="000000"/>
              <w:bottom w:val="single" w:sz="4" w:space="0" w:color="000000"/>
              <w:right w:val="single" w:sz="4" w:space="0" w:color="000000"/>
            </w:tcBorders>
          </w:tcPr>
          <w:p>
            <w:pP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68,633.74</w:t>
            </w:r>
          </w:p>
        </w:tc>
      </w:tr>
      <w:tr>
        <w:trPr>
          <w:trHeight w:val="404" w:hRule="exact"/>
        </w:trPr>
        <w:tc>
          <w:tcPr>
            <w:tcW w:w="22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日余额</w:t>
            </w:r>
          </w:p>
        </w:tc>
        <w:tc>
          <w:tcPr>
            <w:tcW w:w="1297" w:type="dxa"/>
            <w:tcBorders>
              <w:top w:val="single" w:sz="4" w:space="0" w:color="000000"/>
              <w:left w:val="single" w:sz="4" w:space="0" w:color="000000"/>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pacing w:val="-1"/>
                <w:sz w:val="18"/>
              </w:rPr>
              <w:t>7,537,058.63</w:t>
            </w:r>
          </w:p>
        </w:tc>
        <w:tc>
          <w:tcPr>
            <w:tcW w:w="2103" w:type="dxa"/>
            <w:tcBorders>
              <w:top w:val="single" w:sz="4" w:space="0" w:color="000000"/>
              <w:left w:val="single" w:sz="4" w:space="0" w:color="000000"/>
              <w:bottom w:val="single" w:sz="4" w:space="0" w:color="000000"/>
              <w:right w:val="single" w:sz="4" w:space="0" w:color="000000"/>
            </w:tcBorders>
          </w:tcPr>
          <w:p>
            <w:pP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2"/>
              <w:jc w:val="right"/>
              <w:rPr>
                <w:rFonts w:ascii="Times New Roman" w:hAnsi="Times New Roman" w:cs="Times New Roman" w:eastAsia="Times New Roman" w:hint="default"/>
                <w:sz w:val="18"/>
                <w:szCs w:val="18"/>
              </w:rPr>
            </w:pPr>
            <w:r>
              <w:rPr>
                <w:rFonts w:ascii="Times New Roman"/>
                <w:spacing w:val="-1"/>
                <w:sz w:val="18"/>
              </w:rPr>
              <w:t>7,537,058.63</w:t>
            </w:r>
          </w:p>
        </w:tc>
      </w:tr>
    </w:tbl>
    <w:p>
      <w:pPr>
        <w:spacing w:after="0" w:line="240" w:lineRule="auto"/>
        <w:jc w:val="right"/>
        <w:rPr>
          <w:rFonts w:ascii="Times New Roman" w:hAnsi="Times New Roman" w:cs="Times New Roman" w:eastAsia="Times New Roman" w:hint="default"/>
          <w:sz w:val="18"/>
          <w:szCs w:val="18"/>
        </w:rPr>
        <w:sectPr>
          <w:pgSz w:w="11910" w:h="16840"/>
          <w:pgMar w:header="746" w:footer="974" w:top="1060" w:bottom="1160" w:left="980" w:right="0"/>
        </w:sectPr>
      </w:pPr>
    </w:p>
    <w:p>
      <w:pPr>
        <w:pStyle w:val="BodyText"/>
        <w:spacing w:line="240" w:lineRule="auto" w:before="53"/>
        <w:ind w:right="0"/>
        <w:jc w:val="left"/>
      </w:pPr>
      <w:r>
        <w:rPr>
          <w:spacing w:val="-3"/>
        </w:rPr>
        <w:t>损失准备本期变动金额重大的账面余额变动情况</w:t>
      </w:r>
    </w:p>
    <w:p>
      <w:pPr>
        <w:pStyle w:val="BodyText"/>
        <w:spacing w:line="338" w:lineRule="auto" w:before="115"/>
        <w:ind w:right="1612"/>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2"/>
        </w:rPr>
        <w:t> </w:t>
      </w:r>
      <w:r>
        <w:rPr/>
        <w:t>不适用</w:t>
      </w:r>
      <w:r>
        <w:rPr>
          <w:w w:val="101"/>
        </w:rPr>
        <w:t> </w:t>
      </w:r>
      <w:r>
        <w:rPr/>
        <w:t>按账龄披露</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2"/>
          <w:szCs w:val="12"/>
        </w:rPr>
      </w:pPr>
    </w:p>
    <w:p>
      <w:pPr>
        <w:pStyle w:val="BodyText"/>
        <w:spacing w:line="240" w:lineRule="auto"/>
        <w:ind w:right="0"/>
        <w:jc w:val="left"/>
      </w:pPr>
      <w:r>
        <w:rPr/>
        <w:t>单位：</w:t>
      </w:r>
      <w:r>
        <w:rPr>
          <w:spacing w:val="5"/>
        </w:rPr>
        <w:t> </w:t>
      </w:r>
      <w:r>
        <w:rPr/>
        <w:t>元</w:t>
      </w:r>
    </w:p>
    <w:p>
      <w:pPr>
        <w:spacing w:after="0" w:line="240" w:lineRule="auto"/>
        <w:jc w:val="left"/>
        <w:sectPr>
          <w:type w:val="continuous"/>
          <w:pgSz w:w="11910" w:h="16840"/>
          <w:pgMar w:top="1060" w:bottom="1160" w:left="980" w:right="0"/>
          <w:cols w:num="2" w:equalWidth="0">
            <w:col w:w="3937" w:space="4894"/>
            <w:col w:w="2099"/>
          </w:cols>
        </w:sectPr>
      </w:pPr>
    </w:p>
    <w:p>
      <w:pPr>
        <w:spacing w:line="240" w:lineRule="auto" w:before="0"/>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8"/>
        <w:gridCol w:w="4783"/>
      </w:tblGrid>
      <w:tr>
        <w:trPr>
          <w:trHeight w:val="398"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6"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年）</w:t>
            </w:r>
            <w:r>
              <w:rPr>
                <w:rFonts w:ascii="宋体" w:hAnsi="宋体" w:cs="宋体" w:eastAsia="宋体" w:hint="default"/>
                <w:sz w:val="18"/>
                <w:szCs w:val="18"/>
              </w:rPr>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2"/>
                <w:sz w:val="18"/>
              </w:rPr>
              <w:t>34,857,689.11</w:t>
            </w:r>
          </w:p>
        </w:tc>
      </w:tr>
      <w:tr>
        <w:trPr>
          <w:trHeight w:val="401"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2"/>
              <w:jc w:val="right"/>
              <w:rPr>
                <w:rFonts w:ascii="Times New Roman" w:hAnsi="Times New Roman" w:cs="Times New Roman" w:eastAsia="Times New Roman" w:hint="default"/>
                <w:sz w:val="18"/>
                <w:szCs w:val="18"/>
              </w:rPr>
            </w:pPr>
            <w:r>
              <w:rPr>
                <w:rFonts w:ascii="Times New Roman"/>
                <w:spacing w:val="-1"/>
                <w:sz w:val="18"/>
              </w:rPr>
              <w:t>6,522,233.44</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4788"/>
        <w:gridCol w:w="4783"/>
      </w:tblGrid>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5,055,882.41</w:t>
            </w:r>
          </w:p>
        </w:tc>
      </w:tr>
      <w:tr>
        <w:trPr>
          <w:trHeight w:val="401"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年以上</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1,556,423.47</w:t>
            </w:r>
          </w:p>
        </w:tc>
      </w:tr>
      <w:tr>
        <w:trPr>
          <w:trHeight w:val="401"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年</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2"/>
              <w:jc w:val="right"/>
              <w:rPr>
                <w:rFonts w:ascii="Times New Roman" w:hAnsi="Times New Roman" w:cs="Times New Roman" w:eastAsia="Times New Roman" w:hint="default"/>
                <w:sz w:val="18"/>
                <w:szCs w:val="18"/>
              </w:rPr>
            </w:pPr>
            <w:r>
              <w:rPr>
                <w:rFonts w:ascii="Times New Roman"/>
                <w:spacing w:val="-1"/>
                <w:sz w:val="18"/>
              </w:rPr>
              <w:t>910,499.94</w:t>
            </w:r>
          </w:p>
        </w:tc>
      </w:tr>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年</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645,923.53</w:t>
            </w:r>
          </w:p>
        </w:tc>
      </w:tr>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47,992,228.43</w:t>
            </w:r>
          </w:p>
        </w:tc>
      </w:tr>
    </w:tbl>
    <w:p>
      <w:pPr>
        <w:spacing w:line="240" w:lineRule="auto" w:before="3"/>
        <w:rPr>
          <w:rFonts w:ascii="宋体" w:hAnsi="宋体" w:cs="宋体" w:eastAsia="宋体" w:hint="default"/>
          <w:sz w:val="19"/>
          <w:szCs w:val="19"/>
        </w:rPr>
      </w:pPr>
    </w:p>
    <w:p>
      <w:pPr>
        <w:pStyle w:val="Heading4"/>
        <w:spacing w:line="240" w:lineRule="auto" w:before="36"/>
        <w:ind w:right="855"/>
        <w:jc w:val="left"/>
        <w:rPr>
          <w:b w:val="0"/>
          <w:bCs w:val="0"/>
        </w:rPr>
      </w:pPr>
      <w:r>
        <w:rPr>
          <w:rFonts w:ascii="Times New Roman" w:hAnsi="Times New Roman" w:cs="Times New Roman" w:eastAsia="Times New Roman" w:hint="default"/>
        </w:rPr>
        <w:t>3</w:t>
      </w:r>
      <w:r>
        <w:rPr/>
        <w:t>）本期计提、收回或转回的坏账准备情况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6"/>
        <w:ind w:right="855"/>
        <w:jc w:val="left"/>
      </w:pPr>
      <w:r>
        <w:rPr>
          <w:spacing w:val="-3"/>
        </w:rPr>
        <w:t>本期计提坏账准备情况：</w:t>
      </w:r>
    </w:p>
    <w:p>
      <w:pPr>
        <w:pStyle w:val="BodyText"/>
        <w:spacing w:line="240" w:lineRule="auto" w:before="115"/>
        <w:ind w:left="0" w:right="1121"/>
        <w:jc w:val="right"/>
      </w:pPr>
      <w:r>
        <w:rPr/>
        <w:t>单位：</w:t>
      </w:r>
      <w:r>
        <w:rPr>
          <w:spacing w:val="5"/>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17"/>
        <w:gridCol w:w="1100"/>
        <w:gridCol w:w="1191"/>
        <w:gridCol w:w="1306"/>
        <w:gridCol w:w="1090"/>
        <w:gridCol w:w="1739"/>
        <w:gridCol w:w="1729"/>
      </w:tblGrid>
      <w:tr>
        <w:trPr>
          <w:trHeight w:val="403" w:hRule="exact"/>
        </w:trPr>
        <w:tc>
          <w:tcPr>
            <w:tcW w:w="14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1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32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72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9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99" w:hRule="exact"/>
        </w:trPr>
        <w:tc>
          <w:tcPr>
            <w:tcW w:w="1417" w:type="dxa"/>
            <w:vMerge/>
            <w:tcBorders>
              <w:left w:val="single" w:sz="4" w:space="0" w:color="000000"/>
              <w:bottom w:val="single" w:sz="4" w:space="0" w:color="000000"/>
              <w:right w:val="single" w:sz="4" w:space="0" w:color="000000"/>
            </w:tcBorders>
            <w:shd w:val="clear" w:color="auto" w:fill="D2D2D2"/>
          </w:tcPr>
          <w:p>
            <w:pPr/>
          </w:p>
        </w:tc>
        <w:tc>
          <w:tcPr>
            <w:tcW w:w="1100" w:type="dxa"/>
            <w:vMerge/>
            <w:tcBorders>
              <w:left w:val="single" w:sz="4" w:space="0" w:color="000000"/>
              <w:bottom w:val="single" w:sz="4" w:space="0" w:color="000000"/>
              <w:right w:val="single" w:sz="4" w:space="0" w:color="000000"/>
            </w:tcBorders>
            <w:shd w:val="clear" w:color="auto" w:fill="D2D2D2"/>
          </w:tcPr>
          <w:p>
            <w:pPr/>
          </w:p>
        </w:tc>
        <w:tc>
          <w:tcPr>
            <w:tcW w:w="1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6"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0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60" w:right="0"/>
              <w:jc w:val="left"/>
              <w:rPr>
                <w:rFonts w:ascii="宋体" w:hAnsi="宋体" w:cs="宋体" w:eastAsia="宋体" w:hint="default"/>
                <w:sz w:val="18"/>
                <w:szCs w:val="18"/>
              </w:rPr>
            </w:pPr>
            <w:r>
              <w:rPr>
                <w:rFonts w:ascii="宋体" w:hAnsi="宋体" w:cs="宋体" w:eastAsia="宋体" w:hint="default"/>
                <w:sz w:val="18"/>
                <w:szCs w:val="18"/>
              </w:rPr>
              <w:t>核销</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729"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18"/>
              <w:jc w:val="left"/>
              <w:rPr>
                <w:rFonts w:ascii="宋体" w:hAnsi="宋体" w:cs="宋体" w:eastAsia="宋体" w:hint="default"/>
                <w:sz w:val="18"/>
                <w:szCs w:val="18"/>
              </w:rPr>
            </w:pPr>
            <w:r>
              <w:rPr>
                <w:rFonts w:ascii="宋体" w:hAnsi="宋体" w:cs="宋体" w:eastAsia="宋体" w:hint="default"/>
                <w:spacing w:val="-3"/>
                <w:sz w:val="18"/>
                <w:szCs w:val="18"/>
              </w:rPr>
              <w:t>其他应收款坏账</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准备</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00" w:right="0"/>
              <w:jc w:val="center"/>
              <w:rPr>
                <w:rFonts w:ascii="Times New Roman" w:hAnsi="Times New Roman" w:cs="Times New Roman" w:eastAsia="Times New Roman" w:hint="default"/>
                <w:sz w:val="18"/>
                <w:szCs w:val="18"/>
              </w:rPr>
            </w:pPr>
            <w:r>
              <w:rPr>
                <w:rFonts w:ascii="Times New Roman"/>
                <w:sz w:val="18"/>
              </w:rPr>
              <w:t>5,994,550.39</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1,762,066.12</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288,191.62</w:t>
            </w:r>
          </w:p>
        </w:tc>
        <w:tc>
          <w:tcPr>
            <w:tcW w:w="1090" w:type="dxa"/>
            <w:tcBorders>
              <w:top w:val="single" w:sz="4" w:space="0" w:color="000000"/>
              <w:left w:val="single" w:sz="4" w:space="0" w:color="000000"/>
              <w:bottom w:val="single" w:sz="4" w:space="0" w:color="000000"/>
              <w:right w:val="single" w:sz="4" w:space="0" w:color="000000"/>
            </w:tcBorders>
          </w:tcPr>
          <w:p>
            <w:pP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68,633.74</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7,537,058.63</w:t>
            </w:r>
          </w:p>
        </w:tc>
      </w:tr>
      <w:tr>
        <w:trPr>
          <w:trHeight w:val="403" w:hRule="exact"/>
        </w:trPr>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0" w:right="0"/>
              <w:jc w:val="center"/>
              <w:rPr>
                <w:rFonts w:ascii="Times New Roman" w:hAnsi="Times New Roman" w:cs="Times New Roman" w:eastAsia="Times New Roman" w:hint="default"/>
                <w:sz w:val="18"/>
                <w:szCs w:val="18"/>
              </w:rPr>
            </w:pPr>
            <w:r>
              <w:rPr>
                <w:rFonts w:ascii="Times New Roman"/>
                <w:sz w:val="18"/>
              </w:rPr>
              <w:t>5,994,550.39</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1,762,066.12</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288,191.62</w:t>
            </w:r>
          </w:p>
        </w:tc>
        <w:tc>
          <w:tcPr>
            <w:tcW w:w="1090" w:type="dxa"/>
            <w:tcBorders>
              <w:top w:val="single" w:sz="4" w:space="0" w:color="000000"/>
              <w:left w:val="single" w:sz="4" w:space="0" w:color="000000"/>
              <w:bottom w:val="single" w:sz="4" w:space="0" w:color="000000"/>
              <w:right w:val="single" w:sz="4" w:space="0" w:color="000000"/>
            </w:tcBorders>
          </w:tcPr>
          <w:p>
            <w:pP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68,633.74</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7,537,058.63</w:t>
            </w:r>
          </w:p>
        </w:tc>
      </w:tr>
    </w:tbl>
    <w:p>
      <w:pPr>
        <w:spacing w:line="240" w:lineRule="auto" w:before="3"/>
        <w:rPr>
          <w:rFonts w:ascii="宋体" w:hAnsi="宋体" w:cs="宋体" w:eastAsia="宋体" w:hint="default"/>
          <w:sz w:val="19"/>
          <w:szCs w:val="19"/>
        </w:rPr>
      </w:pPr>
    </w:p>
    <w:p>
      <w:pPr>
        <w:pStyle w:val="Heading4"/>
        <w:spacing w:line="240" w:lineRule="auto" w:before="36"/>
        <w:ind w:right="855"/>
        <w:jc w:val="left"/>
        <w:rPr>
          <w:b w:val="0"/>
          <w:bCs w:val="0"/>
        </w:rPr>
      </w:pPr>
      <w:r>
        <w:rPr>
          <w:rFonts w:ascii="Times New Roman" w:hAnsi="Times New Roman" w:cs="Times New Roman" w:eastAsia="Times New Roman" w:hint="default"/>
        </w:rPr>
        <w:t>4</w:t>
      </w:r>
      <w:r>
        <w:rPr/>
        <w:t>）按欠款方归集的期末余额前五名的其他应收款情况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6"/>
        <w:ind w:left="0" w:right="1121"/>
        <w:jc w:val="right"/>
      </w:pPr>
      <w:r>
        <w:rPr/>
        <w:t>单位：</w:t>
      </w:r>
      <w:r>
        <w:rPr>
          <w:spacing w:val="5"/>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5"/>
        <w:gridCol w:w="1594"/>
        <w:gridCol w:w="1595"/>
        <w:gridCol w:w="1599"/>
        <w:gridCol w:w="1594"/>
      </w:tblGrid>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34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6"/>
              <w:ind w:left="71" w:right="70"/>
              <w:jc w:val="left"/>
              <w:rPr>
                <w:rFonts w:ascii="宋体" w:hAnsi="宋体" w:cs="宋体" w:eastAsia="宋体" w:hint="default"/>
                <w:sz w:val="18"/>
                <w:szCs w:val="18"/>
              </w:rPr>
            </w:pPr>
            <w:r>
              <w:rPr>
                <w:rFonts w:ascii="宋体" w:hAnsi="宋体" w:cs="宋体" w:eastAsia="宋体" w:hint="default"/>
                <w:spacing w:val="-2"/>
                <w:sz w:val="18"/>
                <w:szCs w:val="18"/>
              </w:rPr>
              <w:t>占其他应收款期末</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余额合计数的比例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71"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4,000,000.00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80,000.00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3,000,000.00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600,000.00</w:t>
            </w:r>
          </w:p>
        </w:tc>
      </w:tr>
      <w:tr>
        <w:trPr>
          <w:trHeight w:val="398"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2,370,237.00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47,404.74</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1,362,699.02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2.45%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27,253.98</w:t>
            </w:r>
          </w:p>
        </w:tc>
      </w:tr>
      <w:tr>
        <w:trPr>
          <w:trHeight w:val="40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1,242,347.40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24,846.95</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11,975,283.42</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21.56%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779,505.67</w:t>
            </w:r>
          </w:p>
        </w:tc>
      </w:tr>
    </w:tbl>
    <w:p>
      <w:pPr>
        <w:spacing w:line="240" w:lineRule="auto" w:before="3"/>
        <w:rPr>
          <w:rFonts w:ascii="宋体" w:hAnsi="宋体" w:cs="宋体" w:eastAsia="宋体" w:hint="default"/>
          <w:sz w:val="19"/>
          <w:szCs w:val="19"/>
        </w:rPr>
      </w:pPr>
    </w:p>
    <w:p>
      <w:pPr>
        <w:pStyle w:val="Heading4"/>
        <w:spacing w:line="240" w:lineRule="auto" w:before="36"/>
        <w:ind w:right="855"/>
        <w:jc w:val="left"/>
        <w:rPr>
          <w:b w:val="0"/>
          <w:bCs w:val="0"/>
        </w:rPr>
      </w:pPr>
      <w:r>
        <w:rPr>
          <w:rFonts w:ascii="Times New Roman" w:hAnsi="Times New Roman" w:cs="Times New Roman" w:eastAsia="Times New Roman" w:hint="default"/>
        </w:rPr>
        <w:t>5</w:t>
      </w:r>
      <w:r>
        <w:rPr/>
        <w:t>）涉及政府补助的应收款项</w:t>
      </w:r>
      <w:r>
        <w:rPr>
          <w:b w:val="0"/>
          <w:bCs w:val="0"/>
        </w:rPr>
      </w:r>
    </w:p>
    <w:p>
      <w:pPr>
        <w:spacing w:line="240" w:lineRule="auto" w:before="5"/>
        <w:rPr>
          <w:rFonts w:ascii="宋体" w:hAnsi="宋体" w:cs="宋体" w:eastAsia="宋体" w:hint="default"/>
          <w:b/>
          <w:bCs/>
          <w:sz w:val="24"/>
          <w:szCs w:val="24"/>
        </w:rPr>
      </w:pPr>
    </w:p>
    <w:p>
      <w:pPr>
        <w:spacing w:before="0"/>
        <w:ind w:left="153" w:right="85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）因金融资产转移而终止确认的其他应收款</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3" w:right="85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）转移其他应收款且继续涉入形成的资产、负债金额</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3" w:right="85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、存货</w:t>
      </w:r>
      <w:r>
        <w:rPr>
          <w:rFonts w:ascii="宋体" w:hAnsi="宋体" w:cs="宋体" w:eastAsia="宋体" w:hint="default"/>
          <w:sz w:val="21"/>
          <w:szCs w:val="21"/>
        </w:rPr>
      </w:r>
    </w:p>
    <w:p>
      <w:pPr>
        <w:spacing w:line="240" w:lineRule="auto" w:before="5"/>
        <w:rPr>
          <w:rFonts w:ascii="宋体" w:hAnsi="宋体" w:cs="宋体" w:eastAsia="宋体" w:hint="default"/>
          <w:b/>
          <w:bCs/>
          <w:sz w:val="26"/>
          <w:szCs w:val="26"/>
        </w:rPr>
      </w:pPr>
    </w:p>
    <w:p>
      <w:pPr>
        <w:pStyle w:val="BodyText"/>
        <w:spacing w:line="240" w:lineRule="auto"/>
        <w:ind w:right="855"/>
        <w:jc w:val="left"/>
      </w:pPr>
      <w:r>
        <w:rPr/>
        <w:t>是否已执行新收入准则</w:t>
      </w:r>
    </w:p>
    <w:p>
      <w:pPr>
        <w:pStyle w:val="BodyText"/>
        <w:spacing w:line="240" w:lineRule="auto" w:before="119"/>
        <w:ind w:right="855"/>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after="0" w:line="240" w:lineRule="auto"/>
        <w:jc w:val="left"/>
        <w:sectPr>
          <w:pgSz w:w="11910" w:h="16840"/>
          <w:pgMar w:header="746" w:footer="974" w:top="1060" w:bottom="1160" w:left="980" w:right="0"/>
        </w:sectPr>
      </w:pPr>
    </w:p>
    <w:p>
      <w:pPr>
        <w:spacing w:line="240" w:lineRule="auto" w:before="7"/>
        <w:rPr>
          <w:rFonts w:ascii="宋体" w:hAnsi="宋体" w:cs="宋体" w:eastAsia="宋体" w:hint="default"/>
          <w:sz w:val="24"/>
          <w:szCs w:val="24"/>
        </w:rPr>
      </w:pPr>
    </w:p>
    <w:p>
      <w:pPr>
        <w:pStyle w:val="Heading4"/>
        <w:spacing w:line="240" w:lineRule="auto" w:before="36"/>
        <w:ind w:right="855"/>
        <w:jc w:val="left"/>
        <w:rPr>
          <w:b w:val="0"/>
          <w:bCs w:val="0"/>
        </w:rPr>
      </w:pPr>
      <w:r>
        <w:rPr/>
        <w:t>（</w:t>
      </w:r>
      <w:r>
        <w:rPr>
          <w:rFonts w:ascii="Times New Roman" w:hAnsi="Times New Roman" w:cs="Times New Roman" w:eastAsia="Times New Roman" w:hint="default"/>
        </w:rPr>
        <w:t>1</w:t>
      </w:r>
      <w:r>
        <w:rPr/>
        <w:t>）存货分类</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1"/>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9"/>
        <w:gridCol w:w="1368"/>
        <w:gridCol w:w="1369"/>
        <w:gridCol w:w="1368"/>
        <w:gridCol w:w="1364"/>
        <w:gridCol w:w="1368"/>
        <w:gridCol w:w="1369"/>
      </w:tblGrid>
      <w:tr>
        <w:trPr>
          <w:trHeight w:val="404" w:hRule="exact"/>
        </w:trPr>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7"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6"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6"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398"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45,935,231.58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4,929,787.51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42,700,792.11</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39,371,270.69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5,010,730.19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34,360,540.50</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1,078,050,397.88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2,983,988.82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1,075,066,409.06</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491,984,568.41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2,874,391.67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489,110,176.74</w:t>
            </w:r>
          </w:p>
        </w:tc>
      </w:tr>
      <w:tr>
        <w:trPr>
          <w:trHeight w:val="404"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188,103,334.34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4,246,680.39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182,161,305.91</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85,009,754.67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4,283,662.76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80,726,091.91</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1,312,088,963.80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12,160,456.72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1,299,928,507.08</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616,365,593.77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12,168,784.62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604,196,809.15</w:t>
            </w:r>
          </w:p>
        </w:tc>
      </w:tr>
    </w:tbl>
    <w:p>
      <w:pPr>
        <w:spacing w:line="240" w:lineRule="auto" w:before="3"/>
        <w:rPr>
          <w:rFonts w:ascii="宋体" w:hAnsi="宋体" w:cs="宋体" w:eastAsia="宋体" w:hint="default"/>
          <w:sz w:val="19"/>
          <w:szCs w:val="19"/>
        </w:rPr>
      </w:pPr>
    </w:p>
    <w:p>
      <w:pPr>
        <w:pStyle w:val="Heading4"/>
        <w:spacing w:line="240" w:lineRule="auto" w:before="36"/>
        <w:ind w:right="855"/>
        <w:jc w:val="left"/>
        <w:rPr>
          <w:b w:val="0"/>
          <w:bCs w:val="0"/>
        </w:rPr>
      </w:pPr>
      <w:r>
        <w:rPr/>
        <w:t>（</w:t>
      </w:r>
      <w:r>
        <w:rPr>
          <w:rFonts w:ascii="Times New Roman" w:hAnsi="Times New Roman" w:cs="Times New Roman" w:eastAsia="Times New Roman" w:hint="default"/>
        </w:rPr>
        <w:t>2</w:t>
      </w:r>
      <w:r>
        <w:rPr/>
        <w:t>）存货跌价准备</w:t>
      </w:r>
      <w:r>
        <w:rPr>
          <w:b w:val="0"/>
          <w:bCs w:val="0"/>
        </w:rPr>
      </w:r>
    </w:p>
    <w:p>
      <w:pPr>
        <w:spacing w:line="240" w:lineRule="auto" w:before="11"/>
        <w:rPr>
          <w:rFonts w:ascii="宋体" w:hAnsi="宋体" w:cs="宋体" w:eastAsia="宋体" w:hint="default"/>
          <w:b/>
          <w:bCs/>
          <w:sz w:val="22"/>
          <w:szCs w:val="22"/>
        </w:rPr>
      </w:pPr>
    </w:p>
    <w:p>
      <w:pPr>
        <w:pStyle w:val="BodyText"/>
        <w:spacing w:line="240" w:lineRule="auto" w:before="46"/>
        <w:ind w:left="0" w:right="1121"/>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9"/>
        <w:gridCol w:w="1368"/>
        <w:gridCol w:w="1369"/>
        <w:gridCol w:w="1368"/>
        <w:gridCol w:w="1364"/>
        <w:gridCol w:w="1368"/>
        <w:gridCol w:w="1369"/>
      </w:tblGrid>
      <w:tr>
        <w:trPr>
          <w:trHeight w:val="403" w:hRule="exact"/>
        </w:trPr>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2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21"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99" w:right="0"/>
              <w:jc w:val="left"/>
              <w:rPr>
                <w:rFonts w:ascii="宋体" w:hAnsi="宋体" w:cs="宋体" w:eastAsia="宋体" w:hint="default"/>
                <w:sz w:val="18"/>
                <w:szCs w:val="18"/>
              </w:rPr>
            </w:pPr>
            <w:r>
              <w:rPr>
                <w:rFonts w:ascii="宋体" w:hAnsi="宋体" w:cs="宋体" w:eastAsia="宋体" w:hint="default"/>
                <w:sz w:val="18"/>
                <w:szCs w:val="18"/>
              </w:rPr>
              <w:t>计提</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0"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9"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5,010,730.19</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80,942.68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4,929,787.51</w:t>
            </w:r>
          </w:p>
        </w:tc>
      </w:tr>
      <w:tr>
        <w:trPr>
          <w:trHeight w:val="399"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2,874,391.67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23" w:right="0"/>
              <w:jc w:val="left"/>
              <w:rPr>
                <w:rFonts w:ascii="Times New Roman" w:hAnsi="Times New Roman" w:cs="Times New Roman" w:eastAsia="Times New Roman" w:hint="default"/>
                <w:sz w:val="18"/>
                <w:szCs w:val="18"/>
              </w:rPr>
            </w:pPr>
            <w:r>
              <w:rPr>
                <w:rFonts w:ascii="Times New Roman"/>
                <w:sz w:val="18"/>
              </w:rPr>
              <w:t>109,597.15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2,983,988.82</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4,283,662.76</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36,982.37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4,246,680.39</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12,168,784.62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23" w:right="0"/>
              <w:jc w:val="left"/>
              <w:rPr>
                <w:rFonts w:ascii="Times New Roman" w:hAnsi="Times New Roman" w:cs="Times New Roman" w:eastAsia="Times New Roman" w:hint="default"/>
                <w:sz w:val="18"/>
                <w:szCs w:val="18"/>
              </w:rPr>
            </w:pPr>
            <w:r>
              <w:rPr>
                <w:rFonts w:ascii="Times New Roman"/>
                <w:sz w:val="18"/>
              </w:rPr>
              <w:t>109,597.15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117,925.05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12,160,456.72</w:t>
            </w:r>
          </w:p>
        </w:tc>
      </w:tr>
    </w:tbl>
    <w:p>
      <w:pPr>
        <w:spacing w:line="240" w:lineRule="auto" w:before="3"/>
        <w:rPr>
          <w:rFonts w:ascii="宋体" w:hAnsi="宋体" w:cs="宋体" w:eastAsia="宋体" w:hint="default"/>
          <w:sz w:val="19"/>
          <w:szCs w:val="19"/>
        </w:rPr>
      </w:pPr>
    </w:p>
    <w:p>
      <w:pPr>
        <w:pStyle w:val="Heading4"/>
        <w:spacing w:line="240" w:lineRule="auto" w:before="36"/>
        <w:ind w:right="855"/>
        <w:jc w:val="left"/>
        <w:rPr>
          <w:b w:val="0"/>
          <w:bCs w:val="0"/>
        </w:rPr>
      </w:pP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855"/>
        <w:jc w:val="left"/>
      </w:pPr>
      <w:r>
        <w:rPr>
          <w:w w:val="101"/>
        </w:rPr>
        <w:t>无</w:t>
      </w:r>
      <w:r>
        <w:rPr/>
      </w:r>
    </w:p>
    <w:p>
      <w:pPr>
        <w:spacing w:line="240" w:lineRule="auto" w:before="0"/>
        <w:rPr>
          <w:rFonts w:ascii="宋体" w:hAnsi="宋体" w:cs="宋体" w:eastAsia="宋体" w:hint="default"/>
          <w:sz w:val="18"/>
          <w:szCs w:val="18"/>
        </w:rPr>
      </w:pPr>
    </w:p>
    <w:p>
      <w:pPr>
        <w:pStyle w:val="Heading4"/>
        <w:spacing w:line="240" w:lineRule="auto" w:before="118"/>
        <w:ind w:right="855"/>
        <w:jc w:val="left"/>
        <w:rPr>
          <w:b w:val="0"/>
          <w:bCs w:val="0"/>
        </w:rPr>
      </w:pPr>
      <w:r>
        <w:rPr>
          <w:rFonts w:ascii="Times New Roman" w:hAnsi="Times New Roman" w:cs="Times New Roman" w:eastAsia="Times New Roman" w:hint="default"/>
        </w:rPr>
        <w:t>8</w:t>
      </w:r>
      <w:r>
        <w:rPr/>
        <w:t>、其他流动资产</w:t>
      </w:r>
      <w:r>
        <w:rPr>
          <w:b w:val="0"/>
          <w:bCs w:val="0"/>
        </w:rPr>
      </w:r>
    </w:p>
    <w:p>
      <w:pPr>
        <w:spacing w:line="240" w:lineRule="auto" w:before="11"/>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6" w:footer="974" w:top="1060" w:bottom="1160" w:left="980" w:right="0"/>
        </w:sectPr>
      </w:pPr>
    </w:p>
    <w:p>
      <w:pPr>
        <w:pStyle w:val="BodyText"/>
        <w:spacing w:line="240" w:lineRule="auto" w:before="46"/>
        <w:ind w:right="0"/>
        <w:jc w:val="left"/>
      </w:pPr>
      <w:r>
        <w:rPr>
          <w:spacing w:val="-2"/>
        </w:rPr>
        <w:t>是否已执行新收入准则</w:t>
      </w:r>
    </w:p>
    <w:p>
      <w:pPr>
        <w:pStyle w:val="BodyText"/>
        <w:spacing w:line="240" w:lineRule="auto" w:before="119"/>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w:t>
      </w:r>
      <w:r>
        <w:rPr>
          <w:spacing w:val="5"/>
        </w:rPr>
        <w:t> </w:t>
      </w:r>
      <w:r>
        <w:rPr/>
        <w:t>元</w:t>
      </w:r>
    </w:p>
    <w:p>
      <w:pPr>
        <w:spacing w:after="0" w:line="240" w:lineRule="auto"/>
        <w:jc w:val="left"/>
        <w:sectPr>
          <w:type w:val="continuous"/>
          <w:pgSz w:w="11910" w:h="16840"/>
          <w:pgMar w:top="1060" w:bottom="1160" w:left="980" w:right="0"/>
          <w:cols w:num="2" w:equalWidth="0">
            <w:col w:w="1959" w:space="6872"/>
            <w:col w:w="2099"/>
          </w:cols>
        </w:sectPr>
      </w:pP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3"/>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待抵扣进项税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13,013,359.90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3,824,511.70</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预缴税金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652,534.77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1,206,403.23</w:t>
            </w:r>
          </w:p>
        </w:tc>
      </w:tr>
      <w:tr>
        <w:trPr>
          <w:trHeight w:val="398"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345,379.10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162,845.52</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14,011,273.77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5,193,760.45</w:t>
            </w:r>
          </w:p>
        </w:tc>
      </w:tr>
    </w:tbl>
    <w:p>
      <w:pPr>
        <w:pStyle w:val="BodyText"/>
        <w:spacing w:line="357" w:lineRule="auto" w:before="53"/>
        <w:ind w:right="2924"/>
        <w:jc w:val="left"/>
      </w:pPr>
      <w:r>
        <w:rPr/>
        <w:t>其他说明：</w:t>
      </w:r>
      <w:r>
        <w:rPr>
          <w:w w:val="101"/>
        </w:rPr>
        <w:t> </w:t>
      </w:r>
      <w:r>
        <w:rPr>
          <w:spacing w:val="-3"/>
        </w:rPr>
        <w:t>说明：本期其他流动负债增加较大的原因是公司子公司星立方未开展教育项目预付的租金较大。</w:t>
      </w:r>
    </w:p>
    <w:p>
      <w:pPr>
        <w:spacing w:after="0" w:line="357" w:lineRule="auto"/>
        <w:jc w:val="left"/>
        <w:sectPr>
          <w:type w:val="continuous"/>
          <w:pgSz w:w="11910" w:h="16840"/>
          <w:pgMar w:top="1060" w:bottom="1160" w:left="980" w:right="0"/>
        </w:sectPr>
      </w:pPr>
    </w:p>
    <w:p>
      <w:pPr>
        <w:spacing w:line="240" w:lineRule="auto" w:before="12"/>
        <w:rPr>
          <w:rFonts w:ascii="宋体" w:hAnsi="宋体" w:cs="宋体" w:eastAsia="宋体" w:hint="default"/>
          <w:sz w:val="24"/>
          <w:szCs w:val="24"/>
        </w:rPr>
      </w:pPr>
    </w:p>
    <w:p>
      <w:pPr>
        <w:pStyle w:val="Heading4"/>
        <w:spacing w:line="240" w:lineRule="auto" w:before="36"/>
        <w:ind w:right="855"/>
        <w:jc w:val="left"/>
        <w:rPr>
          <w:b w:val="0"/>
          <w:bCs w:val="0"/>
        </w:rPr>
      </w:pPr>
      <w:r>
        <w:rPr>
          <w:rFonts w:ascii="Times New Roman" w:hAnsi="Times New Roman" w:cs="Times New Roman" w:eastAsia="Times New Roman" w:hint="default"/>
        </w:rPr>
        <w:t>9</w:t>
      </w:r>
      <w:r>
        <w:rPr/>
        <w:t>、长期股权投资</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6"/>
        <w:ind w:left="0" w:right="1121"/>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421"/>
        <w:gridCol w:w="850"/>
        <w:gridCol w:w="566"/>
        <w:gridCol w:w="721"/>
        <w:gridCol w:w="855"/>
        <w:gridCol w:w="710"/>
        <w:gridCol w:w="480"/>
        <w:gridCol w:w="802"/>
        <w:gridCol w:w="802"/>
        <w:gridCol w:w="802"/>
        <w:gridCol w:w="802"/>
        <w:gridCol w:w="806"/>
      </w:tblGrid>
      <w:tr>
        <w:trPr>
          <w:trHeight w:val="404" w:hRule="exact"/>
        </w:trPr>
        <w:tc>
          <w:tcPr>
            <w:tcW w:w="142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259"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8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307" w:lineRule="auto"/>
              <w:ind w:left="62" w:right="51"/>
              <w:jc w:val="center"/>
              <w:rPr>
                <w:rFonts w:ascii="Times New Roman" w:hAnsi="Times New Roman" w:cs="Times New Roman" w:eastAsia="Times New Roman" w:hint="default"/>
                <w:sz w:val="18"/>
                <w:szCs w:val="18"/>
              </w:rPr>
            </w:pPr>
            <w:r>
              <w:rPr>
                <w:rFonts w:ascii="宋体" w:hAnsi="宋体" w:cs="宋体" w:eastAsia="宋体" w:hint="default"/>
                <w:spacing w:val="-2"/>
                <w:sz w:val="18"/>
                <w:szCs w:val="18"/>
              </w:rPr>
              <w:t>期初余额</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账面价</w:t>
            </w:r>
            <w:r>
              <w:rPr>
                <w:rFonts w:ascii="宋体" w:hAnsi="宋体" w:cs="宋体" w:eastAsia="宋体" w:hint="default"/>
                <w:w w:val="101"/>
                <w:sz w:val="18"/>
                <w:szCs w:val="18"/>
              </w:rPr>
              <w:t> </w:t>
            </w:r>
            <w:r>
              <w:rPr>
                <w:rFonts w:ascii="宋体" w:hAnsi="宋体" w:cs="宋体" w:eastAsia="宋体" w:hint="default"/>
                <w:sz w:val="18"/>
                <w:szCs w:val="18"/>
              </w:rPr>
              <w:t>值</w:t>
            </w:r>
            <w:r>
              <w:rPr>
                <w:rFonts w:ascii="Times New Roman" w:hAnsi="Times New Roman" w:cs="Times New Roman" w:eastAsia="Times New Roman" w:hint="default"/>
                <w:sz w:val="18"/>
                <w:szCs w:val="18"/>
              </w:rPr>
              <w:t>)</w:t>
            </w:r>
          </w:p>
        </w:tc>
        <w:tc>
          <w:tcPr>
            <w:tcW w:w="5738"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8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307" w:lineRule="auto"/>
              <w:ind w:left="33" w:right="32"/>
              <w:jc w:val="center"/>
              <w:rPr>
                <w:rFonts w:ascii="Times New Roman" w:hAnsi="Times New Roman" w:cs="Times New Roman" w:eastAsia="Times New Roman" w:hint="default"/>
                <w:sz w:val="18"/>
                <w:szCs w:val="18"/>
              </w:rPr>
            </w:pPr>
            <w:r>
              <w:rPr>
                <w:rFonts w:ascii="宋体" w:hAnsi="宋体" w:cs="宋体" w:eastAsia="宋体" w:hint="default"/>
                <w:spacing w:val="-2"/>
                <w:sz w:val="18"/>
                <w:szCs w:val="18"/>
              </w:rPr>
              <w:t>期末余额</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账面价</w:t>
            </w:r>
            <w:r>
              <w:rPr>
                <w:rFonts w:ascii="宋体" w:hAnsi="宋体" w:cs="宋体" w:eastAsia="宋体" w:hint="default"/>
                <w:w w:val="101"/>
                <w:sz w:val="18"/>
                <w:szCs w:val="18"/>
              </w:rPr>
              <w:t> </w:t>
            </w:r>
            <w:r>
              <w:rPr>
                <w:rFonts w:ascii="宋体" w:hAnsi="宋体" w:cs="宋体" w:eastAsia="宋体" w:hint="default"/>
                <w:sz w:val="18"/>
                <w:szCs w:val="18"/>
              </w:rPr>
              <w:t>值</w:t>
            </w:r>
            <w:r>
              <w:rPr>
                <w:rFonts w:ascii="Times New Roman" w:hAnsi="Times New Roman" w:cs="Times New Roman" w:eastAsia="Times New Roman" w:hint="default"/>
                <w:sz w:val="18"/>
                <w:szCs w:val="18"/>
              </w:rPr>
              <w:t>)</w:t>
            </w:r>
          </w:p>
        </w:tc>
        <w:tc>
          <w:tcPr>
            <w:tcW w:w="80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312" w:lineRule="auto"/>
              <w:ind w:left="38" w:right="31"/>
              <w:jc w:val="left"/>
              <w:rPr>
                <w:rFonts w:ascii="宋体" w:hAnsi="宋体" w:cs="宋体" w:eastAsia="宋体" w:hint="default"/>
                <w:sz w:val="18"/>
                <w:szCs w:val="18"/>
              </w:rPr>
            </w:pPr>
            <w:r>
              <w:rPr>
                <w:rFonts w:ascii="宋体" w:hAnsi="宋体" w:cs="宋体" w:eastAsia="宋体" w:hint="default"/>
                <w:sz w:val="18"/>
                <w:szCs w:val="18"/>
              </w:rPr>
              <w:t>减值准备</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期末余额</w:t>
            </w:r>
          </w:p>
        </w:tc>
      </w:tr>
      <w:tr>
        <w:trPr>
          <w:trHeight w:val="1027" w:hRule="exact"/>
        </w:trPr>
        <w:tc>
          <w:tcPr>
            <w:tcW w:w="1421" w:type="dxa"/>
            <w:vMerge/>
            <w:tcBorders>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5" w:right="95"/>
              <w:jc w:val="left"/>
              <w:rPr>
                <w:rFonts w:ascii="宋体" w:hAnsi="宋体" w:cs="宋体" w:eastAsia="宋体" w:hint="default"/>
                <w:sz w:val="18"/>
                <w:szCs w:val="18"/>
              </w:rPr>
            </w:pPr>
            <w:r>
              <w:rPr>
                <w:rFonts w:ascii="宋体" w:hAnsi="宋体" w:cs="宋体" w:eastAsia="宋体" w:hint="default"/>
                <w:sz w:val="18"/>
                <w:szCs w:val="18"/>
              </w:rPr>
              <w:t>追加</w:t>
            </w:r>
            <w:r>
              <w:rPr>
                <w:rFonts w:ascii="宋体" w:hAnsi="宋体" w:cs="宋体" w:eastAsia="宋体" w:hint="default"/>
                <w:spacing w:val="-86"/>
                <w:sz w:val="18"/>
                <w:szCs w:val="18"/>
              </w:rPr>
              <w:t> </w:t>
            </w:r>
            <w:r>
              <w:rPr>
                <w:rFonts w:ascii="宋体" w:hAnsi="宋体" w:cs="宋体" w:eastAsia="宋体" w:hint="default"/>
                <w:sz w:val="18"/>
                <w:szCs w:val="18"/>
              </w:rPr>
              <w:t>投资</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69" w:right="79" w:hanging="183"/>
              <w:jc w:val="left"/>
              <w:rPr>
                <w:rFonts w:ascii="宋体" w:hAnsi="宋体" w:cs="宋体" w:eastAsia="宋体" w:hint="default"/>
                <w:sz w:val="18"/>
                <w:szCs w:val="18"/>
              </w:rPr>
            </w:pPr>
            <w:r>
              <w:rPr>
                <w:rFonts w:ascii="宋体" w:hAnsi="宋体" w:cs="宋体" w:eastAsia="宋体" w:hint="default"/>
                <w:sz w:val="18"/>
                <w:szCs w:val="18"/>
              </w:rPr>
              <w:t>减少投</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资</w:t>
            </w:r>
          </w:p>
        </w:tc>
        <w:tc>
          <w:tcPr>
            <w:tcW w:w="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62" w:right="55"/>
              <w:jc w:val="both"/>
              <w:rPr>
                <w:rFonts w:ascii="宋体" w:hAnsi="宋体" w:cs="宋体" w:eastAsia="宋体" w:hint="default"/>
                <w:sz w:val="18"/>
                <w:szCs w:val="18"/>
              </w:rPr>
            </w:pPr>
            <w:r>
              <w:rPr>
                <w:rFonts w:ascii="宋体" w:hAnsi="宋体" w:cs="宋体" w:eastAsia="宋体" w:hint="default"/>
                <w:sz w:val="18"/>
                <w:szCs w:val="18"/>
              </w:rPr>
              <w:t>权益法下</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确认的投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资损益</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81" w:right="74"/>
              <w:jc w:val="both"/>
              <w:rPr>
                <w:rFonts w:ascii="宋体" w:hAnsi="宋体" w:cs="宋体" w:eastAsia="宋体" w:hint="default"/>
                <w:sz w:val="18"/>
                <w:szCs w:val="18"/>
              </w:rPr>
            </w:pPr>
            <w:r>
              <w:rPr>
                <w:rFonts w:ascii="宋体" w:hAnsi="宋体" w:cs="宋体" w:eastAsia="宋体" w:hint="default"/>
                <w:sz w:val="18"/>
                <w:szCs w:val="18"/>
              </w:rPr>
              <w:t>其他综</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合收益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调整</w:t>
            </w:r>
          </w:p>
        </w:tc>
        <w:tc>
          <w:tcPr>
            <w:tcW w:w="4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57" w:right="47"/>
              <w:jc w:val="both"/>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pacing w:val="-86"/>
                <w:sz w:val="18"/>
                <w:szCs w:val="18"/>
              </w:rPr>
              <w:t> </w:t>
            </w:r>
            <w:r>
              <w:rPr>
                <w:rFonts w:ascii="宋体" w:hAnsi="宋体" w:cs="宋体" w:eastAsia="宋体" w:hint="default"/>
                <w:sz w:val="18"/>
                <w:szCs w:val="18"/>
              </w:rPr>
              <w:t>权益</w:t>
            </w:r>
            <w:r>
              <w:rPr>
                <w:rFonts w:ascii="宋体" w:hAnsi="宋体" w:cs="宋体" w:eastAsia="宋体" w:hint="default"/>
                <w:spacing w:val="-86"/>
                <w:sz w:val="18"/>
                <w:szCs w:val="18"/>
              </w:rPr>
              <w:t> </w:t>
            </w:r>
            <w:r>
              <w:rPr>
                <w:rFonts w:ascii="宋体" w:hAnsi="宋体" w:cs="宋体" w:eastAsia="宋体" w:hint="default"/>
                <w:sz w:val="18"/>
                <w:szCs w:val="18"/>
              </w:rPr>
              <w:t>变动</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33" w:right="32"/>
              <w:jc w:val="both"/>
              <w:rPr>
                <w:rFonts w:ascii="宋体" w:hAnsi="宋体" w:cs="宋体" w:eastAsia="宋体" w:hint="default"/>
                <w:sz w:val="18"/>
                <w:szCs w:val="18"/>
              </w:rPr>
            </w:pPr>
            <w:r>
              <w:rPr>
                <w:rFonts w:ascii="宋体" w:hAnsi="宋体" w:cs="宋体" w:eastAsia="宋体" w:hint="default"/>
                <w:sz w:val="18"/>
                <w:szCs w:val="18"/>
              </w:rPr>
              <w:t>宣告发放</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现金股利</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或利润</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5" w:right="31" w:hanging="183"/>
              <w:jc w:val="left"/>
              <w:rPr>
                <w:rFonts w:ascii="宋体" w:hAnsi="宋体" w:cs="宋体" w:eastAsia="宋体" w:hint="default"/>
                <w:sz w:val="18"/>
                <w:szCs w:val="18"/>
              </w:rPr>
            </w:pPr>
            <w:r>
              <w:rPr>
                <w:rFonts w:ascii="宋体" w:hAnsi="宋体" w:cs="宋体" w:eastAsia="宋体" w:hint="default"/>
                <w:sz w:val="18"/>
                <w:szCs w:val="18"/>
              </w:rPr>
              <w:t>计提减值</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准备</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1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02" w:type="dxa"/>
            <w:vMerge/>
            <w:tcBorders>
              <w:left w:val="single" w:sz="4" w:space="0" w:color="000000"/>
              <w:bottom w:val="single" w:sz="4" w:space="0" w:color="000000"/>
              <w:right w:val="single" w:sz="4" w:space="0" w:color="000000"/>
            </w:tcBorders>
            <w:shd w:val="clear" w:color="auto" w:fill="D2D2D2"/>
          </w:tcPr>
          <w:p>
            <w:pPr/>
          </w:p>
        </w:tc>
        <w:tc>
          <w:tcPr>
            <w:tcW w:w="806" w:type="dxa"/>
            <w:vMerge/>
            <w:tcBorders>
              <w:left w:val="single" w:sz="4" w:space="0" w:color="000000"/>
              <w:bottom w:val="single" w:sz="4" w:space="0" w:color="000000"/>
              <w:right w:val="single" w:sz="4" w:space="0" w:color="000000"/>
            </w:tcBorders>
            <w:shd w:val="clear" w:color="auto" w:fill="D2D2D2"/>
          </w:tcPr>
          <w:p>
            <w:pPr/>
          </w:p>
        </w:tc>
      </w:tr>
      <w:tr>
        <w:trPr>
          <w:trHeight w:val="399" w:hRule="exact"/>
        </w:trPr>
        <w:tc>
          <w:tcPr>
            <w:tcW w:w="9618"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3" w:hRule="exact"/>
        </w:trPr>
        <w:tc>
          <w:tcPr>
            <w:tcW w:w="9618"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715" w:hRule="exact"/>
        </w:trPr>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23"/>
              <w:jc w:val="left"/>
              <w:rPr>
                <w:rFonts w:ascii="宋体" w:hAnsi="宋体" w:cs="宋体" w:eastAsia="宋体" w:hint="default"/>
                <w:sz w:val="18"/>
                <w:szCs w:val="18"/>
              </w:rPr>
            </w:pPr>
            <w:r>
              <w:rPr>
                <w:rFonts w:ascii="宋体" w:hAnsi="宋体" w:cs="宋体" w:eastAsia="宋体" w:hint="default"/>
                <w:spacing w:val="-3"/>
                <w:sz w:val="18"/>
                <w:szCs w:val="18"/>
              </w:rPr>
              <w:t>云南东盟公共物</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流信息有限公司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6" w:right="0"/>
              <w:jc w:val="left"/>
              <w:rPr>
                <w:rFonts w:ascii="Times New Roman" w:hAnsi="Times New Roman" w:cs="Times New Roman" w:eastAsia="Times New Roman" w:hint="default"/>
                <w:sz w:val="18"/>
                <w:szCs w:val="18"/>
              </w:rPr>
            </w:pPr>
            <w:r>
              <w:rPr>
                <w:rFonts w:ascii="Times New Roman"/>
                <w:sz w:val="18"/>
              </w:rPr>
              <w:t>20,518,45</w:t>
            </w:r>
          </w:p>
          <w:p>
            <w:pPr>
              <w:pStyle w:val="TableParagraph"/>
              <w:spacing w:line="240" w:lineRule="auto" w:before="110"/>
              <w:ind w:left="499" w:right="0"/>
              <w:jc w:val="left"/>
              <w:rPr>
                <w:rFonts w:ascii="Times New Roman" w:hAnsi="Times New Roman" w:cs="Times New Roman" w:eastAsia="Times New Roman" w:hint="default"/>
                <w:sz w:val="18"/>
                <w:szCs w:val="18"/>
              </w:rPr>
            </w:pPr>
            <w:r>
              <w:rPr>
                <w:rFonts w:ascii="Times New Roman"/>
                <w:sz w:val="18"/>
              </w:rPr>
              <w:t>2.57</w:t>
            </w:r>
          </w:p>
        </w:tc>
        <w:tc>
          <w:tcPr>
            <w:tcW w:w="566"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-2,131,830</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.51</w:t>
            </w:r>
          </w:p>
        </w:tc>
        <w:tc>
          <w:tcPr>
            <w:tcW w:w="710"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left"/>
              <w:rPr>
                <w:rFonts w:ascii="Times New Roman" w:hAnsi="Times New Roman" w:cs="Times New Roman" w:eastAsia="Times New Roman" w:hint="default"/>
                <w:sz w:val="18"/>
                <w:szCs w:val="18"/>
              </w:rPr>
            </w:pPr>
            <w:r>
              <w:rPr>
                <w:rFonts w:ascii="Times New Roman"/>
                <w:sz w:val="18"/>
              </w:rPr>
              <w:t>18,386,62</w:t>
            </w:r>
          </w:p>
          <w:p>
            <w:pPr>
              <w:pStyle w:val="TableParagraph"/>
              <w:spacing w:line="240" w:lineRule="auto" w:before="110"/>
              <w:ind w:left="451" w:right="0"/>
              <w:jc w:val="left"/>
              <w:rPr>
                <w:rFonts w:ascii="Times New Roman" w:hAnsi="Times New Roman" w:cs="Times New Roman" w:eastAsia="Times New Roman" w:hint="default"/>
                <w:sz w:val="18"/>
                <w:szCs w:val="18"/>
              </w:rPr>
            </w:pPr>
            <w:r>
              <w:rPr>
                <w:rFonts w:ascii="Times New Roman"/>
                <w:sz w:val="18"/>
              </w:rPr>
              <w:t>2.06</w:t>
            </w:r>
          </w:p>
        </w:tc>
        <w:tc>
          <w:tcPr>
            <w:tcW w:w="806"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123"/>
              <w:jc w:val="left"/>
              <w:rPr>
                <w:rFonts w:ascii="宋体" w:hAnsi="宋体" w:cs="宋体" w:eastAsia="宋体" w:hint="default"/>
                <w:sz w:val="18"/>
                <w:szCs w:val="18"/>
              </w:rPr>
            </w:pPr>
            <w:r>
              <w:rPr>
                <w:rFonts w:ascii="宋体" w:hAnsi="宋体" w:cs="宋体" w:eastAsia="宋体" w:hint="default"/>
                <w:spacing w:val="-3"/>
                <w:sz w:val="18"/>
                <w:szCs w:val="18"/>
              </w:rPr>
              <w:t>云南南天信息软</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件有限公司</w:t>
            </w:r>
          </w:p>
        </w:tc>
        <w:tc>
          <w:tcPr>
            <w:tcW w:w="8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595,467.9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tc>
      </w:tr>
      <w:tr>
        <w:trPr>
          <w:trHeight w:val="710" w:hRule="exact"/>
        </w:trPr>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3"/>
              <w:ind w:left="24" w:right="123"/>
              <w:jc w:val="left"/>
              <w:rPr>
                <w:rFonts w:ascii="宋体" w:hAnsi="宋体" w:cs="宋体" w:eastAsia="宋体" w:hint="default"/>
                <w:sz w:val="18"/>
                <w:szCs w:val="18"/>
              </w:rPr>
            </w:pPr>
            <w:r>
              <w:rPr>
                <w:rFonts w:ascii="宋体" w:hAnsi="宋体" w:cs="宋体" w:eastAsia="宋体" w:hint="default"/>
                <w:spacing w:val="-3"/>
                <w:sz w:val="18"/>
                <w:szCs w:val="18"/>
              </w:rPr>
              <w:t>云南佳程防伪科</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技有限公司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6" w:right="0"/>
              <w:jc w:val="left"/>
              <w:rPr>
                <w:rFonts w:ascii="Times New Roman" w:hAnsi="Times New Roman" w:cs="Times New Roman" w:eastAsia="Times New Roman" w:hint="default"/>
                <w:sz w:val="18"/>
                <w:szCs w:val="18"/>
              </w:rPr>
            </w:pPr>
            <w:r>
              <w:rPr>
                <w:rFonts w:ascii="Times New Roman"/>
                <w:sz w:val="18"/>
              </w:rPr>
              <w:t>10,130,03</w:t>
            </w:r>
          </w:p>
          <w:p>
            <w:pPr>
              <w:pStyle w:val="TableParagraph"/>
              <w:spacing w:line="240" w:lineRule="auto" w:before="105"/>
              <w:ind w:left="499" w:right="0"/>
              <w:jc w:val="left"/>
              <w:rPr>
                <w:rFonts w:ascii="Times New Roman" w:hAnsi="Times New Roman" w:cs="Times New Roman" w:eastAsia="Times New Roman" w:hint="default"/>
                <w:sz w:val="18"/>
                <w:szCs w:val="18"/>
              </w:rPr>
            </w:pPr>
            <w:r>
              <w:rPr>
                <w:rFonts w:ascii="Times New Roman"/>
                <w:sz w:val="18"/>
              </w:rPr>
              <w:t>7.96</w:t>
            </w:r>
          </w:p>
        </w:tc>
        <w:tc>
          <w:tcPr>
            <w:tcW w:w="566"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1,266,254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.75</w:t>
            </w:r>
          </w:p>
        </w:tc>
        <w:tc>
          <w:tcPr>
            <w:tcW w:w="80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8,863,783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.21</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3,798,764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.24</w:t>
            </w:r>
          </w:p>
        </w:tc>
      </w:tr>
      <w:tr>
        <w:trPr>
          <w:trHeight w:val="716" w:hRule="exact"/>
        </w:trPr>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23"/>
              <w:jc w:val="left"/>
              <w:rPr>
                <w:rFonts w:ascii="宋体" w:hAnsi="宋体" w:cs="宋体" w:eastAsia="宋体" w:hint="default"/>
                <w:sz w:val="18"/>
                <w:szCs w:val="18"/>
              </w:rPr>
            </w:pPr>
            <w:r>
              <w:rPr>
                <w:rFonts w:ascii="宋体" w:hAnsi="宋体" w:cs="宋体" w:eastAsia="宋体" w:hint="default"/>
                <w:spacing w:val="-3"/>
                <w:sz w:val="18"/>
                <w:szCs w:val="18"/>
              </w:rPr>
              <w:t>北京芝麻邦天云</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科技有限公司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285,531.6</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566"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285,531.6</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285,531.6</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r>
      <w:tr>
        <w:trPr>
          <w:trHeight w:val="1027" w:hRule="exact"/>
        </w:trPr>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23"/>
              <w:jc w:val="both"/>
              <w:rPr>
                <w:rFonts w:ascii="宋体" w:hAnsi="宋体" w:cs="宋体" w:eastAsia="宋体" w:hint="default"/>
                <w:sz w:val="18"/>
                <w:szCs w:val="18"/>
              </w:rPr>
            </w:pPr>
            <w:r>
              <w:rPr>
                <w:rFonts w:ascii="宋体" w:hAnsi="宋体" w:cs="宋体" w:eastAsia="宋体" w:hint="default"/>
                <w:spacing w:val="-3"/>
                <w:sz w:val="18"/>
                <w:szCs w:val="18"/>
              </w:rPr>
              <w:t>云南曲靖珠江源</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科技股份有限公</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6" w:right="0"/>
              <w:jc w:val="left"/>
              <w:rPr>
                <w:rFonts w:ascii="Times New Roman" w:hAnsi="Times New Roman" w:cs="Times New Roman" w:eastAsia="Times New Roman" w:hint="default"/>
                <w:sz w:val="18"/>
                <w:szCs w:val="18"/>
              </w:rPr>
            </w:pPr>
            <w:r>
              <w:rPr>
                <w:rFonts w:ascii="Times New Roman"/>
                <w:sz w:val="18"/>
              </w:rPr>
              <w:t>16,994,34</w:t>
            </w:r>
          </w:p>
          <w:p>
            <w:pPr>
              <w:pStyle w:val="TableParagraph"/>
              <w:spacing w:line="240" w:lineRule="auto" w:before="105"/>
              <w:ind w:left="499" w:right="0"/>
              <w:jc w:val="left"/>
              <w:rPr>
                <w:rFonts w:ascii="Times New Roman" w:hAnsi="Times New Roman" w:cs="Times New Roman" w:eastAsia="Times New Roman" w:hint="default"/>
                <w:sz w:val="18"/>
                <w:szCs w:val="18"/>
              </w:rPr>
            </w:pPr>
            <w:r>
              <w:rPr>
                <w:rFonts w:ascii="Times New Roman"/>
                <w:sz w:val="18"/>
              </w:rPr>
              <w:t>7.43</w:t>
            </w:r>
          </w:p>
        </w:tc>
        <w:tc>
          <w:tcPr>
            <w:tcW w:w="566"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18,000,0</w:t>
            </w:r>
          </w:p>
          <w:p>
            <w:pPr>
              <w:pStyle w:val="TableParagraph"/>
              <w:spacing w:line="240" w:lineRule="auto" w:before="105"/>
              <w:ind w:left="288" w:right="0"/>
              <w:jc w:val="left"/>
              <w:rPr>
                <w:rFonts w:ascii="Times New Roman" w:hAnsi="Times New Roman" w:cs="Times New Roman" w:eastAsia="Times New Roman" w:hint="default"/>
                <w:sz w:val="18"/>
                <w:szCs w:val="18"/>
              </w:rPr>
            </w:pPr>
            <w:r>
              <w:rPr>
                <w:rFonts w:ascii="Times New Roman"/>
                <w:sz w:val="18"/>
              </w:rPr>
              <w:t>00.00</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-213,720.5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710"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1,219,373</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pacing w:val="-3"/>
                <w:sz w:val="18"/>
              </w:rPr>
              <w:t>.11</w:t>
            </w:r>
          </w:p>
        </w:tc>
        <w:tc>
          <w:tcPr>
            <w:tcW w:w="802"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123"/>
              <w:jc w:val="left"/>
              <w:rPr>
                <w:rFonts w:ascii="宋体" w:hAnsi="宋体" w:cs="宋体" w:eastAsia="宋体" w:hint="default"/>
                <w:sz w:val="18"/>
                <w:szCs w:val="18"/>
              </w:rPr>
            </w:pPr>
            <w:r>
              <w:rPr>
                <w:rFonts w:ascii="宋体" w:hAnsi="宋体" w:cs="宋体" w:eastAsia="宋体" w:hint="default"/>
                <w:spacing w:val="-3"/>
                <w:sz w:val="18"/>
                <w:szCs w:val="18"/>
              </w:rPr>
              <w:t>北京青豆文化发</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展有限公司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1,978,065.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04</w:t>
            </w:r>
          </w:p>
        </w:tc>
        <w:tc>
          <w:tcPr>
            <w:tcW w:w="566"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8,594.81</w:t>
            </w:r>
          </w:p>
        </w:tc>
        <w:tc>
          <w:tcPr>
            <w:tcW w:w="710"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1,986,659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.85</w:t>
            </w:r>
          </w:p>
        </w:tc>
        <w:tc>
          <w:tcPr>
            <w:tcW w:w="806" w:type="dxa"/>
            <w:tcBorders>
              <w:top w:val="single" w:sz="4" w:space="0" w:color="000000"/>
              <w:left w:val="single" w:sz="4" w:space="0" w:color="000000"/>
              <w:bottom w:val="single" w:sz="4" w:space="0" w:color="000000"/>
              <w:right w:val="single" w:sz="4" w:space="0" w:color="000000"/>
            </w:tcBorders>
          </w:tcPr>
          <w:p>
            <w:pPr/>
          </w:p>
        </w:tc>
      </w:tr>
      <w:tr>
        <w:trPr>
          <w:trHeight w:val="1022" w:hRule="exact"/>
        </w:trPr>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12"/>
              <w:jc w:val="left"/>
              <w:rPr>
                <w:rFonts w:ascii="宋体" w:hAnsi="宋体" w:cs="宋体" w:eastAsia="宋体" w:hint="default"/>
                <w:sz w:val="18"/>
                <w:szCs w:val="18"/>
              </w:rPr>
            </w:pPr>
            <w:r>
              <w:rPr>
                <w:rFonts w:ascii="宋体" w:hAnsi="宋体" w:cs="宋体" w:eastAsia="宋体" w:hint="default"/>
                <w:spacing w:val="-3"/>
                <w:sz w:val="18"/>
                <w:szCs w:val="18"/>
              </w:rPr>
              <w:t>优势合训国际教</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11"/>
                <w:sz w:val="18"/>
                <w:szCs w:val="18"/>
              </w:rPr>
              <w:t>育科技（北京）有</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941,633.5</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9" w:right="0"/>
              <w:jc w:val="center"/>
              <w:rPr>
                <w:rFonts w:ascii="Times New Roman" w:hAnsi="Times New Roman" w:cs="Times New Roman" w:eastAsia="Times New Roman" w:hint="default"/>
                <w:sz w:val="18"/>
                <w:szCs w:val="18"/>
              </w:rPr>
            </w:pPr>
            <w:r>
              <w:rPr>
                <w:rFonts w:ascii="Times New Roman"/>
                <w:sz w:val="18"/>
              </w:rPr>
              <w:t>150,00</w:t>
            </w:r>
          </w:p>
          <w:p>
            <w:pPr>
              <w:pStyle w:val="TableParagraph"/>
              <w:spacing w:line="240" w:lineRule="auto" w:before="110"/>
              <w:ind w:left="196" w:right="0"/>
              <w:jc w:val="center"/>
              <w:rPr>
                <w:rFonts w:ascii="Times New Roman" w:hAnsi="Times New Roman" w:cs="Times New Roman" w:eastAsia="Times New Roman" w:hint="default"/>
                <w:sz w:val="18"/>
                <w:szCs w:val="18"/>
              </w:rPr>
            </w:pPr>
            <w:r>
              <w:rPr>
                <w:rFonts w:ascii="Times New Roman"/>
                <w:sz w:val="18"/>
              </w:rPr>
              <w:t>0.00</w:t>
            </w:r>
          </w:p>
        </w:tc>
        <w:tc>
          <w:tcPr>
            <w:tcW w:w="721"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-180,370.2</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710"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911,263.3</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806"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23"/>
              <w:jc w:val="left"/>
              <w:rPr>
                <w:rFonts w:ascii="宋体" w:hAnsi="宋体" w:cs="宋体" w:eastAsia="宋体" w:hint="default"/>
                <w:sz w:val="18"/>
                <w:szCs w:val="18"/>
              </w:rPr>
            </w:pPr>
            <w:r>
              <w:rPr>
                <w:rFonts w:ascii="宋体" w:hAnsi="宋体" w:cs="宋体" w:eastAsia="宋体" w:hint="default"/>
                <w:spacing w:val="-3"/>
                <w:sz w:val="18"/>
                <w:szCs w:val="18"/>
              </w:rPr>
              <w:t>山东星师教育科</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技有限公司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105,886.8</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 w:right="0"/>
              <w:jc w:val="center"/>
              <w:rPr>
                <w:rFonts w:ascii="Times New Roman" w:hAnsi="Times New Roman" w:cs="Times New Roman" w:eastAsia="Times New Roman" w:hint="default"/>
                <w:sz w:val="18"/>
                <w:szCs w:val="18"/>
              </w:rPr>
            </w:pPr>
            <w:r>
              <w:rPr>
                <w:rFonts w:ascii="Times New Roman"/>
                <w:sz w:val="18"/>
              </w:rPr>
              <w:t>500,00</w:t>
            </w:r>
          </w:p>
          <w:p>
            <w:pPr>
              <w:pStyle w:val="TableParagraph"/>
              <w:spacing w:line="240" w:lineRule="auto" w:before="110"/>
              <w:ind w:left="196" w:right="0"/>
              <w:jc w:val="center"/>
              <w:rPr>
                <w:rFonts w:ascii="Times New Roman" w:hAnsi="Times New Roman" w:cs="Times New Roman" w:eastAsia="Times New Roman" w:hint="default"/>
                <w:sz w:val="18"/>
                <w:szCs w:val="18"/>
              </w:rPr>
            </w:pPr>
            <w:r>
              <w:rPr>
                <w:rFonts w:ascii="Times New Roman"/>
                <w:sz w:val="18"/>
              </w:rPr>
              <w:t>0.00</w:t>
            </w:r>
          </w:p>
        </w:tc>
        <w:tc>
          <w:tcPr>
            <w:tcW w:w="721"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-127,384.9</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710"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478,501.9</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80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23"/>
              <w:jc w:val="left"/>
              <w:rPr>
                <w:rFonts w:ascii="宋体" w:hAnsi="宋体" w:cs="宋体" w:eastAsia="宋体" w:hint="default"/>
                <w:sz w:val="18"/>
                <w:szCs w:val="18"/>
              </w:rPr>
            </w:pPr>
            <w:r>
              <w:rPr>
                <w:rFonts w:ascii="宋体" w:hAnsi="宋体" w:cs="宋体" w:eastAsia="宋体" w:hint="default"/>
                <w:spacing w:val="-3"/>
                <w:sz w:val="18"/>
                <w:szCs w:val="18"/>
              </w:rPr>
              <w:t>北京新医力科技</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3,010,770.</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49</w:t>
            </w:r>
          </w:p>
        </w:tc>
        <w:tc>
          <w:tcPr>
            <w:tcW w:w="566"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-491,838.5</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710"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2,518,931</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.97</w:t>
            </w:r>
          </w:p>
        </w:tc>
        <w:tc>
          <w:tcPr>
            <w:tcW w:w="806"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3"/>
              <w:ind w:left="24" w:right="123"/>
              <w:jc w:val="left"/>
              <w:rPr>
                <w:rFonts w:ascii="宋体" w:hAnsi="宋体" w:cs="宋体" w:eastAsia="宋体" w:hint="default"/>
                <w:sz w:val="18"/>
                <w:szCs w:val="18"/>
              </w:rPr>
            </w:pPr>
            <w:r>
              <w:rPr>
                <w:rFonts w:ascii="宋体" w:hAnsi="宋体" w:cs="宋体" w:eastAsia="宋体" w:hint="default"/>
                <w:spacing w:val="-3"/>
                <w:sz w:val="18"/>
                <w:szCs w:val="18"/>
              </w:rPr>
              <w:t>厦门南天世纪信</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息技术有限公司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6" w:right="0"/>
              <w:jc w:val="left"/>
              <w:rPr>
                <w:rFonts w:ascii="Times New Roman" w:hAnsi="Times New Roman" w:cs="Times New Roman" w:eastAsia="Times New Roman" w:hint="default"/>
                <w:sz w:val="18"/>
                <w:szCs w:val="18"/>
              </w:rPr>
            </w:pPr>
            <w:r>
              <w:rPr>
                <w:rFonts w:ascii="Times New Roman"/>
                <w:sz w:val="18"/>
              </w:rPr>
              <w:t>74,808.60</w:t>
            </w:r>
          </w:p>
        </w:tc>
        <w:tc>
          <w:tcPr>
            <w:tcW w:w="566"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-13,020.14</w:t>
            </w:r>
          </w:p>
        </w:tc>
        <w:tc>
          <w:tcPr>
            <w:tcW w:w="710"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61,788.46</w:t>
            </w:r>
          </w:p>
        </w:tc>
        <w:tc>
          <w:tcPr>
            <w:tcW w:w="806"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3"/>
              <w:ind w:left="24" w:right="123"/>
              <w:jc w:val="left"/>
              <w:rPr>
                <w:rFonts w:ascii="宋体" w:hAnsi="宋体" w:cs="宋体" w:eastAsia="宋体" w:hint="default"/>
                <w:sz w:val="18"/>
                <w:szCs w:val="18"/>
              </w:rPr>
            </w:pPr>
            <w:r>
              <w:rPr>
                <w:rFonts w:ascii="宋体" w:hAnsi="宋体" w:cs="宋体" w:eastAsia="宋体" w:hint="default"/>
                <w:spacing w:val="-3"/>
                <w:sz w:val="18"/>
                <w:szCs w:val="18"/>
              </w:rPr>
              <w:t>上海致同信息技</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术有限公司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166,257.4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566"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-135,581.0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710"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30,676.39</w:t>
            </w:r>
          </w:p>
        </w:tc>
        <w:tc>
          <w:tcPr>
            <w:tcW w:w="80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6" w:right="0"/>
              <w:jc w:val="left"/>
              <w:rPr>
                <w:rFonts w:ascii="Times New Roman" w:hAnsi="Times New Roman" w:cs="Times New Roman" w:eastAsia="Times New Roman" w:hint="default"/>
                <w:sz w:val="18"/>
                <w:szCs w:val="18"/>
              </w:rPr>
            </w:pPr>
            <w:r>
              <w:rPr>
                <w:rFonts w:ascii="Times New Roman"/>
                <w:sz w:val="18"/>
              </w:rPr>
              <w:t>54,205,79</w:t>
            </w:r>
          </w:p>
          <w:p>
            <w:pPr>
              <w:pStyle w:val="TableParagraph"/>
              <w:spacing w:line="240" w:lineRule="auto" w:before="110"/>
              <w:ind w:left="499" w:right="0"/>
              <w:jc w:val="left"/>
              <w:rPr>
                <w:rFonts w:ascii="Times New Roman" w:hAnsi="Times New Roman" w:cs="Times New Roman" w:eastAsia="Times New Roman" w:hint="default"/>
                <w:sz w:val="18"/>
                <w:szCs w:val="18"/>
              </w:rPr>
            </w:pPr>
            <w:r>
              <w:rPr>
                <w:rFonts w:ascii="Times New Roman"/>
                <w:sz w:val="18"/>
              </w:rPr>
              <w:t>1.61</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 w:right="0"/>
              <w:jc w:val="center"/>
              <w:rPr>
                <w:rFonts w:ascii="Times New Roman" w:hAnsi="Times New Roman" w:cs="Times New Roman" w:eastAsia="Times New Roman" w:hint="default"/>
                <w:sz w:val="18"/>
                <w:szCs w:val="18"/>
              </w:rPr>
            </w:pPr>
            <w:r>
              <w:rPr>
                <w:rFonts w:ascii="Times New Roman"/>
                <w:sz w:val="18"/>
              </w:rPr>
              <w:t>650,00</w:t>
            </w:r>
          </w:p>
          <w:p>
            <w:pPr>
              <w:pStyle w:val="TableParagraph"/>
              <w:spacing w:line="240" w:lineRule="auto" w:before="110"/>
              <w:ind w:left="196" w:right="0"/>
              <w:jc w:val="center"/>
              <w:rPr>
                <w:rFonts w:ascii="Times New Roman" w:hAnsi="Times New Roman" w:cs="Times New Roman" w:eastAsia="Times New Roman" w:hint="default"/>
                <w:sz w:val="18"/>
                <w:szCs w:val="18"/>
              </w:rPr>
            </w:pPr>
            <w:r>
              <w:rPr>
                <w:rFonts w:ascii="Times New Roman"/>
                <w:sz w:val="18"/>
              </w:rPr>
              <w:t>0.00</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18,000,0</w:t>
            </w:r>
          </w:p>
          <w:p>
            <w:pPr>
              <w:pStyle w:val="TableParagraph"/>
              <w:spacing w:line="240" w:lineRule="auto" w:before="110"/>
              <w:ind w:left="288" w:right="0"/>
              <w:jc w:val="left"/>
              <w:rPr>
                <w:rFonts w:ascii="Times New Roman" w:hAnsi="Times New Roman" w:cs="Times New Roman" w:eastAsia="Times New Roman" w:hint="default"/>
                <w:sz w:val="18"/>
                <w:szCs w:val="18"/>
              </w:rPr>
            </w:pPr>
            <w:r>
              <w:rPr>
                <w:rFonts w:ascii="Times New Roman"/>
                <w:sz w:val="18"/>
              </w:rPr>
              <w:t>00.00</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-3,285,151</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.10</w:t>
            </w:r>
          </w:p>
        </w:tc>
        <w:tc>
          <w:tcPr>
            <w:tcW w:w="710"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1,551,786</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.43</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1,219,373</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pacing w:val="-3"/>
                <w:sz w:val="18"/>
              </w:rPr>
              <w:t>.11</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left"/>
              <w:rPr>
                <w:rFonts w:ascii="Times New Roman" w:hAnsi="Times New Roman" w:cs="Times New Roman" w:eastAsia="Times New Roman" w:hint="default"/>
                <w:sz w:val="18"/>
                <w:szCs w:val="18"/>
              </w:rPr>
            </w:pPr>
            <w:r>
              <w:rPr>
                <w:rFonts w:ascii="Times New Roman"/>
                <w:sz w:val="18"/>
              </w:rPr>
              <w:t>33,238,22</w:t>
            </w:r>
          </w:p>
          <w:p>
            <w:pPr>
              <w:pStyle w:val="TableParagraph"/>
              <w:spacing w:line="240" w:lineRule="auto" w:before="110"/>
              <w:ind w:left="451" w:right="0"/>
              <w:jc w:val="left"/>
              <w:rPr>
                <w:rFonts w:ascii="Times New Roman" w:hAnsi="Times New Roman" w:cs="Times New Roman" w:eastAsia="Times New Roman" w:hint="default"/>
                <w:sz w:val="18"/>
                <w:szCs w:val="18"/>
              </w:rPr>
            </w:pPr>
            <w:r>
              <w:rPr>
                <w:rFonts w:ascii="Times New Roman"/>
                <w:sz w:val="18"/>
              </w:rPr>
              <w:t>7.19</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4,679,763</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.91</w:t>
            </w:r>
          </w:p>
        </w:tc>
      </w:tr>
      <w:tr>
        <w:trPr>
          <w:trHeight w:val="716" w:hRule="exact"/>
        </w:trPr>
        <w:tc>
          <w:tcPr>
            <w:tcW w:w="14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6" w:right="0"/>
              <w:jc w:val="left"/>
              <w:rPr>
                <w:rFonts w:ascii="Times New Roman" w:hAnsi="Times New Roman" w:cs="Times New Roman" w:eastAsia="Times New Roman" w:hint="default"/>
                <w:sz w:val="18"/>
                <w:szCs w:val="18"/>
              </w:rPr>
            </w:pPr>
            <w:r>
              <w:rPr>
                <w:rFonts w:ascii="Times New Roman"/>
                <w:sz w:val="18"/>
              </w:rPr>
              <w:t>54,205,79</w:t>
            </w:r>
          </w:p>
          <w:p>
            <w:pPr>
              <w:pStyle w:val="TableParagraph"/>
              <w:spacing w:line="240" w:lineRule="auto" w:before="105"/>
              <w:ind w:left="499" w:right="0"/>
              <w:jc w:val="left"/>
              <w:rPr>
                <w:rFonts w:ascii="Times New Roman" w:hAnsi="Times New Roman" w:cs="Times New Roman" w:eastAsia="Times New Roman" w:hint="default"/>
                <w:sz w:val="18"/>
                <w:szCs w:val="18"/>
              </w:rPr>
            </w:pPr>
            <w:r>
              <w:rPr>
                <w:rFonts w:ascii="Times New Roman"/>
                <w:sz w:val="18"/>
              </w:rPr>
              <w:t>1.61</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 w:right="0"/>
              <w:jc w:val="center"/>
              <w:rPr>
                <w:rFonts w:ascii="Times New Roman" w:hAnsi="Times New Roman" w:cs="Times New Roman" w:eastAsia="Times New Roman" w:hint="default"/>
                <w:sz w:val="18"/>
                <w:szCs w:val="18"/>
              </w:rPr>
            </w:pPr>
            <w:r>
              <w:rPr>
                <w:rFonts w:ascii="Times New Roman"/>
                <w:sz w:val="18"/>
              </w:rPr>
              <w:t>650,00</w:t>
            </w:r>
          </w:p>
          <w:p>
            <w:pPr>
              <w:pStyle w:val="TableParagraph"/>
              <w:spacing w:line="240" w:lineRule="auto" w:before="105"/>
              <w:ind w:left="196" w:right="0"/>
              <w:jc w:val="center"/>
              <w:rPr>
                <w:rFonts w:ascii="Times New Roman" w:hAnsi="Times New Roman" w:cs="Times New Roman" w:eastAsia="Times New Roman" w:hint="default"/>
                <w:sz w:val="18"/>
                <w:szCs w:val="18"/>
              </w:rPr>
            </w:pPr>
            <w:r>
              <w:rPr>
                <w:rFonts w:ascii="Times New Roman"/>
                <w:sz w:val="18"/>
              </w:rPr>
              <w:t>0.00</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18,000,0</w:t>
            </w:r>
          </w:p>
          <w:p>
            <w:pPr>
              <w:pStyle w:val="TableParagraph"/>
              <w:spacing w:line="240" w:lineRule="auto" w:before="105"/>
              <w:ind w:left="288" w:right="0"/>
              <w:jc w:val="left"/>
              <w:rPr>
                <w:rFonts w:ascii="Times New Roman" w:hAnsi="Times New Roman" w:cs="Times New Roman" w:eastAsia="Times New Roman" w:hint="default"/>
                <w:sz w:val="18"/>
                <w:szCs w:val="18"/>
              </w:rPr>
            </w:pPr>
            <w:r>
              <w:rPr>
                <w:rFonts w:ascii="Times New Roman"/>
                <w:sz w:val="18"/>
              </w:rPr>
              <w:t>00.00</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-3,285,151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.10</w:t>
            </w:r>
          </w:p>
        </w:tc>
        <w:tc>
          <w:tcPr>
            <w:tcW w:w="710"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1,551,786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.43</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1,219,373</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pacing w:val="-3"/>
                <w:sz w:val="18"/>
              </w:rPr>
              <w:t>.11</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left"/>
              <w:rPr>
                <w:rFonts w:ascii="Times New Roman" w:hAnsi="Times New Roman" w:cs="Times New Roman" w:eastAsia="Times New Roman" w:hint="default"/>
                <w:sz w:val="18"/>
                <w:szCs w:val="18"/>
              </w:rPr>
            </w:pPr>
            <w:r>
              <w:rPr>
                <w:rFonts w:ascii="Times New Roman"/>
                <w:sz w:val="18"/>
              </w:rPr>
              <w:t>33,238,22</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7.19</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4,679,763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.91</w:t>
            </w:r>
          </w:p>
        </w:tc>
      </w:tr>
    </w:tbl>
    <w:p>
      <w:pPr>
        <w:spacing w:after="0" w:line="240" w:lineRule="auto"/>
        <w:jc w:val="right"/>
        <w:rPr>
          <w:rFonts w:ascii="Times New Roman" w:hAnsi="Times New Roman" w:cs="Times New Roman" w:eastAsia="Times New Roman" w:hint="default"/>
          <w:sz w:val="18"/>
          <w:szCs w:val="18"/>
        </w:rPr>
        <w:sectPr>
          <w:pgSz w:w="11910" w:h="16840"/>
          <w:pgMar w:header="746" w:footer="974" w:top="1060" w:bottom="1160" w:left="980" w:right="0"/>
        </w:sectPr>
      </w:pPr>
    </w:p>
    <w:p>
      <w:pPr>
        <w:spacing w:line="240" w:lineRule="auto" w:before="12"/>
        <w:rPr>
          <w:rFonts w:ascii="宋体" w:hAnsi="宋体" w:cs="宋体" w:eastAsia="宋体" w:hint="default"/>
          <w:sz w:val="24"/>
          <w:szCs w:val="24"/>
        </w:rPr>
      </w:pPr>
    </w:p>
    <w:p>
      <w:pPr>
        <w:pStyle w:val="Heading4"/>
        <w:spacing w:line="240" w:lineRule="auto" w:before="36"/>
        <w:ind w:right="855"/>
        <w:jc w:val="left"/>
        <w:rPr>
          <w:b w:val="0"/>
          <w:bCs w:val="0"/>
        </w:rPr>
      </w:pPr>
      <w:r>
        <w:rPr>
          <w:rFonts w:ascii="Times New Roman" w:hAnsi="Times New Roman" w:cs="Times New Roman" w:eastAsia="Times New Roman" w:hint="default"/>
        </w:rPr>
        <w:t>10</w:t>
      </w:r>
      <w:r>
        <w:rPr/>
        <w:t>、其他权益工具投资</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6"/>
        <w:ind w:left="0" w:right="1121"/>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3"/>
      </w:tblGrid>
      <w:tr>
        <w:trPr>
          <w:trHeight w:val="40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云南云岭群工信息技术有限公司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10,686.38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250,000.00</w:t>
            </w:r>
          </w:p>
        </w:tc>
      </w:tr>
      <w:tr>
        <w:trPr>
          <w:trHeight w:val="398"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星立方购买基金产品</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302,617.17</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10,686.38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552,617.17</w:t>
            </w:r>
          </w:p>
        </w:tc>
      </w:tr>
    </w:tbl>
    <w:p>
      <w:pPr>
        <w:spacing w:line="240" w:lineRule="auto" w:before="3"/>
        <w:rPr>
          <w:rFonts w:ascii="宋体" w:hAnsi="宋体" w:cs="宋体" w:eastAsia="宋体" w:hint="default"/>
          <w:sz w:val="19"/>
          <w:szCs w:val="19"/>
        </w:rPr>
      </w:pPr>
    </w:p>
    <w:p>
      <w:pPr>
        <w:pStyle w:val="Heading4"/>
        <w:spacing w:line="240" w:lineRule="auto" w:before="36"/>
        <w:ind w:right="855"/>
        <w:jc w:val="left"/>
        <w:rPr>
          <w:b w:val="0"/>
          <w:bCs w:val="0"/>
        </w:rPr>
      </w:pPr>
      <w:r>
        <w:rPr>
          <w:rFonts w:ascii="Times New Roman" w:hAnsi="Times New Roman" w:cs="Times New Roman" w:eastAsia="Times New Roman" w:hint="default"/>
        </w:rPr>
        <w:t>11</w:t>
      </w:r>
      <w:r>
        <w:rPr/>
        <w:t>、其他非流动金融资产</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6"/>
        <w:ind w:left="0" w:right="1121"/>
        <w:jc w:val="right"/>
      </w:pPr>
      <w:r>
        <w:rPr/>
        <w:t>单位：</w:t>
      </w:r>
      <w:r>
        <w:rPr>
          <w:spacing w:val="5"/>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5388"/>
        <w:gridCol w:w="2271"/>
        <w:gridCol w:w="1916"/>
      </w:tblGrid>
      <w:tr>
        <w:trPr>
          <w:trHeight w:val="403" w:hRule="exact"/>
        </w:trPr>
        <w:tc>
          <w:tcPr>
            <w:tcW w:w="5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9" w:hRule="exact"/>
        </w:trPr>
        <w:tc>
          <w:tcPr>
            <w:tcW w:w="5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盈富泰克创业投资有限公司</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14,783,696.72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14,783,696.72</w:t>
            </w:r>
          </w:p>
        </w:tc>
      </w:tr>
      <w:tr>
        <w:trPr>
          <w:trHeight w:val="403" w:hRule="exact"/>
        </w:trPr>
        <w:tc>
          <w:tcPr>
            <w:tcW w:w="5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富滇银行股份有限公司</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46,000,000.00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46,000,000.00</w:t>
            </w:r>
          </w:p>
        </w:tc>
      </w:tr>
      <w:tr>
        <w:trPr>
          <w:trHeight w:val="403" w:hRule="exact"/>
        </w:trPr>
        <w:tc>
          <w:tcPr>
            <w:tcW w:w="5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上海汇付互联网金融信息服务创业股权投资中心（有限合伙）</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30,000,000.00</w:t>
            </w:r>
          </w:p>
        </w:tc>
      </w:tr>
      <w:tr>
        <w:trPr>
          <w:trHeight w:val="403" w:hRule="exact"/>
        </w:trPr>
        <w:tc>
          <w:tcPr>
            <w:tcW w:w="5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北京人大金仓信息技术股份有限公司</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30,000,000.00</w:t>
            </w:r>
          </w:p>
        </w:tc>
      </w:tr>
      <w:tr>
        <w:trPr>
          <w:trHeight w:val="399" w:hRule="exact"/>
        </w:trPr>
        <w:tc>
          <w:tcPr>
            <w:tcW w:w="5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北京星视一通科技有限公司</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1,020,000.00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1,020,000.00</w:t>
            </w:r>
          </w:p>
        </w:tc>
      </w:tr>
      <w:tr>
        <w:trPr>
          <w:trHeight w:val="403" w:hRule="exact"/>
        </w:trPr>
        <w:tc>
          <w:tcPr>
            <w:tcW w:w="5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121,803,696.72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121,803,696.72</w:t>
            </w:r>
          </w:p>
        </w:tc>
      </w:tr>
    </w:tbl>
    <w:p>
      <w:pPr>
        <w:spacing w:line="240" w:lineRule="auto" w:before="3"/>
        <w:rPr>
          <w:rFonts w:ascii="宋体" w:hAnsi="宋体" w:cs="宋体" w:eastAsia="宋体" w:hint="default"/>
          <w:sz w:val="19"/>
          <w:szCs w:val="19"/>
        </w:rPr>
      </w:pPr>
    </w:p>
    <w:p>
      <w:pPr>
        <w:pStyle w:val="Heading4"/>
        <w:spacing w:line="240" w:lineRule="auto" w:before="36"/>
        <w:ind w:right="855"/>
        <w:jc w:val="left"/>
        <w:rPr>
          <w:b w:val="0"/>
          <w:bCs w:val="0"/>
        </w:rPr>
      </w:pPr>
      <w:r>
        <w:rPr>
          <w:rFonts w:ascii="Times New Roman" w:hAnsi="Times New Roman" w:cs="Times New Roman" w:eastAsia="Times New Roman" w:hint="default"/>
        </w:rPr>
        <w:t>12</w:t>
      </w:r>
      <w:r>
        <w:rPr/>
        <w:t>、投资性房地产</w:t>
      </w:r>
      <w:r>
        <w:rPr>
          <w:b w:val="0"/>
          <w:bCs w:val="0"/>
        </w:rPr>
      </w:r>
    </w:p>
    <w:p>
      <w:pPr>
        <w:spacing w:line="240" w:lineRule="auto" w:before="5"/>
        <w:rPr>
          <w:rFonts w:ascii="宋体" w:hAnsi="宋体" w:cs="宋体" w:eastAsia="宋体" w:hint="default"/>
          <w:b/>
          <w:bCs/>
          <w:sz w:val="24"/>
          <w:szCs w:val="24"/>
        </w:rPr>
      </w:pPr>
    </w:p>
    <w:p>
      <w:pPr>
        <w:spacing w:before="0"/>
        <w:ind w:left="153" w:right="85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）采用成本计量模式的投资性房地产</w:t>
      </w:r>
      <w:r>
        <w:rPr>
          <w:rFonts w:ascii="宋体" w:hAnsi="宋体" w:cs="宋体" w:eastAsia="宋体" w:hint="default"/>
          <w:sz w:val="21"/>
          <w:szCs w:val="21"/>
        </w:rPr>
      </w:r>
    </w:p>
    <w:p>
      <w:pPr>
        <w:spacing w:line="240" w:lineRule="auto" w:before="2"/>
        <w:rPr>
          <w:rFonts w:ascii="宋体" w:hAnsi="宋体" w:cs="宋体" w:eastAsia="宋体" w:hint="default"/>
          <w:b/>
          <w:bCs/>
          <w:sz w:val="23"/>
          <w:szCs w:val="23"/>
        </w:rPr>
      </w:pPr>
    </w:p>
    <w:p>
      <w:pPr>
        <w:pStyle w:val="BodyText"/>
        <w:spacing w:line="240" w:lineRule="auto" w:before="46"/>
        <w:ind w:right="855"/>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1"/>
        </w:rPr>
        <w:t> </w:t>
      </w:r>
      <w:r>
        <w:rPr/>
        <w:t>不适用</w:t>
      </w:r>
    </w:p>
    <w:p>
      <w:pPr>
        <w:pStyle w:val="BodyText"/>
        <w:spacing w:line="240" w:lineRule="auto" w:before="101"/>
        <w:ind w:left="0" w:right="1121"/>
        <w:jc w:val="right"/>
      </w:pPr>
      <w:r>
        <w:rPr/>
        <w:t>单位：</w:t>
      </w:r>
      <w:r>
        <w:rPr>
          <w:spacing w:val="5"/>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1"/>
        <w:gridCol w:w="1921"/>
        <w:gridCol w:w="1911"/>
        <w:gridCol w:w="1916"/>
        <w:gridCol w:w="1916"/>
      </w:tblGrid>
      <w:tr>
        <w:trPr>
          <w:trHeight w:val="404"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1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0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98"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期初余额</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108,309,381.31</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13,957,135.41</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122,266,516.72</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本期增加金额</w:t>
            </w: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）外购</w:t>
            </w: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2"/>
                <w:sz w:val="18"/>
                <w:szCs w:val="18"/>
              </w:rPr>
              <w:t> </w:t>
            </w: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2</w:t>
            </w:r>
            <w:r>
              <w:rPr>
                <w:rFonts w:ascii="宋体" w:hAnsi="宋体" w:cs="宋体" w:eastAsia="宋体" w:hint="default"/>
                <w:spacing w:val="-7"/>
                <w:sz w:val="18"/>
                <w:szCs w:val="18"/>
              </w:rPr>
              <w:t>）存货</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固定资产</w:t>
            </w:r>
          </w:p>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在建工程转入</w:t>
            </w: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18"/>
                <w:sz w:val="18"/>
                <w:szCs w:val="18"/>
              </w:rPr>
              <w:t> </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）企业合并增加</w:t>
            </w: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本期减少金额</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4,783,141.34</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625,354.72</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5,408,496.06</w:t>
            </w:r>
          </w:p>
        </w:tc>
      </w:tr>
      <w:tr>
        <w:trPr>
          <w:trHeight w:val="404"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4,783,141.34</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625,354.72</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5,408,496.06</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期末余额</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103,526,239.97</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13,331,780.69</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116,858,020.66</w:t>
            </w:r>
          </w:p>
        </w:tc>
      </w:tr>
    </w:tbl>
    <w:p>
      <w:pPr>
        <w:spacing w:after="0" w:line="240" w:lineRule="auto"/>
        <w:jc w:val="right"/>
        <w:rPr>
          <w:rFonts w:ascii="Times New Roman" w:hAnsi="Times New Roman" w:cs="Times New Roman" w:eastAsia="Times New Roman" w:hint="default"/>
          <w:sz w:val="18"/>
          <w:szCs w:val="18"/>
        </w:rPr>
        <w:sectPr>
          <w:pgSz w:w="11910" w:h="16840"/>
          <w:pgMar w:header="746" w:footer="974"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11"/>
        <w:gridCol w:w="1921"/>
        <w:gridCol w:w="1911"/>
        <w:gridCol w:w="1916"/>
        <w:gridCol w:w="1916"/>
      </w:tblGrid>
      <w:tr>
        <w:trPr>
          <w:trHeight w:val="715"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24" w:right="70"/>
              <w:jc w:val="left"/>
              <w:rPr>
                <w:rFonts w:ascii="宋体" w:hAnsi="宋体" w:cs="宋体" w:eastAsia="宋体" w:hint="default"/>
                <w:sz w:val="18"/>
                <w:szCs w:val="18"/>
              </w:rPr>
            </w:pPr>
            <w:r>
              <w:rPr>
                <w:rFonts w:ascii="宋体" w:hAnsi="宋体" w:cs="宋体" w:eastAsia="宋体" w:hint="default"/>
                <w:spacing w:val="-2"/>
                <w:sz w:val="18"/>
                <w:szCs w:val="18"/>
              </w:rPr>
              <w:t>二、累计折旧和累计摊</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销</w:t>
            </w: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期初余额</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33,532,150.92</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3,423,518.82</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36,955,669.74</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本期增加金额</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2,627,531.82</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339,686.35</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2,967,218.17</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）计提或摊销</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2,627,531.82</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339,686.35</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2,967,218.17</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本期减少金额</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1,837,429.59</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192,669.68</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2,030,099.27</w:t>
            </w:r>
          </w:p>
        </w:tc>
      </w:tr>
      <w:tr>
        <w:trPr>
          <w:trHeight w:val="399"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1,837,429.59</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192,669.68</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2,030,099.27</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期末余额</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34,322,253.15</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3,570,535.49</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37,892,788.64</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期初余额</w:t>
            </w: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本期增加金额</w:t>
            </w: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、本期减少金额</w:t>
            </w: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期末余额</w:t>
            </w: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期末账面价值</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69,203,986.82</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9,761,245.20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78,965,232.02</w:t>
            </w:r>
          </w:p>
        </w:tc>
      </w:tr>
      <w:tr>
        <w:trPr>
          <w:trHeight w:val="404"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期初账面价值</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8"/>
                <w:szCs w:val="18"/>
              </w:rPr>
            </w:pPr>
            <w:r>
              <w:rPr>
                <w:rFonts w:ascii="Times New Roman"/>
                <w:spacing w:val="-1"/>
                <w:sz w:val="18"/>
              </w:rPr>
              <w:t>74,777,230.39</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pacing w:val="-1"/>
                <w:sz w:val="18"/>
              </w:rPr>
              <w:t>10,533,616.59</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8"/>
                <w:szCs w:val="18"/>
              </w:rPr>
            </w:pPr>
            <w:r>
              <w:rPr>
                <w:rFonts w:ascii="Times New Roman"/>
                <w:spacing w:val="-1"/>
                <w:sz w:val="18"/>
              </w:rPr>
              <w:t>85,310,846.98</w:t>
            </w:r>
          </w:p>
        </w:tc>
      </w:tr>
    </w:tbl>
    <w:p>
      <w:pPr>
        <w:spacing w:line="240" w:lineRule="auto" w:before="3"/>
        <w:rPr>
          <w:rFonts w:ascii="宋体" w:hAnsi="宋体" w:cs="宋体" w:eastAsia="宋体" w:hint="default"/>
          <w:sz w:val="19"/>
          <w:szCs w:val="19"/>
        </w:rPr>
      </w:pPr>
    </w:p>
    <w:p>
      <w:pPr>
        <w:pStyle w:val="Heading4"/>
        <w:spacing w:line="240" w:lineRule="auto" w:before="36"/>
        <w:ind w:right="855"/>
        <w:jc w:val="left"/>
        <w:rPr>
          <w:b w:val="0"/>
          <w:bCs w:val="0"/>
        </w:rPr>
      </w:pP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855"/>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8"/>
        <w:rPr>
          <w:rFonts w:ascii="宋体" w:hAnsi="宋体" w:cs="宋体" w:eastAsia="宋体" w:hint="default"/>
          <w:sz w:val="25"/>
          <w:szCs w:val="25"/>
        </w:rPr>
      </w:pPr>
    </w:p>
    <w:p>
      <w:pPr>
        <w:pStyle w:val="Heading4"/>
        <w:spacing w:line="240" w:lineRule="auto"/>
        <w:ind w:right="855"/>
        <w:jc w:val="left"/>
        <w:rPr>
          <w:b w:val="0"/>
          <w:bCs w:val="0"/>
        </w:rPr>
      </w:pPr>
      <w:r>
        <w:rPr>
          <w:rFonts w:ascii="Times New Roman" w:hAnsi="Times New Roman" w:cs="Times New Roman" w:eastAsia="Times New Roman" w:hint="default"/>
        </w:rPr>
        <w:t>13</w:t>
      </w:r>
      <w:r>
        <w:rPr/>
        <w:t>、固定资产</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1"/>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3"/>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220,538,126.32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227,139,168.03</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220,538,126.32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227,139,168.03</w:t>
            </w:r>
          </w:p>
        </w:tc>
      </w:tr>
    </w:tbl>
    <w:p>
      <w:pPr>
        <w:spacing w:line="240" w:lineRule="auto" w:before="3"/>
        <w:rPr>
          <w:rFonts w:ascii="宋体" w:hAnsi="宋体" w:cs="宋体" w:eastAsia="宋体" w:hint="default"/>
          <w:sz w:val="19"/>
          <w:szCs w:val="19"/>
        </w:rPr>
      </w:pPr>
    </w:p>
    <w:p>
      <w:pPr>
        <w:pStyle w:val="Heading4"/>
        <w:spacing w:line="240" w:lineRule="auto" w:before="36"/>
        <w:ind w:right="855"/>
        <w:jc w:val="left"/>
        <w:rPr>
          <w:b w:val="0"/>
          <w:bCs w:val="0"/>
        </w:rPr>
      </w:pPr>
      <w:r>
        <w:rPr/>
        <w:t>（</w:t>
      </w:r>
      <w:r>
        <w:rPr>
          <w:rFonts w:ascii="Times New Roman" w:hAnsi="Times New Roman" w:cs="Times New Roman" w:eastAsia="Times New Roman" w:hint="default"/>
        </w:rPr>
        <w:t>1</w:t>
      </w:r>
      <w:r>
        <w:rPr/>
        <w:t>）固定资产情况</w:t>
      </w:r>
      <w:r>
        <w:rPr>
          <w:b w:val="0"/>
          <w:bCs w:val="0"/>
        </w:rPr>
      </w:r>
    </w:p>
    <w:p>
      <w:pPr>
        <w:spacing w:line="240" w:lineRule="auto" w:before="11"/>
        <w:rPr>
          <w:rFonts w:ascii="宋体" w:hAnsi="宋体" w:cs="宋体" w:eastAsia="宋体" w:hint="default"/>
          <w:b/>
          <w:bCs/>
          <w:sz w:val="22"/>
          <w:szCs w:val="22"/>
        </w:rPr>
      </w:pPr>
    </w:p>
    <w:p>
      <w:pPr>
        <w:pStyle w:val="BodyText"/>
        <w:spacing w:line="240" w:lineRule="auto" w:before="46"/>
        <w:ind w:left="0" w:right="1121"/>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007"/>
        <w:gridCol w:w="1292"/>
        <w:gridCol w:w="1148"/>
        <w:gridCol w:w="1148"/>
        <w:gridCol w:w="1321"/>
        <w:gridCol w:w="1383"/>
        <w:gridCol w:w="1383"/>
      </w:tblGrid>
      <w:tr>
        <w:trPr>
          <w:trHeight w:val="403" w:hRule="exact"/>
        </w:trPr>
        <w:tc>
          <w:tcPr>
            <w:tcW w:w="20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1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06"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1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06"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97"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3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20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一、账面原值：</w:t>
            </w:r>
          </w:p>
        </w:tc>
        <w:tc>
          <w:tcPr>
            <w:tcW w:w="1292"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6" w:footer="974"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007"/>
        <w:gridCol w:w="1292"/>
        <w:gridCol w:w="1148"/>
        <w:gridCol w:w="1148"/>
        <w:gridCol w:w="1321"/>
        <w:gridCol w:w="1383"/>
        <w:gridCol w:w="1383"/>
      </w:tblGrid>
      <w:tr>
        <w:trPr>
          <w:trHeight w:val="413" w:hRule="exact"/>
        </w:trPr>
        <w:tc>
          <w:tcPr>
            <w:tcW w:w="20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263,116,959.53</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60,518,160.82</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21,575,816.95</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42,774,337.04</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18,338,350.97</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406,323,625.31</w:t>
            </w:r>
          </w:p>
        </w:tc>
      </w:tr>
      <w:tr>
        <w:trPr>
          <w:trHeight w:val="398" w:hRule="exact"/>
        </w:trPr>
        <w:tc>
          <w:tcPr>
            <w:tcW w:w="20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4,783,141.34</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914,164.16</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5,913.89</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5,151,760.27</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823,918.55</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11,678,898.21</w:t>
            </w:r>
          </w:p>
        </w:tc>
      </w:tr>
      <w:tr>
        <w:trPr>
          <w:trHeight w:val="404" w:hRule="exact"/>
        </w:trPr>
        <w:tc>
          <w:tcPr>
            <w:tcW w:w="20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292"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914,164.16</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5,913.89</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3,825,079.03</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574,068.42</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5,319,225.50</w:t>
            </w:r>
          </w:p>
        </w:tc>
      </w:tr>
      <w:tr>
        <w:trPr>
          <w:trHeight w:val="403" w:hRule="exact"/>
        </w:trPr>
        <w:tc>
          <w:tcPr>
            <w:tcW w:w="20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）在建工程转入</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4,783,141.34</w:t>
            </w:r>
          </w:p>
        </w:tc>
        <w:tc>
          <w:tcPr>
            <w:tcW w:w="1148"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4,783,141.34</w:t>
            </w:r>
          </w:p>
        </w:tc>
      </w:tr>
      <w:tr>
        <w:trPr>
          <w:trHeight w:val="403" w:hRule="exact"/>
        </w:trPr>
        <w:tc>
          <w:tcPr>
            <w:tcW w:w="20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292"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20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92"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1,326,681.24</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249,850.13</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1,576,531.37</w:t>
            </w:r>
          </w:p>
        </w:tc>
      </w:tr>
      <w:tr>
        <w:trPr>
          <w:trHeight w:val="404" w:hRule="exact"/>
        </w:trPr>
        <w:tc>
          <w:tcPr>
            <w:tcW w:w="20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292"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438,797.06</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1,305,632.33</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2,760,415.47</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10,064,066.03</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14,568,910.89</w:t>
            </w:r>
          </w:p>
        </w:tc>
      </w:tr>
      <w:tr>
        <w:trPr>
          <w:trHeight w:val="403" w:hRule="exact"/>
        </w:trPr>
        <w:tc>
          <w:tcPr>
            <w:tcW w:w="20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292"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438,797.06</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1,305,632.33</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2,760,415.47</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10,064,066.03</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14,568,910.89</w:t>
            </w:r>
          </w:p>
        </w:tc>
      </w:tr>
      <w:tr>
        <w:trPr>
          <w:trHeight w:val="398" w:hRule="exact"/>
        </w:trPr>
        <w:tc>
          <w:tcPr>
            <w:tcW w:w="20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转出或其他</w:t>
            </w:r>
          </w:p>
        </w:tc>
        <w:tc>
          <w:tcPr>
            <w:tcW w:w="1292"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0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267,900,100.87</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60,993,527.92</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20,276,098.51</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45,165,681.84</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9,098,203.49</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403,433,612.63</w:t>
            </w:r>
          </w:p>
        </w:tc>
      </w:tr>
      <w:tr>
        <w:trPr>
          <w:trHeight w:val="413" w:hRule="exact"/>
        </w:trPr>
        <w:tc>
          <w:tcPr>
            <w:tcW w:w="20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292"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0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65,669,443.97</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50,031,496.07</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15,612,395.65</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33,234,495.20</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14,439,629.14</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178,987,460.03</w:t>
            </w:r>
          </w:p>
        </w:tc>
      </w:tr>
      <w:tr>
        <w:trPr>
          <w:trHeight w:val="398" w:hRule="exact"/>
        </w:trPr>
        <w:tc>
          <w:tcPr>
            <w:tcW w:w="20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8,345,525.83</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2,467,866.87</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1,448,052.39</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4,600,611.65</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647,897.07</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17,509,953.81</w:t>
            </w:r>
          </w:p>
        </w:tc>
      </w:tr>
      <w:tr>
        <w:trPr>
          <w:trHeight w:val="403" w:hRule="exact"/>
        </w:trPr>
        <w:tc>
          <w:tcPr>
            <w:tcW w:w="20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6,508,096.24</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2,467,866.87</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1,448,052.39</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3,603,194.30</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483,534.00</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14,510,743.80</w:t>
            </w:r>
          </w:p>
        </w:tc>
      </w:tr>
      <w:tr>
        <w:trPr>
          <w:trHeight w:val="404" w:hRule="exact"/>
        </w:trPr>
        <w:tc>
          <w:tcPr>
            <w:tcW w:w="20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1,837,429.59</w:t>
            </w:r>
          </w:p>
        </w:tc>
        <w:tc>
          <w:tcPr>
            <w:tcW w:w="1148"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997,417.35</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164,363.07</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2,999,210.01</w:t>
            </w:r>
          </w:p>
        </w:tc>
      </w:tr>
      <w:tr>
        <w:trPr>
          <w:trHeight w:val="408" w:hRule="exact"/>
        </w:trPr>
        <w:tc>
          <w:tcPr>
            <w:tcW w:w="20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292"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416,857.22</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1,187,055.37</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2,636,916.38</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9,557,255.91</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13,798,084.88</w:t>
            </w:r>
          </w:p>
        </w:tc>
      </w:tr>
      <w:tr>
        <w:trPr>
          <w:trHeight w:val="403" w:hRule="exact"/>
        </w:trPr>
        <w:tc>
          <w:tcPr>
            <w:tcW w:w="20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292"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416,857.22</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1,187,055.37</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2,636,916.38</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9,557,255.91</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13,798,084.88</w:t>
            </w:r>
          </w:p>
        </w:tc>
      </w:tr>
      <w:tr>
        <w:trPr>
          <w:trHeight w:val="403" w:hRule="exact"/>
        </w:trPr>
        <w:tc>
          <w:tcPr>
            <w:tcW w:w="20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74,014,969.80</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52,082,505.72</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15,873,392.67</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35,198,190.47</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5,530,270.30</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182,699,328.96</w:t>
            </w:r>
          </w:p>
        </w:tc>
      </w:tr>
      <w:tr>
        <w:trPr>
          <w:trHeight w:val="404" w:hRule="exact"/>
        </w:trPr>
        <w:tc>
          <w:tcPr>
            <w:tcW w:w="20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292"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0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292"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34,032.34</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162,964.91</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196,997.25</w:t>
            </w:r>
          </w:p>
        </w:tc>
      </w:tr>
      <w:tr>
        <w:trPr>
          <w:trHeight w:val="413" w:hRule="exact"/>
        </w:trPr>
        <w:tc>
          <w:tcPr>
            <w:tcW w:w="20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292"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0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292"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0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292"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440.00</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399.90</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839.90</w:t>
            </w:r>
          </w:p>
        </w:tc>
      </w:tr>
      <w:tr>
        <w:trPr>
          <w:trHeight w:val="399" w:hRule="exact"/>
        </w:trPr>
        <w:tc>
          <w:tcPr>
            <w:tcW w:w="20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292"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440.00</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399.90</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839.90</w:t>
            </w:r>
          </w:p>
        </w:tc>
      </w:tr>
      <w:tr>
        <w:trPr>
          <w:trHeight w:val="403" w:hRule="exact"/>
        </w:trPr>
        <w:tc>
          <w:tcPr>
            <w:tcW w:w="20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292"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33,592.34</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162,565.01</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196,157.35</w:t>
            </w:r>
          </w:p>
        </w:tc>
      </w:tr>
      <w:tr>
        <w:trPr>
          <w:trHeight w:val="413" w:hRule="exact"/>
        </w:trPr>
        <w:tc>
          <w:tcPr>
            <w:tcW w:w="20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292"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0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193,885,131.07</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8,911,022.20</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4,402,705.84</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9,933,899.03</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3,405,368.18</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220,538,126.32</w:t>
            </w:r>
          </w:p>
        </w:tc>
      </w:tr>
      <w:tr>
        <w:trPr>
          <w:trHeight w:val="404" w:hRule="exact"/>
        </w:trPr>
        <w:tc>
          <w:tcPr>
            <w:tcW w:w="20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8"/>
                <w:szCs w:val="18"/>
              </w:rPr>
            </w:pPr>
            <w:r>
              <w:rPr>
                <w:rFonts w:ascii="Times New Roman"/>
                <w:spacing w:val="-1"/>
                <w:sz w:val="18"/>
              </w:rPr>
              <w:t>197,447,515.56</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8"/>
                <w:szCs w:val="18"/>
              </w:rPr>
            </w:pPr>
            <w:r>
              <w:rPr>
                <w:rFonts w:ascii="Times New Roman"/>
                <w:spacing w:val="-1"/>
                <w:sz w:val="18"/>
              </w:rPr>
              <w:t>10,486,664.75</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5,963,421.30</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pacing w:val="-1"/>
                <w:sz w:val="18"/>
              </w:rPr>
              <w:t>9,505,809.50</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3,735,756.92</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8"/>
                <w:szCs w:val="18"/>
              </w:rPr>
            </w:pPr>
            <w:r>
              <w:rPr>
                <w:rFonts w:ascii="Times New Roman"/>
                <w:spacing w:val="-1"/>
                <w:sz w:val="18"/>
              </w:rPr>
              <w:t>227,139,168.03</w:t>
            </w:r>
          </w:p>
        </w:tc>
      </w:tr>
    </w:tbl>
    <w:p>
      <w:pPr>
        <w:spacing w:line="240" w:lineRule="auto" w:before="3"/>
        <w:rPr>
          <w:rFonts w:ascii="宋体" w:hAnsi="宋体" w:cs="宋体" w:eastAsia="宋体" w:hint="default"/>
          <w:sz w:val="19"/>
          <w:szCs w:val="19"/>
        </w:rPr>
      </w:pPr>
    </w:p>
    <w:p>
      <w:pPr>
        <w:pStyle w:val="Heading4"/>
        <w:spacing w:line="240" w:lineRule="auto" w:before="36"/>
        <w:ind w:right="855"/>
        <w:jc w:val="left"/>
        <w:rPr>
          <w:b w:val="0"/>
          <w:bCs w:val="0"/>
        </w:rPr>
      </w:pP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10"/>
        <w:rPr>
          <w:rFonts w:ascii="宋体" w:hAnsi="宋体" w:cs="宋体" w:eastAsia="宋体" w:hint="default"/>
          <w:b/>
          <w:bCs/>
          <w:sz w:val="24"/>
          <w:szCs w:val="24"/>
        </w:rPr>
      </w:pPr>
    </w:p>
    <w:p>
      <w:pPr>
        <w:spacing w:before="0"/>
        <w:ind w:left="153" w:right="85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）未办妥产权证书的固定资产情况</w:t>
      </w:r>
      <w:r>
        <w:rPr>
          <w:rFonts w:ascii="宋体" w:hAnsi="宋体" w:cs="宋体" w:eastAsia="宋体" w:hint="default"/>
          <w:sz w:val="21"/>
          <w:szCs w:val="21"/>
        </w:rPr>
      </w:r>
    </w:p>
    <w:p>
      <w:pPr>
        <w:spacing w:line="240" w:lineRule="auto" w:before="11"/>
        <w:rPr>
          <w:rFonts w:ascii="宋体" w:hAnsi="宋体" w:cs="宋体" w:eastAsia="宋体" w:hint="default"/>
          <w:b/>
          <w:bCs/>
          <w:sz w:val="22"/>
          <w:szCs w:val="22"/>
        </w:rPr>
      </w:pPr>
    </w:p>
    <w:p>
      <w:pPr>
        <w:pStyle w:val="BodyText"/>
        <w:spacing w:line="240" w:lineRule="auto" w:before="46"/>
        <w:ind w:left="0" w:right="1121"/>
        <w:jc w:val="right"/>
      </w:pPr>
      <w:r>
        <w:rPr/>
        <w:t>单位：</w:t>
      </w:r>
      <w:r>
        <w:rPr>
          <w:spacing w:val="5"/>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3"/>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91"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spacing w:after="0" w:line="240" w:lineRule="auto"/>
        <w:jc w:val="left"/>
        <w:rPr>
          <w:rFonts w:ascii="宋体" w:hAnsi="宋体" w:cs="宋体" w:eastAsia="宋体" w:hint="default"/>
          <w:sz w:val="18"/>
          <w:szCs w:val="18"/>
        </w:rPr>
        <w:sectPr>
          <w:pgSz w:w="11910" w:h="16840"/>
          <w:pgMar w:header="746" w:footer="974" w:top="1060" w:bottom="1160" w:left="980" w:right="0"/>
        </w:sectPr>
      </w:pPr>
    </w:p>
    <w:p>
      <w:pPr>
        <w:spacing w:line="240" w:lineRule="auto" w:before="6"/>
        <w:rPr>
          <w:rFonts w:ascii="宋体" w:hAnsi="宋体" w:cs="宋体" w:eastAsia="宋体" w:hint="default"/>
          <w:sz w:val="28"/>
          <w:szCs w:val="28"/>
        </w:rPr>
      </w:pPr>
    </w:p>
    <w:tbl>
      <w:tblPr>
        <w:tblW w:w="0" w:type="auto"/>
        <w:jc w:val="left"/>
        <w:tblInd w:w="388" w:type="dxa"/>
        <w:tblLayout w:type="fixed"/>
        <w:tblCellMar>
          <w:top w:w="0" w:type="dxa"/>
          <w:left w:w="0" w:type="dxa"/>
          <w:bottom w:w="0" w:type="dxa"/>
          <w:right w:w="0" w:type="dxa"/>
        </w:tblCellMar>
        <w:tblLook w:val="01E0"/>
      </w:tblPr>
      <w:tblGrid>
        <w:gridCol w:w="3189"/>
        <w:gridCol w:w="3193"/>
        <w:gridCol w:w="3193"/>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车道沟南里厂房</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153,402.79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小产权房</w:t>
            </w:r>
          </w:p>
        </w:tc>
      </w:tr>
      <w:tr>
        <w:trPr>
          <w:trHeight w:val="398"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中天融域车位</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B068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82,331.60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正在办理</w:t>
            </w:r>
          </w:p>
        </w:tc>
      </w:tr>
      <w:tr>
        <w:trPr>
          <w:trHeight w:val="40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中天融域车位</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B069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pacing w:val="-1"/>
                <w:sz w:val="18"/>
              </w:rPr>
              <w:t>82,331.60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正在办理</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中天融域车位</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B070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82,331.60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正在办理</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中天融域</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幢</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单元</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1203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603,678.40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正在办理</w:t>
            </w:r>
          </w:p>
        </w:tc>
      </w:tr>
    </w:tbl>
    <w:p>
      <w:pPr>
        <w:spacing w:line="240" w:lineRule="auto" w:before="3"/>
        <w:rPr>
          <w:rFonts w:ascii="宋体" w:hAnsi="宋体" w:cs="宋体" w:eastAsia="宋体" w:hint="default"/>
          <w:sz w:val="19"/>
          <w:szCs w:val="19"/>
        </w:rPr>
      </w:pPr>
    </w:p>
    <w:p>
      <w:pPr>
        <w:pStyle w:val="Heading4"/>
        <w:spacing w:line="240" w:lineRule="auto" w:before="36"/>
        <w:ind w:left="393" w:right="0"/>
        <w:jc w:val="left"/>
        <w:rPr>
          <w:b w:val="0"/>
          <w:bCs w:val="0"/>
        </w:rPr>
      </w:pPr>
      <w:r>
        <w:rPr/>
        <w:t>（</w:t>
      </w:r>
      <w:r>
        <w:rPr>
          <w:rFonts w:ascii="Times New Roman" w:hAnsi="Times New Roman" w:cs="Times New Roman" w:eastAsia="Times New Roman" w:hint="default"/>
        </w:rPr>
        <w:t>4</w:t>
      </w:r>
      <w:r>
        <w:rPr/>
        <w:t>）固定资产清理</w:t>
      </w:r>
      <w:r>
        <w:rPr>
          <w:b w:val="0"/>
          <w:bCs w:val="0"/>
        </w:rPr>
      </w:r>
    </w:p>
    <w:p>
      <w:pPr>
        <w:spacing w:line="240" w:lineRule="auto" w:before="5"/>
        <w:rPr>
          <w:rFonts w:ascii="宋体" w:hAnsi="宋体" w:cs="宋体" w:eastAsia="宋体" w:hint="default"/>
          <w:b/>
          <w:bCs/>
          <w:sz w:val="24"/>
          <w:szCs w:val="24"/>
        </w:rPr>
      </w:pPr>
    </w:p>
    <w:p>
      <w:pPr>
        <w:spacing w:before="0"/>
        <w:ind w:left="393"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14</w:t>
      </w:r>
      <w:r>
        <w:rPr>
          <w:rFonts w:ascii="宋体" w:hAnsi="宋体" w:cs="宋体" w:eastAsia="宋体" w:hint="default"/>
          <w:b/>
          <w:bCs/>
          <w:sz w:val="21"/>
          <w:szCs w:val="21"/>
        </w:rPr>
        <w:t>、无形资产</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393"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）无形资产情况</w:t>
      </w:r>
      <w:r>
        <w:rPr>
          <w:rFonts w:ascii="宋体" w:hAnsi="宋体" w:cs="宋体" w:eastAsia="宋体" w:hint="default"/>
          <w:sz w:val="21"/>
          <w:szCs w:val="21"/>
        </w:rPr>
      </w:r>
    </w:p>
    <w:p>
      <w:pPr>
        <w:spacing w:line="240" w:lineRule="auto" w:before="2"/>
        <w:rPr>
          <w:rFonts w:ascii="宋体" w:hAnsi="宋体" w:cs="宋体" w:eastAsia="宋体" w:hint="default"/>
          <w:b/>
          <w:bCs/>
          <w:sz w:val="23"/>
          <w:szCs w:val="23"/>
        </w:rPr>
      </w:pPr>
    </w:p>
    <w:p>
      <w:pPr>
        <w:pStyle w:val="BodyText"/>
        <w:spacing w:line="240" w:lineRule="auto" w:before="46"/>
        <w:ind w:left="0" w:right="1121"/>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14" w:type="dxa"/>
        <w:tblLayout w:type="fixed"/>
        <w:tblCellMar>
          <w:top w:w="0" w:type="dxa"/>
          <w:left w:w="0" w:type="dxa"/>
          <w:bottom w:w="0" w:type="dxa"/>
          <w:right w:w="0" w:type="dxa"/>
        </w:tblCellMar>
        <w:tblLook w:val="01E0"/>
      </w:tblPr>
      <w:tblGrid>
        <w:gridCol w:w="1988"/>
        <w:gridCol w:w="1133"/>
        <w:gridCol w:w="1133"/>
        <w:gridCol w:w="1278"/>
        <w:gridCol w:w="1133"/>
        <w:gridCol w:w="1133"/>
        <w:gridCol w:w="1172"/>
        <w:gridCol w:w="1220"/>
      </w:tblGrid>
      <w:tr>
        <w:trPr>
          <w:trHeight w:val="403"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5"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92"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82"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 w:right="0"/>
              <w:jc w:val="center"/>
              <w:rPr>
                <w:rFonts w:ascii="宋体" w:hAnsi="宋体" w:cs="宋体" w:eastAsia="宋体" w:hint="default"/>
                <w:sz w:val="18"/>
                <w:szCs w:val="18"/>
              </w:rPr>
            </w:pPr>
            <w:r>
              <w:rPr>
                <w:rFonts w:ascii="宋体" w:hAnsi="宋体" w:cs="宋体" w:eastAsia="宋体" w:hint="default"/>
                <w:sz w:val="18"/>
                <w:szCs w:val="18"/>
              </w:rPr>
              <w:t>软件</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92" w:right="0"/>
              <w:jc w:val="left"/>
              <w:rPr>
                <w:rFonts w:ascii="宋体" w:hAnsi="宋体" w:cs="宋体" w:eastAsia="宋体" w:hint="default"/>
                <w:sz w:val="18"/>
                <w:szCs w:val="18"/>
              </w:rPr>
            </w:pPr>
            <w:r>
              <w:rPr>
                <w:rFonts w:ascii="宋体" w:hAnsi="宋体" w:cs="宋体" w:eastAsia="宋体" w:hint="default"/>
                <w:sz w:val="18"/>
                <w:szCs w:val="18"/>
              </w:rPr>
              <w:t>著作权</w:t>
            </w:r>
          </w:p>
        </w:tc>
        <w:tc>
          <w:tcPr>
            <w:tcW w:w="1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98"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
        </w:tc>
        <w:tc>
          <w:tcPr>
            <w:tcW w:w="122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期初余额</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40,588,039.12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74,481,904.85</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138,625,208.09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12,636,547.27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34,331,526.61</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39,277,400.00</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339,940,625.94</w:t>
            </w:r>
          </w:p>
        </w:tc>
      </w:tr>
      <w:tr>
        <w:trPr>
          <w:trHeight w:val="404"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本期增加金额</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625,354.72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2,880,182.09</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15,673,140.21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13,237,771.51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7,155,230.34</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3,126,849.80</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42,698,528.67</w:t>
            </w:r>
          </w:p>
        </w:tc>
      </w:tr>
      <w:tr>
        <w:trPr>
          <w:trHeight w:val="403"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480,182.09</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7,443,522.35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6,464,382.43</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14,388,086.87</w:t>
            </w:r>
          </w:p>
        </w:tc>
      </w:tr>
      <w:tr>
        <w:trPr>
          <w:trHeight w:val="398"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）内部研发</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625,354.72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2,400,000.00</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8,229,617.86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5,859,864.35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7,155,230.34</w:t>
            </w:r>
          </w:p>
        </w:tc>
        <w:tc>
          <w:tcPr>
            <w:tcW w:w="1172" w:type="dxa"/>
            <w:tcBorders>
              <w:top w:val="single" w:sz="4" w:space="0" w:color="000000"/>
              <w:left w:val="single" w:sz="4" w:space="0" w:color="000000"/>
              <w:bottom w:val="single" w:sz="4" w:space="0" w:color="000000"/>
              <w:right w:val="single" w:sz="4" w:space="0" w:color="000000"/>
            </w:tcBorders>
          </w:tcPr>
          <w:p>
            <w:pP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24,270,067.27</w:t>
            </w:r>
          </w:p>
        </w:tc>
      </w:tr>
      <w:tr>
        <w:trPr>
          <w:trHeight w:val="715"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5" w:lineRule="auto" w:before="58"/>
              <w:ind w:left="24" w:right="56"/>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）企业合并增</w:t>
            </w:r>
            <w:r>
              <w:rPr>
                <w:rFonts w:ascii="宋体" w:hAnsi="宋体" w:cs="宋体" w:eastAsia="宋体" w:hint="default"/>
                <w:w w:val="101"/>
                <w:sz w:val="18"/>
                <w:szCs w:val="18"/>
              </w:rPr>
              <w:t> </w:t>
            </w:r>
            <w:r>
              <w:rPr>
                <w:rFonts w:ascii="宋体" w:hAnsi="宋体" w:cs="宋体" w:eastAsia="宋体" w:hint="default"/>
                <w:sz w:val="18"/>
                <w:szCs w:val="18"/>
              </w:rPr>
              <w:t>加</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
        </w:tc>
        <w:tc>
          <w:tcPr>
            <w:tcW w:w="1220" w:type="dxa"/>
            <w:tcBorders>
              <w:top w:val="single" w:sz="4" w:space="0" w:color="000000"/>
              <w:left w:val="single" w:sz="4" w:space="0" w:color="000000"/>
              <w:bottom w:val="single" w:sz="4" w:space="0" w:color="000000"/>
              <w:right w:val="single" w:sz="4" w:space="0" w:color="000000"/>
            </w:tcBorders>
          </w:tcPr>
          <w:p>
            <w:pPr/>
          </w:p>
        </w:tc>
      </w:tr>
      <w:tr>
        <w:trPr>
          <w:trHeight w:val="413"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转入</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913,524.73</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3,126,849.80</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4,040,374.53</w:t>
            </w:r>
          </w:p>
        </w:tc>
      </w:tr>
      <w:tr>
        <w:trPr>
          <w:trHeight w:val="403"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913,524.73</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3,126,849.80</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4,040,374.53</w:t>
            </w:r>
          </w:p>
        </w:tc>
      </w:tr>
      <w:tr>
        <w:trPr>
          <w:trHeight w:val="403"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
        </w:tc>
        <w:tc>
          <w:tcPr>
            <w:tcW w:w="1220"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
        </w:tc>
        <w:tc>
          <w:tcPr>
            <w:tcW w:w="1220" w:type="dxa"/>
            <w:tcBorders>
              <w:top w:val="single" w:sz="4" w:space="0" w:color="000000"/>
              <w:left w:val="single" w:sz="4" w:space="0" w:color="000000"/>
              <w:bottom w:val="single" w:sz="4" w:space="0" w:color="000000"/>
              <w:right w:val="single" w:sz="4" w:space="0" w:color="000000"/>
            </w:tcBorders>
          </w:tcPr>
          <w:p>
            <w:pPr/>
          </w:p>
        </w:tc>
      </w:tr>
      <w:tr>
        <w:trPr>
          <w:trHeight w:val="423"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期末余额</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2"/>
              <w:jc w:val="right"/>
              <w:rPr>
                <w:rFonts w:ascii="Times New Roman" w:hAnsi="Times New Roman" w:cs="Times New Roman" w:eastAsia="Times New Roman" w:hint="default"/>
                <w:sz w:val="18"/>
                <w:szCs w:val="18"/>
              </w:rPr>
            </w:pPr>
            <w:r>
              <w:rPr>
                <w:rFonts w:ascii="Times New Roman"/>
                <w:spacing w:val="-1"/>
                <w:sz w:val="18"/>
              </w:rPr>
              <w:t>41,213,393.84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2"/>
              <w:jc w:val="right"/>
              <w:rPr>
                <w:rFonts w:ascii="Times New Roman" w:hAnsi="Times New Roman" w:cs="Times New Roman" w:eastAsia="Times New Roman" w:hint="default"/>
                <w:sz w:val="18"/>
                <w:szCs w:val="18"/>
              </w:rPr>
            </w:pPr>
            <w:r>
              <w:rPr>
                <w:rFonts w:ascii="Times New Roman"/>
                <w:spacing w:val="-1"/>
                <w:sz w:val="18"/>
              </w:rPr>
              <w:t>77,362,086.94</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7"/>
              <w:jc w:val="right"/>
              <w:rPr>
                <w:rFonts w:ascii="Times New Roman" w:hAnsi="Times New Roman" w:cs="Times New Roman" w:eastAsia="Times New Roman" w:hint="default"/>
                <w:sz w:val="18"/>
                <w:szCs w:val="18"/>
              </w:rPr>
            </w:pPr>
            <w:r>
              <w:rPr>
                <w:rFonts w:ascii="Times New Roman"/>
                <w:spacing w:val="-1"/>
                <w:sz w:val="18"/>
              </w:rPr>
              <w:t>154,298,348.30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3"/>
              <w:jc w:val="right"/>
              <w:rPr>
                <w:rFonts w:ascii="Times New Roman" w:hAnsi="Times New Roman" w:cs="Times New Roman" w:eastAsia="Times New Roman" w:hint="default"/>
                <w:sz w:val="18"/>
                <w:szCs w:val="18"/>
              </w:rPr>
            </w:pPr>
            <w:r>
              <w:rPr>
                <w:rFonts w:ascii="Times New Roman"/>
                <w:spacing w:val="-1"/>
                <w:sz w:val="18"/>
              </w:rPr>
              <w:t>25,874,318.78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3"/>
              <w:jc w:val="right"/>
              <w:rPr>
                <w:rFonts w:ascii="Times New Roman" w:hAnsi="Times New Roman" w:cs="Times New Roman" w:eastAsia="Times New Roman" w:hint="default"/>
                <w:sz w:val="18"/>
                <w:szCs w:val="18"/>
              </w:rPr>
            </w:pPr>
            <w:r>
              <w:rPr>
                <w:rFonts w:ascii="Times New Roman"/>
                <w:spacing w:val="-1"/>
                <w:sz w:val="18"/>
              </w:rPr>
              <w:t>41,486,756.95</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8"/>
              <w:jc w:val="right"/>
              <w:rPr>
                <w:rFonts w:ascii="Times New Roman" w:hAnsi="Times New Roman" w:cs="Times New Roman" w:eastAsia="Times New Roman" w:hint="default"/>
                <w:sz w:val="18"/>
                <w:szCs w:val="18"/>
              </w:rPr>
            </w:pPr>
            <w:r>
              <w:rPr>
                <w:rFonts w:ascii="Times New Roman"/>
                <w:spacing w:val="-1"/>
                <w:sz w:val="18"/>
              </w:rPr>
              <w:t>42,404,249.80</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7"/>
              <w:jc w:val="right"/>
              <w:rPr>
                <w:rFonts w:ascii="Times New Roman" w:hAnsi="Times New Roman" w:cs="Times New Roman" w:eastAsia="Times New Roman" w:hint="default"/>
                <w:sz w:val="18"/>
                <w:szCs w:val="18"/>
              </w:rPr>
            </w:pPr>
            <w:r>
              <w:rPr>
                <w:rFonts w:ascii="Times New Roman"/>
                <w:spacing w:val="-1"/>
                <w:sz w:val="18"/>
              </w:rPr>
              <w:t>382,639,154.61</w:t>
            </w:r>
          </w:p>
        </w:tc>
      </w:tr>
      <w:tr>
        <w:trPr>
          <w:trHeight w:val="403"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
        </w:tc>
        <w:tc>
          <w:tcPr>
            <w:tcW w:w="122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期初余额</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9,827,698.66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36,642,438.57</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100,564,502.50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4,692,129.41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15,827,430.78</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327,311.67</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167,881,511.59</w:t>
            </w:r>
          </w:p>
        </w:tc>
      </w:tr>
      <w:tr>
        <w:trPr>
          <w:trHeight w:val="398"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本期增加金额</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1,029,860.53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2,034,354.94</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8,064,862.77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1,290,269.45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7,118,273.44</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3,927,740.00</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23,465,361.13</w:t>
            </w:r>
          </w:p>
        </w:tc>
      </w:tr>
      <w:tr>
        <w:trPr>
          <w:trHeight w:val="404"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837,190.85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2,034,354.94</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8,064,862.77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1,282,656.74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7,118,273.44</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3,927,740.00</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23,265,078.74</w:t>
            </w:r>
          </w:p>
        </w:tc>
      </w:tr>
      <w:tr>
        <w:trPr>
          <w:trHeight w:val="403"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转入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192,669.68</w:t>
            </w:r>
          </w:p>
        </w:tc>
        <w:tc>
          <w:tcPr>
            <w:tcW w:w="1133"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192,669.68</w:t>
            </w:r>
          </w:p>
        </w:tc>
      </w:tr>
      <w:tr>
        <w:trPr>
          <w:trHeight w:val="403"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7,612.71</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7,612.71</w:t>
            </w:r>
          </w:p>
        </w:tc>
      </w:tr>
      <w:tr>
        <w:trPr>
          <w:trHeight w:val="398"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本期减少金额</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
        </w:tc>
        <w:tc>
          <w:tcPr>
            <w:tcW w:w="122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
        </w:tc>
        <w:tc>
          <w:tcPr>
            <w:tcW w:w="122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期末余额</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10,857,559.19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38,676,793.51</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108,629,365.27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5,982,398.86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22,945,704.22</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4,255,051.67</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191,346,872.72</w:t>
            </w:r>
          </w:p>
        </w:tc>
      </w:tr>
      <w:tr>
        <w:trPr>
          <w:trHeight w:val="403"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
        </w:tc>
        <w:tc>
          <w:tcPr>
            <w:tcW w:w="122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6" w:footer="974" w:top="1060" w:bottom="1160" w:left="740" w:right="0"/>
        </w:sectPr>
      </w:pPr>
    </w:p>
    <w:p>
      <w:pPr>
        <w:spacing w:line="240" w:lineRule="auto" w:before="6"/>
        <w:rPr>
          <w:rFonts w:ascii="宋体" w:hAnsi="宋体" w:cs="宋体" w:eastAsia="宋体" w:hint="default"/>
          <w:sz w:val="28"/>
          <w:szCs w:val="28"/>
        </w:rPr>
      </w:pPr>
    </w:p>
    <w:tbl>
      <w:tblPr>
        <w:tblW w:w="0" w:type="auto"/>
        <w:jc w:val="left"/>
        <w:tblInd w:w="114" w:type="dxa"/>
        <w:tblLayout w:type="fixed"/>
        <w:tblCellMar>
          <w:top w:w="0" w:type="dxa"/>
          <w:left w:w="0" w:type="dxa"/>
          <w:bottom w:w="0" w:type="dxa"/>
          <w:right w:w="0" w:type="dxa"/>
        </w:tblCellMar>
        <w:tblLook w:val="01E0"/>
      </w:tblPr>
      <w:tblGrid>
        <w:gridCol w:w="1988"/>
        <w:gridCol w:w="1133"/>
        <w:gridCol w:w="1133"/>
        <w:gridCol w:w="1278"/>
        <w:gridCol w:w="1133"/>
        <w:gridCol w:w="1133"/>
        <w:gridCol w:w="1172"/>
        <w:gridCol w:w="1220"/>
      </w:tblGrid>
      <w:tr>
        <w:trPr>
          <w:trHeight w:val="403"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期初余额</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31,465,992.13</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11,032,922.61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479,685.92</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42,978,600.66</w:t>
            </w:r>
          </w:p>
        </w:tc>
      </w:tr>
      <w:tr>
        <w:trPr>
          <w:trHeight w:val="533"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6"/>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本期增加金额</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
        </w:tc>
        <w:tc>
          <w:tcPr>
            <w:tcW w:w="122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
        </w:tc>
        <w:tc>
          <w:tcPr>
            <w:tcW w:w="1220"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本期减少金额</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
        </w:tc>
        <w:tc>
          <w:tcPr>
            <w:tcW w:w="122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
        </w:tc>
        <w:tc>
          <w:tcPr>
            <w:tcW w:w="122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期末余额</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31,465,992.13</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11,032,922.61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479,685.92</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42,978,600.66</w:t>
            </w:r>
          </w:p>
        </w:tc>
      </w:tr>
      <w:tr>
        <w:trPr>
          <w:trHeight w:val="404"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
        </w:tc>
        <w:tc>
          <w:tcPr>
            <w:tcW w:w="1220"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期末账面价值</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2" w:right="0"/>
              <w:jc w:val="center"/>
              <w:rPr>
                <w:rFonts w:ascii="Times New Roman" w:hAnsi="Times New Roman" w:cs="Times New Roman" w:eastAsia="Times New Roman" w:hint="default"/>
                <w:sz w:val="18"/>
                <w:szCs w:val="18"/>
              </w:rPr>
            </w:pPr>
            <w:r>
              <w:rPr>
                <w:rFonts w:ascii="Times New Roman"/>
                <w:sz w:val="18"/>
              </w:rPr>
              <w:t>30,355,834.65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7,219,301.30</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34,636,060.42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19,412,234.00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18,541,052.73</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38,149,198.13</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148,313,681.23</w:t>
            </w:r>
          </w:p>
        </w:tc>
      </w:tr>
      <w:tr>
        <w:trPr>
          <w:trHeight w:val="403"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期初账面价值</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2" w:right="0"/>
              <w:jc w:val="center"/>
              <w:rPr>
                <w:rFonts w:ascii="Times New Roman" w:hAnsi="Times New Roman" w:cs="Times New Roman" w:eastAsia="Times New Roman" w:hint="default"/>
                <w:sz w:val="18"/>
                <w:szCs w:val="18"/>
              </w:rPr>
            </w:pPr>
            <w:r>
              <w:rPr>
                <w:rFonts w:ascii="Times New Roman"/>
                <w:sz w:val="18"/>
              </w:rPr>
              <w:t>30,760,340.46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6,373,474.15</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27,027,782.98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7,464,731.94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18,504,095.83</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38,950,088.33</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129,080,513.69</w:t>
            </w:r>
          </w:p>
        </w:tc>
      </w:tr>
    </w:tbl>
    <w:p>
      <w:pPr>
        <w:pStyle w:val="BodyText"/>
        <w:spacing w:line="240" w:lineRule="auto" w:before="53"/>
        <w:ind w:left="393" w:right="0"/>
        <w:jc w:val="left"/>
      </w:pPr>
      <w:r>
        <w:rPr>
          <w:spacing w:val="-3"/>
        </w:rPr>
        <w:t>本期末通过公司内部研发形成的无形资产占无形资产余额的比例</w:t>
      </w:r>
      <w:r>
        <w:rPr>
          <w:spacing w:val="37"/>
        </w:rPr>
        <w:t> </w:t>
      </w:r>
      <w:r>
        <w:rPr>
          <w:rFonts w:ascii="Times New Roman" w:hAnsi="Times New Roman" w:cs="Times New Roman" w:eastAsia="Times New Roman" w:hint="default"/>
        </w:rPr>
        <w:t>0.00%</w:t>
      </w:r>
      <w:r>
        <w:rPr/>
        <w:t>。</w:t>
      </w:r>
    </w:p>
    <w:p>
      <w:pPr>
        <w:spacing w:line="240" w:lineRule="auto" w:before="8"/>
        <w:rPr>
          <w:rFonts w:ascii="宋体" w:hAnsi="宋体" w:cs="宋体" w:eastAsia="宋体" w:hint="default"/>
          <w:sz w:val="25"/>
          <w:szCs w:val="25"/>
        </w:rPr>
      </w:pPr>
    </w:p>
    <w:p>
      <w:pPr>
        <w:pStyle w:val="Heading4"/>
        <w:spacing w:line="240" w:lineRule="auto"/>
        <w:ind w:left="393" w:right="0"/>
        <w:jc w:val="left"/>
        <w:rPr>
          <w:b w:val="0"/>
          <w:bCs w:val="0"/>
        </w:rPr>
      </w:pP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393" w:right="0"/>
        <w:jc w:val="left"/>
      </w:pPr>
      <w:r>
        <w:rPr/>
        <w:t>其他说明：</w:t>
      </w:r>
    </w:p>
    <w:p>
      <w:pPr>
        <w:spacing w:line="240" w:lineRule="auto" w:before="0"/>
        <w:rPr>
          <w:rFonts w:ascii="宋体" w:hAnsi="宋体" w:cs="宋体" w:eastAsia="宋体" w:hint="default"/>
          <w:sz w:val="15"/>
          <w:szCs w:val="15"/>
        </w:rPr>
      </w:pPr>
    </w:p>
    <w:p>
      <w:pPr>
        <w:pStyle w:val="BodyText"/>
        <w:spacing w:line="240" w:lineRule="auto"/>
        <w:ind w:left="724" w:right="0"/>
        <w:jc w:val="left"/>
      </w:pPr>
      <w:r>
        <w:rPr>
          <w:spacing w:val="-3"/>
        </w:rPr>
        <w:t>（</w:t>
      </w:r>
      <w:r>
        <w:rPr>
          <w:rFonts w:ascii="Times New Roman" w:hAnsi="Times New Roman" w:cs="Times New Roman" w:eastAsia="Times New Roman" w:hint="default"/>
          <w:spacing w:val="-3"/>
        </w:rPr>
        <w:t>2</w:t>
      </w:r>
      <w:r>
        <w:rPr>
          <w:spacing w:val="-3"/>
        </w:rPr>
        <w:t>）年末无形资产不存在减值情形，无需计提无形资产减值准备。</w:t>
      </w:r>
    </w:p>
    <w:p>
      <w:pPr>
        <w:spacing w:line="240" w:lineRule="auto" w:before="0"/>
        <w:rPr>
          <w:rFonts w:ascii="宋体" w:hAnsi="宋体" w:cs="宋体" w:eastAsia="宋体" w:hint="default"/>
          <w:sz w:val="14"/>
          <w:szCs w:val="14"/>
        </w:rPr>
      </w:pPr>
    </w:p>
    <w:p>
      <w:pPr>
        <w:pStyle w:val="BodyText"/>
        <w:spacing w:line="240" w:lineRule="auto"/>
        <w:ind w:left="724" w:right="0"/>
        <w:jc w:val="left"/>
      </w:pPr>
      <w:r>
        <w:rPr>
          <w:spacing w:val="-3"/>
        </w:rPr>
        <w:t>（</w:t>
      </w:r>
      <w:r>
        <w:rPr>
          <w:rFonts w:ascii="Times New Roman" w:hAnsi="Times New Roman" w:cs="Times New Roman" w:eastAsia="Times New Roman" w:hint="default"/>
          <w:spacing w:val="-3"/>
        </w:rPr>
        <w:t>3</w:t>
      </w:r>
      <w:r>
        <w:rPr>
          <w:spacing w:val="-3"/>
        </w:rPr>
        <w:t>）年末无形资产抵押情况。</w:t>
      </w:r>
    </w:p>
    <w:p>
      <w:pPr>
        <w:spacing w:line="240" w:lineRule="auto" w:before="13"/>
        <w:rPr>
          <w:rFonts w:ascii="宋体" w:hAnsi="宋体" w:cs="宋体" w:eastAsia="宋体" w:hint="default"/>
          <w:sz w:val="25"/>
          <w:szCs w:val="25"/>
        </w:rPr>
      </w:pPr>
    </w:p>
    <w:p>
      <w:pPr>
        <w:pStyle w:val="Heading4"/>
        <w:spacing w:line="240" w:lineRule="auto"/>
        <w:ind w:left="393" w:right="0"/>
        <w:jc w:val="left"/>
        <w:rPr>
          <w:b w:val="0"/>
          <w:bCs w:val="0"/>
        </w:rPr>
      </w:pPr>
      <w:r>
        <w:rPr>
          <w:rFonts w:ascii="Times New Roman" w:hAnsi="Times New Roman" w:cs="Times New Roman" w:eastAsia="Times New Roman" w:hint="default"/>
        </w:rPr>
        <w:t>15</w:t>
      </w:r>
      <w:r>
        <w:rPr/>
        <w:t>、开发支出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6"/>
        <w:ind w:left="0" w:right="1121"/>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388" w:type="dxa"/>
        <w:tblLayout w:type="fixed"/>
        <w:tblCellMar>
          <w:top w:w="0" w:type="dxa"/>
          <w:left w:w="0" w:type="dxa"/>
          <w:bottom w:w="0" w:type="dxa"/>
          <w:right w:w="0" w:type="dxa"/>
        </w:tblCellMar>
        <w:tblLook w:val="01E0"/>
      </w:tblPr>
      <w:tblGrid>
        <w:gridCol w:w="1988"/>
        <w:gridCol w:w="1417"/>
        <w:gridCol w:w="1277"/>
        <w:gridCol w:w="422"/>
        <w:gridCol w:w="212"/>
        <w:gridCol w:w="1349"/>
        <w:gridCol w:w="1416"/>
        <w:gridCol w:w="427"/>
        <w:gridCol w:w="1278"/>
      </w:tblGrid>
      <w:tr>
        <w:trPr>
          <w:trHeight w:val="404" w:hRule="exact"/>
        </w:trPr>
        <w:tc>
          <w:tcPr>
            <w:tcW w:w="19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1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19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1"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27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27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88" w:type="dxa"/>
            <w:vMerge/>
            <w:tcBorders>
              <w:left w:val="single" w:sz="4" w:space="0" w:color="000000"/>
              <w:bottom w:val="single" w:sz="4" w:space="0" w:color="000000"/>
              <w:right w:val="single" w:sz="4" w:space="0" w:color="000000"/>
            </w:tcBorders>
            <w:shd w:val="clear" w:color="auto" w:fill="D2D2D2"/>
          </w:tcPr>
          <w:p>
            <w:pPr/>
          </w:p>
        </w:tc>
        <w:tc>
          <w:tcPr>
            <w:tcW w:w="1417" w:type="dxa"/>
            <w:vMerge/>
            <w:tcBorders>
              <w:left w:val="single" w:sz="4" w:space="0" w:color="000000"/>
              <w:bottom w:val="single" w:sz="4" w:space="0" w:color="000000"/>
              <w:right w:val="single" w:sz="4" w:space="0" w:color="000000"/>
            </w:tcBorders>
            <w:shd w:val="clear" w:color="auto" w:fill="D2D2D2"/>
          </w:tcPr>
          <w:p>
            <w:pP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 w:right="0"/>
              <w:jc w:val="left"/>
              <w:rPr>
                <w:rFonts w:ascii="宋体" w:hAnsi="宋体" w:cs="宋体" w:eastAsia="宋体" w:hint="default"/>
                <w:sz w:val="18"/>
                <w:szCs w:val="18"/>
              </w:rPr>
            </w:pPr>
            <w:r>
              <w:rPr>
                <w:rFonts w:ascii="宋体" w:hAnsi="宋体" w:cs="宋体" w:eastAsia="宋体" w:hint="default"/>
                <w:sz w:val="18"/>
                <w:szCs w:val="18"/>
              </w:rPr>
              <w:t>内部开发支出</w:t>
            </w:r>
          </w:p>
        </w:tc>
        <w:tc>
          <w:tcPr>
            <w:tcW w:w="4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6"/>
              <w:jc w:val="right"/>
              <w:rPr>
                <w:rFonts w:ascii="宋体" w:hAnsi="宋体" w:cs="宋体" w:eastAsia="宋体" w:hint="default"/>
                <w:sz w:val="18"/>
                <w:szCs w:val="18"/>
              </w:rPr>
            </w:pPr>
            <w:r>
              <w:rPr>
                <w:rFonts w:ascii="宋体" w:hAnsi="宋体" w:cs="宋体" w:eastAsia="宋体" w:hint="default"/>
                <w:spacing w:val="-3"/>
                <w:sz w:val="18"/>
                <w:szCs w:val="18"/>
              </w:rPr>
              <w:t>确认为无形资产</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3" w:right="0"/>
              <w:jc w:val="left"/>
              <w:rPr>
                <w:rFonts w:ascii="宋体" w:hAnsi="宋体" w:cs="宋体" w:eastAsia="宋体" w:hint="default"/>
                <w:sz w:val="18"/>
                <w:szCs w:val="18"/>
              </w:rPr>
            </w:pPr>
            <w:r>
              <w:rPr>
                <w:rFonts w:ascii="宋体" w:hAnsi="宋体" w:cs="宋体" w:eastAsia="宋体" w:hint="default"/>
                <w:sz w:val="18"/>
                <w:szCs w:val="18"/>
              </w:rPr>
              <w:t>转入当期损益</w:t>
            </w:r>
          </w:p>
        </w:tc>
        <w:tc>
          <w:tcPr>
            <w:tcW w:w="42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7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作业数据采集系统项目</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2,504,310.50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1,056,635.75</w:t>
            </w:r>
          </w:p>
        </w:tc>
        <w:tc>
          <w:tcPr>
            <w:tcW w:w="422" w:type="dxa"/>
            <w:tcBorders>
              <w:top w:val="single" w:sz="4" w:space="0" w:color="000000"/>
              <w:left w:val="single" w:sz="4" w:space="0" w:color="000000"/>
              <w:bottom w:val="single" w:sz="4" w:space="0" w:color="000000"/>
              <w:right w:val="single" w:sz="4" w:space="0" w:color="000000"/>
            </w:tcBorders>
          </w:tcPr>
          <w:p>
            <w:pPr/>
          </w:p>
        </w:tc>
        <w:tc>
          <w:tcPr>
            <w:tcW w:w="212"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3,560,946.25</w:t>
            </w:r>
          </w:p>
        </w:tc>
        <w:tc>
          <w:tcPr>
            <w:tcW w:w="141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智能渠道服务中台</w:t>
            </w: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2,400,000.00</w:t>
            </w:r>
          </w:p>
        </w:tc>
        <w:tc>
          <w:tcPr>
            <w:tcW w:w="422" w:type="dxa"/>
            <w:tcBorders>
              <w:top w:val="single" w:sz="4" w:space="0" w:color="000000"/>
              <w:left w:val="single" w:sz="4" w:space="0" w:color="000000"/>
              <w:bottom w:val="single" w:sz="4" w:space="0" w:color="000000"/>
              <w:right w:val="single" w:sz="4" w:space="0" w:color="000000"/>
            </w:tcBorders>
          </w:tcPr>
          <w:p>
            <w:pPr/>
          </w:p>
        </w:tc>
        <w:tc>
          <w:tcPr>
            <w:tcW w:w="212"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2,400,000.00</w:t>
            </w:r>
          </w:p>
        </w:tc>
        <w:tc>
          <w:tcPr>
            <w:tcW w:w="141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智慧党建平台</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1,303,592.86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3,144,141.28</w:t>
            </w:r>
          </w:p>
        </w:tc>
        <w:tc>
          <w:tcPr>
            <w:tcW w:w="422" w:type="dxa"/>
            <w:tcBorders>
              <w:top w:val="single" w:sz="4" w:space="0" w:color="000000"/>
              <w:left w:val="single" w:sz="4" w:space="0" w:color="000000"/>
              <w:bottom w:val="single" w:sz="4" w:space="0" w:color="000000"/>
              <w:right w:val="single" w:sz="4" w:space="0" w:color="000000"/>
            </w:tcBorders>
          </w:tcPr>
          <w:p>
            <w:pPr/>
          </w:p>
        </w:tc>
        <w:tc>
          <w:tcPr>
            <w:tcW w:w="212"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2,113,791.14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41" w:right="0"/>
              <w:jc w:val="left"/>
              <w:rPr>
                <w:rFonts w:ascii="Times New Roman" w:hAnsi="Times New Roman" w:cs="Times New Roman" w:eastAsia="Times New Roman" w:hint="default"/>
                <w:sz w:val="18"/>
                <w:szCs w:val="18"/>
              </w:rPr>
            </w:pPr>
            <w:r>
              <w:rPr>
                <w:rFonts w:ascii="Times New Roman"/>
                <w:sz w:val="18"/>
              </w:rPr>
              <w:t>2,333,943.00</w:t>
            </w:r>
          </w:p>
        </w:tc>
        <w:tc>
          <w:tcPr>
            <w:tcW w:w="427"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物联网应用系统研发</w:t>
            </w: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1,994,284.09</w:t>
            </w:r>
          </w:p>
        </w:tc>
        <w:tc>
          <w:tcPr>
            <w:tcW w:w="422" w:type="dxa"/>
            <w:tcBorders>
              <w:top w:val="single" w:sz="4" w:space="0" w:color="000000"/>
              <w:left w:val="single" w:sz="4" w:space="0" w:color="000000"/>
              <w:bottom w:val="single" w:sz="4" w:space="0" w:color="000000"/>
              <w:right w:val="single" w:sz="4" w:space="0" w:color="000000"/>
            </w:tcBorders>
          </w:tcPr>
          <w:p>
            <w:pPr/>
          </w:p>
        </w:tc>
        <w:tc>
          <w:tcPr>
            <w:tcW w:w="212"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1,994,284.09</w:t>
            </w:r>
          </w:p>
        </w:tc>
        <w:tc>
          <w:tcPr>
            <w:tcW w:w="141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人力资源系统</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870,366.88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118,372.64</w:t>
            </w:r>
          </w:p>
        </w:tc>
        <w:tc>
          <w:tcPr>
            <w:tcW w:w="422" w:type="dxa"/>
            <w:tcBorders>
              <w:top w:val="single" w:sz="4" w:space="0" w:color="000000"/>
              <w:left w:val="single" w:sz="4" w:space="0" w:color="000000"/>
              <w:bottom w:val="single" w:sz="4" w:space="0" w:color="000000"/>
              <w:right w:val="single" w:sz="4" w:space="0" w:color="000000"/>
            </w:tcBorders>
          </w:tcPr>
          <w:p>
            <w:pPr/>
          </w:p>
        </w:tc>
        <w:tc>
          <w:tcPr>
            <w:tcW w:w="212"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988,739.52</w:t>
            </w:r>
          </w:p>
        </w:tc>
      </w:tr>
      <w:tr>
        <w:trPr>
          <w:trHeight w:val="711"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24" w:right="147"/>
              <w:jc w:val="left"/>
              <w:rPr>
                <w:rFonts w:ascii="宋体" w:hAnsi="宋体" w:cs="宋体" w:eastAsia="宋体" w:hint="default"/>
                <w:sz w:val="18"/>
                <w:szCs w:val="18"/>
              </w:rPr>
            </w:pPr>
            <w:r>
              <w:rPr>
                <w:rFonts w:ascii="宋体" w:hAnsi="宋体" w:cs="宋体" w:eastAsia="宋体" w:hint="default"/>
                <w:spacing w:val="-2"/>
                <w:sz w:val="18"/>
                <w:szCs w:val="18"/>
              </w:rPr>
              <w:t>企业门户及统一用户认</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证平台</w:t>
            </w: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1,553,115.58</w:t>
            </w:r>
          </w:p>
        </w:tc>
        <w:tc>
          <w:tcPr>
            <w:tcW w:w="422" w:type="dxa"/>
            <w:tcBorders>
              <w:top w:val="single" w:sz="4" w:space="0" w:color="000000"/>
              <w:left w:val="single" w:sz="4" w:space="0" w:color="000000"/>
              <w:bottom w:val="single" w:sz="4" w:space="0" w:color="000000"/>
              <w:right w:val="single" w:sz="4" w:space="0" w:color="000000"/>
            </w:tcBorders>
          </w:tcPr>
          <w:p>
            <w:pPr/>
          </w:p>
        </w:tc>
        <w:tc>
          <w:tcPr>
            <w:tcW w:w="212"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1,553,115.58</w:t>
            </w:r>
          </w:p>
        </w:tc>
      </w:tr>
      <w:tr>
        <w:trPr>
          <w:trHeight w:val="715"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南天智能运维管理平台</w:t>
            </w:r>
          </w:p>
          <w:p>
            <w:pPr>
              <w:pStyle w:val="TableParagraph"/>
              <w:spacing w:line="240" w:lineRule="auto" w:before="118"/>
              <w:ind w:left="24" w:right="0"/>
              <w:jc w:val="left"/>
              <w:rPr>
                <w:rFonts w:ascii="Times New Roman" w:hAnsi="Times New Roman" w:cs="Times New Roman" w:eastAsia="Times New Roman" w:hint="default"/>
                <w:sz w:val="18"/>
                <w:szCs w:val="18"/>
              </w:rPr>
            </w:pPr>
            <w:r>
              <w:rPr>
                <w:rFonts w:ascii="Times New Roman"/>
                <w:sz w:val="18"/>
              </w:rPr>
              <w:t>V1.0</w:t>
            </w: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1,600,000.00</w:t>
            </w:r>
          </w:p>
        </w:tc>
        <w:tc>
          <w:tcPr>
            <w:tcW w:w="422" w:type="dxa"/>
            <w:tcBorders>
              <w:top w:val="single" w:sz="4" w:space="0" w:color="000000"/>
              <w:left w:val="single" w:sz="4" w:space="0" w:color="000000"/>
              <w:bottom w:val="single" w:sz="4" w:space="0" w:color="000000"/>
              <w:right w:val="single" w:sz="4" w:space="0" w:color="000000"/>
            </w:tcBorders>
          </w:tcPr>
          <w:p>
            <w:pPr/>
          </w:p>
        </w:tc>
        <w:tc>
          <w:tcPr>
            <w:tcW w:w="212"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1,600,000.00</w:t>
            </w:r>
          </w:p>
        </w:tc>
        <w:tc>
          <w:tcPr>
            <w:tcW w:w="141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5" w:lineRule="auto" w:before="53"/>
              <w:ind w:left="24" w:right="65"/>
              <w:jc w:val="left"/>
              <w:rPr>
                <w:rFonts w:ascii="宋体" w:hAnsi="宋体" w:cs="宋体" w:eastAsia="宋体" w:hint="default"/>
                <w:sz w:val="18"/>
                <w:szCs w:val="18"/>
              </w:rPr>
            </w:pPr>
            <w:r>
              <w:rPr>
                <w:rFonts w:ascii="宋体" w:hAnsi="宋体" w:cs="宋体" w:eastAsia="宋体" w:hint="default"/>
                <w:sz w:val="18"/>
                <w:szCs w:val="18"/>
              </w:rPr>
              <w:t>南天银行</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资产管理软</w:t>
            </w:r>
            <w:r>
              <w:rPr>
                <w:rFonts w:ascii="宋体" w:hAnsi="宋体" w:cs="宋体" w:eastAsia="宋体" w:hint="default"/>
                <w:w w:val="101"/>
                <w:sz w:val="18"/>
                <w:szCs w:val="18"/>
              </w:rPr>
              <w:t> </w:t>
            </w:r>
            <w:r>
              <w:rPr>
                <w:rFonts w:ascii="宋体" w:hAnsi="宋体" w:cs="宋体" w:eastAsia="宋体" w:hint="default"/>
                <w:sz w:val="18"/>
                <w:szCs w:val="18"/>
              </w:rPr>
              <w:t>件</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V1.0</w:t>
            </w:r>
            <w:r>
              <w:rPr>
                <w:rFonts w:ascii="Times New Roman" w:hAnsi="Times New Roman" w:cs="Times New Roman" w:eastAsia="Times New Roman" w:hint="default"/>
                <w:spacing w:val="7"/>
                <w:sz w:val="18"/>
                <w:szCs w:val="18"/>
              </w:rPr>
              <w:t> </w:t>
            </w:r>
            <w:r>
              <w:rPr>
                <w:rFonts w:ascii="宋体" w:hAnsi="宋体" w:cs="宋体" w:eastAsia="宋体" w:hint="default"/>
                <w:spacing w:val="-3"/>
                <w:sz w:val="18"/>
                <w:szCs w:val="18"/>
              </w:rPr>
              <w:t>研发项目</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1,542,785.71</w:t>
            </w:r>
          </w:p>
        </w:tc>
        <w:tc>
          <w:tcPr>
            <w:tcW w:w="1277"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212"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1,542,785.71</w:t>
            </w:r>
          </w:p>
        </w:tc>
        <w:tc>
          <w:tcPr>
            <w:tcW w:w="141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4"/>
              <w:ind w:left="24" w:right="147"/>
              <w:jc w:val="left"/>
              <w:rPr>
                <w:rFonts w:ascii="宋体" w:hAnsi="宋体" w:cs="宋体" w:eastAsia="宋体" w:hint="default"/>
                <w:sz w:val="18"/>
                <w:szCs w:val="18"/>
              </w:rPr>
            </w:pPr>
            <w:r>
              <w:rPr>
                <w:rFonts w:ascii="宋体" w:hAnsi="宋体" w:cs="宋体" w:eastAsia="宋体" w:hint="default"/>
                <w:spacing w:val="-2"/>
                <w:sz w:val="18"/>
                <w:szCs w:val="18"/>
              </w:rPr>
              <w:t>南天配置管理系统（三</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期）</w:t>
            </w: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1,126,656.84</w:t>
            </w:r>
          </w:p>
        </w:tc>
        <w:tc>
          <w:tcPr>
            <w:tcW w:w="422" w:type="dxa"/>
            <w:tcBorders>
              <w:top w:val="single" w:sz="4" w:space="0" w:color="000000"/>
              <w:left w:val="single" w:sz="4" w:space="0" w:color="000000"/>
              <w:bottom w:val="single" w:sz="4" w:space="0" w:color="000000"/>
              <w:right w:val="single" w:sz="4" w:space="0" w:color="000000"/>
            </w:tcBorders>
          </w:tcPr>
          <w:p>
            <w:pPr/>
          </w:p>
        </w:tc>
        <w:tc>
          <w:tcPr>
            <w:tcW w:w="212"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1,126,656.84</w:t>
            </w:r>
          </w:p>
        </w:tc>
      </w:tr>
      <w:tr>
        <w:trPr>
          <w:trHeight w:val="710"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24" w:right="147"/>
              <w:jc w:val="left"/>
              <w:rPr>
                <w:rFonts w:ascii="宋体" w:hAnsi="宋体" w:cs="宋体" w:eastAsia="宋体" w:hint="default"/>
                <w:sz w:val="18"/>
                <w:szCs w:val="18"/>
              </w:rPr>
            </w:pPr>
            <w:r>
              <w:rPr>
                <w:rFonts w:ascii="宋体" w:hAnsi="宋体" w:cs="宋体" w:eastAsia="宋体" w:hint="default"/>
                <w:spacing w:val="-2"/>
                <w:sz w:val="18"/>
                <w:szCs w:val="18"/>
              </w:rPr>
              <w:t>南天金融介质智能领取</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设备研发项目</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1,276,165.91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1,226,415.51</w:t>
            </w:r>
          </w:p>
        </w:tc>
        <w:tc>
          <w:tcPr>
            <w:tcW w:w="422" w:type="dxa"/>
            <w:tcBorders>
              <w:top w:val="single" w:sz="4" w:space="0" w:color="000000"/>
              <w:left w:val="single" w:sz="4" w:space="0" w:color="000000"/>
              <w:bottom w:val="single" w:sz="4" w:space="0" w:color="000000"/>
              <w:right w:val="single" w:sz="4" w:space="0" w:color="000000"/>
            </w:tcBorders>
          </w:tcPr>
          <w:p>
            <w:pPr/>
          </w:p>
        </w:tc>
        <w:tc>
          <w:tcPr>
            <w:tcW w:w="212"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2,502,581.42</w:t>
            </w:r>
          </w:p>
        </w:tc>
      </w:tr>
    </w:tbl>
    <w:p>
      <w:pPr>
        <w:spacing w:after="0" w:line="240" w:lineRule="auto"/>
        <w:jc w:val="right"/>
        <w:rPr>
          <w:rFonts w:ascii="Times New Roman" w:hAnsi="Times New Roman" w:cs="Times New Roman" w:eastAsia="Times New Roman" w:hint="default"/>
          <w:sz w:val="18"/>
          <w:szCs w:val="18"/>
        </w:rPr>
        <w:sectPr>
          <w:pgSz w:w="11910" w:h="16840"/>
          <w:pgMar w:header="746" w:footer="974" w:top="1060" w:bottom="1160" w:left="74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988"/>
        <w:gridCol w:w="1417"/>
        <w:gridCol w:w="1277"/>
        <w:gridCol w:w="422"/>
        <w:gridCol w:w="212"/>
        <w:gridCol w:w="1349"/>
        <w:gridCol w:w="1416"/>
        <w:gridCol w:w="427"/>
        <w:gridCol w:w="1278"/>
      </w:tblGrid>
      <w:tr>
        <w:trPr>
          <w:trHeight w:val="403"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经营管理系统</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1,553,846.16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852,649.57</w:t>
            </w:r>
          </w:p>
        </w:tc>
        <w:tc>
          <w:tcPr>
            <w:tcW w:w="422" w:type="dxa"/>
            <w:tcBorders>
              <w:top w:val="single" w:sz="4" w:space="0" w:color="000000"/>
              <w:left w:val="single" w:sz="4" w:space="0" w:color="000000"/>
              <w:bottom w:val="single" w:sz="4" w:space="0" w:color="000000"/>
              <w:right w:val="single" w:sz="4" w:space="0" w:color="000000"/>
            </w:tcBorders>
          </w:tcPr>
          <w:p>
            <w:pPr/>
          </w:p>
        </w:tc>
        <w:tc>
          <w:tcPr>
            <w:tcW w:w="212"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2,406,495.73</w:t>
            </w:r>
          </w:p>
        </w:tc>
      </w:tr>
      <w:tr>
        <w:trPr>
          <w:trHeight w:val="398"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基础类研发项目</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2,089,833.26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848,363.80</w:t>
            </w:r>
          </w:p>
        </w:tc>
        <w:tc>
          <w:tcPr>
            <w:tcW w:w="422" w:type="dxa"/>
            <w:tcBorders>
              <w:top w:val="single" w:sz="4" w:space="0" w:color="000000"/>
              <w:left w:val="single" w:sz="4" w:space="0" w:color="000000"/>
              <w:bottom w:val="single" w:sz="4" w:space="0" w:color="000000"/>
              <w:right w:val="single" w:sz="4" w:space="0" w:color="000000"/>
            </w:tcBorders>
          </w:tcPr>
          <w:p>
            <w:pPr/>
          </w:p>
        </w:tc>
        <w:tc>
          <w:tcPr>
            <w:tcW w:w="212"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2,938,197.06</w:t>
            </w:r>
          </w:p>
        </w:tc>
      </w:tr>
      <w:tr>
        <w:trPr>
          <w:trHeight w:val="404"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柜面产品研发项目</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pacing w:val="-1"/>
                <w:sz w:val="18"/>
              </w:rPr>
              <w:t>3,435,029.86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5,376,986.18</w:t>
            </w:r>
          </w:p>
        </w:tc>
        <w:tc>
          <w:tcPr>
            <w:tcW w:w="422" w:type="dxa"/>
            <w:tcBorders>
              <w:top w:val="single" w:sz="4" w:space="0" w:color="000000"/>
              <w:left w:val="single" w:sz="4" w:space="0" w:color="000000"/>
              <w:bottom w:val="single" w:sz="4" w:space="0" w:color="000000"/>
              <w:right w:val="single" w:sz="4" w:space="0" w:color="000000"/>
            </w:tcBorders>
          </w:tcPr>
          <w:p>
            <w:pPr/>
          </w:p>
        </w:tc>
        <w:tc>
          <w:tcPr>
            <w:tcW w:w="212"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8"/>
                <w:szCs w:val="18"/>
              </w:rPr>
            </w:pPr>
            <w:r>
              <w:rPr>
                <w:rFonts w:ascii="Times New Roman"/>
                <w:spacing w:val="-1"/>
                <w:sz w:val="18"/>
              </w:rPr>
              <w:t>6,781,151.95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pacing w:val="-1"/>
                <w:sz w:val="18"/>
              </w:rPr>
              <w:t>2,030,864.09</w:t>
            </w:r>
          </w:p>
        </w:tc>
        <w:tc>
          <w:tcPr>
            <w:tcW w:w="427"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47"/>
              <w:jc w:val="left"/>
              <w:rPr>
                <w:rFonts w:ascii="宋体" w:hAnsi="宋体" w:cs="宋体" w:eastAsia="宋体" w:hint="default"/>
                <w:sz w:val="18"/>
                <w:szCs w:val="18"/>
              </w:rPr>
            </w:pPr>
            <w:r>
              <w:rPr>
                <w:rFonts w:ascii="宋体" w:hAnsi="宋体" w:cs="宋体" w:eastAsia="宋体" w:hint="default"/>
                <w:spacing w:val="-2"/>
                <w:sz w:val="18"/>
                <w:szCs w:val="18"/>
              </w:rPr>
              <w:t>二代证扫描阅读模块研</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发项目</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1,147,955.44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1,131,490.77</w:t>
            </w:r>
          </w:p>
        </w:tc>
        <w:tc>
          <w:tcPr>
            <w:tcW w:w="422" w:type="dxa"/>
            <w:tcBorders>
              <w:top w:val="single" w:sz="4" w:space="0" w:color="000000"/>
              <w:left w:val="single" w:sz="4" w:space="0" w:color="000000"/>
              <w:bottom w:val="single" w:sz="4" w:space="0" w:color="000000"/>
              <w:right w:val="single" w:sz="4" w:space="0" w:color="000000"/>
            </w:tcBorders>
          </w:tcPr>
          <w:p>
            <w:pPr/>
          </w:p>
        </w:tc>
        <w:tc>
          <w:tcPr>
            <w:tcW w:w="212"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2,279,446.21</w:t>
            </w:r>
          </w:p>
        </w:tc>
      </w:tr>
      <w:tr>
        <w:trPr>
          <w:trHeight w:val="715"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24" w:right="147"/>
              <w:jc w:val="left"/>
              <w:rPr>
                <w:rFonts w:ascii="宋体" w:hAnsi="宋体" w:cs="宋体" w:eastAsia="宋体" w:hint="default"/>
                <w:sz w:val="18"/>
                <w:szCs w:val="18"/>
              </w:rPr>
            </w:pPr>
            <w:r>
              <w:rPr>
                <w:rFonts w:ascii="宋体" w:hAnsi="宋体" w:cs="宋体" w:eastAsia="宋体" w:hint="default"/>
                <w:spacing w:val="-2"/>
                <w:sz w:val="18"/>
                <w:szCs w:val="18"/>
              </w:rPr>
              <w:t>党建及农村大数据应用</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平台项目</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821,955.56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875,339.94</w:t>
            </w:r>
          </w:p>
        </w:tc>
        <w:tc>
          <w:tcPr>
            <w:tcW w:w="422" w:type="dxa"/>
            <w:tcBorders>
              <w:top w:val="single" w:sz="4" w:space="0" w:color="000000"/>
              <w:left w:val="single" w:sz="4" w:space="0" w:color="000000"/>
              <w:bottom w:val="single" w:sz="4" w:space="0" w:color="000000"/>
              <w:right w:val="single" w:sz="4" w:space="0" w:color="000000"/>
            </w:tcBorders>
          </w:tcPr>
          <w:p>
            <w:pPr/>
          </w:p>
        </w:tc>
        <w:tc>
          <w:tcPr>
            <w:tcW w:w="212"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1,181,605.47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515,690.03</w:t>
            </w:r>
          </w:p>
        </w:tc>
        <w:tc>
          <w:tcPr>
            <w:tcW w:w="427"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达睿思数据采集终端</w:t>
            </w:r>
          </w:p>
          <w:p>
            <w:pPr>
              <w:pStyle w:val="TableParagraph"/>
              <w:spacing w:line="240" w:lineRule="auto" w:before="114"/>
              <w:ind w:left="24" w:right="0"/>
              <w:jc w:val="left"/>
              <w:rPr>
                <w:rFonts w:ascii="Times New Roman" w:hAnsi="Times New Roman" w:cs="Times New Roman" w:eastAsia="Times New Roman" w:hint="default"/>
                <w:sz w:val="18"/>
                <w:szCs w:val="18"/>
              </w:rPr>
            </w:pPr>
            <w:r>
              <w:rPr>
                <w:rFonts w:ascii="Times New Roman"/>
                <w:sz w:val="18"/>
              </w:rPr>
              <w:t>V1.0</w:t>
            </w: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2,108,792.61</w:t>
            </w:r>
          </w:p>
        </w:tc>
        <w:tc>
          <w:tcPr>
            <w:tcW w:w="422" w:type="dxa"/>
            <w:tcBorders>
              <w:top w:val="single" w:sz="4" w:space="0" w:color="000000"/>
              <w:left w:val="single" w:sz="4" w:space="0" w:color="000000"/>
              <w:bottom w:val="single" w:sz="4" w:space="0" w:color="000000"/>
              <w:right w:val="single" w:sz="4" w:space="0" w:color="000000"/>
            </w:tcBorders>
          </w:tcPr>
          <w:p>
            <w:pPr/>
          </w:p>
        </w:tc>
        <w:tc>
          <w:tcPr>
            <w:tcW w:w="212"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2,108,792.61</w:t>
            </w:r>
          </w:p>
        </w:tc>
      </w:tr>
      <w:tr>
        <w:trPr>
          <w:trHeight w:val="403"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财务管理系统</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707,899.88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146,226.41</w:t>
            </w:r>
          </w:p>
        </w:tc>
        <w:tc>
          <w:tcPr>
            <w:tcW w:w="422" w:type="dxa"/>
            <w:tcBorders>
              <w:top w:val="single" w:sz="4" w:space="0" w:color="000000"/>
              <w:left w:val="single" w:sz="4" w:space="0" w:color="000000"/>
              <w:bottom w:val="single" w:sz="4" w:space="0" w:color="000000"/>
              <w:right w:val="single" w:sz="4" w:space="0" w:color="000000"/>
            </w:tcBorders>
          </w:tcPr>
          <w:p>
            <w:pPr/>
          </w:p>
        </w:tc>
        <w:tc>
          <w:tcPr>
            <w:tcW w:w="212"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854,126.29</w:t>
            </w:r>
          </w:p>
        </w:tc>
        <w:tc>
          <w:tcPr>
            <w:tcW w:w="141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其他本期资本化项目</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757,808.62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1,270,988.81</w:t>
            </w:r>
          </w:p>
        </w:tc>
        <w:tc>
          <w:tcPr>
            <w:tcW w:w="422" w:type="dxa"/>
            <w:tcBorders>
              <w:top w:val="single" w:sz="4" w:space="0" w:color="000000"/>
              <w:left w:val="single" w:sz="4" w:space="0" w:color="000000"/>
              <w:bottom w:val="single" w:sz="4" w:space="0" w:color="000000"/>
              <w:right w:val="single" w:sz="4" w:space="0" w:color="000000"/>
            </w:tcBorders>
          </w:tcPr>
          <w:p>
            <w:pPr/>
          </w:p>
        </w:tc>
        <w:tc>
          <w:tcPr>
            <w:tcW w:w="212"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1,616,021.65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194,174.76</w:t>
            </w:r>
          </w:p>
        </w:tc>
        <w:tc>
          <w:tcPr>
            <w:tcW w:w="427"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218,601.02</w:t>
            </w:r>
          </w:p>
        </w:tc>
      </w:tr>
      <w:tr>
        <w:trPr>
          <w:trHeight w:val="404"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网点综合服务平台项目</w:t>
            </w: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35,568,353.67</w:t>
            </w:r>
          </w:p>
        </w:tc>
        <w:tc>
          <w:tcPr>
            <w:tcW w:w="422" w:type="dxa"/>
            <w:tcBorders>
              <w:top w:val="single" w:sz="4" w:space="0" w:color="000000"/>
              <w:left w:val="single" w:sz="4" w:space="0" w:color="000000"/>
              <w:bottom w:val="single" w:sz="4" w:space="0" w:color="000000"/>
              <w:right w:val="single" w:sz="4" w:space="0" w:color="000000"/>
            </w:tcBorders>
          </w:tcPr>
          <w:p>
            <w:pPr/>
          </w:p>
        </w:tc>
        <w:tc>
          <w:tcPr>
            <w:tcW w:w="212"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35,568,353.67</w:t>
            </w:r>
          </w:p>
        </w:tc>
        <w:tc>
          <w:tcPr>
            <w:tcW w:w="427"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ETC </w:t>
            </w:r>
            <w:r>
              <w:rPr>
                <w:rFonts w:ascii="宋体" w:hAnsi="宋体" w:cs="宋体" w:eastAsia="宋体" w:hint="default"/>
                <w:sz w:val="18"/>
                <w:szCs w:val="18"/>
              </w:rPr>
              <w:t>收费系统</w:t>
            </w:r>
            <w:r>
              <w:rPr>
                <w:rFonts w:ascii="宋体" w:hAnsi="宋体" w:cs="宋体" w:eastAsia="宋体" w:hint="default"/>
                <w:spacing w:val="-35"/>
                <w:sz w:val="18"/>
                <w:szCs w:val="18"/>
              </w:rPr>
              <w:t> </w:t>
            </w:r>
            <w:r>
              <w:rPr>
                <w:rFonts w:ascii="Times New Roman" w:hAnsi="Times New Roman" w:cs="Times New Roman" w:eastAsia="Times New Roman" w:hint="default"/>
                <w:spacing w:val="-3"/>
                <w:sz w:val="18"/>
                <w:szCs w:val="18"/>
              </w:rPr>
              <w:t>V1.0</w:t>
            </w: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15,007,429.43</w:t>
            </w:r>
          </w:p>
        </w:tc>
        <w:tc>
          <w:tcPr>
            <w:tcW w:w="422" w:type="dxa"/>
            <w:tcBorders>
              <w:top w:val="single" w:sz="4" w:space="0" w:color="000000"/>
              <w:left w:val="single" w:sz="4" w:space="0" w:color="000000"/>
              <w:bottom w:val="single" w:sz="4" w:space="0" w:color="000000"/>
              <w:right w:val="single" w:sz="4" w:space="0" w:color="000000"/>
            </w:tcBorders>
          </w:tcPr>
          <w:p>
            <w:pPr/>
          </w:p>
        </w:tc>
        <w:tc>
          <w:tcPr>
            <w:tcW w:w="212"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15,007,429.43</w:t>
            </w:r>
          </w:p>
        </w:tc>
        <w:tc>
          <w:tcPr>
            <w:tcW w:w="427"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售前支持项目</w:t>
            </w: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14,307,723.78</w:t>
            </w:r>
          </w:p>
        </w:tc>
        <w:tc>
          <w:tcPr>
            <w:tcW w:w="422" w:type="dxa"/>
            <w:tcBorders>
              <w:top w:val="single" w:sz="4" w:space="0" w:color="000000"/>
              <w:left w:val="single" w:sz="4" w:space="0" w:color="000000"/>
              <w:bottom w:val="single" w:sz="4" w:space="0" w:color="000000"/>
              <w:right w:val="single" w:sz="4" w:space="0" w:color="000000"/>
            </w:tcBorders>
          </w:tcPr>
          <w:p>
            <w:pPr/>
          </w:p>
        </w:tc>
        <w:tc>
          <w:tcPr>
            <w:tcW w:w="212"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14,307,723.78</w:t>
            </w:r>
          </w:p>
        </w:tc>
        <w:tc>
          <w:tcPr>
            <w:tcW w:w="427"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健康卡系统</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V1.0</w:t>
            </w: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13,328,937.28</w:t>
            </w:r>
          </w:p>
        </w:tc>
        <w:tc>
          <w:tcPr>
            <w:tcW w:w="422" w:type="dxa"/>
            <w:tcBorders>
              <w:top w:val="single" w:sz="4" w:space="0" w:color="000000"/>
              <w:left w:val="single" w:sz="4" w:space="0" w:color="000000"/>
              <w:bottom w:val="single" w:sz="4" w:space="0" w:color="000000"/>
              <w:right w:val="single" w:sz="4" w:space="0" w:color="000000"/>
            </w:tcBorders>
          </w:tcPr>
          <w:p>
            <w:pPr/>
          </w:p>
        </w:tc>
        <w:tc>
          <w:tcPr>
            <w:tcW w:w="212"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13,328,937.28</w:t>
            </w:r>
          </w:p>
        </w:tc>
        <w:tc>
          <w:tcPr>
            <w:tcW w:w="427"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南天智能运维管理平台</w:t>
            </w:r>
          </w:p>
          <w:p>
            <w:pPr>
              <w:pStyle w:val="TableParagraph"/>
              <w:spacing w:line="240" w:lineRule="auto" w:before="71"/>
              <w:ind w:left="24" w:right="0"/>
              <w:jc w:val="left"/>
              <w:rPr>
                <w:rFonts w:ascii="宋体" w:hAnsi="宋体" w:cs="宋体" w:eastAsia="宋体" w:hint="default"/>
                <w:sz w:val="18"/>
                <w:szCs w:val="18"/>
              </w:rPr>
            </w:pPr>
            <w:r>
              <w:rPr>
                <w:rFonts w:ascii="宋体" w:hAnsi="宋体" w:cs="宋体" w:eastAsia="宋体" w:hint="default"/>
                <w:sz w:val="18"/>
                <w:szCs w:val="18"/>
              </w:rPr>
              <w:t>（二期）</w:t>
            </w: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11,693,584.95</w:t>
            </w:r>
          </w:p>
        </w:tc>
        <w:tc>
          <w:tcPr>
            <w:tcW w:w="422" w:type="dxa"/>
            <w:tcBorders>
              <w:top w:val="single" w:sz="4" w:space="0" w:color="000000"/>
              <w:left w:val="single" w:sz="4" w:space="0" w:color="000000"/>
              <w:bottom w:val="single" w:sz="4" w:space="0" w:color="000000"/>
              <w:right w:val="single" w:sz="4" w:space="0" w:color="000000"/>
            </w:tcBorders>
          </w:tcPr>
          <w:p>
            <w:pPr/>
          </w:p>
        </w:tc>
        <w:tc>
          <w:tcPr>
            <w:tcW w:w="212"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2"/>
                <w:sz w:val="18"/>
              </w:rPr>
              <w:t>11,693,584.95</w:t>
            </w:r>
          </w:p>
        </w:tc>
        <w:tc>
          <w:tcPr>
            <w:tcW w:w="427"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智慧城市解决方案</w:t>
            </w: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10,442,513.40</w:t>
            </w:r>
          </w:p>
        </w:tc>
        <w:tc>
          <w:tcPr>
            <w:tcW w:w="422" w:type="dxa"/>
            <w:tcBorders>
              <w:top w:val="single" w:sz="4" w:space="0" w:color="000000"/>
              <w:left w:val="single" w:sz="4" w:space="0" w:color="000000"/>
              <w:bottom w:val="single" w:sz="4" w:space="0" w:color="000000"/>
              <w:right w:val="single" w:sz="4" w:space="0" w:color="000000"/>
            </w:tcBorders>
          </w:tcPr>
          <w:p>
            <w:pPr/>
          </w:p>
        </w:tc>
        <w:tc>
          <w:tcPr>
            <w:tcW w:w="212"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10,442,513.40</w:t>
            </w:r>
          </w:p>
        </w:tc>
        <w:tc>
          <w:tcPr>
            <w:tcW w:w="427"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8"/>
              <w:ind w:left="24" w:right="147"/>
              <w:jc w:val="left"/>
              <w:rPr>
                <w:rFonts w:ascii="宋体" w:hAnsi="宋体" w:cs="宋体" w:eastAsia="宋体" w:hint="default"/>
                <w:sz w:val="18"/>
                <w:szCs w:val="18"/>
              </w:rPr>
            </w:pPr>
            <w:r>
              <w:rPr>
                <w:rFonts w:ascii="宋体" w:hAnsi="宋体" w:cs="宋体" w:eastAsia="宋体" w:hint="default"/>
                <w:spacing w:val="-2"/>
                <w:sz w:val="18"/>
                <w:szCs w:val="18"/>
              </w:rPr>
              <w:t>个人核心业务交易查询</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系统</w:t>
            </w: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6,799,937.49</w:t>
            </w:r>
          </w:p>
        </w:tc>
        <w:tc>
          <w:tcPr>
            <w:tcW w:w="422" w:type="dxa"/>
            <w:tcBorders>
              <w:top w:val="single" w:sz="4" w:space="0" w:color="000000"/>
              <w:left w:val="single" w:sz="4" w:space="0" w:color="000000"/>
              <w:bottom w:val="single" w:sz="4" w:space="0" w:color="000000"/>
              <w:right w:val="single" w:sz="4" w:space="0" w:color="000000"/>
            </w:tcBorders>
          </w:tcPr>
          <w:p>
            <w:pPr/>
          </w:p>
        </w:tc>
        <w:tc>
          <w:tcPr>
            <w:tcW w:w="212"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6,799,937.49</w:t>
            </w:r>
          </w:p>
        </w:tc>
        <w:tc>
          <w:tcPr>
            <w:tcW w:w="427"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协作软件开发项目</w:t>
            </w: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6,670,855.00</w:t>
            </w:r>
          </w:p>
        </w:tc>
        <w:tc>
          <w:tcPr>
            <w:tcW w:w="422" w:type="dxa"/>
            <w:tcBorders>
              <w:top w:val="single" w:sz="4" w:space="0" w:color="000000"/>
              <w:left w:val="single" w:sz="4" w:space="0" w:color="000000"/>
              <w:bottom w:val="single" w:sz="4" w:space="0" w:color="000000"/>
              <w:right w:val="single" w:sz="4" w:space="0" w:color="000000"/>
            </w:tcBorders>
          </w:tcPr>
          <w:p>
            <w:pPr/>
          </w:p>
        </w:tc>
        <w:tc>
          <w:tcPr>
            <w:tcW w:w="212"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6,670,855.00</w:t>
            </w:r>
          </w:p>
        </w:tc>
        <w:tc>
          <w:tcPr>
            <w:tcW w:w="427"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社保卡系统</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V1.0</w:t>
            </w: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6,520,062.94</w:t>
            </w:r>
          </w:p>
        </w:tc>
        <w:tc>
          <w:tcPr>
            <w:tcW w:w="422" w:type="dxa"/>
            <w:tcBorders>
              <w:top w:val="single" w:sz="4" w:space="0" w:color="000000"/>
              <w:left w:val="single" w:sz="4" w:space="0" w:color="000000"/>
              <w:bottom w:val="single" w:sz="4" w:space="0" w:color="000000"/>
              <w:right w:val="single" w:sz="4" w:space="0" w:color="000000"/>
            </w:tcBorders>
          </w:tcPr>
          <w:p>
            <w:pPr/>
          </w:p>
        </w:tc>
        <w:tc>
          <w:tcPr>
            <w:tcW w:w="212"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6,520,062.94</w:t>
            </w:r>
          </w:p>
        </w:tc>
        <w:tc>
          <w:tcPr>
            <w:tcW w:w="427"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24" w:right="147"/>
              <w:jc w:val="left"/>
              <w:rPr>
                <w:rFonts w:ascii="宋体" w:hAnsi="宋体" w:cs="宋体" w:eastAsia="宋体" w:hint="default"/>
                <w:sz w:val="18"/>
                <w:szCs w:val="18"/>
              </w:rPr>
            </w:pPr>
            <w:r>
              <w:rPr>
                <w:rFonts w:ascii="宋体" w:hAnsi="宋体" w:cs="宋体" w:eastAsia="宋体" w:hint="default"/>
                <w:spacing w:val="-2"/>
                <w:sz w:val="18"/>
                <w:szCs w:val="18"/>
              </w:rPr>
              <w:t>新一代联机交易开发软</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件</w:t>
            </w: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5,388,651.62</w:t>
            </w:r>
          </w:p>
        </w:tc>
        <w:tc>
          <w:tcPr>
            <w:tcW w:w="422" w:type="dxa"/>
            <w:tcBorders>
              <w:top w:val="single" w:sz="4" w:space="0" w:color="000000"/>
              <w:left w:val="single" w:sz="4" w:space="0" w:color="000000"/>
              <w:bottom w:val="single" w:sz="4" w:space="0" w:color="000000"/>
              <w:right w:val="single" w:sz="4" w:space="0" w:color="000000"/>
            </w:tcBorders>
          </w:tcPr>
          <w:p>
            <w:pPr/>
          </w:p>
        </w:tc>
        <w:tc>
          <w:tcPr>
            <w:tcW w:w="212"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5,388,651.62</w:t>
            </w:r>
          </w:p>
        </w:tc>
        <w:tc>
          <w:tcPr>
            <w:tcW w:w="427"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9"/>
              <w:ind w:left="24" w:right="147"/>
              <w:jc w:val="left"/>
              <w:rPr>
                <w:rFonts w:ascii="宋体" w:hAnsi="宋体" w:cs="宋体" w:eastAsia="宋体" w:hint="default"/>
                <w:sz w:val="18"/>
                <w:szCs w:val="18"/>
              </w:rPr>
            </w:pPr>
            <w:r>
              <w:rPr>
                <w:rFonts w:ascii="宋体" w:hAnsi="宋体" w:cs="宋体" w:eastAsia="宋体" w:hint="default"/>
                <w:spacing w:val="-2"/>
                <w:sz w:val="18"/>
                <w:szCs w:val="18"/>
              </w:rPr>
              <w:t>银行智能推荐营销应用</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软件</w:t>
            </w: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4,820,599.33</w:t>
            </w:r>
          </w:p>
        </w:tc>
        <w:tc>
          <w:tcPr>
            <w:tcW w:w="422" w:type="dxa"/>
            <w:tcBorders>
              <w:top w:val="single" w:sz="4" w:space="0" w:color="000000"/>
              <w:left w:val="single" w:sz="4" w:space="0" w:color="000000"/>
              <w:bottom w:val="single" w:sz="4" w:space="0" w:color="000000"/>
              <w:right w:val="single" w:sz="4" w:space="0" w:color="000000"/>
            </w:tcBorders>
          </w:tcPr>
          <w:p>
            <w:pPr/>
          </w:p>
        </w:tc>
        <w:tc>
          <w:tcPr>
            <w:tcW w:w="212"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4,820,599.33</w:t>
            </w:r>
          </w:p>
        </w:tc>
        <w:tc>
          <w:tcPr>
            <w:tcW w:w="427"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47"/>
              <w:jc w:val="left"/>
              <w:rPr>
                <w:rFonts w:ascii="宋体" w:hAnsi="宋体" w:cs="宋体" w:eastAsia="宋体" w:hint="default"/>
                <w:sz w:val="18"/>
                <w:szCs w:val="18"/>
              </w:rPr>
            </w:pPr>
            <w:r>
              <w:rPr>
                <w:rFonts w:ascii="宋体" w:hAnsi="宋体" w:cs="宋体" w:eastAsia="宋体" w:hint="default"/>
                <w:spacing w:val="-2"/>
                <w:sz w:val="18"/>
                <w:szCs w:val="18"/>
              </w:rPr>
              <w:t>合理用药指标数据实时</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3"/>
                <w:sz w:val="18"/>
                <w:szCs w:val="18"/>
              </w:rPr>
              <w:t>监测软件的研发</w:t>
            </w: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4,637,487.49</w:t>
            </w:r>
          </w:p>
        </w:tc>
        <w:tc>
          <w:tcPr>
            <w:tcW w:w="422" w:type="dxa"/>
            <w:tcBorders>
              <w:top w:val="single" w:sz="4" w:space="0" w:color="000000"/>
              <w:left w:val="single" w:sz="4" w:space="0" w:color="000000"/>
              <w:bottom w:val="single" w:sz="4" w:space="0" w:color="000000"/>
              <w:right w:val="single" w:sz="4" w:space="0" w:color="000000"/>
            </w:tcBorders>
          </w:tcPr>
          <w:p>
            <w:pPr/>
          </w:p>
        </w:tc>
        <w:tc>
          <w:tcPr>
            <w:tcW w:w="212"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4,637,487.49</w:t>
            </w:r>
          </w:p>
        </w:tc>
        <w:tc>
          <w:tcPr>
            <w:tcW w:w="427"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加油卡卡系统</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V1.0</w:t>
            </w: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4,614,019.53</w:t>
            </w:r>
          </w:p>
        </w:tc>
        <w:tc>
          <w:tcPr>
            <w:tcW w:w="422" w:type="dxa"/>
            <w:tcBorders>
              <w:top w:val="single" w:sz="4" w:space="0" w:color="000000"/>
              <w:left w:val="single" w:sz="4" w:space="0" w:color="000000"/>
              <w:bottom w:val="single" w:sz="4" w:space="0" w:color="000000"/>
              <w:right w:val="single" w:sz="4" w:space="0" w:color="000000"/>
            </w:tcBorders>
          </w:tcPr>
          <w:p>
            <w:pPr/>
          </w:p>
        </w:tc>
        <w:tc>
          <w:tcPr>
            <w:tcW w:w="212"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4,614,019.53</w:t>
            </w:r>
          </w:p>
        </w:tc>
        <w:tc>
          <w:tcPr>
            <w:tcW w:w="427"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聚合支付项目</w:t>
            </w: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4,560,242.73</w:t>
            </w:r>
          </w:p>
        </w:tc>
        <w:tc>
          <w:tcPr>
            <w:tcW w:w="422" w:type="dxa"/>
            <w:tcBorders>
              <w:top w:val="single" w:sz="4" w:space="0" w:color="000000"/>
              <w:left w:val="single" w:sz="4" w:space="0" w:color="000000"/>
              <w:bottom w:val="single" w:sz="4" w:space="0" w:color="000000"/>
              <w:right w:val="single" w:sz="4" w:space="0" w:color="000000"/>
            </w:tcBorders>
          </w:tcPr>
          <w:p>
            <w:pPr/>
          </w:p>
        </w:tc>
        <w:tc>
          <w:tcPr>
            <w:tcW w:w="212"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4,560,242.73</w:t>
            </w:r>
          </w:p>
        </w:tc>
        <w:tc>
          <w:tcPr>
            <w:tcW w:w="427"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防火墙自动化工具项目</w:t>
            </w: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4,550,271.77</w:t>
            </w:r>
          </w:p>
        </w:tc>
        <w:tc>
          <w:tcPr>
            <w:tcW w:w="422" w:type="dxa"/>
            <w:tcBorders>
              <w:top w:val="single" w:sz="4" w:space="0" w:color="000000"/>
              <w:left w:val="single" w:sz="4" w:space="0" w:color="000000"/>
              <w:bottom w:val="single" w:sz="4" w:space="0" w:color="000000"/>
              <w:right w:val="single" w:sz="4" w:space="0" w:color="000000"/>
            </w:tcBorders>
          </w:tcPr>
          <w:p>
            <w:pPr/>
          </w:p>
        </w:tc>
        <w:tc>
          <w:tcPr>
            <w:tcW w:w="212"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4,550,271.77</w:t>
            </w:r>
          </w:p>
        </w:tc>
        <w:tc>
          <w:tcPr>
            <w:tcW w:w="427"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排队机系统项目</w:t>
            </w: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4,512,391.70</w:t>
            </w:r>
          </w:p>
        </w:tc>
        <w:tc>
          <w:tcPr>
            <w:tcW w:w="422" w:type="dxa"/>
            <w:tcBorders>
              <w:top w:val="single" w:sz="4" w:space="0" w:color="000000"/>
              <w:left w:val="single" w:sz="4" w:space="0" w:color="000000"/>
              <w:bottom w:val="single" w:sz="4" w:space="0" w:color="000000"/>
              <w:right w:val="single" w:sz="4" w:space="0" w:color="000000"/>
            </w:tcBorders>
          </w:tcPr>
          <w:p>
            <w:pPr/>
          </w:p>
        </w:tc>
        <w:tc>
          <w:tcPr>
            <w:tcW w:w="212"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4,512,391.70</w:t>
            </w:r>
          </w:p>
        </w:tc>
        <w:tc>
          <w:tcPr>
            <w:tcW w:w="427"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24" w:right="127"/>
              <w:jc w:val="both"/>
              <w:rPr>
                <w:rFonts w:ascii="宋体" w:hAnsi="宋体" w:cs="宋体" w:eastAsia="宋体" w:hint="default"/>
                <w:sz w:val="18"/>
                <w:szCs w:val="18"/>
              </w:rPr>
            </w:pPr>
            <w:r>
              <w:rPr>
                <w:rFonts w:ascii="宋体" w:hAnsi="宋体" w:cs="宋体" w:eastAsia="宋体" w:hint="default"/>
                <w:sz w:val="18"/>
                <w:szCs w:val="18"/>
              </w:rPr>
              <w:t>基于</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hybrid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模板化前端</w:t>
            </w:r>
            <w:r>
              <w:rPr>
                <w:rFonts w:ascii="宋体" w:hAnsi="宋体" w:cs="宋体" w:eastAsia="宋体" w:hint="default"/>
                <w:w w:val="101"/>
                <w:sz w:val="18"/>
                <w:szCs w:val="18"/>
              </w:rPr>
              <w:t> </w:t>
            </w:r>
            <w:r>
              <w:rPr>
                <w:rFonts w:ascii="宋体" w:hAnsi="宋体" w:cs="宋体" w:eastAsia="宋体" w:hint="default"/>
                <w:sz w:val="18"/>
                <w:szCs w:val="18"/>
              </w:rPr>
              <w:t>应用框架实现即插即用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式小程序业务融合生态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圈软件</w:t>
            </w: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17"/>
              <w:jc w:val="right"/>
              <w:rPr>
                <w:rFonts w:ascii="Times New Roman" w:hAnsi="Times New Roman" w:cs="Times New Roman" w:eastAsia="Times New Roman" w:hint="default"/>
                <w:sz w:val="18"/>
                <w:szCs w:val="18"/>
              </w:rPr>
            </w:pPr>
            <w:r>
              <w:rPr>
                <w:rFonts w:ascii="Times New Roman"/>
                <w:spacing w:val="-2"/>
                <w:sz w:val="18"/>
              </w:rPr>
              <w:t>4,429,911.93</w:t>
            </w:r>
          </w:p>
        </w:tc>
        <w:tc>
          <w:tcPr>
            <w:tcW w:w="422" w:type="dxa"/>
            <w:tcBorders>
              <w:top w:val="single" w:sz="4" w:space="0" w:color="000000"/>
              <w:left w:val="single" w:sz="4" w:space="0" w:color="000000"/>
              <w:bottom w:val="single" w:sz="4" w:space="0" w:color="000000"/>
              <w:right w:val="single" w:sz="4" w:space="0" w:color="000000"/>
            </w:tcBorders>
          </w:tcPr>
          <w:p>
            <w:pPr/>
          </w:p>
        </w:tc>
        <w:tc>
          <w:tcPr>
            <w:tcW w:w="212"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12"/>
              <w:jc w:val="right"/>
              <w:rPr>
                <w:rFonts w:ascii="Times New Roman" w:hAnsi="Times New Roman" w:cs="Times New Roman" w:eastAsia="Times New Roman" w:hint="default"/>
                <w:sz w:val="18"/>
                <w:szCs w:val="18"/>
              </w:rPr>
            </w:pPr>
            <w:r>
              <w:rPr>
                <w:rFonts w:ascii="Times New Roman"/>
                <w:spacing w:val="-2"/>
                <w:sz w:val="18"/>
              </w:rPr>
              <w:t>4,429,911.93</w:t>
            </w:r>
          </w:p>
        </w:tc>
        <w:tc>
          <w:tcPr>
            <w:tcW w:w="427"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企业资金集中管理软件</w:t>
            </w: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4,356,651.58</w:t>
            </w:r>
          </w:p>
        </w:tc>
        <w:tc>
          <w:tcPr>
            <w:tcW w:w="422" w:type="dxa"/>
            <w:tcBorders>
              <w:top w:val="single" w:sz="4" w:space="0" w:color="000000"/>
              <w:left w:val="single" w:sz="4" w:space="0" w:color="000000"/>
              <w:bottom w:val="single" w:sz="4" w:space="0" w:color="000000"/>
              <w:right w:val="single" w:sz="4" w:space="0" w:color="000000"/>
            </w:tcBorders>
          </w:tcPr>
          <w:p>
            <w:pPr/>
          </w:p>
        </w:tc>
        <w:tc>
          <w:tcPr>
            <w:tcW w:w="212"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4,356,651.58</w:t>
            </w:r>
          </w:p>
        </w:tc>
        <w:tc>
          <w:tcPr>
            <w:tcW w:w="427"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6"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988"/>
        <w:gridCol w:w="1417"/>
        <w:gridCol w:w="1277"/>
        <w:gridCol w:w="422"/>
        <w:gridCol w:w="212"/>
        <w:gridCol w:w="1349"/>
        <w:gridCol w:w="1416"/>
        <w:gridCol w:w="427"/>
        <w:gridCol w:w="1278"/>
      </w:tblGrid>
      <w:tr>
        <w:trPr>
          <w:trHeight w:val="403"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金融</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IC</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卡推广项目</w:t>
            </w: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4,349,767.08</w:t>
            </w:r>
          </w:p>
        </w:tc>
        <w:tc>
          <w:tcPr>
            <w:tcW w:w="422" w:type="dxa"/>
            <w:tcBorders>
              <w:top w:val="single" w:sz="4" w:space="0" w:color="000000"/>
              <w:left w:val="single" w:sz="4" w:space="0" w:color="000000"/>
              <w:bottom w:val="single" w:sz="4" w:space="0" w:color="000000"/>
              <w:right w:val="single" w:sz="4" w:space="0" w:color="000000"/>
            </w:tcBorders>
          </w:tcPr>
          <w:p>
            <w:pPr/>
          </w:p>
        </w:tc>
        <w:tc>
          <w:tcPr>
            <w:tcW w:w="212"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4,349,767.08</w:t>
            </w:r>
          </w:p>
        </w:tc>
        <w:tc>
          <w:tcPr>
            <w:tcW w:w="427"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24" w:right="147"/>
              <w:jc w:val="left"/>
              <w:rPr>
                <w:rFonts w:ascii="宋体" w:hAnsi="宋体" w:cs="宋体" w:eastAsia="宋体" w:hint="default"/>
                <w:sz w:val="18"/>
                <w:szCs w:val="18"/>
              </w:rPr>
            </w:pPr>
            <w:r>
              <w:rPr>
                <w:rFonts w:ascii="宋体" w:hAnsi="宋体" w:cs="宋体" w:eastAsia="宋体" w:hint="default"/>
                <w:spacing w:val="-2"/>
                <w:sz w:val="18"/>
                <w:szCs w:val="18"/>
              </w:rPr>
              <w:t>系列高级存折票据打印</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机项目</w:t>
            </w: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4,089,343.99</w:t>
            </w:r>
          </w:p>
        </w:tc>
        <w:tc>
          <w:tcPr>
            <w:tcW w:w="422" w:type="dxa"/>
            <w:tcBorders>
              <w:top w:val="single" w:sz="4" w:space="0" w:color="000000"/>
              <w:left w:val="single" w:sz="4" w:space="0" w:color="000000"/>
              <w:bottom w:val="single" w:sz="4" w:space="0" w:color="000000"/>
              <w:right w:val="single" w:sz="4" w:space="0" w:color="000000"/>
            </w:tcBorders>
          </w:tcPr>
          <w:p>
            <w:pPr/>
          </w:p>
        </w:tc>
        <w:tc>
          <w:tcPr>
            <w:tcW w:w="212"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4,089,343.99</w:t>
            </w:r>
          </w:p>
        </w:tc>
        <w:tc>
          <w:tcPr>
            <w:tcW w:w="427"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行业云缴费服务系统</w:t>
            </w: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4,018,746.90</w:t>
            </w:r>
          </w:p>
        </w:tc>
        <w:tc>
          <w:tcPr>
            <w:tcW w:w="422" w:type="dxa"/>
            <w:tcBorders>
              <w:top w:val="single" w:sz="4" w:space="0" w:color="000000"/>
              <w:left w:val="single" w:sz="4" w:space="0" w:color="000000"/>
              <w:bottom w:val="single" w:sz="4" w:space="0" w:color="000000"/>
              <w:right w:val="single" w:sz="4" w:space="0" w:color="000000"/>
            </w:tcBorders>
          </w:tcPr>
          <w:p>
            <w:pPr/>
          </w:p>
        </w:tc>
        <w:tc>
          <w:tcPr>
            <w:tcW w:w="212"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4,018,746.90</w:t>
            </w:r>
          </w:p>
        </w:tc>
        <w:tc>
          <w:tcPr>
            <w:tcW w:w="427"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47"/>
              <w:jc w:val="left"/>
              <w:rPr>
                <w:rFonts w:ascii="宋体" w:hAnsi="宋体" w:cs="宋体" w:eastAsia="宋体" w:hint="default"/>
                <w:sz w:val="18"/>
                <w:szCs w:val="18"/>
              </w:rPr>
            </w:pPr>
            <w:r>
              <w:rPr>
                <w:rFonts w:ascii="宋体" w:hAnsi="宋体" w:cs="宋体" w:eastAsia="宋体" w:hint="default"/>
                <w:spacing w:val="-2"/>
                <w:sz w:val="18"/>
                <w:szCs w:val="18"/>
              </w:rPr>
              <w:t>分布式企业服务总线系</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统研发</w:t>
            </w: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3,924,435.97</w:t>
            </w:r>
          </w:p>
        </w:tc>
        <w:tc>
          <w:tcPr>
            <w:tcW w:w="422" w:type="dxa"/>
            <w:tcBorders>
              <w:top w:val="single" w:sz="4" w:space="0" w:color="000000"/>
              <w:left w:val="single" w:sz="4" w:space="0" w:color="000000"/>
              <w:bottom w:val="single" w:sz="4" w:space="0" w:color="000000"/>
              <w:right w:val="single" w:sz="4" w:space="0" w:color="000000"/>
            </w:tcBorders>
          </w:tcPr>
          <w:p>
            <w:pPr/>
          </w:p>
        </w:tc>
        <w:tc>
          <w:tcPr>
            <w:tcW w:w="212"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3,924,435.97</w:t>
            </w:r>
          </w:p>
        </w:tc>
        <w:tc>
          <w:tcPr>
            <w:tcW w:w="427"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微信运营服务软件</w:t>
            </w: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3,710,328.83</w:t>
            </w:r>
          </w:p>
        </w:tc>
        <w:tc>
          <w:tcPr>
            <w:tcW w:w="422" w:type="dxa"/>
            <w:tcBorders>
              <w:top w:val="single" w:sz="4" w:space="0" w:color="000000"/>
              <w:left w:val="single" w:sz="4" w:space="0" w:color="000000"/>
              <w:bottom w:val="single" w:sz="4" w:space="0" w:color="000000"/>
              <w:right w:val="single" w:sz="4" w:space="0" w:color="000000"/>
            </w:tcBorders>
          </w:tcPr>
          <w:p>
            <w:pPr/>
          </w:p>
        </w:tc>
        <w:tc>
          <w:tcPr>
            <w:tcW w:w="212"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3,710,328.83</w:t>
            </w:r>
          </w:p>
        </w:tc>
        <w:tc>
          <w:tcPr>
            <w:tcW w:w="427"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
        </w:tc>
      </w:tr>
      <w:tr>
        <w:trPr>
          <w:trHeight w:val="1023"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4"/>
              <w:ind w:left="24" w:right="147"/>
              <w:jc w:val="both"/>
              <w:rPr>
                <w:rFonts w:ascii="宋体" w:hAnsi="宋体" w:cs="宋体" w:eastAsia="宋体" w:hint="default"/>
                <w:sz w:val="18"/>
                <w:szCs w:val="18"/>
              </w:rPr>
            </w:pPr>
            <w:r>
              <w:rPr>
                <w:rFonts w:ascii="宋体" w:hAnsi="宋体" w:cs="宋体" w:eastAsia="宋体" w:hint="default"/>
                <w:spacing w:val="-2"/>
                <w:sz w:val="18"/>
                <w:szCs w:val="18"/>
              </w:rPr>
              <w:t>基于互联网分布式技术</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体系在传统银行架构中</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的应用实践</w:t>
            </w: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3,638,687.94</w:t>
            </w:r>
          </w:p>
        </w:tc>
        <w:tc>
          <w:tcPr>
            <w:tcW w:w="422" w:type="dxa"/>
            <w:tcBorders>
              <w:top w:val="single" w:sz="4" w:space="0" w:color="000000"/>
              <w:left w:val="single" w:sz="4" w:space="0" w:color="000000"/>
              <w:bottom w:val="single" w:sz="4" w:space="0" w:color="000000"/>
              <w:right w:val="single" w:sz="4" w:space="0" w:color="000000"/>
            </w:tcBorders>
          </w:tcPr>
          <w:p>
            <w:pPr/>
          </w:p>
        </w:tc>
        <w:tc>
          <w:tcPr>
            <w:tcW w:w="212"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3,638,687.94</w:t>
            </w:r>
          </w:p>
        </w:tc>
        <w:tc>
          <w:tcPr>
            <w:tcW w:w="427"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企业微信创新应用研发</w:t>
            </w: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3,630,948.21</w:t>
            </w:r>
          </w:p>
        </w:tc>
        <w:tc>
          <w:tcPr>
            <w:tcW w:w="422" w:type="dxa"/>
            <w:tcBorders>
              <w:top w:val="single" w:sz="4" w:space="0" w:color="000000"/>
              <w:left w:val="single" w:sz="4" w:space="0" w:color="000000"/>
              <w:bottom w:val="single" w:sz="4" w:space="0" w:color="000000"/>
              <w:right w:val="single" w:sz="4" w:space="0" w:color="000000"/>
            </w:tcBorders>
          </w:tcPr>
          <w:p>
            <w:pPr/>
          </w:p>
        </w:tc>
        <w:tc>
          <w:tcPr>
            <w:tcW w:w="212"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3,630,948.21</w:t>
            </w:r>
          </w:p>
        </w:tc>
        <w:tc>
          <w:tcPr>
            <w:tcW w:w="427"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17"/>
              <w:jc w:val="left"/>
              <w:rPr>
                <w:rFonts w:ascii="宋体" w:hAnsi="宋体" w:cs="宋体" w:eastAsia="宋体" w:hint="default"/>
                <w:sz w:val="18"/>
                <w:szCs w:val="18"/>
              </w:rPr>
            </w:pPr>
            <w:r>
              <w:rPr>
                <w:rFonts w:ascii="宋体" w:hAnsi="宋体" w:cs="宋体" w:eastAsia="宋体" w:hint="default"/>
                <w:sz w:val="18"/>
                <w:szCs w:val="18"/>
              </w:rPr>
              <w:t>集成化</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WEB</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开发平台软</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件</w:t>
            </w: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3,607,562.09</w:t>
            </w:r>
          </w:p>
        </w:tc>
        <w:tc>
          <w:tcPr>
            <w:tcW w:w="422" w:type="dxa"/>
            <w:tcBorders>
              <w:top w:val="single" w:sz="4" w:space="0" w:color="000000"/>
              <w:left w:val="single" w:sz="4" w:space="0" w:color="000000"/>
              <w:bottom w:val="single" w:sz="4" w:space="0" w:color="000000"/>
              <w:right w:val="single" w:sz="4" w:space="0" w:color="000000"/>
            </w:tcBorders>
          </w:tcPr>
          <w:p>
            <w:pPr/>
          </w:p>
        </w:tc>
        <w:tc>
          <w:tcPr>
            <w:tcW w:w="212"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3,607,562.09</w:t>
            </w:r>
          </w:p>
        </w:tc>
        <w:tc>
          <w:tcPr>
            <w:tcW w:w="427"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24" w:right="147"/>
              <w:jc w:val="left"/>
              <w:rPr>
                <w:rFonts w:ascii="宋体" w:hAnsi="宋体" w:cs="宋体" w:eastAsia="宋体" w:hint="default"/>
                <w:sz w:val="18"/>
                <w:szCs w:val="18"/>
              </w:rPr>
            </w:pPr>
            <w:r>
              <w:rPr>
                <w:rFonts w:ascii="宋体" w:hAnsi="宋体" w:cs="宋体" w:eastAsia="宋体" w:hint="default"/>
                <w:spacing w:val="-2"/>
                <w:sz w:val="18"/>
                <w:szCs w:val="18"/>
              </w:rPr>
              <w:t>基于微服务的智能渠道</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融合服务软件</w:t>
            </w: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3,429,811.35</w:t>
            </w:r>
          </w:p>
        </w:tc>
        <w:tc>
          <w:tcPr>
            <w:tcW w:w="422" w:type="dxa"/>
            <w:tcBorders>
              <w:top w:val="single" w:sz="4" w:space="0" w:color="000000"/>
              <w:left w:val="single" w:sz="4" w:space="0" w:color="000000"/>
              <w:bottom w:val="single" w:sz="4" w:space="0" w:color="000000"/>
              <w:right w:val="single" w:sz="4" w:space="0" w:color="000000"/>
            </w:tcBorders>
          </w:tcPr>
          <w:p>
            <w:pPr/>
          </w:p>
        </w:tc>
        <w:tc>
          <w:tcPr>
            <w:tcW w:w="212"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2"/>
                <w:sz w:val="18"/>
              </w:rPr>
              <w:t>3,429,811.35</w:t>
            </w:r>
          </w:p>
        </w:tc>
        <w:tc>
          <w:tcPr>
            <w:tcW w:w="427"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147"/>
              <w:jc w:val="left"/>
              <w:rPr>
                <w:rFonts w:ascii="宋体" w:hAnsi="宋体" w:cs="宋体" w:eastAsia="宋体" w:hint="default"/>
                <w:sz w:val="18"/>
                <w:szCs w:val="18"/>
              </w:rPr>
            </w:pPr>
            <w:r>
              <w:rPr>
                <w:rFonts w:ascii="宋体" w:hAnsi="宋体" w:cs="宋体" w:eastAsia="宋体" w:hint="default"/>
                <w:spacing w:val="-2"/>
                <w:sz w:val="18"/>
                <w:szCs w:val="18"/>
              </w:rPr>
              <w:t>一体化企业信息管理平</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台</w:t>
            </w: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2,436,245.16</w:t>
            </w:r>
          </w:p>
        </w:tc>
        <w:tc>
          <w:tcPr>
            <w:tcW w:w="422" w:type="dxa"/>
            <w:tcBorders>
              <w:top w:val="single" w:sz="4" w:space="0" w:color="000000"/>
              <w:left w:val="single" w:sz="4" w:space="0" w:color="000000"/>
              <w:bottom w:val="single" w:sz="4" w:space="0" w:color="000000"/>
              <w:right w:val="single" w:sz="4" w:space="0" w:color="000000"/>
            </w:tcBorders>
          </w:tcPr>
          <w:p>
            <w:pPr/>
          </w:p>
        </w:tc>
        <w:tc>
          <w:tcPr>
            <w:tcW w:w="212"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2,436,245.16</w:t>
            </w:r>
          </w:p>
        </w:tc>
        <w:tc>
          <w:tcPr>
            <w:tcW w:w="427"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8"/>
              <w:ind w:left="24" w:right="147"/>
              <w:jc w:val="left"/>
              <w:rPr>
                <w:rFonts w:ascii="宋体" w:hAnsi="宋体" w:cs="宋体" w:eastAsia="宋体" w:hint="default"/>
                <w:sz w:val="18"/>
                <w:szCs w:val="18"/>
              </w:rPr>
            </w:pPr>
            <w:r>
              <w:rPr>
                <w:rFonts w:ascii="宋体" w:hAnsi="宋体" w:cs="宋体" w:eastAsia="宋体" w:hint="default"/>
                <w:spacing w:val="-2"/>
                <w:sz w:val="18"/>
                <w:szCs w:val="18"/>
              </w:rPr>
              <w:t>互联网金融账户核心研</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发</w:t>
            </w: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2,212,305.43</w:t>
            </w:r>
          </w:p>
        </w:tc>
        <w:tc>
          <w:tcPr>
            <w:tcW w:w="422" w:type="dxa"/>
            <w:tcBorders>
              <w:top w:val="single" w:sz="4" w:space="0" w:color="000000"/>
              <w:left w:val="single" w:sz="4" w:space="0" w:color="000000"/>
              <w:bottom w:val="single" w:sz="4" w:space="0" w:color="000000"/>
              <w:right w:val="single" w:sz="4" w:space="0" w:color="000000"/>
            </w:tcBorders>
          </w:tcPr>
          <w:p>
            <w:pPr/>
          </w:p>
        </w:tc>
        <w:tc>
          <w:tcPr>
            <w:tcW w:w="212"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2,212,305.43</w:t>
            </w:r>
          </w:p>
        </w:tc>
        <w:tc>
          <w:tcPr>
            <w:tcW w:w="427"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自助查询终端项目</w:t>
            </w: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2,020,003.82</w:t>
            </w:r>
          </w:p>
        </w:tc>
        <w:tc>
          <w:tcPr>
            <w:tcW w:w="422" w:type="dxa"/>
            <w:tcBorders>
              <w:top w:val="single" w:sz="4" w:space="0" w:color="000000"/>
              <w:left w:val="single" w:sz="4" w:space="0" w:color="000000"/>
              <w:bottom w:val="single" w:sz="4" w:space="0" w:color="000000"/>
              <w:right w:val="single" w:sz="4" w:space="0" w:color="000000"/>
            </w:tcBorders>
          </w:tcPr>
          <w:p>
            <w:pPr/>
          </w:p>
        </w:tc>
        <w:tc>
          <w:tcPr>
            <w:tcW w:w="212"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2,020,003.82</w:t>
            </w:r>
          </w:p>
        </w:tc>
        <w:tc>
          <w:tcPr>
            <w:tcW w:w="427"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其他本期费用化项目</w:t>
            </w: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93,328,646.78</w:t>
            </w:r>
          </w:p>
        </w:tc>
        <w:tc>
          <w:tcPr>
            <w:tcW w:w="422" w:type="dxa"/>
            <w:tcBorders>
              <w:top w:val="single" w:sz="4" w:space="0" w:color="000000"/>
              <w:left w:val="single" w:sz="4" w:space="0" w:color="000000"/>
              <w:bottom w:val="single" w:sz="4" w:space="0" w:color="000000"/>
              <w:right w:val="single" w:sz="4" w:space="0" w:color="000000"/>
            </w:tcBorders>
          </w:tcPr>
          <w:p>
            <w:pPr/>
          </w:p>
        </w:tc>
        <w:tc>
          <w:tcPr>
            <w:tcW w:w="212"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93,328,646.78</w:t>
            </w:r>
          </w:p>
        </w:tc>
        <w:tc>
          <w:tcPr>
            <w:tcW w:w="427"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60" w:right="0"/>
              <w:jc w:val="left"/>
              <w:rPr>
                <w:rFonts w:ascii="Times New Roman" w:hAnsi="Times New Roman" w:cs="Times New Roman" w:eastAsia="Times New Roman" w:hint="default"/>
                <w:sz w:val="18"/>
                <w:szCs w:val="18"/>
              </w:rPr>
            </w:pPr>
            <w:r>
              <w:rPr>
                <w:rFonts w:ascii="Times New Roman"/>
                <w:spacing w:val="-2"/>
                <w:sz w:val="18"/>
              </w:rPr>
              <w:t>18,011,550.64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323,436,918.95</w:t>
            </w:r>
          </w:p>
        </w:tc>
        <w:tc>
          <w:tcPr>
            <w:tcW w:w="422" w:type="dxa"/>
            <w:tcBorders>
              <w:top w:val="single" w:sz="4" w:space="0" w:color="000000"/>
              <w:left w:val="single" w:sz="4" w:space="0" w:color="000000"/>
              <w:bottom w:val="single" w:sz="4" w:space="0" w:color="000000"/>
              <w:right w:val="single" w:sz="4" w:space="0" w:color="000000"/>
            </w:tcBorders>
          </w:tcPr>
          <w:p>
            <w:pPr/>
          </w:p>
        </w:tc>
        <w:tc>
          <w:tcPr>
            <w:tcW w:w="212"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78" w:right="0"/>
              <w:jc w:val="left"/>
              <w:rPr>
                <w:rFonts w:ascii="Times New Roman" w:hAnsi="Times New Roman" w:cs="Times New Roman" w:eastAsia="Times New Roman" w:hint="default"/>
                <w:sz w:val="18"/>
                <w:szCs w:val="18"/>
              </w:rPr>
            </w:pPr>
            <w:r>
              <w:rPr>
                <w:rFonts w:ascii="Times New Roman"/>
                <w:sz w:val="18"/>
              </w:rPr>
              <w:t>23,644,712.55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301,681,131.05</w:t>
            </w:r>
          </w:p>
        </w:tc>
        <w:tc>
          <w:tcPr>
            <w:tcW w:w="427"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07" w:right="0"/>
              <w:jc w:val="left"/>
              <w:rPr>
                <w:rFonts w:ascii="Times New Roman" w:hAnsi="Times New Roman" w:cs="Times New Roman" w:eastAsia="Times New Roman" w:hint="default"/>
                <w:sz w:val="18"/>
                <w:szCs w:val="18"/>
              </w:rPr>
            </w:pPr>
            <w:r>
              <w:rPr>
                <w:rFonts w:ascii="Times New Roman"/>
                <w:sz w:val="18"/>
              </w:rPr>
              <w:t>16,122,625.99</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6"/>
        <w:ind w:right="855"/>
        <w:jc w:val="left"/>
        <w:rPr>
          <w:b w:val="0"/>
          <w:bCs w:val="0"/>
        </w:rPr>
      </w:pPr>
      <w:r>
        <w:rPr>
          <w:rFonts w:ascii="Times New Roman" w:hAnsi="Times New Roman" w:cs="Times New Roman" w:eastAsia="Times New Roman" w:hint="default"/>
        </w:rPr>
        <w:t>16</w:t>
      </w:r>
      <w:r>
        <w:rPr/>
        <w:t>、商誉</w:t>
      </w:r>
      <w:r>
        <w:rPr>
          <w:b w:val="0"/>
          <w:bCs w:val="0"/>
        </w:rPr>
      </w:r>
    </w:p>
    <w:p>
      <w:pPr>
        <w:spacing w:line="240" w:lineRule="auto" w:before="5"/>
        <w:rPr>
          <w:rFonts w:ascii="宋体" w:hAnsi="宋体" w:cs="宋体" w:eastAsia="宋体" w:hint="default"/>
          <w:b/>
          <w:bCs/>
          <w:sz w:val="24"/>
          <w:szCs w:val="24"/>
        </w:rPr>
      </w:pPr>
    </w:p>
    <w:p>
      <w:pPr>
        <w:spacing w:before="0"/>
        <w:ind w:left="153" w:right="85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）商誉账面原值</w:t>
      </w:r>
      <w:r>
        <w:rPr>
          <w:rFonts w:ascii="宋体" w:hAnsi="宋体" w:cs="宋体" w:eastAsia="宋体" w:hint="default"/>
          <w:sz w:val="21"/>
          <w:szCs w:val="21"/>
        </w:rPr>
      </w:r>
    </w:p>
    <w:p>
      <w:pPr>
        <w:spacing w:line="240" w:lineRule="auto" w:before="2"/>
        <w:rPr>
          <w:rFonts w:ascii="宋体" w:hAnsi="宋体" w:cs="宋体" w:eastAsia="宋体" w:hint="default"/>
          <w:b/>
          <w:bCs/>
          <w:sz w:val="23"/>
          <w:szCs w:val="23"/>
        </w:rPr>
      </w:pPr>
    </w:p>
    <w:p>
      <w:pPr>
        <w:pStyle w:val="BodyText"/>
        <w:spacing w:line="240" w:lineRule="auto" w:before="46"/>
        <w:ind w:left="0" w:right="1121"/>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977"/>
        <w:gridCol w:w="1560"/>
        <w:gridCol w:w="1416"/>
        <w:gridCol w:w="572"/>
        <w:gridCol w:w="989"/>
        <w:gridCol w:w="691"/>
        <w:gridCol w:w="1369"/>
      </w:tblGrid>
      <w:tr>
        <w:trPr>
          <w:trHeight w:val="206" w:hRule="exact"/>
        </w:trPr>
        <w:tc>
          <w:tcPr>
            <w:tcW w:w="2977" w:type="dxa"/>
            <w:tcBorders>
              <w:top w:val="single" w:sz="4" w:space="0" w:color="000000"/>
              <w:left w:val="single" w:sz="4" w:space="0" w:color="000000"/>
              <w:bottom w:val="nil" w:sz="6" w:space="0" w:color="auto"/>
              <w:right w:val="single" w:sz="4" w:space="0" w:color="000000"/>
            </w:tcBorders>
            <w:shd w:val="clear" w:color="auto" w:fill="D2D2D2"/>
          </w:tcPr>
          <w:p>
            <w:pPr/>
          </w:p>
        </w:tc>
        <w:tc>
          <w:tcPr>
            <w:tcW w:w="15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8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62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68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7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7" w:hRule="exact"/>
        </w:trPr>
        <w:tc>
          <w:tcPr>
            <w:tcW w:w="297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34" w:right="0"/>
              <w:jc w:val="left"/>
              <w:rPr>
                <w:rFonts w:ascii="宋体" w:hAnsi="宋体" w:cs="宋体" w:eastAsia="宋体" w:hint="default"/>
                <w:sz w:val="18"/>
                <w:szCs w:val="18"/>
              </w:rPr>
            </w:pPr>
            <w:r>
              <w:rPr>
                <w:rFonts w:ascii="宋体" w:hAnsi="宋体" w:cs="宋体" w:eastAsia="宋体" w:hint="default"/>
                <w:spacing w:val="-3"/>
                <w:sz w:val="18"/>
                <w:szCs w:val="18"/>
              </w:rPr>
              <w:t>被投资单位名称或形成商誉的事项</w:t>
            </w:r>
          </w:p>
        </w:tc>
        <w:tc>
          <w:tcPr>
            <w:tcW w:w="1560" w:type="dxa"/>
            <w:vMerge/>
            <w:tcBorders>
              <w:left w:val="single" w:sz="4" w:space="0" w:color="000000"/>
              <w:right w:val="single" w:sz="4" w:space="0" w:color="000000"/>
            </w:tcBorders>
            <w:shd w:val="clear" w:color="auto" w:fill="D2D2D2"/>
          </w:tcPr>
          <w:p>
            <w:pPr/>
          </w:p>
        </w:tc>
        <w:tc>
          <w:tcPr>
            <w:tcW w:w="1988" w:type="dxa"/>
            <w:gridSpan w:val="2"/>
            <w:vMerge/>
            <w:tcBorders>
              <w:left w:val="single" w:sz="4" w:space="0" w:color="000000"/>
              <w:bottom w:val="single" w:sz="4" w:space="0" w:color="000000"/>
              <w:right w:val="single" w:sz="4" w:space="0" w:color="000000"/>
            </w:tcBorders>
            <w:shd w:val="clear" w:color="auto" w:fill="D2D2D2"/>
          </w:tcPr>
          <w:p>
            <w:pPr/>
          </w:p>
        </w:tc>
        <w:tc>
          <w:tcPr>
            <w:tcW w:w="1680" w:type="dxa"/>
            <w:gridSpan w:val="2"/>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right w:val="single" w:sz="4" w:space="0" w:color="000000"/>
            </w:tcBorders>
            <w:shd w:val="clear" w:color="auto" w:fill="D2D2D2"/>
          </w:tcPr>
          <w:p>
            <w:pPr/>
          </w:p>
        </w:tc>
      </w:tr>
      <w:tr>
        <w:trPr>
          <w:trHeight w:val="197" w:hRule="exact"/>
        </w:trPr>
        <w:tc>
          <w:tcPr>
            <w:tcW w:w="2977" w:type="dxa"/>
            <w:vMerge/>
            <w:tcBorders>
              <w:left w:val="single" w:sz="4" w:space="0" w:color="000000"/>
              <w:bottom w:val="nil" w:sz="6" w:space="0" w:color="auto"/>
              <w:right w:val="single" w:sz="4" w:space="0" w:color="000000"/>
            </w:tcBorders>
            <w:shd w:val="clear" w:color="auto" w:fill="D2D2D2"/>
          </w:tcPr>
          <w:p>
            <w:pPr/>
          </w:p>
        </w:tc>
        <w:tc>
          <w:tcPr>
            <w:tcW w:w="1560" w:type="dxa"/>
            <w:vMerge/>
            <w:tcBorders>
              <w:left w:val="single" w:sz="4" w:space="0" w:color="000000"/>
              <w:right w:val="single" w:sz="4" w:space="0" w:color="000000"/>
            </w:tcBorders>
            <w:shd w:val="clear" w:color="auto" w:fill="D2D2D2"/>
          </w:tcPr>
          <w:p>
            <w:pPr/>
          </w:p>
        </w:tc>
        <w:tc>
          <w:tcPr>
            <w:tcW w:w="14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76" w:right="0"/>
              <w:jc w:val="left"/>
              <w:rPr>
                <w:rFonts w:ascii="宋体" w:hAnsi="宋体" w:cs="宋体" w:eastAsia="宋体" w:hint="default"/>
                <w:sz w:val="18"/>
                <w:szCs w:val="18"/>
              </w:rPr>
            </w:pPr>
            <w:r>
              <w:rPr>
                <w:rFonts w:ascii="宋体" w:hAnsi="宋体" w:cs="宋体" w:eastAsia="宋体" w:hint="default"/>
                <w:spacing w:val="-3"/>
                <w:sz w:val="18"/>
                <w:szCs w:val="18"/>
              </w:rPr>
              <w:t>企业合并形成的</w:t>
            </w:r>
          </w:p>
        </w:tc>
        <w:tc>
          <w:tcPr>
            <w:tcW w:w="572" w:type="dxa"/>
            <w:vMerge w:val="restart"/>
            <w:tcBorders>
              <w:top w:val="single" w:sz="4" w:space="0" w:color="000000"/>
              <w:left w:val="single" w:sz="4" w:space="0" w:color="000000"/>
              <w:right w:val="single" w:sz="4" w:space="0" w:color="000000"/>
            </w:tcBorders>
            <w:shd w:val="clear" w:color="auto" w:fill="D2D2D2"/>
          </w:tcPr>
          <w:p>
            <w:pPr/>
          </w:p>
        </w:tc>
        <w:tc>
          <w:tcPr>
            <w:tcW w:w="9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1" w:right="0"/>
              <w:jc w:val="left"/>
              <w:rPr>
                <w:rFonts w:ascii="宋体" w:hAnsi="宋体" w:cs="宋体" w:eastAsia="宋体" w:hint="default"/>
                <w:sz w:val="18"/>
                <w:szCs w:val="18"/>
              </w:rPr>
            </w:pPr>
            <w:r>
              <w:rPr>
                <w:rFonts w:ascii="宋体" w:hAnsi="宋体" w:cs="宋体" w:eastAsia="宋体" w:hint="default"/>
                <w:sz w:val="18"/>
                <w:szCs w:val="18"/>
              </w:rPr>
              <w:t>处置</w:t>
            </w:r>
          </w:p>
        </w:tc>
        <w:tc>
          <w:tcPr>
            <w:tcW w:w="691" w:type="dxa"/>
            <w:vMerge w:val="restart"/>
            <w:tcBorders>
              <w:top w:val="single" w:sz="4" w:space="0" w:color="000000"/>
              <w:left w:val="single" w:sz="4" w:space="0" w:color="000000"/>
              <w:right w:val="single" w:sz="4" w:space="0" w:color="000000"/>
            </w:tcBorders>
            <w:shd w:val="clear" w:color="auto" w:fill="D2D2D2"/>
          </w:tcPr>
          <w:p>
            <w:pPr/>
          </w:p>
        </w:tc>
        <w:tc>
          <w:tcPr>
            <w:tcW w:w="1369" w:type="dxa"/>
            <w:vMerge/>
            <w:tcBorders>
              <w:left w:val="single" w:sz="4" w:space="0" w:color="000000"/>
              <w:right w:val="single" w:sz="4" w:space="0" w:color="000000"/>
            </w:tcBorders>
            <w:shd w:val="clear" w:color="auto" w:fill="D2D2D2"/>
          </w:tcPr>
          <w:p>
            <w:pPr/>
          </w:p>
        </w:tc>
      </w:tr>
      <w:tr>
        <w:trPr>
          <w:trHeight w:val="202" w:hRule="exact"/>
        </w:trPr>
        <w:tc>
          <w:tcPr>
            <w:tcW w:w="2977" w:type="dxa"/>
            <w:tcBorders>
              <w:top w:val="nil" w:sz="6" w:space="0" w:color="auto"/>
              <w:left w:val="single" w:sz="4" w:space="0" w:color="000000"/>
              <w:bottom w:val="single" w:sz="4" w:space="0" w:color="000000"/>
              <w:right w:val="single" w:sz="4" w:space="0" w:color="000000"/>
            </w:tcBorders>
            <w:shd w:val="clear" w:color="auto" w:fill="D2D2D2"/>
          </w:tcPr>
          <w:p>
            <w:pPr/>
          </w:p>
        </w:tc>
        <w:tc>
          <w:tcPr>
            <w:tcW w:w="1560" w:type="dxa"/>
            <w:vMerge/>
            <w:tcBorders>
              <w:left w:val="single" w:sz="4" w:space="0" w:color="000000"/>
              <w:bottom w:val="single" w:sz="4" w:space="0" w:color="000000"/>
              <w:right w:val="single" w:sz="4" w:space="0" w:color="000000"/>
            </w:tcBorders>
            <w:shd w:val="clear" w:color="auto" w:fill="D2D2D2"/>
          </w:tcPr>
          <w:p>
            <w:pPr/>
          </w:p>
        </w:tc>
        <w:tc>
          <w:tcPr>
            <w:tcW w:w="1416" w:type="dxa"/>
            <w:vMerge/>
            <w:tcBorders>
              <w:left w:val="single" w:sz="4" w:space="0" w:color="000000"/>
              <w:bottom w:val="single" w:sz="4" w:space="0" w:color="000000"/>
              <w:right w:val="single" w:sz="4" w:space="0" w:color="000000"/>
            </w:tcBorders>
            <w:shd w:val="clear" w:color="auto" w:fill="D2D2D2"/>
          </w:tcPr>
          <w:p>
            <w:pPr/>
          </w:p>
        </w:tc>
        <w:tc>
          <w:tcPr>
            <w:tcW w:w="572" w:type="dxa"/>
            <w:vMerge/>
            <w:tcBorders>
              <w:left w:val="single" w:sz="4" w:space="0" w:color="000000"/>
              <w:bottom w:val="single" w:sz="4" w:space="0" w:color="000000"/>
              <w:right w:val="single" w:sz="4" w:space="0" w:color="000000"/>
            </w:tcBorders>
            <w:shd w:val="clear" w:color="auto" w:fill="D2D2D2"/>
          </w:tcPr>
          <w:p>
            <w:pPr/>
          </w:p>
        </w:tc>
        <w:tc>
          <w:tcPr>
            <w:tcW w:w="989" w:type="dxa"/>
            <w:vMerge/>
            <w:tcBorders>
              <w:left w:val="single" w:sz="4" w:space="0" w:color="000000"/>
              <w:bottom w:val="single" w:sz="4" w:space="0" w:color="000000"/>
              <w:right w:val="single" w:sz="4" w:space="0" w:color="000000"/>
            </w:tcBorders>
            <w:shd w:val="clear" w:color="auto" w:fill="D2D2D2"/>
          </w:tcPr>
          <w:p>
            <w:pPr/>
          </w:p>
        </w:tc>
        <w:tc>
          <w:tcPr>
            <w:tcW w:w="691"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pacing w:val="-3"/>
                <w:sz w:val="18"/>
                <w:szCs w:val="18"/>
              </w:rPr>
              <w:t>云南红岭云科技股份有限公司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8"/>
                <w:szCs w:val="18"/>
              </w:rPr>
            </w:pPr>
            <w:r>
              <w:rPr>
                <w:rFonts w:ascii="Times New Roman"/>
                <w:spacing w:val="-1"/>
                <w:sz w:val="18"/>
              </w:rPr>
              <w:t>14,532,462.00</w:t>
            </w:r>
          </w:p>
        </w:tc>
        <w:tc>
          <w:tcPr>
            <w:tcW w:w="141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8"/>
                <w:szCs w:val="18"/>
              </w:rPr>
            </w:pPr>
            <w:r>
              <w:rPr>
                <w:rFonts w:ascii="Times New Roman"/>
                <w:spacing w:val="-1"/>
                <w:sz w:val="18"/>
              </w:rPr>
              <w:t>14,532,462.00</w:t>
            </w:r>
          </w:p>
        </w:tc>
      </w:tr>
      <w:tr>
        <w:trPr>
          <w:trHeight w:val="403" w:hRule="exact"/>
        </w:trPr>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北京星立方科技发展股份有限公司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12,092,607.25</w:t>
            </w:r>
          </w:p>
        </w:tc>
        <w:tc>
          <w:tcPr>
            <w:tcW w:w="141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12,092,607.25</w:t>
            </w:r>
          </w:p>
        </w:tc>
      </w:tr>
      <w:tr>
        <w:trPr>
          <w:trHeight w:val="403" w:hRule="exact"/>
        </w:trPr>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广州市海捷计算机科技有限公司</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8,315,672.80</w:t>
            </w:r>
          </w:p>
        </w:tc>
        <w:tc>
          <w:tcPr>
            <w:tcW w:w="572"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8,315,672.80</w:t>
            </w:r>
          </w:p>
        </w:tc>
      </w:tr>
      <w:tr>
        <w:trPr>
          <w:trHeight w:val="403" w:hRule="exact"/>
        </w:trPr>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26,625,069.25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8,315,672.80</w:t>
            </w:r>
          </w:p>
        </w:tc>
        <w:tc>
          <w:tcPr>
            <w:tcW w:w="572"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34,940,742.05</w:t>
            </w:r>
          </w:p>
        </w:tc>
      </w:tr>
    </w:tbl>
    <w:p>
      <w:pPr>
        <w:spacing w:line="240" w:lineRule="auto" w:before="3"/>
        <w:rPr>
          <w:rFonts w:ascii="宋体" w:hAnsi="宋体" w:cs="宋体" w:eastAsia="宋体" w:hint="default"/>
          <w:sz w:val="19"/>
          <w:szCs w:val="19"/>
        </w:rPr>
      </w:pPr>
    </w:p>
    <w:p>
      <w:pPr>
        <w:pStyle w:val="Heading4"/>
        <w:spacing w:line="240" w:lineRule="auto" w:before="36"/>
        <w:ind w:right="855"/>
        <w:jc w:val="left"/>
        <w:rPr>
          <w:b w:val="0"/>
          <w:bCs w:val="0"/>
        </w:rPr>
      </w:pPr>
      <w:r>
        <w:rPr/>
        <w:t>（</w:t>
      </w:r>
      <w:r>
        <w:rPr>
          <w:rFonts w:ascii="Times New Roman" w:hAnsi="Times New Roman" w:cs="Times New Roman" w:eastAsia="Times New Roman" w:hint="default"/>
        </w:rPr>
        <w:t>2</w:t>
      </w:r>
      <w:r>
        <w:rPr/>
        <w:t>）商誉减值准备</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855"/>
        <w:jc w:val="left"/>
      </w:pPr>
      <w:r>
        <w:rPr>
          <w:spacing w:val="-3"/>
        </w:rPr>
        <w:t>商誉所在资产组或资产组组合的相关信息</w:t>
      </w:r>
    </w:p>
    <w:p>
      <w:pPr>
        <w:spacing w:after="0" w:line="240" w:lineRule="auto"/>
        <w:jc w:val="left"/>
        <w:sectPr>
          <w:pgSz w:w="11910" w:h="16840"/>
          <w:pgMar w:header="746" w:footer="974" w:top="1060" w:bottom="1160" w:left="980" w:right="0"/>
        </w:sectPr>
      </w:pPr>
    </w:p>
    <w:p>
      <w:pPr>
        <w:spacing w:line="240" w:lineRule="auto" w:before="9"/>
        <w:rPr>
          <w:rFonts w:ascii="宋体" w:hAnsi="宋体" w:cs="宋体" w:eastAsia="宋体" w:hint="default"/>
          <w:sz w:val="25"/>
          <w:szCs w:val="25"/>
        </w:rPr>
      </w:pPr>
    </w:p>
    <w:p>
      <w:pPr>
        <w:pStyle w:val="BodyText"/>
        <w:spacing w:line="316" w:lineRule="auto" w:before="46"/>
        <w:ind w:right="855" w:firstLine="441"/>
        <w:jc w:val="left"/>
        <w:rPr>
          <w:rFonts w:ascii="宋体" w:hAnsi="宋体" w:cs="宋体" w:eastAsia="宋体" w:hint="default"/>
        </w:rPr>
      </w:pPr>
      <w:r>
        <w:rPr>
          <w:spacing w:val="-3"/>
        </w:rPr>
        <w:t>鉴于红岭云、星立方和海捷科技均成为独立运营的子公司，且其各项资产组合不可分割，故对三个子公司分别按照一</w:t>
      </w:r>
      <w:r>
        <w:rPr>
          <w:w w:val="101"/>
        </w:rPr>
        <w:t> </w:t>
      </w:r>
      <w:r>
        <w:rPr>
          <w:spacing w:val="-3"/>
        </w:rPr>
        <w:t>个资产组进行减值测试</w:t>
      </w:r>
      <w:r>
        <w:rPr>
          <w:rFonts w:ascii="宋体" w:hAnsi="宋体" w:cs="宋体" w:eastAsia="宋体" w:hint="default"/>
        </w:rPr>
        <w:t> </w:t>
      </w:r>
    </w:p>
    <w:p>
      <w:pPr>
        <w:pStyle w:val="BodyText"/>
        <w:spacing w:line="240" w:lineRule="auto" w:before="139"/>
        <w:ind w:left="594" w:right="855"/>
        <w:jc w:val="left"/>
        <w:rPr>
          <w:rFonts w:ascii="宋体" w:hAnsi="宋体" w:cs="宋体" w:eastAsia="宋体" w:hint="default"/>
        </w:rPr>
      </w:pPr>
      <w:r>
        <w:rPr>
          <w:spacing w:val="-3"/>
        </w:rPr>
        <w:t>截止</w:t>
      </w:r>
      <w:r>
        <w:rPr>
          <w:rFonts w:ascii="宋体" w:hAnsi="宋体" w:cs="宋体" w:eastAsia="宋体" w:hint="default"/>
          <w:spacing w:val="-3"/>
        </w:rPr>
        <w:t>2019</w:t>
      </w:r>
      <w:r>
        <w:rPr>
          <w:spacing w:val="-3"/>
        </w:rPr>
        <w:t>年</w:t>
      </w:r>
      <w:r>
        <w:rPr>
          <w:rFonts w:ascii="宋体" w:hAnsi="宋体" w:cs="宋体" w:eastAsia="宋体" w:hint="default"/>
          <w:spacing w:val="-3"/>
        </w:rPr>
        <w:t>12</w:t>
      </w:r>
      <w:r>
        <w:rPr>
          <w:spacing w:val="-3"/>
        </w:rPr>
        <w:t>月</w:t>
      </w:r>
      <w:r>
        <w:rPr>
          <w:rFonts w:ascii="宋体" w:hAnsi="宋体" w:cs="宋体" w:eastAsia="宋体" w:hint="default"/>
          <w:spacing w:val="-3"/>
        </w:rPr>
        <w:t>31</w:t>
      </w:r>
      <w:r>
        <w:rPr>
          <w:spacing w:val="-3"/>
        </w:rPr>
        <w:t>日，各资产组的账面价值如下：</w:t>
      </w:r>
      <w:r>
        <w:rPr>
          <w:rFonts w:ascii="宋体" w:hAnsi="宋体" w:cs="宋体" w:eastAsia="宋体" w:hint="default"/>
        </w:rPr>
        <w:t> </w:t>
      </w:r>
    </w:p>
    <w:p>
      <w:pPr>
        <w:spacing w:line="240" w:lineRule="auto" w:before="1"/>
        <w:rPr>
          <w:rFonts w:ascii="宋体" w:hAnsi="宋体" w:cs="宋体" w:eastAsia="宋体" w:hint="default"/>
          <w:sz w:val="15"/>
          <w:szCs w:val="15"/>
        </w:rPr>
      </w:pPr>
    </w:p>
    <w:p>
      <w:pPr>
        <w:pStyle w:val="BodyText"/>
        <w:spacing w:line="240" w:lineRule="auto"/>
        <w:ind w:left="0" w:right="1035"/>
        <w:jc w:val="right"/>
        <w:rPr>
          <w:rFonts w:ascii="宋体" w:hAnsi="宋体" w:cs="宋体" w:eastAsia="宋体" w:hint="default"/>
        </w:rPr>
      </w:pPr>
      <w:r>
        <w:rPr>
          <w:spacing w:val="-3"/>
        </w:rPr>
        <w:t>单位：元</w:t>
      </w:r>
      <w:r>
        <w:rPr>
          <w:rFonts w:ascii="宋体" w:hAnsi="宋体" w:cs="宋体" w:eastAsia="宋体" w:hint="default"/>
        </w:rPr>
        <w:t> </w:t>
      </w:r>
    </w:p>
    <w:p>
      <w:pPr>
        <w:spacing w:line="240" w:lineRule="auto" w:before="3"/>
        <w:rPr>
          <w:rFonts w:ascii="宋体" w:hAnsi="宋体" w:cs="宋体" w:eastAsia="宋体" w:hint="default"/>
          <w:sz w:val="14"/>
          <w:szCs w:val="14"/>
        </w:rPr>
      </w:pPr>
    </w:p>
    <w:tbl>
      <w:tblPr>
        <w:tblW w:w="0" w:type="auto"/>
        <w:jc w:val="left"/>
        <w:tblInd w:w="148" w:type="dxa"/>
        <w:tblLayout w:type="fixed"/>
        <w:tblCellMar>
          <w:top w:w="0" w:type="dxa"/>
          <w:left w:w="0" w:type="dxa"/>
          <w:bottom w:w="0" w:type="dxa"/>
          <w:right w:w="0" w:type="dxa"/>
        </w:tblCellMar>
        <w:tblLook w:val="01E0"/>
      </w:tblPr>
      <w:tblGrid>
        <w:gridCol w:w="4965"/>
        <w:gridCol w:w="2411"/>
        <w:gridCol w:w="2281"/>
      </w:tblGrid>
      <w:tr>
        <w:trPr>
          <w:trHeight w:val="432" w:hRule="exact"/>
        </w:trPr>
        <w:tc>
          <w:tcPr>
            <w:tcW w:w="4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91" w:right="0"/>
              <w:jc w:val="center"/>
              <w:rPr>
                <w:rFonts w:ascii="宋体" w:hAnsi="宋体" w:cs="宋体" w:eastAsia="宋体" w:hint="default"/>
                <w:sz w:val="18"/>
                <w:szCs w:val="18"/>
              </w:rPr>
            </w:pPr>
            <w:r>
              <w:rPr>
                <w:rFonts w:ascii="宋体" w:hAnsi="宋体" w:cs="宋体" w:eastAsia="宋体" w:hint="default"/>
                <w:b/>
                <w:bCs/>
                <w:sz w:val="18"/>
                <w:szCs w:val="18"/>
              </w:rPr>
              <w:t>资产组构成</w:t>
            </w:r>
            <w:r>
              <w:rPr>
                <w:rFonts w:ascii="宋体" w:hAnsi="宋体" w:cs="宋体" w:eastAsia="宋体" w:hint="default"/>
                <w:b/>
                <w:bCs/>
                <w:w w:val="100"/>
                <w:sz w:val="18"/>
                <w:szCs w:val="18"/>
              </w:rPr>
              <w:t> </w:t>
            </w:r>
            <w:r>
              <w:rPr>
                <w:rFonts w:ascii="宋体" w:hAnsi="宋体" w:cs="宋体" w:eastAsia="宋体" w:hint="default"/>
                <w:w w:val="100"/>
                <w:sz w:val="18"/>
                <w:szCs w:val="18"/>
              </w:rPr>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06" w:right="0"/>
              <w:jc w:val="left"/>
              <w:rPr>
                <w:rFonts w:ascii="宋体" w:hAnsi="宋体" w:cs="宋体" w:eastAsia="宋体" w:hint="default"/>
                <w:sz w:val="18"/>
                <w:szCs w:val="18"/>
              </w:rPr>
            </w:pPr>
            <w:r>
              <w:rPr>
                <w:rFonts w:ascii="宋体" w:hAnsi="宋体" w:cs="宋体" w:eastAsia="宋体" w:hint="default"/>
                <w:b/>
                <w:bCs/>
                <w:sz w:val="18"/>
                <w:szCs w:val="18"/>
              </w:rPr>
              <w:t>含商誉的资产组账面金额</w:t>
            </w:r>
            <w:r>
              <w:rPr>
                <w:rFonts w:ascii="宋体" w:hAnsi="宋体" w:cs="宋体" w:eastAsia="宋体" w:hint="default"/>
                <w:b/>
                <w:bCs/>
                <w:w w:val="100"/>
                <w:sz w:val="18"/>
                <w:szCs w:val="18"/>
              </w:rPr>
              <w:t> </w:t>
            </w:r>
            <w:r>
              <w:rPr>
                <w:rFonts w:ascii="宋体" w:hAnsi="宋体" w:cs="宋体" w:eastAsia="宋体" w:hint="default"/>
                <w:w w:val="100"/>
                <w:sz w:val="18"/>
                <w:szCs w:val="18"/>
              </w:rPr>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86" w:right="0"/>
              <w:jc w:val="center"/>
              <w:rPr>
                <w:rFonts w:ascii="宋体" w:hAnsi="宋体" w:cs="宋体" w:eastAsia="宋体" w:hint="default"/>
                <w:sz w:val="18"/>
                <w:szCs w:val="18"/>
              </w:rPr>
            </w:pPr>
            <w:r>
              <w:rPr>
                <w:rFonts w:ascii="宋体" w:hAnsi="宋体" w:cs="宋体" w:eastAsia="宋体" w:hint="default"/>
                <w:b/>
                <w:bCs/>
                <w:sz w:val="18"/>
                <w:szCs w:val="18"/>
              </w:rPr>
              <w:t>资产组与购买日是否一致</w:t>
            </w:r>
            <w:r>
              <w:rPr>
                <w:rFonts w:ascii="宋体" w:hAnsi="宋体" w:cs="宋体" w:eastAsia="宋体" w:hint="default"/>
                <w:b/>
                <w:bCs/>
                <w:w w:val="100"/>
                <w:sz w:val="18"/>
                <w:szCs w:val="18"/>
              </w:rPr>
              <w:t> </w:t>
            </w:r>
            <w:r>
              <w:rPr>
                <w:rFonts w:ascii="宋体" w:hAnsi="宋体" w:cs="宋体" w:eastAsia="宋体" w:hint="default"/>
                <w:w w:val="100"/>
                <w:sz w:val="18"/>
                <w:szCs w:val="18"/>
              </w:rPr>
            </w:r>
          </w:p>
        </w:tc>
      </w:tr>
      <w:tr>
        <w:trPr>
          <w:trHeight w:val="360" w:hRule="exact"/>
        </w:trPr>
        <w:tc>
          <w:tcPr>
            <w:tcW w:w="4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红岭云资产组主要为固定资产、无形资产等及商誉</w:t>
            </w:r>
            <w:r>
              <w:rPr>
                <w:rFonts w:ascii="宋体" w:hAnsi="宋体" w:cs="宋体" w:eastAsia="宋体" w:hint="default"/>
                <w:sz w:val="18"/>
                <w:szCs w:val="18"/>
              </w:rPr>
              <w:t> </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pacing w:val="-1"/>
                <w:sz w:val="18"/>
              </w:rPr>
              <w:t>5,251,941.38</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91" w:right="0"/>
              <w:jc w:val="center"/>
              <w:rPr>
                <w:rFonts w:ascii="宋体" w:hAnsi="宋体" w:cs="宋体" w:eastAsia="宋体" w:hint="default"/>
                <w:sz w:val="18"/>
                <w:szCs w:val="18"/>
              </w:rPr>
            </w:pPr>
            <w:r>
              <w:rPr>
                <w:rFonts w:ascii="宋体" w:hAnsi="宋体" w:cs="宋体" w:eastAsia="宋体" w:hint="default"/>
                <w:spacing w:val="-5"/>
                <w:sz w:val="18"/>
                <w:szCs w:val="18"/>
              </w:rPr>
              <w:t>是</w:t>
            </w:r>
            <w:r>
              <w:rPr>
                <w:rFonts w:ascii="宋体" w:hAnsi="宋体" w:cs="宋体" w:eastAsia="宋体" w:hint="default"/>
                <w:sz w:val="18"/>
                <w:szCs w:val="18"/>
              </w:rPr>
              <w:t> </w:t>
            </w:r>
          </w:p>
        </w:tc>
      </w:tr>
      <w:tr>
        <w:trPr>
          <w:trHeight w:val="346" w:hRule="exact"/>
        </w:trPr>
        <w:tc>
          <w:tcPr>
            <w:tcW w:w="4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星立方资产组主要为固定资产、无形资产等及商誉</w:t>
            </w:r>
            <w:r>
              <w:rPr>
                <w:rFonts w:ascii="宋体" w:hAnsi="宋体" w:cs="宋体" w:eastAsia="宋体" w:hint="default"/>
                <w:sz w:val="18"/>
                <w:szCs w:val="18"/>
              </w:rPr>
              <w:t> </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80,294,737.19</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91" w:right="0"/>
              <w:jc w:val="center"/>
              <w:rPr>
                <w:rFonts w:ascii="宋体" w:hAnsi="宋体" w:cs="宋体" w:eastAsia="宋体" w:hint="default"/>
                <w:sz w:val="18"/>
                <w:szCs w:val="18"/>
              </w:rPr>
            </w:pPr>
            <w:r>
              <w:rPr>
                <w:rFonts w:ascii="宋体" w:hAnsi="宋体" w:cs="宋体" w:eastAsia="宋体" w:hint="default"/>
                <w:spacing w:val="-5"/>
                <w:sz w:val="18"/>
                <w:szCs w:val="18"/>
              </w:rPr>
              <w:t>是</w:t>
            </w:r>
            <w:r>
              <w:rPr>
                <w:rFonts w:ascii="宋体" w:hAnsi="宋体" w:cs="宋体" w:eastAsia="宋体" w:hint="default"/>
                <w:sz w:val="18"/>
                <w:szCs w:val="18"/>
              </w:rPr>
              <w:t> </w:t>
            </w:r>
          </w:p>
        </w:tc>
      </w:tr>
      <w:tr>
        <w:trPr>
          <w:trHeight w:val="346" w:hRule="exact"/>
        </w:trPr>
        <w:tc>
          <w:tcPr>
            <w:tcW w:w="4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海捷科技资产组主要为固定资产、无形资产等及商誉</w:t>
            </w:r>
            <w:r>
              <w:rPr>
                <w:rFonts w:ascii="宋体" w:hAnsi="宋体" w:cs="宋体" w:eastAsia="宋体" w:hint="default"/>
                <w:sz w:val="18"/>
                <w:szCs w:val="18"/>
              </w:rPr>
              <w:t> </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pacing w:val="-1"/>
                <w:sz w:val="18"/>
              </w:rPr>
              <w:t>1,191,426.96</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91" w:right="0"/>
              <w:jc w:val="center"/>
              <w:rPr>
                <w:rFonts w:ascii="宋体" w:hAnsi="宋体" w:cs="宋体" w:eastAsia="宋体" w:hint="default"/>
                <w:sz w:val="18"/>
                <w:szCs w:val="18"/>
              </w:rPr>
            </w:pPr>
            <w:r>
              <w:rPr>
                <w:rFonts w:ascii="宋体" w:hAnsi="宋体" w:cs="宋体" w:eastAsia="宋体" w:hint="default"/>
                <w:spacing w:val="-5"/>
                <w:sz w:val="18"/>
                <w:szCs w:val="18"/>
              </w:rPr>
              <w:t>是</w:t>
            </w:r>
            <w:r>
              <w:rPr>
                <w:rFonts w:ascii="宋体" w:hAnsi="宋体" w:cs="宋体" w:eastAsia="宋体" w:hint="default"/>
                <w:sz w:val="18"/>
                <w:szCs w:val="18"/>
              </w:rPr>
              <w:t> </w:t>
            </w:r>
          </w:p>
        </w:tc>
      </w:tr>
    </w:tbl>
    <w:p>
      <w:pPr>
        <w:pStyle w:val="BodyText"/>
        <w:spacing w:line="316" w:lineRule="auto" w:before="53"/>
        <w:ind w:right="855"/>
        <w:jc w:val="left"/>
      </w:pPr>
      <w:r>
        <w:rPr>
          <w:spacing w:val="-4"/>
        </w:rPr>
        <w:t>说明商誉减值测试过程、关键参数（如预计未来现金流量现值时的预测期增长率、稳定期增长率、利润率、折现率、预测期</w:t>
      </w:r>
      <w:r>
        <w:rPr>
          <w:spacing w:val="40"/>
        </w:rPr>
        <w:t> </w:t>
      </w:r>
      <w:r>
        <w:rPr>
          <w:spacing w:val="40"/>
        </w:rPr>
      </w:r>
      <w:r>
        <w:rPr>
          <w:spacing w:val="-3"/>
        </w:rPr>
        <w:t>等）及商誉减值损失的确认方法：</w:t>
      </w:r>
    </w:p>
    <w:p>
      <w:pPr>
        <w:pStyle w:val="BodyText"/>
        <w:spacing w:line="319" w:lineRule="auto" w:before="139"/>
        <w:ind w:right="855" w:firstLine="441"/>
        <w:jc w:val="left"/>
        <w:rPr>
          <w:rFonts w:ascii="宋体" w:hAnsi="宋体" w:cs="宋体" w:eastAsia="宋体" w:hint="default"/>
        </w:rPr>
      </w:pPr>
      <w:r>
        <w:rPr>
          <w:spacing w:val="-3"/>
        </w:rPr>
        <w:t>根据三个资产组所处的不同行业，以及未来现金流的预测，选取不同的折现率折算未来净流量现值确定可收回金额，</w:t>
      </w:r>
      <w:r>
        <w:rPr>
          <w:w w:val="101"/>
        </w:rPr>
        <w:t> </w:t>
      </w:r>
      <w:r>
        <w:rPr>
          <w:spacing w:val="-3"/>
        </w:rPr>
        <w:t>并以此为依据确定商誉是否减值。</w:t>
      </w:r>
      <w:r>
        <w:rPr>
          <w:rFonts w:ascii="宋体" w:hAnsi="宋体" w:cs="宋体" w:eastAsia="宋体" w:hint="default"/>
        </w:rPr>
        <w:t> </w:t>
      </w:r>
    </w:p>
    <w:p>
      <w:pPr>
        <w:pStyle w:val="BodyText"/>
        <w:spacing w:line="240" w:lineRule="auto" w:before="137"/>
        <w:ind w:left="594" w:right="855"/>
        <w:jc w:val="left"/>
        <w:rPr>
          <w:rFonts w:ascii="宋体" w:hAnsi="宋体" w:cs="宋体" w:eastAsia="宋体" w:hint="default"/>
        </w:rPr>
      </w:pPr>
      <w:r>
        <w:rPr>
          <w:spacing w:val="-3"/>
        </w:rPr>
        <w:t>其中采用的关键假设包括：</w:t>
      </w:r>
      <w:r>
        <w:rPr>
          <w:rFonts w:ascii="宋体" w:hAnsi="宋体" w:cs="宋体" w:eastAsia="宋体" w:hint="default"/>
        </w:rPr>
        <w:t> </w:t>
      </w:r>
    </w:p>
    <w:p>
      <w:pPr>
        <w:spacing w:line="240" w:lineRule="auto" w:before="3"/>
        <w:rPr>
          <w:rFonts w:ascii="宋体" w:hAnsi="宋体" w:cs="宋体" w:eastAsia="宋体" w:hint="default"/>
          <w:sz w:val="14"/>
          <w:szCs w:val="14"/>
        </w:rPr>
      </w:pPr>
    </w:p>
    <w:tbl>
      <w:tblPr>
        <w:tblW w:w="0" w:type="auto"/>
        <w:jc w:val="left"/>
        <w:tblInd w:w="148" w:type="dxa"/>
        <w:tblLayout w:type="fixed"/>
        <w:tblCellMar>
          <w:top w:w="0" w:type="dxa"/>
          <w:left w:w="0" w:type="dxa"/>
          <w:bottom w:w="0" w:type="dxa"/>
          <w:right w:w="0" w:type="dxa"/>
        </w:tblCellMar>
        <w:tblLook w:val="01E0"/>
      </w:tblPr>
      <w:tblGrid>
        <w:gridCol w:w="1796"/>
        <w:gridCol w:w="2531"/>
        <w:gridCol w:w="2531"/>
        <w:gridCol w:w="2838"/>
      </w:tblGrid>
      <w:tr>
        <w:trPr>
          <w:trHeight w:val="341" w:hRule="exact"/>
        </w:trPr>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619" w:right="0"/>
              <w:jc w:val="left"/>
              <w:rPr>
                <w:rFonts w:ascii="宋体" w:hAnsi="宋体" w:cs="宋体" w:eastAsia="宋体" w:hint="default"/>
                <w:sz w:val="18"/>
                <w:szCs w:val="18"/>
              </w:rPr>
            </w:pPr>
            <w:r>
              <w:rPr>
                <w:rFonts w:ascii="宋体" w:hAnsi="宋体" w:cs="宋体" w:eastAsia="宋体" w:hint="default"/>
                <w:b/>
                <w:bCs/>
                <w:sz w:val="18"/>
                <w:szCs w:val="18"/>
              </w:rPr>
              <w:t>资产组</w:t>
            </w:r>
            <w:r>
              <w:rPr>
                <w:rFonts w:ascii="宋体" w:hAnsi="宋体" w:cs="宋体" w:eastAsia="宋体" w:hint="default"/>
                <w:b/>
                <w:bCs/>
                <w:w w:val="100"/>
                <w:sz w:val="18"/>
                <w:szCs w:val="18"/>
              </w:rPr>
              <w:t> </w:t>
            </w:r>
            <w:r>
              <w:rPr>
                <w:rFonts w:ascii="宋体" w:hAnsi="宋体" w:cs="宋体" w:eastAsia="宋体" w:hint="default"/>
                <w:w w:val="100"/>
                <w:sz w:val="18"/>
                <w:szCs w:val="18"/>
              </w:rPr>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90" w:right="0"/>
              <w:jc w:val="center"/>
              <w:rPr>
                <w:rFonts w:ascii="宋体" w:hAnsi="宋体" w:cs="宋体" w:eastAsia="宋体" w:hint="default"/>
                <w:sz w:val="18"/>
                <w:szCs w:val="18"/>
              </w:rPr>
            </w:pPr>
            <w:r>
              <w:rPr>
                <w:rFonts w:ascii="宋体" w:hAnsi="宋体" w:cs="宋体" w:eastAsia="宋体" w:hint="default"/>
                <w:b/>
                <w:bCs/>
                <w:sz w:val="18"/>
                <w:szCs w:val="18"/>
              </w:rPr>
              <w:t>海捷科技</w:t>
            </w:r>
            <w:r>
              <w:rPr>
                <w:rFonts w:ascii="宋体" w:hAnsi="宋体" w:cs="宋体" w:eastAsia="宋体" w:hint="default"/>
                <w:b/>
                <w:bCs/>
                <w:w w:val="100"/>
                <w:sz w:val="18"/>
                <w:szCs w:val="18"/>
              </w:rPr>
              <w:t> </w:t>
            </w:r>
            <w:r>
              <w:rPr>
                <w:rFonts w:ascii="宋体" w:hAnsi="宋体" w:cs="宋体" w:eastAsia="宋体" w:hint="default"/>
                <w:w w:val="100"/>
                <w:sz w:val="18"/>
                <w:szCs w:val="18"/>
              </w:rPr>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91" w:right="0"/>
              <w:jc w:val="center"/>
              <w:rPr>
                <w:rFonts w:ascii="宋体" w:hAnsi="宋体" w:cs="宋体" w:eastAsia="宋体" w:hint="default"/>
                <w:sz w:val="18"/>
                <w:szCs w:val="18"/>
              </w:rPr>
            </w:pPr>
            <w:r>
              <w:rPr>
                <w:rFonts w:ascii="宋体" w:hAnsi="宋体" w:cs="宋体" w:eastAsia="宋体" w:hint="default"/>
                <w:b/>
                <w:bCs/>
                <w:sz w:val="18"/>
                <w:szCs w:val="18"/>
              </w:rPr>
              <w:t>红岭云</w:t>
            </w:r>
            <w:r>
              <w:rPr>
                <w:rFonts w:ascii="宋体" w:hAnsi="宋体" w:cs="宋体" w:eastAsia="宋体" w:hint="default"/>
                <w:b/>
                <w:bCs/>
                <w:w w:val="100"/>
                <w:sz w:val="18"/>
                <w:szCs w:val="18"/>
              </w:rPr>
              <w:t> </w:t>
            </w:r>
            <w:r>
              <w:rPr>
                <w:rFonts w:ascii="宋体" w:hAnsi="宋体" w:cs="宋体" w:eastAsia="宋体" w:hint="default"/>
                <w:w w:val="100"/>
                <w:sz w:val="18"/>
                <w:szCs w:val="18"/>
              </w:rPr>
            </w:r>
          </w:p>
        </w:tc>
        <w:tc>
          <w:tcPr>
            <w:tcW w:w="2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91" w:right="0"/>
              <w:jc w:val="center"/>
              <w:rPr>
                <w:rFonts w:ascii="宋体" w:hAnsi="宋体" w:cs="宋体" w:eastAsia="宋体" w:hint="default"/>
                <w:sz w:val="18"/>
                <w:szCs w:val="18"/>
              </w:rPr>
            </w:pPr>
            <w:r>
              <w:rPr>
                <w:rFonts w:ascii="宋体" w:hAnsi="宋体" w:cs="宋体" w:eastAsia="宋体" w:hint="default"/>
                <w:b/>
                <w:bCs/>
                <w:sz w:val="18"/>
                <w:szCs w:val="18"/>
              </w:rPr>
              <w:t>星立方</w:t>
            </w:r>
            <w:r>
              <w:rPr>
                <w:rFonts w:ascii="宋体" w:hAnsi="宋体" w:cs="宋体" w:eastAsia="宋体" w:hint="default"/>
                <w:b/>
                <w:bCs/>
                <w:w w:val="100"/>
                <w:sz w:val="18"/>
                <w:szCs w:val="18"/>
              </w:rPr>
              <w:t> </w:t>
            </w:r>
            <w:r>
              <w:rPr>
                <w:rFonts w:ascii="宋体" w:hAnsi="宋体" w:cs="宋体" w:eastAsia="宋体" w:hint="default"/>
                <w:w w:val="100"/>
                <w:sz w:val="18"/>
                <w:szCs w:val="18"/>
              </w:rPr>
            </w:r>
          </w:p>
        </w:tc>
      </w:tr>
      <w:tr>
        <w:trPr>
          <w:trHeight w:val="341" w:hRule="exact"/>
        </w:trPr>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4"/>
                <w:sz w:val="18"/>
                <w:szCs w:val="18"/>
              </w:rPr>
              <w:t>预测期</w:t>
            </w:r>
            <w:r>
              <w:rPr>
                <w:rFonts w:ascii="宋体" w:hAnsi="宋体" w:cs="宋体" w:eastAsia="宋体" w:hint="default"/>
                <w:sz w:val="18"/>
                <w:szCs w:val="18"/>
              </w:rPr>
              <w:t> </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85" w:right="0"/>
              <w:jc w:val="center"/>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z w:val="18"/>
                <w:szCs w:val="18"/>
              </w:rPr>
              <w:t>年</w:t>
            </w:r>
            <w:r>
              <w:rPr>
                <w:rFonts w:ascii="宋体" w:hAnsi="宋体" w:cs="宋体" w:eastAsia="宋体" w:hint="default"/>
                <w:sz w:val="18"/>
                <w:szCs w:val="18"/>
              </w:rPr>
              <w:t>-2024</w:t>
            </w:r>
            <w:r>
              <w:rPr>
                <w:rFonts w:ascii="宋体" w:hAnsi="宋体" w:cs="宋体" w:eastAsia="宋体" w:hint="default"/>
                <w:sz w:val="18"/>
                <w:szCs w:val="18"/>
              </w:rPr>
              <w:t>年</w:t>
            </w:r>
            <w:r>
              <w:rPr>
                <w:rFonts w:ascii="宋体" w:hAnsi="宋体" w:cs="宋体" w:eastAsia="宋体" w:hint="default"/>
                <w:sz w:val="18"/>
                <w:szCs w:val="18"/>
              </w:rPr>
              <w:t> </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85" w:right="0"/>
              <w:jc w:val="center"/>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z w:val="18"/>
                <w:szCs w:val="18"/>
              </w:rPr>
              <w:t>年</w:t>
            </w:r>
            <w:r>
              <w:rPr>
                <w:rFonts w:ascii="宋体" w:hAnsi="宋体" w:cs="宋体" w:eastAsia="宋体" w:hint="default"/>
                <w:sz w:val="18"/>
                <w:szCs w:val="18"/>
              </w:rPr>
              <w:t>-2024</w:t>
            </w:r>
            <w:r>
              <w:rPr>
                <w:rFonts w:ascii="宋体" w:hAnsi="宋体" w:cs="宋体" w:eastAsia="宋体" w:hint="default"/>
                <w:sz w:val="18"/>
                <w:szCs w:val="18"/>
              </w:rPr>
              <w:t>年</w:t>
            </w:r>
            <w:r>
              <w:rPr>
                <w:rFonts w:ascii="宋体" w:hAnsi="宋体" w:cs="宋体" w:eastAsia="宋体" w:hint="default"/>
                <w:sz w:val="18"/>
                <w:szCs w:val="18"/>
              </w:rPr>
              <w:t> </w:t>
            </w:r>
          </w:p>
        </w:tc>
        <w:tc>
          <w:tcPr>
            <w:tcW w:w="2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86" w:right="0"/>
              <w:jc w:val="center"/>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z w:val="18"/>
                <w:szCs w:val="18"/>
              </w:rPr>
              <w:t>年</w:t>
            </w:r>
            <w:r>
              <w:rPr>
                <w:rFonts w:ascii="宋体" w:hAnsi="宋体" w:cs="宋体" w:eastAsia="宋体" w:hint="default"/>
                <w:sz w:val="18"/>
                <w:szCs w:val="18"/>
              </w:rPr>
              <w:t>-2024</w:t>
            </w:r>
            <w:r>
              <w:rPr>
                <w:rFonts w:ascii="宋体" w:hAnsi="宋体" w:cs="宋体" w:eastAsia="宋体" w:hint="default"/>
                <w:sz w:val="18"/>
                <w:szCs w:val="18"/>
              </w:rPr>
              <w:t>年</w:t>
            </w:r>
            <w:r>
              <w:rPr>
                <w:rFonts w:ascii="宋体" w:hAnsi="宋体" w:cs="宋体" w:eastAsia="宋体" w:hint="default"/>
                <w:sz w:val="18"/>
                <w:szCs w:val="18"/>
              </w:rPr>
              <w:t> </w:t>
            </w:r>
          </w:p>
        </w:tc>
      </w:tr>
      <w:tr>
        <w:trPr>
          <w:trHeight w:val="663" w:hRule="exact"/>
        </w:trPr>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预测期增长率</w:t>
            </w:r>
            <w:r>
              <w:rPr>
                <w:rFonts w:ascii="宋体" w:hAnsi="宋体" w:cs="宋体" w:eastAsia="宋体" w:hint="default"/>
                <w:sz w:val="18"/>
                <w:szCs w:val="18"/>
              </w:rPr>
              <w:t> </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3" w:right="-44"/>
              <w:jc w:val="center"/>
              <w:rPr>
                <w:rFonts w:ascii="宋体" w:hAnsi="宋体" w:cs="宋体" w:eastAsia="宋体" w:hint="default"/>
                <w:sz w:val="18"/>
                <w:szCs w:val="18"/>
              </w:rPr>
            </w:pPr>
            <w:r>
              <w:rPr>
                <w:rFonts w:ascii="宋体" w:hAnsi="宋体" w:cs="宋体" w:eastAsia="宋体" w:hint="default"/>
                <w:spacing w:val="-2"/>
                <w:sz w:val="18"/>
                <w:szCs w:val="18"/>
              </w:rPr>
              <w:t>8%-14.94%,</w:t>
            </w:r>
            <w:r>
              <w:rPr>
                <w:rFonts w:ascii="宋体" w:hAnsi="宋体" w:cs="宋体" w:eastAsia="宋体" w:hint="default"/>
                <w:spacing w:val="-2"/>
                <w:sz w:val="18"/>
                <w:szCs w:val="18"/>
              </w:rPr>
              <w:t>年复合增长率</w:t>
            </w:r>
            <w:r>
              <w:rPr>
                <w:rFonts w:ascii="宋体" w:hAnsi="宋体" w:cs="宋体" w:eastAsia="宋体" w:hint="default"/>
                <w:spacing w:val="-2"/>
                <w:sz w:val="18"/>
                <w:szCs w:val="18"/>
              </w:rPr>
              <w:t>8.47%</w:t>
            </w:r>
            <w:r>
              <w:rPr>
                <w:rFonts w:ascii="宋体" w:hAnsi="宋体" w:cs="宋体" w:eastAsia="宋体" w:hint="default"/>
                <w:sz w:val="18"/>
                <w:szCs w:val="18"/>
              </w:rPr>
              <w:t> </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1.5%-10.6%,</w:t>
            </w:r>
            <w:r>
              <w:rPr>
                <w:rFonts w:ascii="宋体" w:hAnsi="宋体" w:cs="宋体" w:eastAsia="宋体" w:hint="default"/>
                <w:sz w:val="18"/>
                <w:szCs w:val="18"/>
              </w:rPr>
              <w:t>年复合增长率</w:t>
            </w:r>
          </w:p>
          <w:p>
            <w:pPr>
              <w:pStyle w:val="TableParagraph"/>
              <w:spacing w:line="240" w:lineRule="auto" w:before="77"/>
              <w:ind w:left="86" w:right="0"/>
              <w:jc w:val="center"/>
              <w:rPr>
                <w:rFonts w:ascii="宋体" w:hAnsi="宋体" w:cs="宋体" w:eastAsia="宋体" w:hint="default"/>
                <w:sz w:val="18"/>
                <w:szCs w:val="18"/>
              </w:rPr>
            </w:pPr>
            <w:r>
              <w:rPr>
                <w:rFonts w:ascii="宋体"/>
                <w:sz w:val="18"/>
              </w:rPr>
              <w:t>3.00% </w:t>
            </w:r>
          </w:p>
        </w:tc>
        <w:tc>
          <w:tcPr>
            <w:tcW w:w="2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62" w:right="-24"/>
              <w:jc w:val="center"/>
              <w:rPr>
                <w:rFonts w:ascii="宋体" w:hAnsi="宋体" w:cs="宋体" w:eastAsia="宋体" w:hint="default"/>
                <w:sz w:val="18"/>
                <w:szCs w:val="18"/>
              </w:rPr>
            </w:pPr>
            <w:r>
              <w:rPr>
                <w:rFonts w:ascii="宋体" w:hAnsi="宋体" w:cs="宋体" w:eastAsia="宋体" w:hint="default"/>
                <w:spacing w:val="-2"/>
                <w:sz w:val="18"/>
                <w:szCs w:val="18"/>
              </w:rPr>
              <w:t>5.15%-12.8%</w:t>
            </w:r>
            <w:r>
              <w:rPr>
                <w:rFonts w:ascii="宋体" w:hAnsi="宋体" w:cs="宋体" w:eastAsia="宋体" w:hint="default"/>
                <w:spacing w:val="-2"/>
                <w:sz w:val="18"/>
                <w:szCs w:val="18"/>
              </w:rPr>
              <w:t>，年复合增长率</w:t>
            </w:r>
            <w:r>
              <w:rPr>
                <w:rFonts w:ascii="宋体" w:hAnsi="宋体" w:cs="宋体" w:eastAsia="宋体" w:hint="default"/>
                <w:spacing w:val="-2"/>
                <w:sz w:val="18"/>
                <w:szCs w:val="18"/>
              </w:rPr>
              <w:t>9.68%</w:t>
            </w:r>
            <w:r>
              <w:rPr>
                <w:rFonts w:ascii="宋体" w:hAnsi="宋体" w:cs="宋体" w:eastAsia="宋体" w:hint="default"/>
                <w:sz w:val="18"/>
                <w:szCs w:val="18"/>
              </w:rPr>
              <w:t> </w:t>
            </w:r>
          </w:p>
        </w:tc>
      </w:tr>
      <w:tr>
        <w:trPr>
          <w:trHeight w:val="346" w:hRule="exact"/>
        </w:trPr>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pacing w:val="-3"/>
                <w:sz w:val="18"/>
                <w:szCs w:val="18"/>
              </w:rPr>
              <w:t>稳定期增长率</w:t>
            </w:r>
            <w:r>
              <w:rPr>
                <w:rFonts w:ascii="宋体" w:hAnsi="宋体" w:cs="宋体" w:eastAsia="宋体" w:hint="default"/>
                <w:sz w:val="18"/>
                <w:szCs w:val="18"/>
              </w:rPr>
              <w:t> </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85" w:right="0"/>
              <w:jc w:val="center"/>
              <w:rPr>
                <w:rFonts w:ascii="宋体" w:hAnsi="宋体" w:cs="宋体" w:eastAsia="宋体" w:hint="default"/>
                <w:sz w:val="18"/>
                <w:szCs w:val="18"/>
              </w:rPr>
            </w:pPr>
            <w:r>
              <w:rPr>
                <w:rFonts w:ascii="宋体"/>
                <w:sz w:val="18"/>
              </w:rPr>
              <w:t>0.00% </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86" w:right="0"/>
              <w:jc w:val="center"/>
              <w:rPr>
                <w:rFonts w:ascii="宋体" w:hAnsi="宋体" w:cs="宋体" w:eastAsia="宋体" w:hint="default"/>
                <w:sz w:val="18"/>
                <w:szCs w:val="18"/>
              </w:rPr>
            </w:pPr>
            <w:r>
              <w:rPr>
                <w:rFonts w:ascii="宋体"/>
                <w:sz w:val="18"/>
              </w:rPr>
              <w:t>0.00% </w:t>
            </w:r>
          </w:p>
        </w:tc>
        <w:tc>
          <w:tcPr>
            <w:tcW w:w="2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85" w:right="0"/>
              <w:jc w:val="center"/>
              <w:rPr>
                <w:rFonts w:ascii="宋体" w:hAnsi="宋体" w:cs="宋体" w:eastAsia="宋体" w:hint="default"/>
                <w:sz w:val="18"/>
                <w:szCs w:val="18"/>
              </w:rPr>
            </w:pPr>
            <w:r>
              <w:rPr>
                <w:rFonts w:ascii="宋体"/>
                <w:sz w:val="18"/>
              </w:rPr>
              <w:t>0.00% </w:t>
            </w:r>
          </w:p>
        </w:tc>
      </w:tr>
      <w:tr>
        <w:trPr>
          <w:trHeight w:val="341" w:hRule="exact"/>
        </w:trPr>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4"/>
                <w:sz w:val="18"/>
                <w:szCs w:val="18"/>
              </w:rPr>
              <w:t>毛利率</w:t>
            </w:r>
            <w:r>
              <w:rPr>
                <w:rFonts w:ascii="宋体" w:hAnsi="宋体" w:cs="宋体" w:eastAsia="宋体" w:hint="default"/>
                <w:sz w:val="18"/>
                <w:szCs w:val="18"/>
              </w:rPr>
              <w:t> </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85" w:right="0"/>
              <w:jc w:val="center"/>
              <w:rPr>
                <w:rFonts w:ascii="宋体" w:hAnsi="宋体" w:cs="宋体" w:eastAsia="宋体" w:hint="default"/>
                <w:sz w:val="18"/>
                <w:szCs w:val="18"/>
              </w:rPr>
            </w:pPr>
            <w:r>
              <w:rPr>
                <w:rFonts w:ascii="宋体"/>
                <w:sz w:val="18"/>
              </w:rPr>
              <w:t>53.56%~53.78% </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90" w:right="0"/>
              <w:jc w:val="center"/>
              <w:rPr>
                <w:rFonts w:ascii="宋体" w:hAnsi="宋体" w:cs="宋体" w:eastAsia="宋体" w:hint="default"/>
                <w:sz w:val="18"/>
                <w:szCs w:val="18"/>
              </w:rPr>
            </w:pPr>
            <w:r>
              <w:rPr>
                <w:rFonts w:ascii="宋体"/>
                <w:sz w:val="18"/>
              </w:rPr>
              <w:t>57.65-57.87% </w:t>
            </w:r>
          </w:p>
        </w:tc>
        <w:tc>
          <w:tcPr>
            <w:tcW w:w="2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86" w:right="0"/>
              <w:jc w:val="center"/>
              <w:rPr>
                <w:rFonts w:ascii="宋体" w:hAnsi="宋体" w:cs="宋体" w:eastAsia="宋体" w:hint="default"/>
                <w:sz w:val="18"/>
                <w:szCs w:val="18"/>
              </w:rPr>
            </w:pPr>
            <w:r>
              <w:rPr>
                <w:rFonts w:ascii="宋体"/>
                <w:sz w:val="18"/>
              </w:rPr>
              <w:t>63.50%-64.45% </w:t>
            </w:r>
          </w:p>
        </w:tc>
      </w:tr>
      <w:tr>
        <w:trPr>
          <w:trHeight w:val="341" w:hRule="exact"/>
        </w:trPr>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税前折现率</w:t>
            </w:r>
            <w:r>
              <w:rPr>
                <w:rFonts w:ascii="宋体" w:hAnsi="宋体" w:cs="宋体" w:eastAsia="宋体" w:hint="default"/>
                <w:sz w:val="18"/>
                <w:szCs w:val="18"/>
              </w:rPr>
              <w:t> </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85" w:right="0"/>
              <w:jc w:val="center"/>
              <w:rPr>
                <w:rFonts w:ascii="宋体" w:hAnsi="宋体" w:cs="宋体" w:eastAsia="宋体" w:hint="default"/>
                <w:sz w:val="18"/>
                <w:szCs w:val="18"/>
              </w:rPr>
            </w:pPr>
            <w:r>
              <w:rPr>
                <w:rFonts w:ascii="宋体"/>
                <w:sz w:val="18"/>
              </w:rPr>
              <w:t>14.30% </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86" w:right="0"/>
              <w:jc w:val="center"/>
              <w:rPr>
                <w:rFonts w:ascii="宋体" w:hAnsi="宋体" w:cs="宋体" w:eastAsia="宋体" w:hint="default"/>
                <w:sz w:val="18"/>
                <w:szCs w:val="18"/>
              </w:rPr>
            </w:pPr>
            <w:r>
              <w:rPr>
                <w:rFonts w:ascii="宋体"/>
                <w:sz w:val="18"/>
              </w:rPr>
              <w:t>13.61% </w:t>
            </w:r>
          </w:p>
        </w:tc>
        <w:tc>
          <w:tcPr>
            <w:tcW w:w="2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85" w:right="0"/>
              <w:jc w:val="center"/>
              <w:rPr>
                <w:rFonts w:ascii="宋体" w:hAnsi="宋体" w:cs="宋体" w:eastAsia="宋体" w:hint="default"/>
                <w:sz w:val="18"/>
                <w:szCs w:val="18"/>
              </w:rPr>
            </w:pPr>
            <w:r>
              <w:rPr>
                <w:rFonts w:ascii="宋体"/>
                <w:sz w:val="18"/>
              </w:rPr>
              <w:t>12.99% </w:t>
            </w:r>
          </w:p>
        </w:tc>
      </w:tr>
      <w:tr>
        <w:trPr>
          <w:trHeight w:val="2214" w:hRule="exact"/>
        </w:trPr>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 w:right="157"/>
              <w:jc w:val="left"/>
              <w:rPr>
                <w:rFonts w:ascii="宋体" w:hAnsi="宋体" w:cs="宋体" w:eastAsia="宋体" w:hint="default"/>
                <w:sz w:val="18"/>
                <w:szCs w:val="18"/>
              </w:rPr>
            </w:pPr>
            <w:r>
              <w:rPr>
                <w:rFonts w:ascii="宋体" w:hAnsi="宋体" w:cs="宋体" w:eastAsia="宋体" w:hint="default"/>
                <w:spacing w:val="-3"/>
                <w:sz w:val="18"/>
                <w:szCs w:val="18"/>
              </w:rPr>
              <w:t>确定预期增长率的基</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5"/>
                <w:sz w:val="18"/>
                <w:szCs w:val="18"/>
              </w:rPr>
              <w:t>础</w:t>
            </w:r>
            <w:r>
              <w:rPr>
                <w:rFonts w:ascii="宋体" w:hAnsi="宋体" w:cs="宋体" w:eastAsia="宋体" w:hint="default"/>
                <w:sz w:val="18"/>
                <w:szCs w:val="18"/>
              </w:rPr>
              <w:t> </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海捷科技目前的主要业务在广</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州省，主要从事大数据背景下相</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pacing w:val="-10"/>
                <w:w w:val="101"/>
                <w:sz w:val="18"/>
                <w:szCs w:val="18"/>
              </w:rPr>
              <w:t>关领域的解决方案服，“十三五</w:t>
            </w:r>
            <w:r>
              <w:rPr>
                <w:rFonts w:ascii="宋体" w:hAnsi="宋体" w:cs="宋体" w:eastAsia="宋体" w:hint="default"/>
                <w:spacing w:val="-83"/>
                <w:w w:val="101"/>
                <w:sz w:val="18"/>
                <w:szCs w:val="18"/>
              </w:rPr>
              <w:t> </w:t>
            </w:r>
            <w:r>
              <w:rPr>
                <w:rFonts w:ascii="宋体" w:hAnsi="宋体" w:cs="宋体" w:eastAsia="宋体" w:hint="default"/>
                <w:spacing w:val="-83"/>
                <w:w w:val="101"/>
                <w:sz w:val="18"/>
                <w:szCs w:val="18"/>
              </w:rPr>
            </w:r>
            <w:r>
              <w:rPr>
                <w:rFonts w:ascii="宋体" w:hAnsi="宋体" w:cs="宋体" w:eastAsia="宋体" w:hint="default"/>
                <w:spacing w:val="-3"/>
                <w:sz w:val="18"/>
                <w:szCs w:val="18"/>
              </w:rPr>
              <w:t>期间中国将大力实施网络强国</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战略、国家大数据战略，目前按</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z w:val="18"/>
                <w:szCs w:val="18"/>
              </w:rPr>
              <w:t>照年复合增长率</w:t>
            </w:r>
            <w:r>
              <w:rPr>
                <w:rFonts w:ascii="宋体" w:hAnsi="宋体" w:cs="宋体" w:eastAsia="宋体" w:hint="default"/>
                <w:sz w:val="18"/>
                <w:szCs w:val="18"/>
              </w:rPr>
              <w:t>8.47%</w:t>
            </w:r>
            <w:r>
              <w:rPr>
                <w:rFonts w:ascii="宋体" w:hAnsi="宋体" w:cs="宋体" w:eastAsia="宋体" w:hint="default"/>
                <w:sz w:val="18"/>
                <w:szCs w:val="18"/>
              </w:rPr>
              <w:t>，管理层</w:t>
            </w:r>
            <w:r>
              <w:rPr>
                <w:rFonts w:ascii="宋体" w:hAnsi="宋体" w:cs="宋体" w:eastAsia="宋体" w:hint="default"/>
                <w:w w:val="101"/>
                <w:sz w:val="18"/>
                <w:szCs w:val="18"/>
              </w:rPr>
              <w:t> </w:t>
            </w:r>
            <w:r>
              <w:rPr>
                <w:rFonts w:ascii="宋体" w:hAnsi="宋体" w:cs="宋体" w:eastAsia="宋体" w:hint="default"/>
                <w:spacing w:val="-3"/>
                <w:sz w:val="18"/>
                <w:szCs w:val="18"/>
              </w:rPr>
              <w:t>认为是可实现的</w:t>
            </w:r>
            <w:r>
              <w:rPr>
                <w:rFonts w:ascii="宋体" w:hAnsi="宋体" w:cs="宋体" w:eastAsia="宋体" w:hint="default"/>
                <w:sz w:val="18"/>
                <w:szCs w:val="18"/>
              </w:rPr>
              <w:t> </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红岭云目前的主要业务在云南</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省，云南省基础较弱，未来上升</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pacing w:val="-3"/>
                <w:sz w:val="18"/>
                <w:szCs w:val="18"/>
              </w:rPr>
              <w:t>空间较大，但由于目前开拓省外</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pacing w:val="-3"/>
                <w:sz w:val="18"/>
                <w:szCs w:val="18"/>
              </w:rPr>
              <w:t>市场需要一定的努力，目前按照</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pacing w:val="-3"/>
                <w:sz w:val="18"/>
                <w:szCs w:val="18"/>
              </w:rPr>
              <w:t>年复合增长率</w:t>
            </w:r>
            <w:r>
              <w:rPr>
                <w:rFonts w:ascii="宋体" w:hAnsi="宋体" w:cs="宋体" w:eastAsia="宋体" w:hint="default"/>
                <w:spacing w:val="-3"/>
                <w:sz w:val="18"/>
                <w:szCs w:val="18"/>
              </w:rPr>
              <w:t>3%</w:t>
            </w:r>
            <w:r>
              <w:rPr>
                <w:rFonts w:ascii="宋体" w:hAnsi="宋体" w:cs="宋体" w:eastAsia="宋体" w:hint="default"/>
                <w:spacing w:val="-3"/>
                <w:sz w:val="18"/>
                <w:szCs w:val="18"/>
              </w:rPr>
              <w:t>，管理层认为是</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pacing w:val="-3"/>
                <w:sz w:val="18"/>
                <w:szCs w:val="18"/>
              </w:rPr>
              <w:t>可实现的</w:t>
            </w:r>
            <w:r>
              <w:rPr>
                <w:rFonts w:ascii="宋体" w:hAnsi="宋体" w:cs="宋体" w:eastAsia="宋体" w:hint="default"/>
                <w:sz w:val="18"/>
                <w:szCs w:val="18"/>
              </w:rPr>
              <w:t> </w:t>
            </w:r>
          </w:p>
        </w:tc>
        <w:tc>
          <w:tcPr>
            <w:tcW w:w="28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 w:right="0"/>
              <w:jc w:val="both"/>
              <w:rPr>
                <w:rFonts w:ascii="宋体" w:hAnsi="宋体" w:cs="宋体" w:eastAsia="宋体" w:hint="default"/>
                <w:sz w:val="18"/>
                <w:szCs w:val="18"/>
              </w:rPr>
            </w:pPr>
            <w:r>
              <w:rPr>
                <w:rFonts w:ascii="宋体" w:hAnsi="宋体" w:cs="宋体" w:eastAsia="宋体" w:hint="default"/>
                <w:spacing w:val="-3"/>
                <w:sz w:val="18"/>
                <w:szCs w:val="18"/>
              </w:rPr>
              <w:t>星立方的主要业务集中在</w:t>
            </w:r>
            <w:r>
              <w:rPr>
                <w:rFonts w:ascii="宋体" w:hAnsi="宋体" w:cs="宋体" w:eastAsia="宋体" w:hint="default"/>
                <w:spacing w:val="-3"/>
                <w:sz w:val="18"/>
                <w:szCs w:val="18"/>
              </w:rPr>
              <w:t>K12</w:t>
            </w:r>
            <w:r>
              <w:rPr>
                <w:rFonts w:ascii="宋体" w:hAnsi="宋体" w:cs="宋体" w:eastAsia="宋体" w:hint="default"/>
                <w:spacing w:val="-3"/>
                <w:sz w:val="18"/>
                <w:szCs w:val="18"/>
              </w:rPr>
              <w:t>教育信</w:t>
            </w:r>
            <w:r>
              <w:rPr>
                <w:rFonts w:ascii="宋体" w:hAnsi="宋体" w:cs="宋体" w:eastAsia="宋体" w:hint="default"/>
                <w:spacing w:val="-37"/>
                <w:sz w:val="18"/>
                <w:szCs w:val="18"/>
              </w:rPr>
              <w:t> </w:t>
            </w:r>
            <w:r>
              <w:rPr>
                <w:rFonts w:ascii="宋体" w:hAnsi="宋体" w:cs="宋体" w:eastAsia="宋体" w:hint="default"/>
                <w:spacing w:val="-37"/>
                <w:sz w:val="18"/>
                <w:szCs w:val="18"/>
              </w:rPr>
            </w:r>
            <w:r>
              <w:rPr>
                <w:rFonts w:ascii="宋体" w:hAnsi="宋体" w:cs="宋体" w:eastAsia="宋体" w:hint="default"/>
                <w:spacing w:val="-7"/>
                <w:sz w:val="18"/>
                <w:szCs w:val="18"/>
              </w:rPr>
              <w:t>息化领域，按照目前国家队教育信息</w:t>
            </w:r>
            <w:r>
              <w:rPr>
                <w:rFonts w:ascii="宋体" w:hAnsi="宋体" w:cs="宋体" w:eastAsia="宋体" w:hint="default"/>
                <w:spacing w:val="-38"/>
                <w:sz w:val="18"/>
                <w:szCs w:val="18"/>
              </w:rPr>
              <w:t> </w:t>
            </w:r>
            <w:r>
              <w:rPr>
                <w:rFonts w:ascii="宋体" w:hAnsi="宋体" w:cs="宋体" w:eastAsia="宋体" w:hint="default"/>
                <w:spacing w:val="-38"/>
                <w:sz w:val="18"/>
                <w:szCs w:val="18"/>
              </w:rPr>
            </w:r>
            <w:r>
              <w:rPr>
                <w:rFonts w:ascii="宋体" w:hAnsi="宋体" w:cs="宋体" w:eastAsia="宋体" w:hint="default"/>
                <w:spacing w:val="-7"/>
                <w:sz w:val="18"/>
                <w:szCs w:val="18"/>
              </w:rPr>
              <w:t>化的投入，市场逐渐放大，鉴于星立</w:t>
            </w:r>
            <w:r>
              <w:rPr>
                <w:rFonts w:ascii="宋体" w:hAnsi="宋体" w:cs="宋体" w:eastAsia="宋体" w:hint="default"/>
                <w:spacing w:val="-38"/>
                <w:sz w:val="18"/>
                <w:szCs w:val="18"/>
              </w:rPr>
              <w:t> </w:t>
            </w:r>
            <w:r>
              <w:rPr>
                <w:rFonts w:ascii="宋体" w:hAnsi="宋体" w:cs="宋体" w:eastAsia="宋体" w:hint="default"/>
                <w:spacing w:val="-38"/>
                <w:sz w:val="18"/>
                <w:szCs w:val="18"/>
              </w:rPr>
            </w:r>
            <w:r>
              <w:rPr>
                <w:rFonts w:ascii="宋体" w:hAnsi="宋体" w:cs="宋体" w:eastAsia="宋体" w:hint="default"/>
                <w:spacing w:val="-7"/>
                <w:sz w:val="18"/>
                <w:szCs w:val="18"/>
              </w:rPr>
              <w:t>方目前市场占有率较低，管理层认为</w:t>
            </w:r>
            <w:r>
              <w:rPr>
                <w:rFonts w:ascii="宋体" w:hAnsi="宋体" w:cs="宋体" w:eastAsia="宋体" w:hint="default"/>
                <w:spacing w:val="-38"/>
                <w:sz w:val="18"/>
                <w:szCs w:val="18"/>
              </w:rPr>
              <w:t> </w:t>
            </w:r>
            <w:r>
              <w:rPr>
                <w:rFonts w:ascii="宋体" w:hAnsi="宋体" w:cs="宋体" w:eastAsia="宋体" w:hint="default"/>
                <w:spacing w:val="-38"/>
                <w:sz w:val="18"/>
                <w:szCs w:val="18"/>
              </w:rPr>
            </w:r>
            <w:r>
              <w:rPr>
                <w:rFonts w:ascii="宋体" w:hAnsi="宋体" w:cs="宋体" w:eastAsia="宋体" w:hint="default"/>
                <w:spacing w:val="-2"/>
                <w:sz w:val="18"/>
                <w:szCs w:val="18"/>
              </w:rPr>
              <w:t>预期未来每年</w:t>
            </w:r>
            <w:r>
              <w:rPr>
                <w:rFonts w:ascii="宋体" w:hAnsi="宋体" w:cs="宋体" w:eastAsia="宋体" w:hint="default"/>
                <w:spacing w:val="-2"/>
                <w:sz w:val="18"/>
                <w:szCs w:val="18"/>
              </w:rPr>
              <w:t>9.68%</w:t>
            </w:r>
            <w:r>
              <w:rPr>
                <w:rFonts w:ascii="宋体" w:hAnsi="宋体" w:cs="宋体" w:eastAsia="宋体" w:hint="default"/>
                <w:spacing w:val="-2"/>
                <w:sz w:val="18"/>
                <w:szCs w:val="18"/>
              </w:rPr>
              <w:t>的增长是可以实</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pacing w:val="-3"/>
                <w:sz w:val="18"/>
                <w:szCs w:val="18"/>
              </w:rPr>
              <w:t>现的</w:t>
            </w:r>
            <w:r>
              <w:rPr>
                <w:rFonts w:ascii="宋体" w:hAnsi="宋体" w:cs="宋体" w:eastAsia="宋体" w:hint="default"/>
                <w:sz w:val="18"/>
                <w:szCs w:val="18"/>
              </w:rPr>
              <w:t> </w:t>
            </w:r>
          </w:p>
        </w:tc>
      </w:tr>
      <w:tr>
        <w:trPr>
          <w:trHeight w:val="658" w:hRule="exact"/>
        </w:trPr>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pacing w:val="-3"/>
                <w:sz w:val="18"/>
                <w:szCs w:val="18"/>
              </w:rPr>
              <w:t>确定毛利率的基础</w:t>
            </w:r>
            <w:r>
              <w:rPr>
                <w:rFonts w:ascii="宋体" w:hAnsi="宋体" w:cs="宋体" w:eastAsia="宋体" w:hint="default"/>
                <w:sz w:val="18"/>
                <w:szCs w:val="18"/>
              </w:rPr>
              <w:t> </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5"/>
              <w:ind w:left="4" w:right="171"/>
              <w:jc w:val="left"/>
              <w:rPr>
                <w:rFonts w:ascii="宋体" w:hAnsi="宋体" w:cs="宋体" w:eastAsia="宋体" w:hint="default"/>
                <w:sz w:val="18"/>
                <w:szCs w:val="18"/>
              </w:rPr>
            </w:pPr>
            <w:r>
              <w:rPr>
                <w:rFonts w:ascii="宋体" w:hAnsi="宋体" w:cs="宋体" w:eastAsia="宋体" w:hint="default"/>
                <w:spacing w:val="-3"/>
                <w:sz w:val="18"/>
                <w:szCs w:val="18"/>
              </w:rPr>
              <w:t>根据历史毛利率和软件行业整</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体毛利率确定</w:t>
            </w:r>
            <w:r>
              <w:rPr>
                <w:rFonts w:ascii="宋体" w:hAnsi="宋体" w:cs="宋体" w:eastAsia="宋体" w:hint="default"/>
                <w:sz w:val="18"/>
                <w:szCs w:val="18"/>
              </w:rPr>
              <w:t> </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5"/>
              <w:ind w:left="4" w:right="171"/>
              <w:jc w:val="left"/>
              <w:rPr>
                <w:rFonts w:ascii="宋体" w:hAnsi="宋体" w:cs="宋体" w:eastAsia="宋体" w:hint="default"/>
                <w:sz w:val="18"/>
                <w:szCs w:val="18"/>
              </w:rPr>
            </w:pPr>
            <w:r>
              <w:rPr>
                <w:rFonts w:ascii="宋体" w:hAnsi="宋体" w:cs="宋体" w:eastAsia="宋体" w:hint="default"/>
                <w:spacing w:val="-3"/>
                <w:sz w:val="18"/>
                <w:szCs w:val="18"/>
              </w:rPr>
              <w:t>根据历史毛利率和软件行业整</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体毛利率确定</w:t>
            </w:r>
            <w:r>
              <w:rPr>
                <w:rFonts w:ascii="宋体" w:hAnsi="宋体" w:cs="宋体" w:eastAsia="宋体" w:hint="default"/>
                <w:sz w:val="18"/>
                <w:szCs w:val="18"/>
              </w:rPr>
              <w:t> </w:t>
            </w:r>
          </w:p>
        </w:tc>
        <w:tc>
          <w:tcPr>
            <w:tcW w:w="28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5"/>
              <w:ind w:left="4" w:right="120"/>
              <w:jc w:val="left"/>
              <w:rPr>
                <w:rFonts w:ascii="宋体" w:hAnsi="宋体" w:cs="宋体" w:eastAsia="宋体" w:hint="default"/>
                <w:sz w:val="18"/>
                <w:szCs w:val="18"/>
              </w:rPr>
            </w:pPr>
            <w:r>
              <w:rPr>
                <w:rFonts w:ascii="宋体" w:hAnsi="宋体" w:cs="宋体" w:eastAsia="宋体" w:hint="default"/>
                <w:spacing w:val="-3"/>
                <w:sz w:val="18"/>
                <w:szCs w:val="18"/>
              </w:rPr>
              <w:t>根据历史毛利率和软件行业整体毛</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利率确定</w:t>
            </w:r>
            <w:r>
              <w:rPr>
                <w:rFonts w:ascii="宋体" w:hAnsi="宋体" w:cs="宋体" w:eastAsia="宋体" w:hint="default"/>
                <w:sz w:val="18"/>
                <w:szCs w:val="18"/>
              </w:rPr>
              <w:t> </w:t>
            </w:r>
          </w:p>
        </w:tc>
      </w:tr>
      <w:tr>
        <w:trPr>
          <w:trHeight w:val="2213" w:hRule="exact"/>
        </w:trPr>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确定折现率的基础</w:t>
            </w:r>
            <w:r>
              <w:rPr>
                <w:rFonts w:ascii="宋体" w:hAnsi="宋体" w:cs="宋体" w:eastAsia="宋体" w:hint="default"/>
                <w:sz w:val="18"/>
                <w:szCs w:val="18"/>
              </w:rPr>
              <w:t> </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 w:right="-15"/>
              <w:jc w:val="left"/>
              <w:rPr>
                <w:rFonts w:ascii="宋体" w:hAnsi="宋体" w:cs="宋体" w:eastAsia="宋体" w:hint="default"/>
                <w:sz w:val="18"/>
                <w:szCs w:val="18"/>
              </w:rPr>
            </w:pPr>
            <w:r>
              <w:rPr>
                <w:rFonts w:ascii="宋体" w:hAnsi="宋体" w:cs="宋体" w:eastAsia="宋体" w:hint="default"/>
                <w:spacing w:val="-3"/>
                <w:sz w:val="18"/>
                <w:szCs w:val="18"/>
              </w:rPr>
              <w:t>管理层选定</w:t>
            </w:r>
            <w:r>
              <w:rPr>
                <w:rFonts w:ascii="宋体" w:hAnsi="宋体" w:cs="宋体" w:eastAsia="宋体" w:hint="default"/>
                <w:spacing w:val="-3"/>
                <w:sz w:val="18"/>
                <w:szCs w:val="18"/>
              </w:rPr>
              <w:t>5</w:t>
            </w:r>
            <w:r>
              <w:rPr>
                <w:rFonts w:ascii="宋体" w:hAnsi="宋体" w:cs="宋体" w:eastAsia="宋体" w:hint="default"/>
                <w:spacing w:val="-3"/>
                <w:sz w:val="18"/>
                <w:szCs w:val="18"/>
              </w:rPr>
              <w:t>年期以上的国债到</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pacing w:val="-3"/>
                <w:sz w:val="18"/>
                <w:szCs w:val="18"/>
              </w:rPr>
              <w:t>期收益率作为无风险收益率，选</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pacing w:val="-14"/>
                <w:w w:val="101"/>
                <w:sz w:val="18"/>
                <w:szCs w:val="18"/>
              </w:rPr>
              <w:t>取东方国信、赢时胜、长亮科技、</w:t>
            </w:r>
            <w:r>
              <w:rPr>
                <w:rFonts w:ascii="宋体" w:hAnsi="宋体" w:cs="宋体" w:eastAsia="宋体" w:hint="default"/>
                <w:spacing w:val="-90"/>
                <w:w w:val="101"/>
                <w:sz w:val="18"/>
                <w:szCs w:val="18"/>
              </w:rPr>
              <w:t> </w:t>
            </w:r>
            <w:r>
              <w:rPr>
                <w:rFonts w:ascii="宋体" w:hAnsi="宋体" w:cs="宋体" w:eastAsia="宋体" w:hint="default"/>
                <w:spacing w:val="-90"/>
                <w:w w:val="101"/>
                <w:sz w:val="18"/>
                <w:szCs w:val="18"/>
              </w:rPr>
            </w:r>
            <w:r>
              <w:rPr>
                <w:rFonts w:ascii="宋体" w:hAnsi="宋体" w:cs="宋体" w:eastAsia="宋体" w:hint="default"/>
                <w:spacing w:val="-3"/>
                <w:sz w:val="18"/>
                <w:szCs w:val="18"/>
              </w:rPr>
              <w:t>四方精创四家上市公司数据作</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为参考，同时结合相关市场分</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析，并考虑税率等影响，最终确</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z w:val="18"/>
                <w:szCs w:val="18"/>
              </w:rPr>
              <w:t>定折现率为</w:t>
            </w:r>
            <w:r>
              <w:rPr>
                <w:rFonts w:ascii="宋体" w:hAnsi="宋体" w:cs="宋体" w:eastAsia="宋体" w:hint="default"/>
                <w:sz w:val="18"/>
                <w:szCs w:val="18"/>
              </w:rPr>
              <w:t>14.30% </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 w:right="-15"/>
              <w:jc w:val="left"/>
              <w:rPr>
                <w:rFonts w:ascii="宋体" w:hAnsi="宋体" w:cs="宋体" w:eastAsia="宋体" w:hint="default"/>
                <w:sz w:val="18"/>
                <w:szCs w:val="18"/>
              </w:rPr>
            </w:pPr>
            <w:r>
              <w:rPr>
                <w:rFonts w:ascii="宋体" w:hAnsi="宋体" w:cs="宋体" w:eastAsia="宋体" w:hint="default"/>
                <w:spacing w:val="-3"/>
                <w:sz w:val="18"/>
                <w:szCs w:val="18"/>
              </w:rPr>
              <w:t>管理层选定</w:t>
            </w:r>
            <w:r>
              <w:rPr>
                <w:rFonts w:ascii="宋体" w:hAnsi="宋体" w:cs="宋体" w:eastAsia="宋体" w:hint="default"/>
                <w:spacing w:val="-3"/>
                <w:sz w:val="18"/>
                <w:szCs w:val="18"/>
              </w:rPr>
              <w:t>5</w:t>
            </w:r>
            <w:r>
              <w:rPr>
                <w:rFonts w:ascii="宋体" w:hAnsi="宋体" w:cs="宋体" w:eastAsia="宋体" w:hint="default"/>
                <w:spacing w:val="-3"/>
                <w:sz w:val="18"/>
                <w:szCs w:val="18"/>
              </w:rPr>
              <w:t>年期以上的国债到</w:t>
            </w:r>
            <w:r>
              <w:rPr>
                <w:rFonts w:ascii="宋体" w:hAnsi="宋体" w:cs="宋体" w:eastAsia="宋体" w:hint="default"/>
                <w:spacing w:val="-46"/>
                <w:sz w:val="18"/>
                <w:szCs w:val="18"/>
              </w:rPr>
              <w:t> </w:t>
            </w:r>
            <w:r>
              <w:rPr>
                <w:rFonts w:ascii="宋体" w:hAnsi="宋体" w:cs="宋体" w:eastAsia="宋体" w:hint="default"/>
                <w:spacing w:val="-46"/>
                <w:sz w:val="18"/>
                <w:szCs w:val="18"/>
              </w:rPr>
            </w:r>
            <w:r>
              <w:rPr>
                <w:rFonts w:ascii="宋体" w:hAnsi="宋体" w:cs="宋体" w:eastAsia="宋体" w:hint="default"/>
                <w:spacing w:val="-3"/>
                <w:sz w:val="18"/>
                <w:szCs w:val="18"/>
              </w:rPr>
              <w:t>期收益率作为无风险收益率，选</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pacing w:val="-14"/>
                <w:w w:val="101"/>
                <w:sz w:val="18"/>
                <w:szCs w:val="18"/>
              </w:rPr>
              <w:t>取飞利信、久远银海、数字政通、</w:t>
            </w:r>
            <w:r>
              <w:rPr>
                <w:rFonts w:ascii="宋体" w:hAnsi="宋体" w:cs="宋体" w:eastAsia="宋体" w:hint="default"/>
                <w:spacing w:val="-90"/>
                <w:w w:val="101"/>
                <w:sz w:val="18"/>
                <w:szCs w:val="18"/>
              </w:rPr>
              <w:t> </w:t>
            </w:r>
            <w:r>
              <w:rPr>
                <w:rFonts w:ascii="宋体" w:hAnsi="宋体" w:cs="宋体" w:eastAsia="宋体" w:hint="default"/>
                <w:spacing w:val="-90"/>
                <w:w w:val="101"/>
                <w:sz w:val="18"/>
                <w:szCs w:val="18"/>
              </w:rPr>
            </w:r>
            <w:r>
              <w:rPr>
                <w:rFonts w:ascii="宋体" w:hAnsi="宋体" w:cs="宋体" w:eastAsia="宋体" w:hint="default"/>
                <w:spacing w:val="-3"/>
                <w:sz w:val="18"/>
                <w:szCs w:val="18"/>
              </w:rPr>
              <w:t>金桥信息四家上市公司数据作</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为参考，同时结合相关市场分</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析，并考虑税率等影响，最终确</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z w:val="18"/>
                <w:szCs w:val="18"/>
              </w:rPr>
              <w:t>定折现率为</w:t>
            </w:r>
            <w:r>
              <w:rPr>
                <w:rFonts w:ascii="宋体" w:hAnsi="宋体" w:cs="宋体" w:eastAsia="宋体" w:hint="default"/>
                <w:sz w:val="18"/>
                <w:szCs w:val="18"/>
              </w:rPr>
              <w:t>13.61% </w:t>
            </w:r>
          </w:p>
        </w:tc>
        <w:tc>
          <w:tcPr>
            <w:tcW w:w="28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管理层选定</w:t>
            </w:r>
            <w:r>
              <w:rPr>
                <w:rFonts w:ascii="宋体" w:hAnsi="宋体" w:cs="宋体" w:eastAsia="宋体" w:hint="default"/>
                <w:spacing w:val="-3"/>
                <w:sz w:val="18"/>
                <w:szCs w:val="18"/>
              </w:rPr>
              <w:t>5</w:t>
            </w:r>
            <w:r>
              <w:rPr>
                <w:rFonts w:ascii="宋体" w:hAnsi="宋体" w:cs="宋体" w:eastAsia="宋体" w:hint="default"/>
                <w:spacing w:val="-3"/>
                <w:sz w:val="18"/>
                <w:szCs w:val="18"/>
              </w:rPr>
              <w:t>年期以上的国债到期收</w:t>
            </w:r>
            <w:r>
              <w:rPr>
                <w:rFonts w:ascii="宋体" w:hAnsi="宋体" w:cs="宋体" w:eastAsia="宋体" w:hint="default"/>
                <w:spacing w:val="-40"/>
                <w:sz w:val="18"/>
                <w:szCs w:val="18"/>
              </w:rPr>
              <w:t> </w:t>
            </w:r>
            <w:r>
              <w:rPr>
                <w:rFonts w:ascii="宋体" w:hAnsi="宋体" w:cs="宋体" w:eastAsia="宋体" w:hint="default"/>
                <w:spacing w:val="-40"/>
                <w:sz w:val="18"/>
                <w:szCs w:val="18"/>
              </w:rPr>
            </w:r>
            <w:r>
              <w:rPr>
                <w:rFonts w:ascii="宋体" w:hAnsi="宋体" w:cs="宋体" w:eastAsia="宋体" w:hint="default"/>
                <w:spacing w:val="-7"/>
                <w:sz w:val="18"/>
                <w:szCs w:val="18"/>
              </w:rPr>
              <w:t>益率作为无风险收益率，选取佳发教</w:t>
            </w:r>
            <w:r>
              <w:rPr>
                <w:rFonts w:ascii="宋体" w:hAnsi="宋体" w:cs="宋体" w:eastAsia="宋体" w:hint="default"/>
                <w:spacing w:val="-38"/>
                <w:sz w:val="18"/>
                <w:szCs w:val="18"/>
              </w:rPr>
              <w:t> </w:t>
            </w:r>
            <w:r>
              <w:rPr>
                <w:rFonts w:ascii="宋体" w:hAnsi="宋体" w:cs="宋体" w:eastAsia="宋体" w:hint="default"/>
                <w:spacing w:val="-38"/>
                <w:sz w:val="18"/>
                <w:szCs w:val="18"/>
              </w:rPr>
            </w:r>
            <w:r>
              <w:rPr>
                <w:rFonts w:ascii="宋体" w:hAnsi="宋体" w:cs="宋体" w:eastAsia="宋体" w:hint="default"/>
                <w:spacing w:val="-7"/>
                <w:sz w:val="18"/>
                <w:szCs w:val="18"/>
              </w:rPr>
              <w:t>育、三盛教育、全通教育、方直科技</w:t>
            </w:r>
            <w:r>
              <w:rPr>
                <w:rFonts w:ascii="宋体" w:hAnsi="宋体" w:cs="宋体" w:eastAsia="宋体" w:hint="default"/>
                <w:spacing w:val="-40"/>
                <w:sz w:val="18"/>
                <w:szCs w:val="18"/>
              </w:rPr>
              <w:t> </w:t>
            </w:r>
            <w:r>
              <w:rPr>
                <w:rFonts w:ascii="宋体" w:hAnsi="宋体" w:cs="宋体" w:eastAsia="宋体" w:hint="default"/>
                <w:spacing w:val="-40"/>
                <w:sz w:val="18"/>
                <w:szCs w:val="18"/>
              </w:rPr>
            </w:r>
            <w:r>
              <w:rPr>
                <w:rFonts w:ascii="宋体" w:hAnsi="宋体" w:cs="宋体" w:eastAsia="宋体" w:hint="default"/>
                <w:spacing w:val="-7"/>
                <w:sz w:val="18"/>
                <w:szCs w:val="18"/>
              </w:rPr>
              <w:t>四家上市公司数据作为参考，同时结</w:t>
            </w:r>
            <w:r>
              <w:rPr>
                <w:rFonts w:ascii="宋体" w:hAnsi="宋体" w:cs="宋体" w:eastAsia="宋体" w:hint="default"/>
                <w:spacing w:val="-38"/>
                <w:sz w:val="18"/>
                <w:szCs w:val="18"/>
              </w:rPr>
              <w:t> </w:t>
            </w:r>
            <w:r>
              <w:rPr>
                <w:rFonts w:ascii="宋体" w:hAnsi="宋体" w:cs="宋体" w:eastAsia="宋体" w:hint="default"/>
                <w:spacing w:val="-38"/>
                <w:sz w:val="18"/>
                <w:szCs w:val="18"/>
              </w:rPr>
            </w:r>
            <w:r>
              <w:rPr>
                <w:rFonts w:ascii="宋体" w:hAnsi="宋体" w:cs="宋体" w:eastAsia="宋体" w:hint="default"/>
                <w:spacing w:val="-3"/>
                <w:sz w:val="18"/>
                <w:szCs w:val="18"/>
              </w:rPr>
              <w:t>合相关市场分析，并考虑税率等影</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响，最终确定折现率为</w:t>
            </w:r>
            <w:r>
              <w:rPr>
                <w:rFonts w:ascii="宋体" w:hAnsi="宋体" w:cs="宋体" w:eastAsia="宋体" w:hint="default"/>
                <w:spacing w:val="-3"/>
                <w:sz w:val="18"/>
                <w:szCs w:val="18"/>
              </w:rPr>
              <w:t>12.99%</w:t>
            </w:r>
            <w:r>
              <w:rPr>
                <w:rFonts w:ascii="宋体" w:hAnsi="宋体" w:cs="宋体" w:eastAsia="宋体" w:hint="default"/>
                <w:sz w:val="18"/>
                <w:szCs w:val="18"/>
              </w:rPr>
              <w:t> </w:t>
            </w:r>
          </w:p>
        </w:tc>
      </w:tr>
    </w:tbl>
    <w:p>
      <w:pPr>
        <w:pStyle w:val="BodyText"/>
        <w:spacing w:line="357" w:lineRule="auto" w:before="54"/>
        <w:ind w:right="8854"/>
        <w:jc w:val="left"/>
      </w:pPr>
      <w:r>
        <w:rPr>
          <w:spacing w:val="-3"/>
        </w:rPr>
        <w:t>商誉减值测试的影响</w:t>
      </w:r>
      <w:r>
        <w:rPr>
          <w:spacing w:val="-62"/>
        </w:rPr>
        <w:t> </w:t>
      </w:r>
      <w:r>
        <w:rPr>
          <w:spacing w:val="-62"/>
        </w:rPr>
      </w:r>
      <w:r>
        <w:rPr/>
        <w:t>其他说明</w:t>
      </w:r>
    </w:p>
    <w:p>
      <w:pPr>
        <w:pStyle w:val="BodyText"/>
        <w:spacing w:line="316" w:lineRule="auto" w:before="108"/>
        <w:ind w:right="855" w:firstLine="441"/>
        <w:jc w:val="left"/>
        <w:rPr>
          <w:rFonts w:ascii="宋体" w:hAnsi="宋体" w:cs="宋体" w:eastAsia="宋体" w:hint="default"/>
        </w:rPr>
      </w:pPr>
      <w:r>
        <w:rPr>
          <w:spacing w:val="-2"/>
        </w:rPr>
        <w:t>本次减值测试为购买日后首次减值测试，各项关键参数与标的资产购买日盈利预测数据基本保持一致；星立方</w:t>
      </w:r>
      <w:r>
        <w:rPr>
          <w:rFonts w:ascii="宋体" w:hAnsi="宋体" w:cs="宋体" w:eastAsia="宋体" w:hint="default"/>
          <w:spacing w:val="-2"/>
        </w:rPr>
        <w:t>2019</w:t>
      </w:r>
      <w:r>
        <w:rPr>
          <w:spacing w:val="-2"/>
        </w:rPr>
        <w:t>年</w:t>
      </w:r>
      <w:r>
        <w:rPr>
          <w:w w:val="101"/>
        </w:rPr>
        <w:t> </w:t>
      </w:r>
      <w:r>
        <w:rPr>
          <w:spacing w:val="-3"/>
        </w:rPr>
        <w:t>业绩完成虽然低于预期，但公司的经营状况与原有预期未出现重大变化。</w:t>
      </w:r>
      <w:r>
        <w:rPr>
          <w:rFonts w:ascii="宋体" w:hAnsi="宋体" w:cs="宋体" w:eastAsia="宋体" w:hint="default"/>
        </w:rPr>
        <w:t> </w:t>
      </w:r>
    </w:p>
    <w:p>
      <w:pPr>
        <w:spacing w:after="0" w:line="316" w:lineRule="auto"/>
        <w:jc w:val="left"/>
        <w:rPr>
          <w:rFonts w:ascii="宋体" w:hAnsi="宋体" w:cs="宋体" w:eastAsia="宋体" w:hint="default"/>
        </w:rPr>
        <w:sectPr>
          <w:footerReference w:type="default" r:id="rId21"/>
          <w:pgSz w:w="11910" w:h="16840"/>
          <w:pgMar w:footer="974" w:header="746" w:top="1060" w:bottom="1160" w:left="980" w:right="0"/>
          <w:pgNumType w:start="135"/>
        </w:sectPr>
      </w:pPr>
    </w:p>
    <w:p>
      <w:pPr>
        <w:spacing w:line="240" w:lineRule="auto" w:before="9"/>
        <w:rPr>
          <w:rFonts w:ascii="宋体" w:hAnsi="宋体" w:cs="宋体" w:eastAsia="宋体" w:hint="default"/>
          <w:sz w:val="25"/>
          <w:szCs w:val="25"/>
        </w:rPr>
      </w:pPr>
    </w:p>
    <w:p>
      <w:pPr>
        <w:pStyle w:val="BodyText"/>
        <w:spacing w:line="319" w:lineRule="auto" w:before="46"/>
        <w:ind w:right="1122" w:firstLine="441"/>
        <w:jc w:val="both"/>
      </w:pPr>
      <w:r>
        <w:rPr>
          <w:spacing w:val="-3"/>
        </w:rPr>
        <w:t>基于公司管理层对未来发展趋势的判断和经营规划，在未来预测能够实现的前提下，红岭云相关业务含商誉资产组账</w:t>
      </w:r>
      <w:r>
        <w:rPr>
          <w:w w:val="101"/>
        </w:rPr>
        <w:t> </w:t>
      </w:r>
      <w:r>
        <w:rPr>
          <w:spacing w:val="-4"/>
        </w:rPr>
        <w:t>面值为</w:t>
      </w:r>
      <w:r>
        <w:rPr>
          <w:rFonts w:ascii="宋体" w:hAnsi="宋体" w:cs="宋体" w:eastAsia="宋体" w:hint="default"/>
          <w:spacing w:val="-4"/>
        </w:rPr>
        <w:t>41,564,939.88</w:t>
      </w:r>
      <w:r>
        <w:rPr>
          <w:spacing w:val="-4"/>
        </w:rPr>
        <w:t>元，预计未来现金流量现值为</w:t>
      </w:r>
      <w:r>
        <w:rPr>
          <w:rFonts w:ascii="宋体" w:hAnsi="宋体" w:cs="宋体" w:eastAsia="宋体" w:hint="default"/>
          <w:spacing w:val="-4"/>
        </w:rPr>
        <w:t>64,567,147.32</w:t>
      </w:r>
      <w:r>
        <w:rPr>
          <w:spacing w:val="-4"/>
        </w:rPr>
        <w:t>元，对比后不存在减值；星立方相关业务含商誉资产组账</w:t>
      </w:r>
      <w:r>
        <w:rPr>
          <w:spacing w:val="8"/>
        </w:rPr>
        <w:t> </w:t>
      </w:r>
      <w:r>
        <w:rPr>
          <w:spacing w:val="8"/>
        </w:rPr>
      </w:r>
      <w:r>
        <w:rPr>
          <w:spacing w:val="-4"/>
        </w:rPr>
        <w:t>面值为</w:t>
      </w:r>
      <w:r>
        <w:rPr>
          <w:rFonts w:ascii="宋体" w:hAnsi="宋体" w:cs="宋体" w:eastAsia="宋体" w:hint="default"/>
          <w:spacing w:val="-4"/>
        </w:rPr>
        <w:t>122,671,112.64</w:t>
      </w:r>
      <w:r>
        <w:rPr>
          <w:spacing w:val="-4"/>
        </w:rPr>
        <w:t>元，预计未来现金流量现值为</w:t>
      </w:r>
      <w:r>
        <w:rPr>
          <w:rFonts w:ascii="宋体" w:hAnsi="宋体" w:cs="宋体" w:eastAsia="宋体" w:hint="default"/>
          <w:spacing w:val="-4"/>
        </w:rPr>
        <w:t>153,938,608.95</w:t>
      </w:r>
      <w:r>
        <w:rPr>
          <w:spacing w:val="-4"/>
        </w:rPr>
        <w:t>元，对比后不存在减值；海捷科技相关业务含商誉资产</w:t>
      </w:r>
      <w:r>
        <w:rPr>
          <w:spacing w:val="12"/>
        </w:rPr>
        <w:t> </w:t>
      </w:r>
      <w:r>
        <w:rPr>
          <w:spacing w:val="12"/>
        </w:rPr>
      </w:r>
      <w:r>
        <w:rPr>
          <w:spacing w:val="-4"/>
        </w:rPr>
        <w:t>组账面值为</w:t>
      </w:r>
      <w:r>
        <w:rPr>
          <w:rFonts w:ascii="宋体" w:hAnsi="宋体" w:cs="宋体" w:eastAsia="宋体" w:hint="default"/>
          <w:spacing w:val="-4"/>
        </w:rPr>
        <w:t>15,050,881.63</w:t>
      </w:r>
      <w:r>
        <w:rPr>
          <w:spacing w:val="-4"/>
        </w:rPr>
        <w:t>元，预计未来现金流量现值为</w:t>
      </w:r>
      <w:r>
        <w:rPr>
          <w:rFonts w:ascii="宋体" w:hAnsi="宋体" w:cs="宋体" w:eastAsia="宋体" w:hint="default"/>
          <w:spacing w:val="-4"/>
        </w:rPr>
        <w:t>32,561,533.59</w:t>
      </w:r>
      <w:r>
        <w:rPr>
          <w:spacing w:val="-4"/>
        </w:rPr>
        <w:t>元，对比后不存在减值。因此，本期商誉无需计提减</w:t>
      </w:r>
      <w:r>
        <w:rPr>
          <w:spacing w:val="6"/>
        </w:rPr>
        <w:t> </w:t>
      </w:r>
      <w:r>
        <w:rPr>
          <w:spacing w:val="6"/>
        </w:rPr>
      </w:r>
      <w:r>
        <w:rPr/>
        <w:t>值准备。</w:t>
      </w:r>
    </w:p>
    <w:p>
      <w:pPr>
        <w:spacing w:line="240" w:lineRule="auto" w:before="6"/>
        <w:rPr>
          <w:rFonts w:ascii="宋体" w:hAnsi="宋体" w:cs="宋体" w:eastAsia="宋体" w:hint="default"/>
          <w:sz w:val="22"/>
          <w:szCs w:val="22"/>
        </w:rPr>
      </w:pPr>
    </w:p>
    <w:p>
      <w:pPr>
        <w:pStyle w:val="Heading4"/>
        <w:spacing w:line="240" w:lineRule="auto"/>
        <w:ind w:right="855"/>
        <w:jc w:val="left"/>
        <w:rPr>
          <w:b w:val="0"/>
          <w:bCs w:val="0"/>
        </w:rPr>
      </w:pPr>
      <w:r>
        <w:rPr>
          <w:rFonts w:ascii="Times New Roman" w:hAnsi="Times New Roman" w:cs="Times New Roman" w:eastAsia="Times New Roman" w:hint="default"/>
        </w:rPr>
        <w:t>17</w:t>
      </w:r>
      <w:r>
        <w:rPr/>
        <w:t>、长期待摊费用</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0" w:right="1121"/>
        <w:jc w:val="right"/>
      </w:pPr>
      <w:r>
        <w:rPr/>
        <w:t>单位：</w:t>
      </w:r>
      <w:r>
        <w:rPr>
          <w:spacing w:val="5"/>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9"/>
        <w:gridCol w:w="1594"/>
        <w:gridCol w:w="1595"/>
        <w:gridCol w:w="1594"/>
        <w:gridCol w:w="1594"/>
      </w:tblGrid>
      <w:tr>
        <w:trPr>
          <w:trHeight w:val="398"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9"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9"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9"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13"/>
              <w:jc w:val="left"/>
              <w:rPr>
                <w:rFonts w:ascii="宋体" w:hAnsi="宋体" w:cs="宋体" w:eastAsia="宋体" w:hint="default"/>
                <w:sz w:val="18"/>
                <w:szCs w:val="18"/>
              </w:rPr>
            </w:pPr>
            <w:r>
              <w:rPr>
                <w:rFonts w:ascii="宋体" w:hAnsi="宋体" w:cs="宋体" w:eastAsia="宋体" w:hint="default"/>
                <w:spacing w:val="-2"/>
                <w:sz w:val="18"/>
                <w:szCs w:val="18"/>
              </w:rPr>
              <w:t>配电监控消防改造</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工程</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743,870.85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127,601.96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616,268.89</w:t>
            </w:r>
          </w:p>
        </w:tc>
      </w:tr>
      <w:tr>
        <w:trPr>
          <w:trHeight w:val="40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预付租金</w:t>
            </w:r>
          </w:p>
        </w:tc>
        <w:tc>
          <w:tcPr>
            <w:tcW w:w="159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15,351,559.54</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15,351,559.54</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装修及附属工程</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2,543,559.07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5,324,770.64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1,523,985.85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6,344,343.86</w:t>
            </w:r>
          </w:p>
        </w:tc>
      </w:tr>
      <w:tr>
        <w:trPr>
          <w:trHeight w:val="398"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云通信服务费</w:t>
            </w:r>
          </w:p>
        </w:tc>
        <w:tc>
          <w:tcPr>
            <w:tcW w:w="159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288,679.24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72,169.80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216,509.44</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其他零星</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17,239.89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5,045.88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12,194.01</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3,304,669.81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20,965,009.42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1,728,803.49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22,540,875.74</w:t>
            </w:r>
          </w:p>
        </w:tc>
      </w:tr>
    </w:tbl>
    <w:p>
      <w:pPr>
        <w:spacing w:line="240" w:lineRule="auto" w:before="3"/>
        <w:rPr>
          <w:rFonts w:ascii="宋体" w:hAnsi="宋体" w:cs="宋体" w:eastAsia="宋体" w:hint="default"/>
          <w:sz w:val="19"/>
          <w:szCs w:val="19"/>
        </w:rPr>
      </w:pPr>
    </w:p>
    <w:p>
      <w:pPr>
        <w:pStyle w:val="Heading4"/>
        <w:spacing w:line="240" w:lineRule="auto" w:before="36"/>
        <w:ind w:right="855"/>
        <w:jc w:val="left"/>
        <w:rPr>
          <w:b w:val="0"/>
          <w:bCs w:val="0"/>
        </w:rPr>
      </w:pPr>
      <w:r>
        <w:rPr>
          <w:rFonts w:ascii="Times New Roman" w:hAnsi="Times New Roman" w:cs="Times New Roman" w:eastAsia="Times New Roman" w:hint="default"/>
        </w:rPr>
        <w:t>18</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5"/>
        <w:rPr>
          <w:rFonts w:ascii="宋体" w:hAnsi="宋体" w:cs="宋体" w:eastAsia="宋体" w:hint="default"/>
          <w:b/>
          <w:bCs/>
          <w:sz w:val="24"/>
          <w:szCs w:val="24"/>
        </w:rPr>
      </w:pPr>
    </w:p>
    <w:p>
      <w:pPr>
        <w:spacing w:before="0"/>
        <w:ind w:left="153" w:right="85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）未经抵销的递延所得税资产</w:t>
      </w:r>
      <w:r>
        <w:rPr>
          <w:rFonts w:ascii="宋体" w:hAnsi="宋体" w:cs="宋体" w:eastAsia="宋体" w:hint="default"/>
          <w:sz w:val="21"/>
          <w:szCs w:val="21"/>
        </w:rPr>
      </w:r>
    </w:p>
    <w:p>
      <w:pPr>
        <w:spacing w:line="240" w:lineRule="auto" w:before="2"/>
        <w:rPr>
          <w:rFonts w:ascii="宋体" w:hAnsi="宋体" w:cs="宋体" w:eastAsia="宋体" w:hint="default"/>
          <w:b/>
          <w:bCs/>
          <w:sz w:val="23"/>
          <w:szCs w:val="23"/>
        </w:rPr>
      </w:pPr>
    </w:p>
    <w:p>
      <w:pPr>
        <w:pStyle w:val="BodyText"/>
        <w:spacing w:line="240" w:lineRule="auto" w:before="46"/>
        <w:ind w:left="0" w:right="1121"/>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1"/>
        <w:gridCol w:w="1921"/>
        <w:gridCol w:w="1911"/>
        <w:gridCol w:w="1916"/>
        <w:gridCol w:w="1916"/>
      </w:tblGrid>
      <w:tr>
        <w:trPr>
          <w:trHeight w:val="403" w:hRule="exact"/>
        </w:trPr>
        <w:tc>
          <w:tcPr>
            <w:tcW w:w="19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911" w:type="dxa"/>
            <w:vMerge/>
            <w:tcBorders>
              <w:left w:val="single" w:sz="4" w:space="0" w:color="000000"/>
              <w:bottom w:val="single" w:sz="4" w:space="0" w:color="000000"/>
              <w:right w:val="single" w:sz="4" w:space="0" w:color="000000"/>
            </w:tcBorders>
            <w:shd w:val="clear" w:color="auto" w:fill="D2D2D2"/>
          </w:tcPr>
          <w:p>
            <w:pPr/>
          </w:p>
        </w:tc>
        <w:tc>
          <w:tcPr>
            <w:tcW w:w="1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5"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22"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0"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2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105,556,881.87</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15,768,064.06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85,115,746.81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12,951,307.57</w:t>
            </w:r>
          </w:p>
        </w:tc>
      </w:tr>
      <w:tr>
        <w:trPr>
          <w:trHeight w:val="399" w:hRule="exact"/>
        </w:trPr>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22,231,580.97</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3,334,737.15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20,878,102.31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3,126,352.04</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20,706,342.08</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3,533,946.36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22,736,242.52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4,652,882.20</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未实现内部利润</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22,315,845.57</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3,347,376.84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10,742,603.64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2,395,282.41</w:t>
            </w:r>
          </w:p>
        </w:tc>
      </w:tr>
      <w:tr>
        <w:trPr>
          <w:trHeight w:val="716" w:hRule="exact"/>
        </w:trPr>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3"/>
              <w:ind w:left="24" w:right="70"/>
              <w:jc w:val="left"/>
              <w:rPr>
                <w:rFonts w:ascii="宋体" w:hAnsi="宋体" w:cs="宋体" w:eastAsia="宋体" w:hint="default"/>
                <w:sz w:val="18"/>
                <w:szCs w:val="18"/>
              </w:rPr>
            </w:pPr>
            <w:r>
              <w:rPr>
                <w:rFonts w:ascii="宋体" w:hAnsi="宋体" w:cs="宋体" w:eastAsia="宋体" w:hint="default"/>
                <w:spacing w:val="-2"/>
                <w:sz w:val="18"/>
                <w:szCs w:val="18"/>
              </w:rPr>
              <w:t>其他权益工具投资公允</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价值变动</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239,313.62</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35,897.04</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8,088,435.75</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1,213,265.36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7,664,093.29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1,149,613.99</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6,753,596.50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1,013,039.47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7,282,233.10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1,092,334.97</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10,984,304.53</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1,647,645.68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10,819,889.21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1,622,983.38</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196,876,300.89</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29,893,971.96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165,238,910.88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26,990,756.56</w:t>
            </w:r>
          </w:p>
        </w:tc>
      </w:tr>
    </w:tbl>
    <w:p>
      <w:pPr>
        <w:spacing w:line="240" w:lineRule="auto" w:before="3"/>
        <w:rPr>
          <w:rFonts w:ascii="宋体" w:hAnsi="宋体" w:cs="宋体" w:eastAsia="宋体" w:hint="default"/>
          <w:sz w:val="19"/>
          <w:szCs w:val="19"/>
        </w:rPr>
      </w:pPr>
    </w:p>
    <w:p>
      <w:pPr>
        <w:pStyle w:val="Heading4"/>
        <w:spacing w:line="240" w:lineRule="auto" w:before="36"/>
        <w:ind w:right="855"/>
        <w:jc w:val="left"/>
        <w:rPr>
          <w:b w:val="0"/>
          <w:bCs w:val="0"/>
        </w:rPr>
      </w:pP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6"/>
        <w:ind w:left="0" w:right="1121"/>
        <w:jc w:val="right"/>
      </w:pPr>
      <w:r>
        <w:rPr/>
        <w:t>单位：</w:t>
      </w:r>
      <w:r>
        <w:rPr>
          <w:spacing w:val="5"/>
        </w:rPr>
        <w:t> </w:t>
      </w:r>
      <w:r>
        <w:rPr/>
        <w:t>元</w:t>
      </w:r>
    </w:p>
    <w:p>
      <w:pPr>
        <w:spacing w:after="0" w:line="240" w:lineRule="auto"/>
        <w:jc w:val="right"/>
        <w:sectPr>
          <w:pgSz w:w="11910" w:h="16840"/>
          <w:pgMar w:header="746" w:footer="974"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11"/>
        <w:gridCol w:w="1921"/>
        <w:gridCol w:w="1911"/>
        <w:gridCol w:w="1916"/>
        <w:gridCol w:w="1916"/>
      </w:tblGrid>
      <w:tr>
        <w:trPr>
          <w:trHeight w:val="403" w:hRule="exact"/>
        </w:trPr>
        <w:tc>
          <w:tcPr>
            <w:tcW w:w="19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8" w:hRule="exact"/>
        </w:trPr>
        <w:tc>
          <w:tcPr>
            <w:tcW w:w="1911" w:type="dxa"/>
            <w:vMerge/>
            <w:tcBorders>
              <w:left w:val="single" w:sz="4" w:space="0" w:color="000000"/>
              <w:bottom w:val="single" w:sz="4" w:space="0" w:color="000000"/>
              <w:right w:val="single" w:sz="4" w:space="0" w:color="000000"/>
            </w:tcBorders>
            <w:shd w:val="clear" w:color="auto" w:fill="D2D2D2"/>
          </w:tcPr>
          <w:p>
            <w:pPr/>
          </w:p>
        </w:tc>
        <w:tc>
          <w:tcPr>
            <w:tcW w:w="1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5"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22"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0"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21"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w:t>
            </w:r>
          </w:p>
        </w:tc>
      </w:tr>
      <w:tr>
        <w:trPr>
          <w:trHeight w:val="716"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9"/>
              <w:ind w:left="24" w:right="70"/>
              <w:jc w:val="left"/>
              <w:rPr>
                <w:rFonts w:ascii="宋体" w:hAnsi="宋体" w:cs="宋体" w:eastAsia="宋体" w:hint="default"/>
                <w:sz w:val="18"/>
                <w:szCs w:val="18"/>
              </w:rPr>
            </w:pPr>
            <w:r>
              <w:rPr>
                <w:rFonts w:ascii="宋体" w:hAnsi="宋体" w:cs="宋体" w:eastAsia="宋体" w:hint="default"/>
                <w:spacing w:val="-2"/>
                <w:sz w:val="18"/>
                <w:szCs w:val="18"/>
              </w:rPr>
              <w:t>非同一控制企业合并资</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产评估增值</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47,847,533.68</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7,177,130.05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49,875,884.95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7,481,382.75</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47,847,533.68</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7,177,130.05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49,875,884.95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7,481,382.75</w:t>
            </w:r>
          </w:p>
        </w:tc>
      </w:tr>
    </w:tbl>
    <w:p>
      <w:pPr>
        <w:spacing w:line="240" w:lineRule="auto" w:before="3"/>
        <w:rPr>
          <w:rFonts w:ascii="宋体" w:hAnsi="宋体" w:cs="宋体" w:eastAsia="宋体" w:hint="default"/>
          <w:sz w:val="19"/>
          <w:szCs w:val="19"/>
        </w:rPr>
      </w:pPr>
    </w:p>
    <w:p>
      <w:pPr>
        <w:pStyle w:val="Heading4"/>
        <w:spacing w:line="240" w:lineRule="auto" w:before="36"/>
        <w:ind w:right="855"/>
        <w:jc w:val="left"/>
        <w:rPr>
          <w:b w:val="0"/>
          <w:bCs w:val="0"/>
        </w:rPr>
      </w:pP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6"/>
        <w:ind w:left="0" w:right="1121"/>
        <w:jc w:val="right"/>
      </w:pPr>
      <w:r>
        <w:rPr/>
        <w:t>单位：</w:t>
      </w:r>
      <w:r>
        <w:rPr>
          <w:spacing w:val="5"/>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1"/>
        <w:gridCol w:w="1921"/>
        <w:gridCol w:w="1911"/>
        <w:gridCol w:w="1916"/>
        <w:gridCol w:w="1916"/>
      </w:tblGrid>
      <w:tr>
        <w:trPr>
          <w:trHeight w:val="710"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412" w:right="50" w:hanging="360"/>
              <w:jc w:val="left"/>
              <w:rPr>
                <w:rFonts w:ascii="宋体" w:hAnsi="宋体" w:cs="宋体" w:eastAsia="宋体" w:hint="default"/>
                <w:sz w:val="18"/>
                <w:szCs w:val="18"/>
              </w:rPr>
            </w:pPr>
            <w:r>
              <w:rPr>
                <w:rFonts w:ascii="宋体" w:hAnsi="宋体" w:cs="宋体" w:eastAsia="宋体" w:hint="default"/>
                <w:spacing w:val="-2"/>
                <w:sz w:val="18"/>
                <w:szCs w:val="18"/>
              </w:rPr>
              <w:t>递延所得税资产和负债</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期末互抵金额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322" w:right="41" w:hanging="270"/>
              <w:jc w:val="left"/>
              <w:rPr>
                <w:rFonts w:ascii="宋体" w:hAnsi="宋体" w:cs="宋体" w:eastAsia="宋体" w:hint="default"/>
                <w:sz w:val="18"/>
                <w:szCs w:val="18"/>
              </w:rPr>
            </w:pPr>
            <w:r>
              <w:rPr>
                <w:rFonts w:ascii="宋体" w:hAnsi="宋体" w:cs="宋体" w:eastAsia="宋体" w:hint="default"/>
                <w:spacing w:val="-2"/>
                <w:sz w:val="18"/>
                <w:szCs w:val="18"/>
              </w:rPr>
              <w:t>抵销后递延所得税资产</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3"/>
                <w:sz w:val="18"/>
                <w:szCs w:val="18"/>
              </w:rPr>
              <w:t>或负债期末余额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412" w:right="46" w:hanging="360"/>
              <w:jc w:val="left"/>
              <w:rPr>
                <w:rFonts w:ascii="宋体" w:hAnsi="宋体" w:cs="宋体" w:eastAsia="宋体" w:hint="default"/>
                <w:sz w:val="18"/>
                <w:szCs w:val="18"/>
              </w:rPr>
            </w:pPr>
            <w:r>
              <w:rPr>
                <w:rFonts w:ascii="宋体" w:hAnsi="宋体" w:cs="宋体" w:eastAsia="宋体" w:hint="default"/>
                <w:spacing w:val="-2"/>
                <w:sz w:val="18"/>
                <w:szCs w:val="18"/>
              </w:rPr>
              <w:t>递延所得税资产和负债</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期初互抵金额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321" w:right="46" w:hanging="269"/>
              <w:jc w:val="left"/>
              <w:rPr>
                <w:rFonts w:ascii="宋体" w:hAnsi="宋体" w:cs="宋体" w:eastAsia="宋体" w:hint="default"/>
                <w:sz w:val="18"/>
                <w:szCs w:val="18"/>
              </w:rPr>
            </w:pPr>
            <w:r>
              <w:rPr>
                <w:rFonts w:ascii="宋体" w:hAnsi="宋体" w:cs="宋体" w:eastAsia="宋体" w:hint="default"/>
                <w:spacing w:val="-2"/>
                <w:sz w:val="18"/>
                <w:szCs w:val="18"/>
              </w:rPr>
              <w:t>抵销后递延所得税资产</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3"/>
                <w:sz w:val="18"/>
                <w:szCs w:val="18"/>
              </w:rPr>
              <w:t>或负债期初余额</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w:t>
            </w: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29,893,971.96</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26,990,756.56</w:t>
            </w:r>
          </w:p>
        </w:tc>
      </w:tr>
      <w:tr>
        <w:trPr>
          <w:trHeight w:val="404"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w:t>
            </w: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7,177,130.05</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7,481,382.75</w:t>
            </w:r>
          </w:p>
        </w:tc>
      </w:tr>
    </w:tbl>
    <w:p>
      <w:pPr>
        <w:spacing w:line="240" w:lineRule="auto" w:before="3"/>
        <w:rPr>
          <w:rFonts w:ascii="宋体" w:hAnsi="宋体" w:cs="宋体" w:eastAsia="宋体" w:hint="default"/>
          <w:sz w:val="19"/>
          <w:szCs w:val="19"/>
        </w:rPr>
      </w:pPr>
    </w:p>
    <w:p>
      <w:pPr>
        <w:pStyle w:val="Heading4"/>
        <w:spacing w:line="240" w:lineRule="auto" w:before="36"/>
        <w:ind w:right="855"/>
        <w:jc w:val="left"/>
        <w:rPr>
          <w:b w:val="0"/>
          <w:bCs w:val="0"/>
        </w:rPr>
      </w:pP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6"/>
        <w:ind w:left="0" w:right="1121"/>
        <w:jc w:val="right"/>
      </w:pPr>
      <w:r>
        <w:rPr/>
        <w:t>单位：</w:t>
      </w:r>
      <w:r>
        <w:rPr>
          <w:spacing w:val="5"/>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3"/>
      </w:tblGrid>
      <w:tr>
        <w:trPr>
          <w:trHeight w:val="399"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72,277,762.29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65,119,734.85</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5,308,500.00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2,519,064.46</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131,152,386.86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98,437,307.83</w:t>
            </w:r>
          </w:p>
        </w:tc>
      </w:tr>
      <w:tr>
        <w:trPr>
          <w:trHeight w:val="399"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208,738,649.15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166,076,107.14</w:t>
            </w:r>
          </w:p>
        </w:tc>
      </w:tr>
    </w:tbl>
    <w:p>
      <w:pPr>
        <w:spacing w:line="240" w:lineRule="auto" w:before="3"/>
        <w:rPr>
          <w:rFonts w:ascii="宋体" w:hAnsi="宋体" w:cs="宋体" w:eastAsia="宋体" w:hint="default"/>
          <w:sz w:val="19"/>
          <w:szCs w:val="19"/>
        </w:rPr>
      </w:pPr>
    </w:p>
    <w:p>
      <w:pPr>
        <w:pStyle w:val="Heading4"/>
        <w:spacing w:line="240" w:lineRule="auto" w:before="36"/>
        <w:ind w:right="855"/>
        <w:jc w:val="left"/>
        <w:rPr>
          <w:b w:val="0"/>
          <w:bCs w:val="0"/>
        </w:rPr>
      </w:pP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1"/>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1"/>
      </w:tblGrid>
      <w:tr>
        <w:trPr>
          <w:trHeight w:val="404"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7,935,664.20</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8,060,739.19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10,525,085.67</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11,977,792.70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31,042,930.24</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42,885,798.52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36,438,735.71</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61,313,760.80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12,494,892.01</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6,914,295.65</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131,152,386.86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98,437,307.83</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9"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4"/>
        <w:ind w:right="855"/>
        <w:jc w:val="left"/>
      </w:pPr>
      <w:r>
        <w:rPr/>
        <w:t>其他说明：</w:t>
      </w:r>
    </w:p>
    <w:p>
      <w:pPr>
        <w:spacing w:after="0" w:line="240" w:lineRule="auto"/>
        <w:jc w:val="left"/>
        <w:sectPr>
          <w:pgSz w:w="11910" w:h="16840"/>
          <w:pgMar w:header="746" w:footer="974" w:top="1060" w:bottom="1160" w:left="980" w:right="0"/>
        </w:sectPr>
      </w:pPr>
    </w:p>
    <w:p>
      <w:pPr>
        <w:spacing w:line="240" w:lineRule="auto" w:before="7"/>
        <w:rPr>
          <w:rFonts w:ascii="宋体" w:hAnsi="宋体" w:cs="宋体" w:eastAsia="宋体" w:hint="default"/>
          <w:sz w:val="24"/>
          <w:szCs w:val="24"/>
        </w:rPr>
      </w:pPr>
    </w:p>
    <w:p>
      <w:pPr>
        <w:pStyle w:val="Heading4"/>
        <w:spacing w:line="240" w:lineRule="auto" w:before="36"/>
        <w:ind w:right="855"/>
        <w:jc w:val="left"/>
        <w:rPr>
          <w:b w:val="0"/>
          <w:bCs w:val="0"/>
        </w:rPr>
      </w:pPr>
      <w:r>
        <w:rPr>
          <w:rFonts w:ascii="Times New Roman" w:hAnsi="Times New Roman" w:cs="Times New Roman" w:eastAsia="Times New Roman" w:hint="default"/>
        </w:rPr>
        <w:t>19</w:t>
      </w:r>
      <w:r>
        <w:rPr/>
        <w:t>、短期借款</w:t>
      </w:r>
      <w:r>
        <w:rPr>
          <w:b w:val="0"/>
          <w:bCs w:val="0"/>
        </w:rPr>
      </w:r>
    </w:p>
    <w:p>
      <w:pPr>
        <w:spacing w:line="240" w:lineRule="auto" w:before="10"/>
        <w:rPr>
          <w:rFonts w:ascii="宋体" w:hAnsi="宋体" w:cs="宋体" w:eastAsia="宋体" w:hint="default"/>
          <w:b/>
          <w:bCs/>
          <w:sz w:val="24"/>
          <w:szCs w:val="24"/>
        </w:rPr>
      </w:pPr>
    </w:p>
    <w:p>
      <w:pPr>
        <w:spacing w:before="0"/>
        <w:ind w:left="153" w:right="85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）短期借款分类</w:t>
      </w:r>
      <w:r>
        <w:rPr>
          <w:rFonts w:ascii="宋体" w:hAnsi="宋体" w:cs="宋体" w:eastAsia="宋体" w:hint="default"/>
          <w:sz w:val="21"/>
          <w:szCs w:val="21"/>
        </w:rPr>
      </w:r>
    </w:p>
    <w:p>
      <w:pPr>
        <w:spacing w:line="240" w:lineRule="auto" w:before="2"/>
        <w:rPr>
          <w:rFonts w:ascii="宋体" w:hAnsi="宋体" w:cs="宋体" w:eastAsia="宋体" w:hint="default"/>
          <w:b/>
          <w:bCs/>
          <w:sz w:val="23"/>
          <w:szCs w:val="23"/>
        </w:rPr>
      </w:pPr>
    </w:p>
    <w:p>
      <w:pPr>
        <w:pStyle w:val="BodyText"/>
        <w:spacing w:line="240" w:lineRule="auto" w:before="46"/>
        <w:ind w:left="0" w:right="1121"/>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3"/>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8"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690,360,000.00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405,000,000.00</w:t>
            </w:r>
          </w:p>
        </w:tc>
      </w:tr>
      <w:tr>
        <w:trPr>
          <w:trHeight w:val="40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1,777,816.43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532,249.33</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692,137,816.43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405,532,249.33</w:t>
            </w:r>
          </w:p>
        </w:tc>
      </w:tr>
    </w:tbl>
    <w:p>
      <w:pPr>
        <w:pStyle w:val="BodyText"/>
        <w:spacing w:line="240" w:lineRule="auto" w:before="53"/>
        <w:ind w:right="855"/>
        <w:jc w:val="left"/>
      </w:pPr>
      <w:r>
        <w:rPr/>
        <w:t>短期借款分类的说明：</w:t>
      </w:r>
    </w:p>
    <w:p>
      <w:pPr>
        <w:spacing w:line="240" w:lineRule="auto" w:before="8"/>
        <w:rPr>
          <w:rFonts w:ascii="宋体" w:hAnsi="宋体" w:cs="宋体" w:eastAsia="宋体" w:hint="default"/>
          <w:sz w:val="26"/>
          <w:szCs w:val="26"/>
        </w:rPr>
      </w:pPr>
    </w:p>
    <w:p>
      <w:pPr>
        <w:spacing w:line="544" w:lineRule="auto" w:before="0"/>
        <w:ind w:left="153" w:right="693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）已逾期未偿还的短期借款情况</w:t>
      </w:r>
      <w:r>
        <w:rPr>
          <w:rFonts w:ascii="宋体" w:hAnsi="宋体" w:cs="宋体" w:eastAsia="宋体" w:hint="default"/>
          <w:b/>
          <w:bCs/>
          <w:spacing w:val="-101"/>
          <w:sz w:val="21"/>
          <w:szCs w:val="21"/>
        </w:rPr>
        <w:t> </w:t>
      </w:r>
      <w:r>
        <w:rPr>
          <w:rFonts w:ascii="宋体" w:hAnsi="宋体" w:cs="宋体" w:eastAsia="宋体" w:hint="default"/>
          <w:spacing w:val="-3"/>
          <w:sz w:val="18"/>
          <w:szCs w:val="18"/>
        </w:rPr>
        <w:t>本期末已逾期未偿还的短期借款总额为 </w:t>
      </w:r>
      <w:r>
        <w:rPr>
          <w:rFonts w:ascii="Times New Roman" w:hAnsi="Times New Roman" w:cs="Times New Roman" w:eastAsia="Times New Roman" w:hint="default"/>
          <w:sz w:val="18"/>
          <w:szCs w:val="18"/>
        </w:rPr>
        <w:t>0.00 </w:t>
      </w:r>
      <w:r>
        <w:rPr>
          <w:rFonts w:ascii="宋体" w:hAnsi="宋体" w:cs="宋体" w:eastAsia="宋体" w:hint="default"/>
          <w:sz w:val="18"/>
          <w:szCs w:val="18"/>
        </w:rPr>
        <w:t>元。</w:t>
      </w:r>
      <w:r>
        <w:rPr>
          <w:rFonts w:ascii="宋体" w:hAnsi="宋体" w:cs="宋体" w:eastAsia="宋体" w:hint="default"/>
          <w:spacing w:val="-78"/>
          <w:sz w:val="18"/>
          <w:szCs w:val="18"/>
        </w:rPr>
        <w:t> </w:t>
      </w:r>
      <w:r>
        <w:rPr>
          <w:rFonts w:ascii="Times New Roman" w:hAnsi="Times New Roman" w:cs="Times New Roman" w:eastAsia="Times New Roman" w:hint="default"/>
          <w:b/>
          <w:bCs/>
          <w:sz w:val="21"/>
          <w:szCs w:val="21"/>
        </w:rPr>
        <w:t>20</w:t>
      </w:r>
      <w:r>
        <w:rPr>
          <w:rFonts w:ascii="宋体" w:hAnsi="宋体" w:cs="宋体" w:eastAsia="宋体" w:hint="default"/>
          <w:b/>
          <w:bCs/>
          <w:sz w:val="21"/>
          <w:szCs w:val="21"/>
        </w:rPr>
        <w:t>、应付票据</w:t>
      </w:r>
      <w:r>
        <w:rPr>
          <w:rFonts w:ascii="宋体" w:hAnsi="宋体" w:cs="宋体" w:eastAsia="宋体" w:hint="default"/>
          <w:sz w:val="21"/>
          <w:szCs w:val="21"/>
        </w:rPr>
      </w:r>
    </w:p>
    <w:p>
      <w:pPr>
        <w:pStyle w:val="BodyText"/>
        <w:spacing w:line="240" w:lineRule="auto" w:before="53"/>
        <w:ind w:left="0" w:right="1121"/>
        <w:jc w:val="right"/>
      </w:pPr>
      <w:r>
        <w:rPr/>
        <w:t>单位：</w:t>
      </w:r>
      <w:r>
        <w:rPr>
          <w:spacing w:val="5"/>
        </w:rPr>
        <w:t> </w:t>
      </w:r>
      <w:r>
        <w:rPr/>
        <w:t>元</w:t>
      </w:r>
    </w:p>
    <w:p>
      <w:pPr>
        <w:spacing w:line="240" w:lineRule="auto" w:before="0"/>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3"/>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84,977,908.02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77,975,041.63</w:t>
            </w:r>
          </w:p>
        </w:tc>
      </w:tr>
      <w:tr>
        <w:trPr>
          <w:trHeight w:val="398"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77,868,381.43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62,928,231.41</w:t>
            </w:r>
          </w:p>
        </w:tc>
      </w:tr>
      <w:tr>
        <w:trPr>
          <w:trHeight w:val="40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162,846,289.45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140,903,273.04</w:t>
            </w:r>
          </w:p>
        </w:tc>
      </w:tr>
    </w:tbl>
    <w:p>
      <w:pPr>
        <w:pStyle w:val="BodyText"/>
        <w:spacing w:line="240" w:lineRule="auto" w:before="53"/>
        <w:ind w:right="855"/>
        <w:jc w:val="left"/>
      </w:pPr>
      <w:r>
        <w:rPr>
          <w:spacing w:val="-3"/>
        </w:rPr>
        <w:t>本期末已到期未支付的应付票据总额为元。</w:t>
      </w:r>
    </w:p>
    <w:p>
      <w:pPr>
        <w:spacing w:line="240" w:lineRule="auto" w:before="8"/>
        <w:rPr>
          <w:rFonts w:ascii="宋体" w:hAnsi="宋体" w:cs="宋体" w:eastAsia="宋体" w:hint="default"/>
          <w:sz w:val="26"/>
          <w:szCs w:val="26"/>
        </w:rPr>
      </w:pPr>
    </w:p>
    <w:p>
      <w:pPr>
        <w:pStyle w:val="Heading4"/>
        <w:spacing w:line="240" w:lineRule="auto"/>
        <w:ind w:right="855"/>
        <w:jc w:val="left"/>
        <w:rPr>
          <w:b w:val="0"/>
          <w:bCs w:val="0"/>
        </w:rPr>
      </w:pPr>
      <w:r>
        <w:rPr>
          <w:rFonts w:ascii="Times New Roman" w:hAnsi="Times New Roman" w:cs="Times New Roman" w:eastAsia="Times New Roman" w:hint="default"/>
        </w:rPr>
        <w:t>21</w:t>
      </w:r>
      <w:r>
        <w:rPr/>
        <w:t>、应付账款</w:t>
      </w:r>
      <w:r>
        <w:rPr>
          <w:b w:val="0"/>
          <w:bCs w:val="0"/>
        </w:rPr>
      </w:r>
    </w:p>
    <w:p>
      <w:pPr>
        <w:spacing w:line="240" w:lineRule="auto" w:before="10"/>
        <w:rPr>
          <w:rFonts w:ascii="宋体" w:hAnsi="宋体" w:cs="宋体" w:eastAsia="宋体" w:hint="default"/>
          <w:b/>
          <w:bCs/>
          <w:sz w:val="24"/>
          <w:szCs w:val="24"/>
        </w:rPr>
      </w:pPr>
    </w:p>
    <w:p>
      <w:pPr>
        <w:spacing w:before="0"/>
        <w:ind w:left="153" w:right="85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）应付账款列示</w:t>
      </w:r>
      <w:r>
        <w:rPr>
          <w:rFonts w:ascii="宋体" w:hAnsi="宋体" w:cs="宋体" w:eastAsia="宋体" w:hint="default"/>
          <w:sz w:val="21"/>
          <w:szCs w:val="21"/>
        </w:rPr>
      </w:r>
    </w:p>
    <w:p>
      <w:pPr>
        <w:spacing w:line="240" w:lineRule="auto" w:before="2"/>
        <w:rPr>
          <w:rFonts w:ascii="宋体" w:hAnsi="宋体" w:cs="宋体" w:eastAsia="宋体" w:hint="default"/>
          <w:b/>
          <w:bCs/>
          <w:sz w:val="23"/>
          <w:szCs w:val="23"/>
        </w:rPr>
      </w:pPr>
    </w:p>
    <w:p>
      <w:pPr>
        <w:pStyle w:val="BodyText"/>
        <w:spacing w:line="240" w:lineRule="auto" w:before="46"/>
        <w:ind w:left="0" w:right="1121"/>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3"/>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8"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577,334,145.64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243,638,019.08</w:t>
            </w:r>
          </w:p>
        </w:tc>
      </w:tr>
      <w:tr>
        <w:trPr>
          <w:trHeight w:val="40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pacing w:val="-1"/>
                <w:sz w:val="18"/>
              </w:rPr>
              <w:t>48,127,556.49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8"/>
                <w:szCs w:val="18"/>
              </w:rPr>
            </w:pPr>
            <w:r>
              <w:rPr>
                <w:rFonts w:ascii="Times New Roman"/>
                <w:spacing w:val="-1"/>
                <w:sz w:val="18"/>
              </w:rPr>
              <w:t>122,824,685.55</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12,661,887.36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34,053,954.44</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年以上</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24,262,883.98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20,073,661.11</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662,386,473.47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420,590,320.18</w:t>
            </w:r>
          </w:p>
        </w:tc>
      </w:tr>
    </w:tbl>
    <w:p>
      <w:pPr>
        <w:spacing w:line="240" w:lineRule="auto" w:before="3"/>
        <w:rPr>
          <w:rFonts w:ascii="宋体" w:hAnsi="宋体" w:cs="宋体" w:eastAsia="宋体" w:hint="default"/>
          <w:sz w:val="19"/>
          <w:szCs w:val="19"/>
        </w:rPr>
      </w:pPr>
    </w:p>
    <w:p>
      <w:pPr>
        <w:pStyle w:val="Heading4"/>
        <w:spacing w:line="240" w:lineRule="auto" w:before="36"/>
        <w:ind w:right="855"/>
        <w:jc w:val="left"/>
        <w:rPr>
          <w:b w:val="0"/>
          <w:bCs w:val="0"/>
        </w:rPr>
      </w:pPr>
      <w:r>
        <w:rPr/>
        <w:t>（</w:t>
      </w:r>
      <w:r>
        <w:rPr>
          <w:rFonts w:ascii="Times New Roman" w:hAnsi="Times New Roman" w:cs="Times New Roman" w:eastAsia="Times New Roman" w:hint="default"/>
        </w:rPr>
        <w:t>2</w:t>
      </w:r>
      <w:r>
        <w:rPr/>
        <w:t>）账龄超过</w:t>
      </w:r>
      <w:r>
        <w:rPr>
          <w:spacing w:val="-51"/>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年的重要应付账款</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6"/>
        <w:ind w:left="0" w:right="1121"/>
        <w:jc w:val="right"/>
      </w:pPr>
      <w:r>
        <w:rPr/>
        <w:t>单位：</w:t>
      </w:r>
      <w:r>
        <w:rPr>
          <w:spacing w:val="5"/>
        </w:rPr>
        <w:t> </w:t>
      </w:r>
      <w:r>
        <w:rPr/>
        <w:t>元</w:t>
      </w:r>
    </w:p>
    <w:p>
      <w:pPr>
        <w:spacing w:after="0" w:line="240" w:lineRule="auto"/>
        <w:jc w:val="right"/>
        <w:sectPr>
          <w:pgSz w:w="11910" w:h="16840"/>
          <w:pgMar w:header="746" w:footer="974"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3"/>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82" w:right="0"/>
              <w:jc w:val="left"/>
              <w:rPr>
                <w:rFonts w:ascii="宋体" w:hAnsi="宋体" w:cs="宋体" w:eastAsia="宋体" w:hint="default"/>
                <w:sz w:val="18"/>
                <w:szCs w:val="18"/>
              </w:rPr>
            </w:pPr>
            <w:r>
              <w:rPr>
                <w:rFonts w:ascii="宋体" w:hAnsi="宋体" w:cs="宋体" w:eastAsia="宋体" w:hint="default"/>
                <w:spacing w:val="-3"/>
                <w:sz w:val="18"/>
                <w:szCs w:val="18"/>
              </w:rPr>
              <w:t>未偿还或结转的原因</w:t>
            </w:r>
          </w:p>
        </w:tc>
      </w:tr>
      <w:tr>
        <w:trPr>
          <w:trHeight w:val="398"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SHYDWLJSGFYXGS</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19,768,496.20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尚未结算</w:t>
            </w:r>
          </w:p>
        </w:tc>
      </w:tr>
      <w:tr>
        <w:trPr>
          <w:trHeight w:val="40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4" w:right="0"/>
              <w:jc w:val="left"/>
              <w:rPr>
                <w:rFonts w:ascii="Times New Roman" w:hAnsi="Times New Roman" w:cs="Times New Roman" w:eastAsia="Times New Roman" w:hint="default"/>
                <w:sz w:val="18"/>
                <w:szCs w:val="18"/>
              </w:rPr>
            </w:pPr>
            <w:r>
              <w:rPr>
                <w:rFonts w:ascii="Times New Roman"/>
                <w:sz w:val="18"/>
              </w:rPr>
              <w:t>ZGYLQXYXGS</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pacing w:val="-1"/>
                <w:sz w:val="18"/>
              </w:rPr>
              <w:t>7,521,598.00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尚未结算</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SHHHJTZNXTGFYXGS</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5,715,037.60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尚未结算</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JGWJRFWRJ(SH)YXGS</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4,870,817.86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尚未结算</w:t>
            </w:r>
          </w:p>
        </w:tc>
      </w:tr>
      <w:tr>
        <w:trPr>
          <w:trHeight w:val="398"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BJWSHHGFYXGS</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3,605,401.42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尚未结算</w:t>
            </w:r>
          </w:p>
        </w:tc>
      </w:tr>
      <w:tr>
        <w:trPr>
          <w:trHeight w:val="40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41,481,351.08</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left="4"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4"/>
        <w:spacing w:line="240" w:lineRule="auto" w:before="36"/>
        <w:ind w:right="855"/>
        <w:jc w:val="left"/>
        <w:rPr>
          <w:b w:val="0"/>
          <w:bCs w:val="0"/>
        </w:rPr>
      </w:pPr>
      <w:r>
        <w:rPr>
          <w:rFonts w:ascii="Times New Roman" w:hAnsi="Times New Roman" w:cs="Times New Roman" w:eastAsia="Times New Roman" w:hint="default"/>
        </w:rPr>
        <w:t>22</w:t>
      </w:r>
      <w:r>
        <w:rPr/>
        <w:t>、预收款项</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855"/>
        <w:jc w:val="left"/>
      </w:pPr>
      <w:r>
        <w:rPr/>
        <w:t>是否已执行新收入准则</w:t>
      </w:r>
    </w:p>
    <w:p>
      <w:pPr>
        <w:pStyle w:val="BodyText"/>
        <w:spacing w:line="240" w:lineRule="auto" w:before="115"/>
        <w:ind w:right="855"/>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8"/>
        <w:rPr>
          <w:rFonts w:ascii="宋体" w:hAnsi="宋体" w:cs="宋体" w:eastAsia="宋体" w:hint="default"/>
          <w:sz w:val="25"/>
          <w:szCs w:val="25"/>
        </w:rPr>
      </w:pPr>
    </w:p>
    <w:p>
      <w:pPr>
        <w:pStyle w:val="Heading4"/>
        <w:spacing w:line="240" w:lineRule="auto"/>
        <w:ind w:right="855"/>
        <w:jc w:val="left"/>
        <w:rPr>
          <w:b w:val="0"/>
          <w:bCs w:val="0"/>
        </w:rPr>
      </w:pPr>
      <w:r>
        <w:rPr/>
        <w:t>（</w:t>
      </w:r>
      <w:r>
        <w:rPr>
          <w:rFonts w:ascii="Times New Roman" w:hAnsi="Times New Roman" w:cs="Times New Roman" w:eastAsia="Times New Roman" w:hint="default"/>
        </w:rPr>
        <w:t>1</w:t>
      </w:r>
      <w:r>
        <w:rPr/>
        <w:t>）预收款项列示</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1"/>
        <w:jc w:val="right"/>
      </w:pPr>
      <w:r>
        <w:rPr/>
        <w:t>单位：</w:t>
      </w:r>
      <w:r>
        <w:rPr>
          <w:spacing w:val="5"/>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3"/>
      </w:tblGrid>
      <w:tr>
        <w:trPr>
          <w:trHeight w:val="399"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459,948,239.23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140,472,067.96</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8,639,042.44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33,264,547.98</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32,611,883.47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47,695.01</w:t>
            </w:r>
          </w:p>
        </w:tc>
      </w:tr>
      <w:tr>
        <w:trPr>
          <w:trHeight w:val="399"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年以上</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218,726.86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403,675.08</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501,417,892.00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174,187,986.03</w:t>
            </w:r>
          </w:p>
        </w:tc>
      </w:tr>
    </w:tbl>
    <w:p>
      <w:pPr>
        <w:spacing w:line="240" w:lineRule="auto" w:before="3"/>
        <w:rPr>
          <w:rFonts w:ascii="宋体" w:hAnsi="宋体" w:cs="宋体" w:eastAsia="宋体" w:hint="default"/>
          <w:sz w:val="19"/>
          <w:szCs w:val="19"/>
        </w:rPr>
      </w:pPr>
    </w:p>
    <w:p>
      <w:pPr>
        <w:pStyle w:val="Heading4"/>
        <w:spacing w:line="240" w:lineRule="auto" w:before="36"/>
        <w:ind w:right="855"/>
        <w:jc w:val="left"/>
        <w:rPr>
          <w:b w:val="0"/>
          <w:bCs w:val="0"/>
        </w:rPr>
      </w:pPr>
      <w:r>
        <w:rPr/>
        <w:t>（</w:t>
      </w:r>
      <w:r>
        <w:rPr>
          <w:rFonts w:ascii="Times New Roman" w:hAnsi="Times New Roman" w:cs="Times New Roman" w:eastAsia="Times New Roman" w:hint="default"/>
        </w:rPr>
        <w:t>2</w:t>
      </w:r>
      <w:r>
        <w:rPr/>
        <w:t>）账龄超过</w:t>
      </w:r>
      <w:r>
        <w:rPr>
          <w:spacing w:val="-51"/>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年的重要预收款项</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6"/>
        <w:ind w:left="0" w:right="1121"/>
        <w:jc w:val="right"/>
      </w:pPr>
      <w:r>
        <w:rPr/>
        <w:t>单位：</w:t>
      </w:r>
      <w:r>
        <w:rPr>
          <w:spacing w:val="5"/>
        </w:rPr>
        <w:t> </w:t>
      </w:r>
      <w:r>
        <w:rPr/>
        <w:t>元</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3"/>
      </w:tblGrid>
      <w:tr>
        <w:trPr>
          <w:trHeight w:val="398"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82" w:right="0"/>
              <w:jc w:val="left"/>
              <w:rPr>
                <w:rFonts w:ascii="宋体" w:hAnsi="宋体" w:cs="宋体" w:eastAsia="宋体" w:hint="default"/>
                <w:sz w:val="18"/>
                <w:szCs w:val="18"/>
              </w:rPr>
            </w:pPr>
            <w:r>
              <w:rPr>
                <w:rFonts w:ascii="宋体" w:hAnsi="宋体" w:cs="宋体" w:eastAsia="宋体" w:hint="default"/>
                <w:spacing w:val="-3"/>
                <w:sz w:val="18"/>
                <w:szCs w:val="18"/>
              </w:rPr>
              <w:t>未偿还或结转的原因</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sz w:val="18"/>
              </w:rPr>
              <w:t>XJYHGF</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31,882,075.50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未结算</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ZZRMTYXGS</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2,778,000.00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未结算</w:t>
            </w:r>
          </w:p>
        </w:tc>
      </w:tr>
      <w:tr>
        <w:trPr>
          <w:trHeight w:val="40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34,660,075.50</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4"/>
        <w:spacing w:line="240" w:lineRule="auto" w:before="36"/>
        <w:ind w:right="855"/>
        <w:jc w:val="left"/>
        <w:rPr>
          <w:b w:val="0"/>
          <w:bCs w:val="0"/>
        </w:rPr>
      </w:pP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5"/>
        <w:rPr>
          <w:rFonts w:ascii="宋体" w:hAnsi="宋体" w:cs="宋体" w:eastAsia="宋体" w:hint="default"/>
          <w:b/>
          <w:bCs/>
          <w:sz w:val="24"/>
          <w:szCs w:val="24"/>
        </w:rPr>
      </w:pPr>
    </w:p>
    <w:p>
      <w:pPr>
        <w:spacing w:before="0"/>
        <w:ind w:left="153" w:right="85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23</w:t>
      </w:r>
      <w:r>
        <w:rPr>
          <w:rFonts w:ascii="宋体" w:hAnsi="宋体" w:cs="宋体" w:eastAsia="宋体" w:hint="default"/>
          <w:b/>
          <w:bCs/>
          <w:sz w:val="21"/>
          <w:szCs w:val="21"/>
        </w:rPr>
        <w:t>、应付职工薪酬</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3" w:right="85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）应付职工薪酬列示</w:t>
      </w:r>
      <w:r>
        <w:rPr>
          <w:rFonts w:ascii="宋体" w:hAnsi="宋体" w:cs="宋体" w:eastAsia="宋体" w:hint="default"/>
          <w:sz w:val="21"/>
          <w:szCs w:val="21"/>
        </w:rPr>
      </w:r>
    </w:p>
    <w:p>
      <w:pPr>
        <w:spacing w:line="240" w:lineRule="auto" w:before="2"/>
        <w:rPr>
          <w:rFonts w:ascii="宋体" w:hAnsi="宋体" w:cs="宋体" w:eastAsia="宋体" w:hint="default"/>
          <w:b/>
          <w:bCs/>
          <w:sz w:val="23"/>
          <w:szCs w:val="23"/>
        </w:rPr>
      </w:pPr>
    </w:p>
    <w:p>
      <w:pPr>
        <w:pStyle w:val="BodyText"/>
        <w:spacing w:line="240" w:lineRule="auto" w:before="46"/>
        <w:ind w:left="0" w:right="1121"/>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1"/>
        <w:gridCol w:w="1921"/>
        <w:gridCol w:w="1911"/>
        <w:gridCol w:w="1916"/>
        <w:gridCol w:w="1916"/>
      </w:tblGrid>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left"/>
        <w:rPr>
          <w:rFonts w:ascii="宋体" w:hAnsi="宋体" w:cs="宋体" w:eastAsia="宋体" w:hint="default"/>
          <w:sz w:val="18"/>
          <w:szCs w:val="18"/>
        </w:rPr>
        <w:sectPr>
          <w:pgSz w:w="11910" w:h="16840"/>
          <w:pgMar w:header="746" w:footer="974"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11"/>
        <w:gridCol w:w="1921"/>
        <w:gridCol w:w="1911"/>
        <w:gridCol w:w="1916"/>
        <w:gridCol w:w="1916"/>
      </w:tblGrid>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42,156,051.73</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863,443,876.40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855,710,752.59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49,889,175.54</w:t>
            </w:r>
          </w:p>
        </w:tc>
      </w:tr>
      <w:tr>
        <w:trPr>
          <w:trHeight w:val="711"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5" w:lineRule="auto" w:before="53"/>
              <w:ind w:left="24" w:right="12"/>
              <w:jc w:val="left"/>
              <w:rPr>
                <w:rFonts w:ascii="宋体" w:hAnsi="宋体" w:cs="宋体" w:eastAsia="宋体" w:hint="default"/>
                <w:sz w:val="18"/>
                <w:szCs w:val="18"/>
              </w:rPr>
            </w:pPr>
            <w:r>
              <w:rPr>
                <w:rFonts w:ascii="宋体" w:hAnsi="宋体" w:cs="宋体" w:eastAsia="宋体" w:hint="default"/>
                <w:spacing w:val="-3"/>
                <w:sz w:val="18"/>
                <w:szCs w:val="18"/>
              </w:rPr>
              <w:t>二、离职后福利</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设定提</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z w:val="18"/>
                <w:szCs w:val="18"/>
              </w:rPr>
              <w:t>存计划</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110,323.27</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2"/>
                <w:sz w:val="18"/>
              </w:rPr>
              <w:t>64,116,183.30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64,053,297.24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173,209.33</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625,223.10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625,223.10</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42,266,375.00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928,185,282.80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920,389,272.93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50,062,384.87</w:t>
            </w:r>
          </w:p>
        </w:tc>
      </w:tr>
    </w:tbl>
    <w:p>
      <w:pPr>
        <w:spacing w:line="240" w:lineRule="auto" w:before="3"/>
        <w:rPr>
          <w:rFonts w:ascii="宋体" w:hAnsi="宋体" w:cs="宋体" w:eastAsia="宋体" w:hint="default"/>
          <w:sz w:val="19"/>
          <w:szCs w:val="19"/>
        </w:rPr>
      </w:pPr>
    </w:p>
    <w:p>
      <w:pPr>
        <w:pStyle w:val="Heading4"/>
        <w:spacing w:line="240" w:lineRule="auto" w:before="36"/>
        <w:ind w:right="855"/>
        <w:jc w:val="left"/>
        <w:rPr>
          <w:b w:val="0"/>
          <w:bCs w:val="0"/>
        </w:rPr>
      </w:pPr>
      <w:r>
        <w:rPr/>
        <w:t>（</w:t>
      </w:r>
      <w:r>
        <w:rPr>
          <w:rFonts w:ascii="Times New Roman" w:hAnsi="Times New Roman" w:cs="Times New Roman" w:eastAsia="Times New Roman" w:hint="default"/>
        </w:rPr>
        <w:t>2</w:t>
      </w:r>
      <w:r>
        <w:rPr/>
        <w:t>）短期薪酬列示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6"/>
        <w:ind w:left="0" w:right="1121"/>
        <w:jc w:val="right"/>
      </w:pPr>
      <w:r>
        <w:rPr/>
        <w:t>单位：</w:t>
      </w:r>
      <w:r>
        <w:rPr>
          <w:spacing w:val="5"/>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71"/>
        <w:gridCol w:w="1561"/>
        <w:gridCol w:w="1911"/>
        <w:gridCol w:w="1916"/>
        <w:gridCol w:w="1916"/>
      </w:tblGrid>
      <w:tr>
        <w:trPr>
          <w:trHeight w:val="398" w:hRule="exact"/>
        </w:trPr>
        <w:tc>
          <w:tcPr>
            <w:tcW w:w="22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1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2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、工资、奖金、津贴和补贴</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32,483,062.46</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762,513,772.75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756,249,798.39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38,747,036.82</w:t>
            </w:r>
          </w:p>
        </w:tc>
      </w:tr>
      <w:tr>
        <w:trPr>
          <w:trHeight w:val="404" w:hRule="exact"/>
        </w:trPr>
        <w:tc>
          <w:tcPr>
            <w:tcW w:w="22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56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8,214,520.71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8,214,520.71</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72,482.07</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39,614,936.45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39,587,607.44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99,811.08</w:t>
            </w:r>
          </w:p>
        </w:tc>
      </w:tr>
      <w:tr>
        <w:trPr>
          <w:trHeight w:val="398" w:hRule="exact"/>
        </w:trPr>
        <w:tc>
          <w:tcPr>
            <w:tcW w:w="22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其中：医疗保险费</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63,653.78</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36,145,613.58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36,121,075.46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88,191.90</w:t>
            </w:r>
          </w:p>
        </w:tc>
      </w:tr>
      <w:tr>
        <w:trPr>
          <w:trHeight w:val="403" w:hRule="exact"/>
        </w:trPr>
        <w:tc>
          <w:tcPr>
            <w:tcW w:w="22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2"/>
                <w:sz w:val="18"/>
                <w:szCs w:val="18"/>
              </w:rPr>
              <w:t> </w:t>
            </w:r>
            <w:r>
              <w:rPr>
                <w:rFonts w:ascii="宋体" w:hAnsi="宋体" w:cs="宋体" w:eastAsia="宋体" w:hint="default"/>
                <w:sz w:val="18"/>
                <w:szCs w:val="18"/>
              </w:rPr>
              <w:t>工伤保险费</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3,060.58</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742,543.47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740,260.94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5,343.11</w:t>
            </w:r>
          </w:p>
        </w:tc>
      </w:tr>
      <w:tr>
        <w:trPr>
          <w:trHeight w:val="404" w:hRule="exact"/>
        </w:trPr>
        <w:tc>
          <w:tcPr>
            <w:tcW w:w="22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2"/>
                <w:sz w:val="18"/>
                <w:szCs w:val="18"/>
              </w:rPr>
              <w:t> </w:t>
            </w:r>
            <w:r>
              <w:rPr>
                <w:rFonts w:ascii="宋体" w:hAnsi="宋体" w:cs="宋体" w:eastAsia="宋体" w:hint="default"/>
                <w:sz w:val="18"/>
                <w:szCs w:val="18"/>
              </w:rPr>
              <w:t>生育保险费</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5,767.71</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2,726,779.40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2,726,271.04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6,276.07</w:t>
            </w:r>
          </w:p>
        </w:tc>
      </w:tr>
      <w:tr>
        <w:trPr>
          <w:trHeight w:val="403" w:hRule="exact"/>
        </w:trPr>
        <w:tc>
          <w:tcPr>
            <w:tcW w:w="22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172,609.36</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40,088,288.84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39,983,710.84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277,187.36</w:t>
            </w:r>
          </w:p>
        </w:tc>
      </w:tr>
      <w:tr>
        <w:trPr>
          <w:trHeight w:val="398" w:hRule="exact"/>
        </w:trPr>
        <w:tc>
          <w:tcPr>
            <w:tcW w:w="22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5</w:t>
            </w:r>
            <w:r>
              <w:rPr>
                <w:rFonts w:ascii="宋体" w:hAnsi="宋体" w:cs="宋体" w:eastAsia="宋体" w:hint="default"/>
                <w:spacing w:val="-5"/>
                <w:sz w:val="18"/>
                <w:szCs w:val="18"/>
              </w:rPr>
              <w:t>、工会经费和职工教育经费</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9,427,897.84</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13,012,357.65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11,675,115.21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10,765,140.28</w:t>
            </w:r>
          </w:p>
        </w:tc>
      </w:tr>
      <w:tr>
        <w:trPr>
          <w:trHeight w:val="403" w:hRule="exact"/>
        </w:trPr>
        <w:tc>
          <w:tcPr>
            <w:tcW w:w="22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42,156,051.73</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863,443,876.40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855,710,752.59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49,889,175.54</w:t>
            </w:r>
          </w:p>
        </w:tc>
      </w:tr>
    </w:tbl>
    <w:p>
      <w:pPr>
        <w:spacing w:line="240" w:lineRule="auto" w:before="3"/>
        <w:rPr>
          <w:rFonts w:ascii="宋体" w:hAnsi="宋体" w:cs="宋体" w:eastAsia="宋体" w:hint="default"/>
          <w:sz w:val="19"/>
          <w:szCs w:val="19"/>
        </w:rPr>
      </w:pPr>
    </w:p>
    <w:p>
      <w:pPr>
        <w:pStyle w:val="Heading4"/>
        <w:spacing w:line="240" w:lineRule="auto" w:before="36"/>
        <w:ind w:right="855"/>
        <w:jc w:val="left"/>
        <w:rPr>
          <w:b w:val="0"/>
          <w:bCs w:val="0"/>
        </w:rPr>
      </w:pPr>
      <w:r>
        <w:rPr/>
        <w:t>（</w:t>
      </w:r>
      <w:r>
        <w:rPr>
          <w:rFonts w:ascii="Times New Roman" w:hAnsi="Times New Roman" w:cs="Times New Roman" w:eastAsia="Times New Roman" w:hint="default"/>
        </w:rPr>
        <w:t>3</w:t>
      </w:r>
      <w:r>
        <w:rPr/>
        <w:t>）设定提存计划列示</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1"/>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1"/>
        <w:gridCol w:w="1921"/>
        <w:gridCol w:w="1911"/>
        <w:gridCol w:w="1916"/>
        <w:gridCol w:w="1916"/>
      </w:tblGrid>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99"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105,802.86</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61,679,586.00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61,620,513.70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164,875.16</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4,520.41</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2,436,597.30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2,432,783.54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8,334.17</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110,323.27</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64,116,183.30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64,053,297.24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173,209.33</w:t>
            </w:r>
          </w:p>
        </w:tc>
      </w:tr>
    </w:tbl>
    <w:p>
      <w:pPr>
        <w:spacing w:line="240" w:lineRule="auto" w:before="3"/>
        <w:rPr>
          <w:rFonts w:ascii="宋体" w:hAnsi="宋体" w:cs="宋体" w:eastAsia="宋体" w:hint="default"/>
          <w:sz w:val="19"/>
          <w:szCs w:val="19"/>
        </w:rPr>
      </w:pPr>
    </w:p>
    <w:p>
      <w:pPr>
        <w:pStyle w:val="Heading4"/>
        <w:spacing w:line="240" w:lineRule="auto" w:before="36"/>
        <w:ind w:right="855"/>
        <w:jc w:val="left"/>
        <w:rPr>
          <w:b w:val="0"/>
          <w:bCs w:val="0"/>
        </w:rPr>
      </w:pPr>
      <w:r>
        <w:rPr>
          <w:rFonts w:ascii="Times New Roman" w:hAnsi="Times New Roman" w:cs="Times New Roman" w:eastAsia="Times New Roman" w:hint="default"/>
        </w:rPr>
        <w:t>24</w:t>
      </w:r>
      <w:r>
        <w:rPr/>
        <w:t>、应交税费</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6"/>
        <w:ind w:left="0" w:right="1121"/>
        <w:jc w:val="right"/>
      </w:pPr>
      <w:r>
        <w:rPr/>
        <w:t>单位：</w:t>
      </w:r>
      <w:r>
        <w:rPr>
          <w:spacing w:val="5"/>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3"/>
      </w:tblGrid>
      <w:tr>
        <w:trPr>
          <w:trHeight w:val="398"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37,923,986.80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30,754,899.65</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14,075,552.65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42,337,781.68</w:t>
            </w:r>
          </w:p>
        </w:tc>
      </w:tr>
      <w:tr>
        <w:trPr>
          <w:trHeight w:val="40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7,735,448.82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7,185,077.90</w:t>
            </w:r>
          </w:p>
        </w:tc>
      </w:tr>
      <w:tr>
        <w:trPr>
          <w:trHeight w:val="398"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城市维护建设税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2,557,472.45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2,188,099.54</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317,758.78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112,979.00</w:t>
            </w:r>
          </w:p>
        </w:tc>
      </w:tr>
    </w:tbl>
    <w:p>
      <w:pPr>
        <w:spacing w:after="0" w:line="240" w:lineRule="auto"/>
        <w:jc w:val="right"/>
        <w:rPr>
          <w:rFonts w:ascii="Times New Roman" w:hAnsi="Times New Roman" w:cs="Times New Roman" w:eastAsia="Times New Roman" w:hint="default"/>
          <w:sz w:val="18"/>
          <w:szCs w:val="18"/>
        </w:rPr>
        <w:sectPr>
          <w:pgSz w:w="11910" w:h="16840"/>
          <w:pgMar w:header="746" w:footer="974"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3"/>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679.80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679.80</w:t>
            </w:r>
          </w:p>
        </w:tc>
      </w:tr>
      <w:tr>
        <w:trPr>
          <w:trHeight w:val="398"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707,322.72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334,769.14</w:t>
            </w:r>
          </w:p>
        </w:tc>
      </w:tr>
      <w:tr>
        <w:trPr>
          <w:trHeight w:val="40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pacing w:val="-1"/>
                <w:sz w:val="18"/>
              </w:rPr>
              <w:t>1,090,412.47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932,109.80</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地方教育费附加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736,008.42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577,194.72</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4,466.53</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65,149,109.44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84,423,591.23</w:t>
            </w:r>
          </w:p>
        </w:tc>
      </w:tr>
    </w:tbl>
    <w:p>
      <w:pPr>
        <w:spacing w:line="240" w:lineRule="auto" w:before="3"/>
        <w:rPr>
          <w:rFonts w:ascii="宋体" w:hAnsi="宋体" w:cs="宋体" w:eastAsia="宋体" w:hint="default"/>
          <w:sz w:val="19"/>
          <w:szCs w:val="19"/>
        </w:rPr>
      </w:pPr>
    </w:p>
    <w:p>
      <w:pPr>
        <w:pStyle w:val="Heading4"/>
        <w:spacing w:line="240" w:lineRule="auto" w:before="36"/>
        <w:ind w:right="855"/>
        <w:jc w:val="left"/>
        <w:rPr>
          <w:b w:val="0"/>
          <w:bCs w:val="0"/>
        </w:rPr>
      </w:pPr>
      <w:r>
        <w:rPr>
          <w:rFonts w:ascii="Times New Roman" w:hAnsi="Times New Roman" w:cs="Times New Roman" w:eastAsia="Times New Roman" w:hint="default"/>
        </w:rPr>
        <w:t>25</w:t>
      </w:r>
      <w:r>
        <w:rPr/>
        <w:t>、其他应付款</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6"/>
        <w:ind w:left="0" w:right="1121"/>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3"/>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10,221,248.68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14,350,981.22</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10,221,248.68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14,350,981.22</w:t>
            </w:r>
          </w:p>
        </w:tc>
      </w:tr>
    </w:tbl>
    <w:p>
      <w:pPr>
        <w:spacing w:line="240" w:lineRule="auto" w:before="3"/>
        <w:rPr>
          <w:rFonts w:ascii="宋体" w:hAnsi="宋体" w:cs="宋体" w:eastAsia="宋体" w:hint="default"/>
          <w:sz w:val="19"/>
          <w:szCs w:val="19"/>
        </w:rPr>
      </w:pPr>
    </w:p>
    <w:p>
      <w:pPr>
        <w:pStyle w:val="Heading4"/>
        <w:spacing w:line="240" w:lineRule="auto" w:before="36"/>
        <w:ind w:right="855"/>
        <w:jc w:val="left"/>
        <w:rPr>
          <w:b w:val="0"/>
          <w:bCs w:val="0"/>
        </w:rPr>
      </w:pPr>
      <w:r>
        <w:rPr/>
        <w:t>（</w:t>
      </w:r>
      <w:r>
        <w:rPr>
          <w:rFonts w:ascii="Times New Roman" w:hAnsi="Times New Roman" w:cs="Times New Roman" w:eastAsia="Times New Roman" w:hint="default"/>
        </w:rPr>
        <w:t>1</w:t>
      </w:r>
      <w:r>
        <w:rPr/>
        <w:t>）其他应付款</w:t>
      </w:r>
      <w:r>
        <w:rPr>
          <w:b w:val="0"/>
          <w:bCs w:val="0"/>
        </w:rPr>
      </w:r>
    </w:p>
    <w:p>
      <w:pPr>
        <w:spacing w:line="240" w:lineRule="auto" w:before="5"/>
        <w:rPr>
          <w:rFonts w:ascii="宋体" w:hAnsi="宋体" w:cs="宋体" w:eastAsia="宋体" w:hint="default"/>
          <w:b/>
          <w:bCs/>
          <w:sz w:val="24"/>
          <w:szCs w:val="24"/>
        </w:rPr>
      </w:pPr>
    </w:p>
    <w:p>
      <w:pPr>
        <w:spacing w:before="0"/>
        <w:ind w:left="153" w:right="85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）按款项性质列示其他应付款</w:t>
      </w:r>
      <w:r>
        <w:rPr>
          <w:rFonts w:ascii="宋体" w:hAnsi="宋体" w:cs="宋体" w:eastAsia="宋体" w:hint="default"/>
          <w:sz w:val="21"/>
          <w:szCs w:val="21"/>
        </w:rPr>
      </w:r>
    </w:p>
    <w:p>
      <w:pPr>
        <w:spacing w:line="240" w:lineRule="auto" w:before="2"/>
        <w:rPr>
          <w:rFonts w:ascii="宋体" w:hAnsi="宋体" w:cs="宋体" w:eastAsia="宋体" w:hint="default"/>
          <w:b/>
          <w:bCs/>
          <w:sz w:val="23"/>
          <w:szCs w:val="23"/>
        </w:rPr>
      </w:pPr>
    </w:p>
    <w:p>
      <w:pPr>
        <w:pStyle w:val="BodyText"/>
        <w:spacing w:line="240" w:lineRule="auto" w:before="46"/>
        <w:ind w:left="0" w:right="1121"/>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3"/>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8"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代收代付款项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1,932,278.24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1,840,939.54</w:t>
            </w:r>
          </w:p>
        </w:tc>
      </w:tr>
      <w:tr>
        <w:trPr>
          <w:trHeight w:val="40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7,707,744.70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10,984,639.68</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581,225.74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1,525,402.00</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10,221,248.68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14,350,981.22</w:t>
            </w:r>
          </w:p>
        </w:tc>
      </w:tr>
    </w:tbl>
    <w:p>
      <w:pPr>
        <w:spacing w:line="240" w:lineRule="auto" w:before="3"/>
        <w:rPr>
          <w:rFonts w:ascii="宋体" w:hAnsi="宋体" w:cs="宋体" w:eastAsia="宋体" w:hint="default"/>
          <w:sz w:val="19"/>
          <w:szCs w:val="19"/>
        </w:rPr>
      </w:pPr>
    </w:p>
    <w:p>
      <w:pPr>
        <w:pStyle w:val="Heading4"/>
        <w:spacing w:line="240" w:lineRule="auto" w:before="36"/>
        <w:ind w:right="855"/>
        <w:jc w:val="left"/>
        <w:rPr>
          <w:b w:val="0"/>
          <w:bCs w:val="0"/>
        </w:rPr>
      </w:pPr>
      <w:r>
        <w:rPr>
          <w:rFonts w:ascii="Times New Roman" w:hAnsi="Times New Roman" w:cs="Times New Roman" w:eastAsia="Times New Roman" w:hint="default"/>
        </w:rPr>
        <w:t>2</w:t>
      </w:r>
      <w:r>
        <w:rPr/>
        <w:t>）账龄超过</w:t>
      </w:r>
      <w:r>
        <w:rPr>
          <w:spacing w:val="-50"/>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年的重要其他应付款</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6"/>
        <w:ind w:left="0" w:right="1121"/>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3"/>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82" w:right="0"/>
              <w:jc w:val="left"/>
              <w:rPr>
                <w:rFonts w:ascii="宋体" w:hAnsi="宋体" w:cs="宋体" w:eastAsia="宋体" w:hint="default"/>
                <w:sz w:val="18"/>
                <w:szCs w:val="18"/>
              </w:rPr>
            </w:pPr>
            <w:r>
              <w:rPr>
                <w:rFonts w:ascii="宋体" w:hAnsi="宋体" w:cs="宋体" w:eastAsia="宋体" w:hint="default"/>
                <w:spacing w:val="-3"/>
                <w:sz w:val="18"/>
                <w:szCs w:val="18"/>
              </w:rPr>
              <w:t>未偿还或结转的原因</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BJHRJKYXGS</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1,926,825.00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未结算</w:t>
            </w:r>
          </w:p>
        </w:tc>
      </w:tr>
      <w:tr>
        <w:trPr>
          <w:trHeight w:val="40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KMNTWLXTGCYXGS</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1,498,376.00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未结算</w:t>
            </w:r>
          </w:p>
        </w:tc>
      </w:tr>
      <w:tr>
        <w:trPr>
          <w:trHeight w:val="398"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RHRJYXGS</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993,000.00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未结算</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GHJFFH</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595,851.52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代收代付</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SHBFJJYXGS</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203,044.00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押金</w:t>
            </w:r>
          </w:p>
        </w:tc>
      </w:tr>
      <w:tr>
        <w:trPr>
          <w:trHeight w:val="40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5,217,096.52</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6" w:footer="974" w:top="1060" w:bottom="1160" w:left="980" w:right="0"/>
        </w:sectPr>
      </w:pPr>
    </w:p>
    <w:p>
      <w:pPr>
        <w:spacing w:line="240" w:lineRule="auto" w:before="12"/>
        <w:rPr>
          <w:rFonts w:ascii="宋体" w:hAnsi="宋体" w:cs="宋体" w:eastAsia="宋体" w:hint="default"/>
          <w:sz w:val="24"/>
          <w:szCs w:val="24"/>
        </w:rPr>
      </w:pPr>
    </w:p>
    <w:p>
      <w:pPr>
        <w:pStyle w:val="Heading4"/>
        <w:spacing w:line="240" w:lineRule="auto" w:before="36"/>
        <w:ind w:right="855"/>
        <w:jc w:val="left"/>
        <w:rPr>
          <w:b w:val="0"/>
          <w:bCs w:val="0"/>
        </w:rPr>
      </w:pPr>
      <w:r>
        <w:rPr>
          <w:rFonts w:ascii="Times New Roman" w:hAnsi="Times New Roman" w:cs="Times New Roman" w:eastAsia="Times New Roman" w:hint="default"/>
        </w:rPr>
        <w:t>26</w:t>
      </w:r>
      <w:r>
        <w:rPr/>
        <w:t>、一年内到期的非流动负债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6"/>
        <w:ind w:left="0" w:right="1121"/>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3"/>
      </w:tblGrid>
      <w:tr>
        <w:trPr>
          <w:trHeight w:val="40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一年内到期的长期借款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627,405.94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617,243.26</w:t>
            </w:r>
          </w:p>
        </w:tc>
      </w:tr>
      <w:tr>
        <w:trPr>
          <w:trHeight w:val="398"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627,405.94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617,243.26</w:t>
            </w:r>
          </w:p>
        </w:tc>
      </w:tr>
    </w:tbl>
    <w:p>
      <w:pPr>
        <w:pStyle w:val="BodyText"/>
        <w:spacing w:line="240" w:lineRule="auto" w:before="53"/>
        <w:ind w:right="855"/>
        <w:jc w:val="left"/>
      </w:pPr>
      <w:r>
        <w:rPr/>
        <w:t>其他说明：</w:t>
      </w:r>
    </w:p>
    <w:p>
      <w:pPr>
        <w:spacing w:line="240" w:lineRule="auto" w:before="3"/>
        <w:rPr>
          <w:rFonts w:ascii="宋体" w:hAnsi="宋体" w:cs="宋体" w:eastAsia="宋体" w:hint="default"/>
          <w:sz w:val="24"/>
          <w:szCs w:val="24"/>
        </w:rPr>
      </w:pPr>
    </w:p>
    <w:p>
      <w:pPr>
        <w:pStyle w:val="BodyText"/>
        <w:spacing w:line="240" w:lineRule="auto"/>
        <w:ind w:left="719" w:right="855"/>
        <w:jc w:val="left"/>
      </w:pPr>
      <w:r>
        <w:rPr>
          <w:spacing w:val="-3"/>
        </w:rPr>
        <w:t>一年内到期的长期借款明细</w:t>
      </w:r>
    </w:p>
    <w:p>
      <w:pPr>
        <w:spacing w:line="240" w:lineRule="auto" w:before="8"/>
        <w:rPr>
          <w:rFonts w:ascii="宋体" w:hAnsi="宋体" w:cs="宋体" w:eastAsia="宋体" w:hint="default"/>
          <w:sz w:val="20"/>
          <w:szCs w:val="20"/>
        </w:rPr>
      </w:pPr>
    </w:p>
    <w:p>
      <w:pPr>
        <w:pStyle w:val="BodyText"/>
        <w:spacing w:line="240" w:lineRule="auto" w:before="46"/>
        <w:ind w:left="0" w:right="1121"/>
        <w:jc w:val="right"/>
      </w:pPr>
      <w:r>
        <w:rPr>
          <w:spacing w:val="-2"/>
        </w:rPr>
        <w:t>单位：元</w:t>
      </w:r>
    </w:p>
    <w:p>
      <w:pPr>
        <w:spacing w:line="240" w:lineRule="auto" w:before="5"/>
        <w:rPr>
          <w:rFonts w:ascii="宋体" w:hAnsi="宋体" w:cs="宋体" w:eastAsia="宋体" w:hint="default"/>
          <w:sz w:val="23"/>
          <w:szCs w:val="23"/>
        </w:rPr>
      </w:pPr>
    </w:p>
    <w:tbl>
      <w:tblPr>
        <w:tblW w:w="0" w:type="auto"/>
        <w:jc w:val="left"/>
        <w:tblInd w:w="143" w:type="dxa"/>
        <w:tblLayout w:type="fixed"/>
        <w:tblCellMar>
          <w:top w:w="0" w:type="dxa"/>
          <w:left w:w="0" w:type="dxa"/>
          <w:bottom w:w="0" w:type="dxa"/>
          <w:right w:w="0" w:type="dxa"/>
        </w:tblCellMar>
        <w:tblLook w:val="01E0"/>
      </w:tblPr>
      <w:tblGrid>
        <w:gridCol w:w="1441"/>
        <w:gridCol w:w="1392"/>
        <w:gridCol w:w="1393"/>
        <w:gridCol w:w="1220"/>
        <w:gridCol w:w="1311"/>
        <w:gridCol w:w="663"/>
        <w:gridCol w:w="912"/>
        <w:gridCol w:w="1181"/>
      </w:tblGrid>
      <w:tr>
        <w:trPr>
          <w:trHeight w:val="658" w:hRule="exact"/>
        </w:trPr>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b/>
                <w:bCs/>
                <w:sz w:val="18"/>
                <w:szCs w:val="18"/>
              </w:rPr>
              <w:t>贷款单位</w:t>
            </w:r>
            <w:r>
              <w:rPr>
                <w:rFonts w:ascii="宋体" w:hAnsi="宋体" w:cs="宋体" w:eastAsia="宋体" w:hint="default"/>
                <w:sz w:val="18"/>
                <w:szCs w:val="18"/>
              </w:rPr>
            </w:r>
          </w:p>
        </w:tc>
        <w:tc>
          <w:tcPr>
            <w:tcW w:w="1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31" w:right="0"/>
              <w:jc w:val="left"/>
              <w:rPr>
                <w:rFonts w:ascii="宋体" w:hAnsi="宋体" w:cs="宋体" w:eastAsia="宋体" w:hint="default"/>
                <w:sz w:val="18"/>
                <w:szCs w:val="18"/>
              </w:rPr>
            </w:pPr>
            <w:r>
              <w:rPr>
                <w:rFonts w:ascii="宋体" w:hAnsi="宋体" w:cs="宋体" w:eastAsia="宋体" w:hint="default"/>
                <w:b/>
                <w:bCs/>
                <w:sz w:val="18"/>
                <w:szCs w:val="18"/>
              </w:rPr>
              <w:t>贷款银行</w:t>
            </w:r>
            <w:r>
              <w:rPr>
                <w:rFonts w:ascii="宋体" w:hAnsi="宋体" w:cs="宋体" w:eastAsia="宋体" w:hint="default"/>
                <w:sz w:val="18"/>
                <w:szCs w:val="18"/>
              </w:rPr>
            </w:r>
          </w:p>
        </w:tc>
        <w:tc>
          <w:tcPr>
            <w:tcW w:w="13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26" w:right="0"/>
              <w:jc w:val="left"/>
              <w:rPr>
                <w:rFonts w:ascii="宋体" w:hAnsi="宋体" w:cs="宋体" w:eastAsia="宋体" w:hint="default"/>
                <w:sz w:val="18"/>
                <w:szCs w:val="18"/>
              </w:rPr>
            </w:pPr>
            <w:r>
              <w:rPr>
                <w:rFonts w:ascii="宋体" w:hAnsi="宋体" w:cs="宋体" w:eastAsia="宋体" w:hint="default"/>
                <w:b/>
                <w:bCs/>
                <w:sz w:val="18"/>
                <w:szCs w:val="18"/>
              </w:rPr>
              <w:t>借款金额</w:t>
            </w:r>
            <w:r>
              <w:rPr>
                <w:rFonts w:ascii="宋体" w:hAnsi="宋体" w:cs="宋体" w:eastAsia="宋体" w:hint="default"/>
                <w:sz w:val="18"/>
                <w:szCs w:val="18"/>
              </w:rPr>
            </w:r>
          </w:p>
        </w:tc>
        <w:tc>
          <w:tcPr>
            <w:tcW w:w="1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53" w:right="0"/>
              <w:jc w:val="left"/>
              <w:rPr>
                <w:rFonts w:ascii="宋体" w:hAnsi="宋体" w:cs="宋体" w:eastAsia="宋体" w:hint="default"/>
                <w:sz w:val="18"/>
                <w:szCs w:val="18"/>
              </w:rPr>
            </w:pPr>
            <w:r>
              <w:rPr>
                <w:rFonts w:ascii="宋体" w:hAnsi="宋体" w:cs="宋体" w:eastAsia="宋体" w:hint="default"/>
                <w:b/>
                <w:bCs/>
                <w:sz w:val="18"/>
                <w:szCs w:val="18"/>
              </w:rPr>
              <w:t>借款起始日</w:t>
            </w:r>
            <w:r>
              <w:rPr>
                <w:rFonts w:ascii="宋体" w:hAnsi="宋体" w:cs="宋体" w:eastAsia="宋体" w:hint="default"/>
                <w:sz w:val="18"/>
                <w:szCs w:val="18"/>
              </w:rPr>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96" w:right="0"/>
              <w:jc w:val="left"/>
              <w:rPr>
                <w:rFonts w:ascii="宋体" w:hAnsi="宋体" w:cs="宋体" w:eastAsia="宋体" w:hint="default"/>
                <w:sz w:val="18"/>
                <w:szCs w:val="18"/>
              </w:rPr>
            </w:pPr>
            <w:r>
              <w:rPr>
                <w:rFonts w:ascii="宋体" w:hAnsi="宋体" w:cs="宋体" w:eastAsia="宋体" w:hint="default"/>
                <w:b/>
                <w:bCs/>
                <w:sz w:val="18"/>
                <w:szCs w:val="18"/>
              </w:rPr>
              <w:t>借款终止日</w:t>
            </w:r>
            <w:r>
              <w:rPr>
                <w:rFonts w:ascii="宋体" w:hAnsi="宋体" w:cs="宋体" w:eastAsia="宋体" w:hint="default"/>
                <w:sz w:val="18"/>
                <w:szCs w:val="18"/>
              </w:rPr>
            </w:r>
          </w:p>
        </w:tc>
        <w:tc>
          <w:tcPr>
            <w:tcW w:w="6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43" w:right="0"/>
              <w:jc w:val="left"/>
              <w:rPr>
                <w:rFonts w:ascii="宋体" w:hAnsi="宋体" w:cs="宋体" w:eastAsia="宋体" w:hint="default"/>
                <w:sz w:val="18"/>
                <w:szCs w:val="18"/>
              </w:rPr>
            </w:pPr>
            <w:r>
              <w:rPr>
                <w:rFonts w:ascii="宋体" w:hAnsi="宋体" w:cs="宋体" w:eastAsia="宋体" w:hint="default"/>
                <w:b/>
                <w:bCs/>
                <w:sz w:val="18"/>
                <w:szCs w:val="18"/>
              </w:rPr>
              <w:t>币种</w:t>
            </w:r>
            <w:r>
              <w:rPr>
                <w:rFonts w:ascii="宋体" w:hAnsi="宋体" w:cs="宋体" w:eastAsia="宋体" w:hint="default"/>
                <w:sz w:val="18"/>
                <w:szCs w:val="18"/>
              </w:rPr>
            </w:r>
          </w:p>
        </w:tc>
        <w:tc>
          <w:tcPr>
            <w:tcW w:w="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9" w:right="-20"/>
              <w:jc w:val="left"/>
              <w:rPr>
                <w:rFonts w:ascii="宋体" w:hAnsi="宋体" w:cs="宋体" w:eastAsia="宋体" w:hint="default"/>
                <w:sz w:val="18"/>
                <w:szCs w:val="18"/>
              </w:rPr>
            </w:pPr>
            <w:r>
              <w:rPr>
                <w:rFonts w:ascii="宋体" w:hAnsi="宋体" w:cs="宋体" w:eastAsia="宋体" w:hint="default"/>
                <w:b/>
                <w:bCs/>
                <w:sz w:val="18"/>
                <w:szCs w:val="18"/>
              </w:rPr>
              <w:t>利率（</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181"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0"/>
              <w:ind w:left="495" w:right="32" w:hanging="452"/>
              <w:jc w:val="left"/>
              <w:rPr>
                <w:rFonts w:ascii="宋体" w:hAnsi="宋体" w:cs="宋体" w:eastAsia="宋体" w:hint="default"/>
                <w:sz w:val="18"/>
                <w:szCs w:val="18"/>
              </w:rPr>
            </w:pPr>
            <w:r>
              <w:rPr>
                <w:rFonts w:ascii="宋体" w:hAnsi="宋体" w:cs="宋体" w:eastAsia="宋体" w:hint="default"/>
                <w:b/>
                <w:bCs/>
                <w:sz w:val="18"/>
                <w:szCs w:val="18"/>
              </w:rPr>
              <w:t>抵押或担保情</w:t>
            </w:r>
            <w:r>
              <w:rPr>
                <w:rFonts w:ascii="宋体" w:hAnsi="宋体" w:cs="宋体" w:eastAsia="宋体" w:hint="default"/>
                <w:b/>
                <w:bCs/>
                <w:spacing w:val="-86"/>
                <w:sz w:val="18"/>
                <w:szCs w:val="18"/>
              </w:rPr>
              <w:t> </w:t>
            </w:r>
            <w:r>
              <w:rPr>
                <w:rFonts w:ascii="宋体" w:hAnsi="宋体" w:cs="宋体" w:eastAsia="宋体" w:hint="default"/>
                <w:b/>
                <w:bCs/>
                <w:spacing w:val="-86"/>
                <w:sz w:val="18"/>
                <w:szCs w:val="18"/>
              </w:rPr>
            </w:r>
            <w:r>
              <w:rPr>
                <w:rFonts w:ascii="宋体" w:hAnsi="宋体" w:cs="宋体" w:eastAsia="宋体" w:hint="default"/>
                <w:b/>
                <w:bCs/>
                <w:sz w:val="18"/>
                <w:szCs w:val="18"/>
              </w:rPr>
              <w:t>况</w:t>
            </w:r>
            <w:r>
              <w:rPr>
                <w:rFonts w:ascii="宋体" w:hAnsi="宋体" w:cs="宋体" w:eastAsia="宋体" w:hint="default"/>
                <w:sz w:val="18"/>
                <w:szCs w:val="18"/>
              </w:rPr>
            </w:r>
          </w:p>
        </w:tc>
      </w:tr>
      <w:tr>
        <w:trPr>
          <w:trHeight w:val="970" w:hRule="exact"/>
        </w:trPr>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156"/>
              <w:jc w:val="both"/>
              <w:rPr>
                <w:rFonts w:ascii="宋体" w:hAnsi="宋体" w:cs="宋体" w:eastAsia="宋体" w:hint="default"/>
                <w:sz w:val="18"/>
                <w:szCs w:val="18"/>
              </w:rPr>
            </w:pPr>
            <w:r>
              <w:rPr>
                <w:rFonts w:ascii="宋体" w:hAnsi="宋体" w:cs="宋体" w:eastAsia="宋体" w:hint="default"/>
                <w:spacing w:val="-3"/>
                <w:sz w:val="18"/>
                <w:szCs w:val="18"/>
              </w:rPr>
              <w:t>云南南天电子信</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息产业股份有限</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公司</w:t>
            </w:r>
          </w:p>
        </w:tc>
        <w:tc>
          <w:tcPr>
            <w:tcW w:w="139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62" w:right="51"/>
              <w:jc w:val="center"/>
              <w:rPr>
                <w:rFonts w:ascii="宋体" w:hAnsi="宋体" w:cs="宋体" w:eastAsia="宋体" w:hint="default"/>
                <w:sz w:val="18"/>
                <w:szCs w:val="18"/>
              </w:rPr>
            </w:pPr>
            <w:r>
              <w:rPr>
                <w:rFonts w:ascii="宋体" w:hAnsi="宋体" w:cs="宋体" w:eastAsia="宋体" w:hint="default"/>
                <w:spacing w:val="-3"/>
                <w:sz w:val="18"/>
                <w:szCs w:val="18"/>
              </w:rPr>
              <w:t>意大利政府委托</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3"/>
                <w:sz w:val="18"/>
                <w:szCs w:val="18"/>
              </w:rPr>
              <w:t>中国银行云南省</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分行贷款</w:t>
            </w:r>
          </w:p>
        </w:tc>
        <w:tc>
          <w:tcPr>
            <w:tcW w:w="13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627,405.94</w:t>
            </w:r>
          </w:p>
        </w:tc>
        <w:tc>
          <w:tcPr>
            <w:tcW w:w="1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30" w:right="0"/>
              <w:jc w:val="left"/>
              <w:rPr>
                <w:rFonts w:ascii="Times New Roman" w:hAnsi="Times New Roman" w:cs="Times New Roman" w:eastAsia="Times New Roman" w:hint="default"/>
                <w:sz w:val="18"/>
                <w:szCs w:val="18"/>
              </w:rPr>
            </w:pPr>
            <w:r>
              <w:rPr>
                <w:rFonts w:ascii="Times New Roman"/>
                <w:sz w:val="18"/>
              </w:rPr>
              <w:t>1999-7-14</w:t>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73" w:right="0"/>
              <w:jc w:val="left"/>
              <w:rPr>
                <w:rFonts w:ascii="Times New Roman" w:hAnsi="Times New Roman" w:cs="Times New Roman" w:eastAsia="Times New Roman" w:hint="default"/>
                <w:sz w:val="18"/>
                <w:szCs w:val="18"/>
              </w:rPr>
            </w:pPr>
            <w:r>
              <w:rPr>
                <w:rFonts w:ascii="Times New Roman"/>
                <w:sz w:val="18"/>
              </w:rPr>
              <w:t>2022-6-27</w:t>
            </w:r>
          </w:p>
        </w:tc>
        <w:tc>
          <w:tcPr>
            <w:tcW w:w="6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43"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97" w:right="0"/>
              <w:jc w:val="left"/>
              <w:rPr>
                <w:rFonts w:ascii="Times New Roman" w:hAnsi="Times New Roman" w:cs="Times New Roman" w:eastAsia="Times New Roman" w:hint="default"/>
                <w:sz w:val="18"/>
                <w:szCs w:val="18"/>
              </w:rPr>
            </w:pPr>
            <w:r>
              <w:rPr>
                <w:rFonts w:ascii="Times New Roman"/>
                <w:sz w:val="18"/>
              </w:rPr>
              <w:t>1.00</w:t>
            </w:r>
          </w:p>
        </w:tc>
        <w:tc>
          <w:tcPr>
            <w:tcW w:w="11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26" w:right="0"/>
              <w:jc w:val="left"/>
              <w:rPr>
                <w:rFonts w:ascii="宋体" w:hAnsi="宋体" w:cs="宋体" w:eastAsia="宋体" w:hint="default"/>
                <w:sz w:val="18"/>
                <w:szCs w:val="18"/>
              </w:rPr>
            </w:pPr>
            <w:r>
              <w:rPr>
                <w:rFonts w:ascii="宋体" w:hAnsi="宋体" w:cs="宋体" w:eastAsia="宋体" w:hint="default"/>
                <w:sz w:val="18"/>
                <w:szCs w:val="18"/>
              </w:rPr>
              <w:t>抵押借款</w:t>
            </w:r>
          </w:p>
        </w:tc>
      </w:tr>
      <w:tr>
        <w:trPr>
          <w:trHeight w:val="350" w:hRule="exact"/>
        </w:trPr>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392" w:type="dxa"/>
            <w:tcBorders>
              <w:top w:val="single" w:sz="6" w:space="0" w:color="000000"/>
              <w:left w:val="single" w:sz="6" w:space="0" w:color="000000"/>
              <w:bottom w:val="single" w:sz="6" w:space="0" w:color="000000"/>
              <w:right w:val="single" w:sz="6" w:space="0" w:color="000000"/>
            </w:tcBorders>
          </w:tcPr>
          <w:p>
            <w:pPr/>
          </w:p>
        </w:tc>
        <w:tc>
          <w:tcPr>
            <w:tcW w:w="13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5"/>
              <w:jc w:val="right"/>
              <w:rPr>
                <w:rFonts w:ascii="Times New Roman" w:hAnsi="Times New Roman" w:cs="Times New Roman" w:eastAsia="Times New Roman" w:hint="default"/>
                <w:sz w:val="18"/>
                <w:szCs w:val="18"/>
              </w:rPr>
            </w:pPr>
            <w:r>
              <w:rPr>
                <w:rFonts w:ascii="Times New Roman"/>
                <w:b/>
                <w:spacing w:val="-1"/>
                <w:sz w:val="18"/>
              </w:rPr>
              <w:t>627,405.94</w:t>
            </w:r>
            <w:r>
              <w:rPr>
                <w:rFonts w:ascii="Times New Roman"/>
                <w:spacing w:val="-1"/>
                <w:sz w:val="18"/>
              </w:rPr>
            </w:r>
          </w:p>
        </w:tc>
        <w:tc>
          <w:tcPr>
            <w:tcW w:w="1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b/>
                <w:w w:val="100"/>
                <w:sz w:val="18"/>
              </w:rPr>
              <w:t> </w:t>
            </w:r>
            <w:r>
              <w:rPr>
                <w:rFonts w:ascii="宋体"/>
                <w:w w:val="100"/>
                <w:sz w:val="18"/>
              </w:rPr>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b/>
                <w:w w:val="100"/>
                <w:sz w:val="18"/>
              </w:rPr>
              <w:t> </w:t>
            </w:r>
            <w:r>
              <w:rPr>
                <w:rFonts w:ascii="宋体"/>
                <w:w w:val="100"/>
                <w:sz w:val="18"/>
              </w:rPr>
            </w:r>
          </w:p>
        </w:tc>
        <w:tc>
          <w:tcPr>
            <w:tcW w:w="663" w:type="dxa"/>
            <w:tcBorders>
              <w:top w:val="single" w:sz="6" w:space="0" w:color="000000"/>
              <w:left w:val="single" w:sz="6" w:space="0" w:color="000000"/>
              <w:bottom w:val="single" w:sz="6" w:space="0" w:color="000000"/>
              <w:right w:val="single" w:sz="6" w:space="0" w:color="000000"/>
            </w:tcBorders>
          </w:tcPr>
          <w:p>
            <w:pPr/>
          </w:p>
        </w:tc>
        <w:tc>
          <w:tcPr>
            <w:tcW w:w="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9" w:right="0"/>
              <w:jc w:val="left"/>
              <w:rPr>
                <w:rFonts w:ascii="宋体" w:hAnsi="宋体" w:cs="宋体" w:eastAsia="宋体" w:hint="default"/>
                <w:sz w:val="18"/>
                <w:szCs w:val="18"/>
              </w:rPr>
            </w:pPr>
            <w:r>
              <w:rPr>
                <w:rFonts w:ascii="宋体"/>
                <w:b/>
                <w:w w:val="100"/>
                <w:sz w:val="18"/>
              </w:rPr>
              <w:t> </w:t>
            </w:r>
            <w:r>
              <w:rPr>
                <w:rFonts w:ascii="宋体"/>
                <w:w w:val="100"/>
                <w:sz w:val="18"/>
              </w:rPr>
            </w:r>
          </w:p>
        </w:tc>
        <w:tc>
          <w:tcPr>
            <w:tcW w:w="11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b/>
                <w:w w:val="100"/>
                <w:sz w:val="18"/>
              </w:rPr>
              <w:t> </w:t>
            </w:r>
            <w:r>
              <w:rPr>
                <w:rFonts w:ascii="宋体"/>
                <w:w w:val="100"/>
                <w:sz w:val="18"/>
              </w:rPr>
            </w:r>
          </w:p>
        </w:tc>
      </w:tr>
    </w:tbl>
    <w:p>
      <w:pPr>
        <w:spacing w:line="240" w:lineRule="auto" w:before="3"/>
        <w:rPr>
          <w:rFonts w:ascii="宋体" w:hAnsi="宋体" w:cs="宋体" w:eastAsia="宋体" w:hint="default"/>
          <w:sz w:val="19"/>
          <w:szCs w:val="19"/>
        </w:rPr>
      </w:pPr>
    </w:p>
    <w:p>
      <w:pPr>
        <w:pStyle w:val="Heading4"/>
        <w:spacing w:line="240" w:lineRule="auto" w:before="36"/>
        <w:ind w:right="855"/>
        <w:jc w:val="left"/>
        <w:rPr>
          <w:b w:val="0"/>
          <w:bCs w:val="0"/>
        </w:rPr>
      </w:pPr>
      <w:r>
        <w:rPr>
          <w:rFonts w:ascii="Times New Roman" w:hAnsi="Times New Roman" w:cs="Times New Roman" w:eastAsia="Times New Roman" w:hint="default"/>
        </w:rPr>
        <w:t>27</w:t>
      </w:r>
      <w:r>
        <w:rPr/>
        <w:t>、长期借款</w:t>
      </w:r>
      <w:r>
        <w:rPr>
          <w:b w:val="0"/>
          <w:bCs w:val="0"/>
        </w:rPr>
      </w:r>
    </w:p>
    <w:p>
      <w:pPr>
        <w:spacing w:line="240" w:lineRule="auto" w:before="5"/>
        <w:rPr>
          <w:rFonts w:ascii="宋体" w:hAnsi="宋体" w:cs="宋体" w:eastAsia="宋体" w:hint="default"/>
          <w:b/>
          <w:bCs/>
          <w:sz w:val="24"/>
          <w:szCs w:val="24"/>
        </w:rPr>
      </w:pPr>
    </w:p>
    <w:p>
      <w:pPr>
        <w:spacing w:before="0"/>
        <w:ind w:left="153" w:right="85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）长期借款分类</w:t>
      </w:r>
      <w:r>
        <w:rPr>
          <w:rFonts w:ascii="宋体" w:hAnsi="宋体" w:cs="宋体" w:eastAsia="宋体" w:hint="default"/>
          <w:sz w:val="21"/>
          <w:szCs w:val="21"/>
        </w:rPr>
      </w:r>
    </w:p>
    <w:p>
      <w:pPr>
        <w:spacing w:line="240" w:lineRule="auto" w:before="2"/>
        <w:rPr>
          <w:rFonts w:ascii="宋体" w:hAnsi="宋体" w:cs="宋体" w:eastAsia="宋体" w:hint="default"/>
          <w:b/>
          <w:bCs/>
          <w:sz w:val="23"/>
          <w:szCs w:val="23"/>
        </w:rPr>
      </w:pPr>
    </w:p>
    <w:p>
      <w:pPr>
        <w:pStyle w:val="BodyText"/>
        <w:spacing w:line="240" w:lineRule="auto" w:before="46"/>
        <w:ind w:left="0" w:right="1121"/>
        <w:jc w:val="right"/>
      </w:pPr>
      <w:r>
        <w:rPr/>
        <w:t>单位：</w:t>
      </w:r>
      <w:r>
        <w:rPr>
          <w:spacing w:val="5"/>
        </w:rPr>
        <w:t> </w:t>
      </w:r>
      <w:r>
        <w:rPr/>
        <w:t>元</w:t>
      </w:r>
    </w:p>
    <w:p>
      <w:pPr>
        <w:spacing w:line="240" w:lineRule="auto" w:before="0"/>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3"/>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941,108.92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1,543,108.17</w:t>
            </w:r>
          </w:p>
        </w:tc>
      </w:tr>
      <w:tr>
        <w:trPr>
          <w:trHeight w:val="398"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415.63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408.10</w:t>
            </w:r>
          </w:p>
        </w:tc>
      </w:tr>
      <w:tr>
        <w:trPr>
          <w:trHeight w:val="40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941,524.55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1,543,516.27</w:t>
            </w:r>
          </w:p>
        </w:tc>
      </w:tr>
    </w:tbl>
    <w:p>
      <w:pPr>
        <w:pStyle w:val="BodyText"/>
        <w:spacing w:line="240" w:lineRule="auto" w:before="53"/>
        <w:ind w:right="855"/>
        <w:jc w:val="left"/>
      </w:pPr>
      <w:r>
        <w:rPr/>
        <w:t>长期借款分类的说明：</w:t>
      </w:r>
    </w:p>
    <w:p>
      <w:pPr>
        <w:spacing w:line="240" w:lineRule="auto" w:before="2"/>
        <w:rPr>
          <w:rFonts w:ascii="宋体" w:hAnsi="宋体" w:cs="宋体" w:eastAsia="宋体" w:hint="default"/>
          <w:sz w:val="24"/>
          <w:szCs w:val="24"/>
        </w:rPr>
      </w:pPr>
    </w:p>
    <w:p>
      <w:pPr>
        <w:pStyle w:val="BodyText"/>
        <w:spacing w:line="240" w:lineRule="auto"/>
        <w:ind w:left="719" w:right="855"/>
        <w:jc w:val="left"/>
      </w:pPr>
      <w:r>
        <w:rPr/>
        <w:t>长期借款分类</w:t>
      </w:r>
    </w:p>
    <w:p>
      <w:pPr>
        <w:spacing w:line="240" w:lineRule="auto" w:before="8"/>
        <w:rPr>
          <w:rFonts w:ascii="宋体" w:hAnsi="宋体" w:cs="宋体" w:eastAsia="宋体" w:hint="default"/>
          <w:sz w:val="20"/>
          <w:szCs w:val="20"/>
        </w:rPr>
      </w:pPr>
    </w:p>
    <w:p>
      <w:pPr>
        <w:pStyle w:val="BodyText"/>
        <w:spacing w:line="240" w:lineRule="auto" w:before="46"/>
        <w:ind w:left="0" w:right="1121"/>
        <w:jc w:val="right"/>
      </w:pPr>
      <w:r>
        <w:rPr>
          <w:spacing w:val="-2"/>
        </w:rPr>
        <w:t>单位：元</w:t>
      </w:r>
    </w:p>
    <w:p>
      <w:pPr>
        <w:spacing w:line="240" w:lineRule="auto" w:before="3"/>
        <w:rPr>
          <w:rFonts w:ascii="宋体" w:hAnsi="宋体" w:cs="宋体" w:eastAsia="宋体" w:hint="default"/>
          <w:sz w:val="14"/>
          <w:szCs w:val="14"/>
        </w:rPr>
      </w:pPr>
    </w:p>
    <w:tbl>
      <w:tblPr>
        <w:tblW w:w="0" w:type="auto"/>
        <w:jc w:val="left"/>
        <w:tblInd w:w="143" w:type="dxa"/>
        <w:tblLayout w:type="fixed"/>
        <w:tblCellMar>
          <w:top w:w="0" w:type="dxa"/>
          <w:left w:w="0" w:type="dxa"/>
          <w:bottom w:w="0" w:type="dxa"/>
          <w:right w:w="0" w:type="dxa"/>
        </w:tblCellMar>
        <w:tblLook w:val="01E0"/>
      </w:tblPr>
      <w:tblGrid>
        <w:gridCol w:w="2411"/>
        <w:gridCol w:w="2401"/>
        <w:gridCol w:w="2396"/>
        <w:gridCol w:w="2396"/>
      </w:tblGrid>
      <w:tr>
        <w:trPr>
          <w:trHeight w:val="346" w:hRule="exact"/>
        </w:trPr>
        <w:tc>
          <w:tcPr>
            <w:tcW w:w="2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b/>
                <w:bCs/>
                <w:sz w:val="18"/>
                <w:szCs w:val="18"/>
              </w:rPr>
              <w:t>借款类别</w:t>
            </w:r>
            <w:r>
              <w:rPr>
                <w:rFonts w:ascii="宋体" w:hAnsi="宋体" w:cs="宋体" w:eastAsia="宋体" w:hint="default"/>
                <w:sz w:val="18"/>
                <w:szCs w:val="18"/>
              </w:rPr>
            </w:r>
          </w:p>
        </w:tc>
        <w:tc>
          <w:tcPr>
            <w:tcW w:w="24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9" w:right="0"/>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9" w:right="0"/>
              <w:jc w:val="center"/>
              <w:rPr>
                <w:rFonts w:ascii="宋体" w:hAnsi="宋体" w:cs="宋体" w:eastAsia="宋体" w:hint="default"/>
                <w:sz w:val="18"/>
                <w:szCs w:val="18"/>
              </w:rPr>
            </w:pPr>
            <w:r>
              <w:rPr>
                <w:rFonts w:ascii="宋体" w:hAnsi="宋体" w:cs="宋体" w:eastAsia="宋体" w:hint="default"/>
                <w:b/>
                <w:bCs/>
                <w:sz w:val="18"/>
                <w:szCs w:val="18"/>
              </w:rPr>
              <w:t>利率区间</w:t>
            </w:r>
            <w:r>
              <w:rPr>
                <w:rFonts w:ascii="宋体" w:hAnsi="宋体" w:cs="宋体" w:eastAsia="宋体" w:hint="default"/>
                <w:sz w:val="18"/>
                <w:szCs w:val="18"/>
              </w:rPr>
            </w:r>
          </w:p>
        </w:tc>
      </w:tr>
      <w:tr>
        <w:trPr>
          <w:trHeight w:val="346" w:hRule="exact"/>
        </w:trPr>
        <w:tc>
          <w:tcPr>
            <w:tcW w:w="2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24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941,108.92</w:t>
            </w:r>
          </w:p>
        </w:tc>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1"/>
                <w:sz w:val="18"/>
              </w:rPr>
              <w:t>1,543,108.17</w:t>
            </w:r>
          </w:p>
        </w:tc>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center"/>
              <w:rPr>
                <w:rFonts w:ascii="Times New Roman" w:hAnsi="Times New Roman" w:cs="Times New Roman" w:eastAsia="Times New Roman" w:hint="default"/>
                <w:sz w:val="18"/>
                <w:szCs w:val="18"/>
              </w:rPr>
            </w:pPr>
            <w:r>
              <w:rPr>
                <w:rFonts w:ascii="Times New Roman"/>
                <w:sz w:val="18"/>
              </w:rPr>
              <w:t>1.00</w:t>
            </w:r>
          </w:p>
        </w:tc>
      </w:tr>
      <w:tr>
        <w:trPr>
          <w:trHeight w:val="346" w:hRule="exact"/>
        </w:trPr>
        <w:tc>
          <w:tcPr>
            <w:tcW w:w="2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24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415.63</w:t>
            </w:r>
          </w:p>
        </w:tc>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2"/>
                <w:sz w:val="18"/>
              </w:rPr>
              <w:t>408.10</w:t>
            </w:r>
          </w:p>
        </w:tc>
        <w:tc>
          <w:tcPr>
            <w:tcW w:w="2396" w:type="dxa"/>
            <w:tcBorders>
              <w:top w:val="single" w:sz="6" w:space="0" w:color="000000"/>
              <w:left w:val="single" w:sz="6" w:space="0" w:color="000000"/>
              <w:bottom w:val="single" w:sz="6" w:space="0" w:color="000000"/>
              <w:right w:val="single" w:sz="6" w:space="0" w:color="000000"/>
            </w:tcBorders>
          </w:tcPr>
          <w:p>
            <w:pPr/>
          </w:p>
        </w:tc>
      </w:tr>
      <w:tr>
        <w:trPr>
          <w:trHeight w:val="350" w:hRule="exact"/>
        </w:trPr>
        <w:tc>
          <w:tcPr>
            <w:tcW w:w="2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4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5"/>
              <w:jc w:val="right"/>
              <w:rPr>
                <w:rFonts w:ascii="Times New Roman" w:hAnsi="Times New Roman" w:cs="Times New Roman" w:eastAsia="Times New Roman" w:hint="default"/>
                <w:sz w:val="18"/>
                <w:szCs w:val="18"/>
              </w:rPr>
            </w:pPr>
            <w:r>
              <w:rPr>
                <w:rFonts w:ascii="Times New Roman"/>
                <w:b/>
                <w:spacing w:val="-2"/>
                <w:sz w:val="18"/>
              </w:rPr>
              <w:t>941,524.55</w:t>
            </w:r>
            <w:r>
              <w:rPr>
                <w:rFonts w:ascii="Times New Roman"/>
                <w:spacing w:val="-2"/>
                <w:sz w:val="18"/>
              </w:rPr>
            </w:r>
          </w:p>
        </w:tc>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4"/>
              <w:jc w:val="right"/>
              <w:rPr>
                <w:rFonts w:ascii="Times New Roman" w:hAnsi="Times New Roman" w:cs="Times New Roman" w:eastAsia="Times New Roman" w:hint="default"/>
                <w:sz w:val="18"/>
                <w:szCs w:val="18"/>
              </w:rPr>
            </w:pPr>
            <w:r>
              <w:rPr>
                <w:rFonts w:ascii="Times New Roman"/>
                <w:b/>
                <w:spacing w:val="-2"/>
                <w:sz w:val="18"/>
              </w:rPr>
              <w:t>1,543,516.27</w:t>
            </w:r>
            <w:r>
              <w:rPr>
                <w:rFonts w:ascii="Times New Roman"/>
                <w:spacing w:val="-2"/>
                <w:sz w:val="18"/>
              </w:rPr>
            </w:r>
          </w:p>
        </w:tc>
        <w:tc>
          <w:tcPr>
            <w:tcW w:w="2396" w:type="dxa"/>
            <w:tcBorders>
              <w:top w:val="single" w:sz="6" w:space="0" w:color="000000"/>
              <w:left w:val="single" w:sz="6" w:space="0" w:color="000000"/>
              <w:bottom w:val="single" w:sz="6" w:space="0" w:color="000000"/>
              <w:right w:val="single" w:sz="6" w:space="0" w:color="000000"/>
            </w:tcBorders>
          </w:tcPr>
          <w:p>
            <w:pPr/>
          </w:p>
        </w:tc>
      </w:tr>
    </w:tbl>
    <w:p>
      <w:pPr>
        <w:pStyle w:val="BodyText"/>
        <w:spacing w:line="561" w:lineRule="auto" w:before="54"/>
        <w:ind w:left="719" w:right="8070" w:hanging="567"/>
        <w:jc w:val="left"/>
      </w:pPr>
      <w:r>
        <w:rPr>
          <w:spacing w:val="-3"/>
        </w:rPr>
        <w:t>其他说明，包括利率区间：</w:t>
      </w:r>
      <w:r>
        <w:rPr>
          <w:spacing w:val="-51"/>
        </w:rPr>
        <w:t> </w:t>
      </w:r>
      <w:r>
        <w:rPr>
          <w:spacing w:val="-51"/>
        </w:rPr>
      </w:r>
      <w:r>
        <w:rPr/>
        <w:t>抵押借款</w:t>
      </w:r>
    </w:p>
    <w:p>
      <w:pPr>
        <w:pStyle w:val="BodyText"/>
        <w:spacing w:line="240" w:lineRule="auto" w:before="70"/>
        <w:ind w:left="0" w:right="1121"/>
        <w:jc w:val="right"/>
      </w:pPr>
      <w:r>
        <w:rPr>
          <w:spacing w:val="-2"/>
        </w:rPr>
        <w:t>单位：元</w:t>
      </w:r>
    </w:p>
    <w:p>
      <w:pPr>
        <w:spacing w:after="0" w:line="240" w:lineRule="auto"/>
        <w:jc w:val="right"/>
        <w:sectPr>
          <w:pgSz w:w="11910" w:h="16840"/>
          <w:pgMar w:header="746" w:footer="974" w:top="1060" w:bottom="1160" w:left="980" w:right="0"/>
        </w:sectPr>
      </w:pPr>
    </w:p>
    <w:p>
      <w:pPr>
        <w:spacing w:line="240" w:lineRule="auto" w:before="6"/>
        <w:rPr>
          <w:rFonts w:ascii="宋体" w:hAnsi="宋体" w:cs="宋体" w:eastAsia="宋体" w:hint="default"/>
          <w:sz w:val="28"/>
          <w:szCs w:val="28"/>
        </w:rPr>
      </w:pPr>
    </w:p>
    <w:tbl>
      <w:tblPr>
        <w:tblW w:w="0" w:type="auto"/>
        <w:jc w:val="left"/>
        <w:tblInd w:w="143" w:type="dxa"/>
        <w:tblLayout w:type="fixed"/>
        <w:tblCellMar>
          <w:top w:w="0" w:type="dxa"/>
          <w:left w:w="0" w:type="dxa"/>
          <w:bottom w:w="0" w:type="dxa"/>
          <w:right w:w="0" w:type="dxa"/>
        </w:tblCellMar>
        <w:tblLook w:val="01E0"/>
      </w:tblPr>
      <w:tblGrid>
        <w:gridCol w:w="2944"/>
        <w:gridCol w:w="2502"/>
        <w:gridCol w:w="2007"/>
        <w:gridCol w:w="2252"/>
      </w:tblGrid>
      <w:tr>
        <w:trPr>
          <w:trHeight w:val="346" w:hRule="exact"/>
        </w:trPr>
        <w:tc>
          <w:tcPr>
            <w:tcW w:w="2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贷款单位</w:t>
            </w:r>
          </w:p>
        </w:tc>
        <w:tc>
          <w:tcPr>
            <w:tcW w:w="2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3" w:right="0"/>
              <w:jc w:val="center"/>
              <w:rPr>
                <w:rFonts w:ascii="宋体" w:hAnsi="宋体" w:cs="宋体" w:eastAsia="宋体" w:hint="default"/>
                <w:sz w:val="18"/>
                <w:szCs w:val="18"/>
              </w:rPr>
            </w:pPr>
            <w:r>
              <w:rPr>
                <w:rFonts w:ascii="宋体" w:hAnsi="宋体" w:cs="宋体" w:eastAsia="宋体" w:hint="default"/>
                <w:sz w:val="18"/>
                <w:szCs w:val="18"/>
              </w:rPr>
              <w:t>贷款银行</w:t>
            </w:r>
          </w:p>
        </w:tc>
        <w:tc>
          <w:tcPr>
            <w:tcW w:w="20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638" w:right="0"/>
              <w:jc w:val="left"/>
              <w:rPr>
                <w:rFonts w:ascii="宋体" w:hAnsi="宋体" w:cs="宋体" w:eastAsia="宋体" w:hint="default"/>
                <w:sz w:val="18"/>
                <w:szCs w:val="18"/>
              </w:rPr>
            </w:pPr>
            <w:r>
              <w:rPr>
                <w:rFonts w:ascii="宋体" w:hAnsi="宋体" w:cs="宋体" w:eastAsia="宋体" w:hint="default"/>
                <w:sz w:val="18"/>
                <w:szCs w:val="18"/>
              </w:rPr>
              <w:t>借款余额</w:t>
            </w:r>
          </w:p>
        </w:tc>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671" w:right="0"/>
              <w:jc w:val="left"/>
              <w:rPr>
                <w:rFonts w:ascii="宋体" w:hAnsi="宋体" w:cs="宋体" w:eastAsia="宋体" w:hint="default"/>
                <w:sz w:val="18"/>
                <w:szCs w:val="18"/>
              </w:rPr>
            </w:pPr>
            <w:r>
              <w:rPr>
                <w:rFonts w:ascii="宋体" w:hAnsi="宋体" w:cs="宋体" w:eastAsia="宋体" w:hint="default"/>
                <w:sz w:val="18"/>
                <w:szCs w:val="18"/>
              </w:rPr>
              <w:t>借款起始日</w:t>
            </w:r>
          </w:p>
        </w:tc>
      </w:tr>
      <w:tr>
        <w:trPr>
          <w:trHeight w:val="662" w:hRule="exact"/>
        </w:trPr>
        <w:tc>
          <w:tcPr>
            <w:tcW w:w="2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32"/>
              <w:jc w:val="center"/>
              <w:rPr>
                <w:rFonts w:ascii="宋体" w:hAnsi="宋体" w:cs="宋体" w:eastAsia="宋体" w:hint="default"/>
                <w:sz w:val="18"/>
                <w:szCs w:val="18"/>
              </w:rPr>
            </w:pPr>
            <w:r>
              <w:rPr>
                <w:rFonts w:ascii="宋体" w:hAnsi="宋体" w:cs="宋体" w:eastAsia="宋体" w:hint="default"/>
                <w:spacing w:val="-3"/>
                <w:sz w:val="18"/>
                <w:szCs w:val="18"/>
              </w:rPr>
              <w:t>云南南天电子信息产业股份有限公司</w:t>
            </w:r>
          </w:p>
        </w:tc>
        <w:tc>
          <w:tcPr>
            <w:tcW w:w="250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801" w:right="60" w:hanging="720"/>
              <w:jc w:val="left"/>
              <w:rPr>
                <w:rFonts w:ascii="宋体" w:hAnsi="宋体" w:cs="宋体" w:eastAsia="宋体" w:hint="default"/>
                <w:sz w:val="18"/>
                <w:szCs w:val="18"/>
              </w:rPr>
            </w:pPr>
            <w:r>
              <w:rPr>
                <w:rFonts w:ascii="宋体" w:hAnsi="宋体" w:cs="宋体" w:eastAsia="宋体" w:hint="default"/>
                <w:spacing w:val="-3"/>
                <w:sz w:val="18"/>
                <w:szCs w:val="18"/>
              </w:rPr>
              <w:t>意大利政府委托中国银行云南</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省分行贷款</w:t>
            </w:r>
          </w:p>
        </w:tc>
        <w:tc>
          <w:tcPr>
            <w:tcW w:w="20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941,108.92</w:t>
            </w:r>
          </w:p>
        </w:tc>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748" w:right="0"/>
              <w:jc w:val="left"/>
              <w:rPr>
                <w:rFonts w:ascii="Times New Roman" w:hAnsi="Times New Roman" w:cs="Times New Roman" w:eastAsia="Times New Roman" w:hint="default"/>
                <w:sz w:val="18"/>
                <w:szCs w:val="18"/>
              </w:rPr>
            </w:pPr>
            <w:r>
              <w:rPr>
                <w:rFonts w:ascii="Times New Roman"/>
                <w:sz w:val="18"/>
              </w:rPr>
              <w:t>1999-7-14</w:t>
            </w:r>
          </w:p>
        </w:tc>
      </w:tr>
      <w:tr>
        <w:trPr>
          <w:trHeight w:val="346" w:hRule="exact"/>
        </w:trPr>
        <w:tc>
          <w:tcPr>
            <w:tcW w:w="2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502" w:type="dxa"/>
            <w:tcBorders>
              <w:top w:val="single" w:sz="6" w:space="0" w:color="000000"/>
              <w:left w:val="single" w:sz="6" w:space="0" w:color="000000"/>
              <w:bottom w:val="single" w:sz="6" w:space="0" w:color="000000"/>
              <w:right w:val="single" w:sz="6" w:space="0" w:color="000000"/>
            </w:tcBorders>
          </w:tcPr>
          <w:p>
            <w:pPr/>
          </w:p>
        </w:tc>
        <w:tc>
          <w:tcPr>
            <w:tcW w:w="20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5"/>
              <w:jc w:val="right"/>
              <w:rPr>
                <w:rFonts w:ascii="Times New Roman" w:hAnsi="Times New Roman" w:cs="Times New Roman" w:eastAsia="Times New Roman" w:hint="default"/>
                <w:sz w:val="18"/>
                <w:szCs w:val="18"/>
              </w:rPr>
            </w:pPr>
            <w:r>
              <w:rPr>
                <w:rFonts w:ascii="Times New Roman"/>
                <w:b/>
                <w:spacing w:val="-1"/>
                <w:sz w:val="18"/>
              </w:rPr>
              <w:t>941,108.92</w:t>
            </w:r>
            <w:r>
              <w:rPr>
                <w:rFonts w:ascii="Times New Roman"/>
                <w:spacing w:val="-1"/>
                <w:sz w:val="18"/>
              </w:rPr>
            </w:r>
          </w:p>
        </w:tc>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w w:val="101"/>
                <w:sz w:val="18"/>
              </w:rPr>
              <w:t> </w:t>
            </w:r>
            <w:r>
              <w:rPr>
                <w:rFonts w:ascii="宋体"/>
                <w:sz w:val="18"/>
              </w:rPr>
            </w:r>
          </w:p>
        </w:tc>
      </w:tr>
    </w:tbl>
    <w:p>
      <w:pPr>
        <w:spacing w:line="240" w:lineRule="auto" w:before="8"/>
        <w:rPr>
          <w:rFonts w:ascii="宋体" w:hAnsi="宋体" w:cs="宋体" w:eastAsia="宋体" w:hint="default"/>
          <w:sz w:val="15"/>
          <w:szCs w:val="15"/>
        </w:rPr>
      </w:pPr>
    </w:p>
    <w:p>
      <w:pPr>
        <w:pStyle w:val="BodyText"/>
        <w:spacing w:line="240" w:lineRule="auto" w:before="46"/>
        <w:ind w:left="719" w:right="855"/>
        <w:jc w:val="left"/>
      </w:pPr>
      <w:r>
        <w:rPr/>
        <w:t>续上表</w:t>
      </w:r>
    </w:p>
    <w:p>
      <w:pPr>
        <w:spacing w:line="240" w:lineRule="auto" w:before="5"/>
        <w:rPr>
          <w:rFonts w:ascii="宋体" w:hAnsi="宋体" w:cs="宋体" w:eastAsia="宋体" w:hint="default"/>
          <w:sz w:val="23"/>
          <w:szCs w:val="23"/>
        </w:rPr>
      </w:pPr>
    </w:p>
    <w:tbl>
      <w:tblPr>
        <w:tblW w:w="0" w:type="auto"/>
        <w:jc w:val="left"/>
        <w:tblInd w:w="143" w:type="dxa"/>
        <w:tblLayout w:type="fixed"/>
        <w:tblCellMar>
          <w:top w:w="0" w:type="dxa"/>
          <w:left w:w="0" w:type="dxa"/>
          <w:bottom w:w="0" w:type="dxa"/>
          <w:right w:w="0" w:type="dxa"/>
        </w:tblCellMar>
        <w:tblLook w:val="01E0"/>
      </w:tblPr>
      <w:tblGrid>
        <w:gridCol w:w="2939"/>
        <w:gridCol w:w="2252"/>
        <w:gridCol w:w="1129"/>
        <w:gridCol w:w="1594"/>
        <w:gridCol w:w="1782"/>
      </w:tblGrid>
      <w:tr>
        <w:trPr>
          <w:trHeight w:val="346" w:hRule="exact"/>
        </w:trPr>
        <w:tc>
          <w:tcPr>
            <w:tcW w:w="29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9" w:right="0"/>
              <w:jc w:val="center"/>
              <w:rPr>
                <w:rFonts w:ascii="宋体" w:hAnsi="宋体" w:cs="宋体" w:eastAsia="宋体" w:hint="default"/>
                <w:sz w:val="18"/>
                <w:szCs w:val="18"/>
              </w:rPr>
            </w:pPr>
            <w:r>
              <w:rPr>
                <w:rFonts w:ascii="宋体" w:hAnsi="宋体" w:cs="宋体" w:eastAsia="宋体" w:hint="default"/>
                <w:sz w:val="18"/>
                <w:szCs w:val="18"/>
              </w:rPr>
              <w:t>贷款单位</w:t>
            </w:r>
          </w:p>
        </w:tc>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671" w:right="0"/>
              <w:jc w:val="left"/>
              <w:rPr>
                <w:rFonts w:ascii="宋体" w:hAnsi="宋体" w:cs="宋体" w:eastAsia="宋体" w:hint="default"/>
                <w:sz w:val="18"/>
                <w:szCs w:val="18"/>
              </w:rPr>
            </w:pPr>
            <w:r>
              <w:rPr>
                <w:rFonts w:ascii="宋体" w:hAnsi="宋体" w:cs="宋体" w:eastAsia="宋体" w:hint="default"/>
                <w:sz w:val="18"/>
                <w:szCs w:val="18"/>
              </w:rPr>
              <w:t>借款终止日</w:t>
            </w:r>
          </w:p>
        </w:tc>
        <w:tc>
          <w:tcPr>
            <w:tcW w:w="1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9" w:right="0"/>
              <w:jc w:val="center"/>
              <w:rPr>
                <w:rFonts w:ascii="宋体" w:hAnsi="宋体" w:cs="宋体" w:eastAsia="宋体" w:hint="default"/>
                <w:sz w:val="18"/>
                <w:szCs w:val="18"/>
              </w:rPr>
            </w:pPr>
            <w:r>
              <w:rPr>
                <w:rFonts w:ascii="宋体" w:hAnsi="宋体" w:cs="宋体" w:eastAsia="宋体" w:hint="default"/>
                <w:sz w:val="18"/>
                <w:szCs w:val="18"/>
              </w:rPr>
              <w:t>币种</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59" w:right="0"/>
              <w:jc w:val="left"/>
              <w:rPr>
                <w:rFonts w:ascii="宋体" w:hAnsi="宋体" w:cs="宋体" w:eastAsia="宋体" w:hint="default"/>
                <w:sz w:val="18"/>
                <w:szCs w:val="18"/>
              </w:rPr>
            </w:pPr>
            <w:r>
              <w:rPr>
                <w:rFonts w:ascii="宋体" w:hAnsi="宋体" w:cs="宋体" w:eastAsia="宋体" w:hint="default"/>
                <w:sz w:val="18"/>
                <w:szCs w:val="18"/>
              </w:rPr>
              <w:t>利率（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7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54" w:right="0"/>
              <w:jc w:val="left"/>
              <w:rPr>
                <w:rFonts w:ascii="宋体" w:hAnsi="宋体" w:cs="宋体" w:eastAsia="宋体" w:hint="default"/>
                <w:sz w:val="18"/>
                <w:szCs w:val="18"/>
              </w:rPr>
            </w:pPr>
            <w:r>
              <w:rPr>
                <w:rFonts w:ascii="宋体" w:hAnsi="宋体" w:cs="宋体" w:eastAsia="宋体" w:hint="default"/>
                <w:spacing w:val="-3"/>
                <w:sz w:val="18"/>
                <w:szCs w:val="18"/>
              </w:rPr>
              <w:t>抵押或担保情况</w:t>
            </w:r>
          </w:p>
        </w:tc>
      </w:tr>
      <w:tr>
        <w:trPr>
          <w:trHeight w:val="351" w:hRule="exact"/>
        </w:trPr>
        <w:tc>
          <w:tcPr>
            <w:tcW w:w="29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27"/>
              <w:jc w:val="center"/>
              <w:rPr>
                <w:rFonts w:ascii="宋体" w:hAnsi="宋体" w:cs="宋体" w:eastAsia="宋体" w:hint="default"/>
                <w:sz w:val="18"/>
                <w:szCs w:val="18"/>
              </w:rPr>
            </w:pPr>
            <w:r>
              <w:rPr>
                <w:rFonts w:ascii="宋体" w:hAnsi="宋体" w:cs="宋体" w:eastAsia="宋体" w:hint="default"/>
                <w:spacing w:val="-3"/>
                <w:sz w:val="18"/>
                <w:szCs w:val="18"/>
              </w:rPr>
              <w:t>云南南天电子信息产业股份有限公司</w:t>
            </w:r>
          </w:p>
        </w:tc>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748" w:right="0"/>
              <w:jc w:val="left"/>
              <w:rPr>
                <w:rFonts w:ascii="Times New Roman" w:hAnsi="Times New Roman" w:cs="Times New Roman" w:eastAsia="Times New Roman" w:hint="default"/>
                <w:sz w:val="18"/>
                <w:szCs w:val="18"/>
              </w:rPr>
            </w:pPr>
            <w:r>
              <w:rPr>
                <w:rFonts w:ascii="Times New Roman"/>
                <w:sz w:val="18"/>
              </w:rPr>
              <w:t>2022-6-27</w:t>
            </w:r>
          </w:p>
        </w:tc>
        <w:tc>
          <w:tcPr>
            <w:tcW w:w="1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9" w:right="0"/>
              <w:jc w:val="center"/>
              <w:rPr>
                <w:rFonts w:ascii="宋体" w:hAnsi="宋体" w:cs="宋体" w:eastAsia="宋体" w:hint="default"/>
                <w:sz w:val="18"/>
                <w:szCs w:val="18"/>
              </w:rPr>
            </w:pPr>
            <w:r>
              <w:rPr>
                <w:rFonts w:ascii="宋体" w:hAnsi="宋体" w:cs="宋体" w:eastAsia="宋体" w:hint="default"/>
                <w:sz w:val="18"/>
                <w:szCs w:val="18"/>
              </w:rPr>
              <w:t>美元</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8" w:right="0"/>
              <w:jc w:val="center"/>
              <w:rPr>
                <w:rFonts w:ascii="Times New Roman" w:hAnsi="Times New Roman" w:cs="Times New Roman" w:eastAsia="Times New Roman" w:hint="default"/>
                <w:sz w:val="18"/>
                <w:szCs w:val="18"/>
              </w:rPr>
            </w:pPr>
            <w:r>
              <w:rPr>
                <w:rFonts w:ascii="Times New Roman"/>
                <w:sz w:val="18"/>
              </w:rPr>
              <w:t>1.00</w:t>
            </w:r>
          </w:p>
        </w:tc>
        <w:tc>
          <w:tcPr>
            <w:tcW w:w="17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23" w:right="0"/>
              <w:jc w:val="left"/>
              <w:rPr>
                <w:rFonts w:ascii="宋体" w:hAnsi="宋体" w:cs="宋体" w:eastAsia="宋体" w:hint="default"/>
                <w:sz w:val="18"/>
                <w:szCs w:val="18"/>
              </w:rPr>
            </w:pPr>
            <w:r>
              <w:rPr>
                <w:rFonts w:ascii="宋体" w:hAnsi="宋体" w:cs="宋体" w:eastAsia="宋体" w:hint="default"/>
                <w:sz w:val="18"/>
                <w:szCs w:val="18"/>
              </w:rPr>
              <w:t>抵押借款</w:t>
            </w:r>
          </w:p>
        </w:tc>
      </w:tr>
      <w:tr>
        <w:trPr>
          <w:trHeight w:val="346" w:hRule="exact"/>
        </w:trPr>
        <w:tc>
          <w:tcPr>
            <w:tcW w:w="29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9" w:right="0"/>
              <w:jc w:val="left"/>
              <w:rPr>
                <w:rFonts w:ascii="宋体" w:hAnsi="宋体" w:cs="宋体" w:eastAsia="宋体" w:hint="default"/>
                <w:sz w:val="18"/>
                <w:szCs w:val="18"/>
              </w:rPr>
            </w:pPr>
            <w:r>
              <w:rPr>
                <w:rFonts w:ascii="宋体"/>
                <w:w w:val="101"/>
                <w:sz w:val="18"/>
              </w:rPr>
              <w:t> </w:t>
            </w:r>
            <w:r>
              <w:rPr>
                <w:rFonts w:ascii="宋体"/>
                <w:sz w:val="18"/>
              </w:rPr>
            </w:r>
          </w:p>
        </w:tc>
        <w:tc>
          <w:tcPr>
            <w:tcW w:w="1129" w:type="dxa"/>
            <w:tcBorders>
              <w:top w:val="single" w:sz="6" w:space="0" w:color="000000"/>
              <w:left w:val="single" w:sz="6" w:space="0" w:color="000000"/>
              <w:bottom w:val="single" w:sz="6" w:space="0" w:color="000000"/>
              <w:right w:val="single" w:sz="6" w:space="0" w:color="000000"/>
            </w:tcBorders>
          </w:tcPr>
          <w:p>
            <w:pP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9" w:right="0"/>
              <w:jc w:val="left"/>
              <w:rPr>
                <w:rFonts w:ascii="宋体" w:hAnsi="宋体" w:cs="宋体" w:eastAsia="宋体" w:hint="default"/>
                <w:sz w:val="18"/>
                <w:szCs w:val="18"/>
              </w:rPr>
            </w:pPr>
            <w:r>
              <w:rPr>
                <w:rFonts w:ascii="宋体"/>
                <w:w w:val="101"/>
                <w:sz w:val="18"/>
              </w:rPr>
              <w:t> </w:t>
            </w:r>
            <w:r>
              <w:rPr>
                <w:rFonts w:ascii="宋体"/>
                <w:sz w:val="18"/>
              </w:rPr>
            </w:r>
          </w:p>
        </w:tc>
        <w:tc>
          <w:tcPr>
            <w:tcW w:w="17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w w:val="101"/>
                <w:sz w:val="18"/>
              </w:rPr>
              <w:t> </w:t>
            </w:r>
            <w:r>
              <w:rPr>
                <w:rFonts w:ascii="宋体"/>
                <w:sz w:val="18"/>
              </w:rPr>
            </w:r>
          </w:p>
        </w:tc>
      </w:tr>
    </w:tbl>
    <w:p>
      <w:pPr>
        <w:spacing w:line="240" w:lineRule="auto" w:before="8"/>
        <w:rPr>
          <w:rFonts w:ascii="宋体" w:hAnsi="宋体" w:cs="宋体" w:eastAsia="宋体" w:hint="default"/>
          <w:sz w:val="15"/>
          <w:szCs w:val="15"/>
        </w:rPr>
      </w:pPr>
    </w:p>
    <w:p>
      <w:pPr>
        <w:pStyle w:val="BodyText"/>
        <w:spacing w:line="240" w:lineRule="auto" w:before="46"/>
        <w:ind w:left="719" w:right="855"/>
        <w:jc w:val="left"/>
      </w:pPr>
      <w:r>
        <w:rPr>
          <w:spacing w:val="-3"/>
        </w:rPr>
        <w:t>外币长期借款原币金额以及折算汇率列示</w:t>
      </w:r>
    </w:p>
    <w:p>
      <w:pPr>
        <w:spacing w:line="240" w:lineRule="auto" w:before="8"/>
        <w:rPr>
          <w:rFonts w:ascii="宋体" w:hAnsi="宋体" w:cs="宋体" w:eastAsia="宋体" w:hint="default"/>
          <w:sz w:val="20"/>
          <w:szCs w:val="20"/>
        </w:rPr>
      </w:pPr>
    </w:p>
    <w:p>
      <w:pPr>
        <w:pStyle w:val="BodyText"/>
        <w:spacing w:line="240" w:lineRule="auto" w:before="46"/>
        <w:ind w:left="0" w:right="1121"/>
        <w:jc w:val="right"/>
      </w:pPr>
      <w:r>
        <w:rPr>
          <w:spacing w:val="-2"/>
        </w:rPr>
        <w:t>单位：元</w:t>
      </w:r>
    </w:p>
    <w:p>
      <w:pPr>
        <w:spacing w:line="240" w:lineRule="auto" w:before="6"/>
        <w:rPr>
          <w:rFonts w:ascii="宋体" w:hAnsi="宋体" w:cs="宋体" w:eastAsia="宋体" w:hint="default"/>
          <w:sz w:val="23"/>
          <w:szCs w:val="23"/>
        </w:rPr>
      </w:pPr>
    </w:p>
    <w:tbl>
      <w:tblPr>
        <w:tblW w:w="0" w:type="auto"/>
        <w:jc w:val="left"/>
        <w:tblInd w:w="143" w:type="dxa"/>
        <w:tblLayout w:type="fixed"/>
        <w:tblCellMar>
          <w:top w:w="0" w:type="dxa"/>
          <w:left w:w="0" w:type="dxa"/>
          <w:bottom w:w="0" w:type="dxa"/>
          <w:right w:w="0" w:type="dxa"/>
        </w:tblCellMar>
        <w:tblLook w:val="01E0"/>
      </w:tblPr>
      <w:tblGrid>
        <w:gridCol w:w="2353"/>
        <w:gridCol w:w="2007"/>
        <w:gridCol w:w="2670"/>
        <w:gridCol w:w="2670"/>
      </w:tblGrid>
      <w:tr>
        <w:trPr>
          <w:trHeight w:val="346" w:hRule="exact"/>
        </w:trPr>
        <w:tc>
          <w:tcPr>
            <w:tcW w:w="2353" w:type="dxa"/>
            <w:vMerge w:val="restart"/>
            <w:tcBorders>
              <w:top w:val="single" w:sz="6" w:space="0" w:color="000000"/>
              <w:left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7347"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r>
      <w:tr>
        <w:trPr>
          <w:trHeight w:val="350" w:hRule="exact"/>
        </w:trPr>
        <w:tc>
          <w:tcPr>
            <w:tcW w:w="2353" w:type="dxa"/>
            <w:vMerge/>
            <w:tcBorders>
              <w:left w:val="single" w:sz="6" w:space="0" w:color="000000"/>
              <w:bottom w:val="single" w:sz="6" w:space="0" w:color="000000"/>
              <w:right w:val="single" w:sz="6" w:space="0" w:color="000000"/>
            </w:tcBorders>
          </w:tcPr>
          <w:p>
            <w:pPr/>
          </w:p>
        </w:tc>
        <w:tc>
          <w:tcPr>
            <w:tcW w:w="20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634"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2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汇率</w:t>
            </w:r>
          </w:p>
        </w:tc>
        <w:tc>
          <w:tcPr>
            <w:tcW w:w="2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878" w:right="0"/>
              <w:jc w:val="left"/>
              <w:rPr>
                <w:rFonts w:ascii="宋体" w:hAnsi="宋体" w:cs="宋体" w:eastAsia="宋体" w:hint="default"/>
                <w:sz w:val="18"/>
                <w:szCs w:val="18"/>
              </w:rPr>
            </w:pPr>
            <w:r>
              <w:rPr>
                <w:rFonts w:ascii="宋体" w:hAnsi="宋体" w:cs="宋体" w:eastAsia="宋体" w:hint="default"/>
                <w:sz w:val="18"/>
                <w:szCs w:val="18"/>
              </w:rPr>
              <w:t>折合人民币</w:t>
            </w:r>
          </w:p>
        </w:tc>
      </w:tr>
      <w:tr>
        <w:trPr>
          <w:trHeight w:val="346" w:hRule="exact"/>
        </w:trPr>
        <w:tc>
          <w:tcPr>
            <w:tcW w:w="23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美元</w:t>
            </w:r>
          </w:p>
        </w:tc>
        <w:tc>
          <w:tcPr>
            <w:tcW w:w="20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134,902.80</w:t>
            </w:r>
          </w:p>
        </w:tc>
        <w:tc>
          <w:tcPr>
            <w:tcW w:w="2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6.9762</w:t>
            </w:r>
          </w:p>
        </w:tc>
        <w:tc>
          <w:tcPr>
            <w:tcW w:w="2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941,108.92</w:t>
            </w:r>
          </w:p>
        </w:tc>
      </w:tr>
      <w:tr>
        <w:trPr>
          <w:trHeight w:val="346" w:hRule="exact"/>
        </w:trPr>
        <w:tc>
          <w:tcPr>
            <w:tcW w:w="23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0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b/>
                <w:spacing w:val="-1"/>
                <w:sz w:val="18"/>
              </w:rPr>
              <w:t>134,902.80</w:t>
            </w:r>
            <w:r>
              <w:rPr>
                <w:rFonts w:ascii="Times New Roman"/>
                <w:spacing w:val="-1"/>
                <w:sz w:val="18"/>
              </w:rPr>
            </w:r>
          </w:p>
        </w:tc>
        <w:tc>
          <w:tcPr>
            <w:tcW w:w="2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b/>
                <w:spacing w:val="-1"/>
                <w:sz w:val="18"/>
              </w:rPr>
              <w:t>6.9762</w:t>
            </w:r>
            <w:r>
              <w:rPr>
                <w:rFonts w:ascii="Times New Roman"/>
                <w:spacing w:val="-1"/>
                <w:sz w:val="18"/>
              </w:rPr>
            </w:r>
          </w:p>
        </w:tc>
        <w:tc>
          <w:tcPr>
            <w:tcW w:w="2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b/>
                <w:spacing w:val="-1"/>
                <w:sz w:val="18"/>
              </w:rPr>
              <w:t>941,108.92</w:t>
            </w:r>
            <w:r>
              <w:rPr>
                <w:rFonts w:ascii="Times New Roman"/>
                <w:spacing w:val="-1"/>
                <w:sz w:val="18"/>
              </w:rPr>
            </w:r>
          </w:p>
        </w:tc>
      </w:tr>
    </w:tbl>
    <w:p>
      <w:pPr>
        <w:spacing w:line="240" w:lineRule="auto" w:before="3"/>
        <w:rPr>
          <w:rFonts w:ascii="宋体" w:hAnsi="宋体" w:cs="宋体" w:eastAsia="宋体" w:hint="default"/>
          <w:sz w:val="19"/>
          <w:szCs w:val="19"/>
        </w:rPr>
      </w:pPr>
    </w:p>
    <w:p>
      <w:pPr>
        <w:pStyle w:val="Heading4"/>
        <w:spacing w:line="240" w:lineRule="auto" w:before="36"/>
        <w:ind w:right="855"/>
        <w:jc w:val="left"/>
        <w:rPr>
          <w:b w:val="0"/>
          <w:bCs w:val="0"/>
        </w:rPr>
      </w:pPr>
      <w:r>
        <w:rPr>
          <w:rFonts w:ascii="Times New Roman" w:hAnsi="Times New Roman" w:cs="Times New Roman" w:eastAsia="Times New Roman" w:hint="default"/>
        </w:rPr>
        <w:t>28</w:t>
      </w:r>
      <w:r>
        <w:rPr/>
        <w:t>、长期应付款</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1"/>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3"/>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9"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345,286.72</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345,286.72</w:t>
            </w:r>
          </w:p>
        </w:tc>
      </w:tr>
    </w:tbl>
    <w:p>
      <w:pPr>
        <w:spacing w:line="240" w:lineRule="auto" w:before="3"/>
        <w:rPr>
          <w:rFonts w:ascii="宋体" w:hAnsi="宋体" w:cs="宋体" w:eastAsia="宋体" w:hint="default"/>
          <w:sz w:val="19"/>
          <w:szCs w:val="19"/>
        </w:rPr>
      </w:pPr>
    </w:p>
    <w:p>
      <w:pPr>
        <w:pStyle w:val="Heading4"/>
        <w:spacing w:line="240" w:lineRule="auto" w:before="36"/>
        <w:ind w:right="855"/>
        <w:jc w:val="left"/>
        <w:rPr>
          <w:b w:val="0"/>
          <w:bCs w:val="0"/>
        </w:rPr>
      </w:pPr>
      <w:r>
        <w:rPr/>
        <w:t>（</w:t>
      </w:r>
      <w:r>
        <w:rPr>
          <w:rFonts w:ascii="Times New Roman" w:hAnsi="Times New Roman" w:cs="Times New Roman" w:eastAsia="Times New Roman" w:hint="default"/>
        </w:rPr>
        <w:t>1</w:t>
      </w:r>
      <w:r>
        <w:rPr/>
        <w:t>）按款项性质列示长期应付款</w:t>
      </w:r>
      <w:r>
        <w:rPr>
          <w:b w:val="0"/>
          <w:bCs w:val="0"/>
        </w:rPr>
      </w:r>
    </w:p>
    <w:p>
      <w:pPr>
        <w:spacing w:line="240" w:lineRule="auto" w:before="11"/>
        <w:rPr>
          <w:rFonts w:ascii="宋体" w:hAnsi="宋体" w:cs="宋体" w:eastAsia="宋体" w:hint="default"/>
          <w:b/>
          <w:bCs/>
          <w:sz w:val="22"/>
          <w:szCs w:val="22"/>
        </w:rPr>
      </w:pPr>
    </w:p>
    <w:p>
      <w:pPr>
        <w:pStyle w:val="BodyText"/>
        <w:spacing w:line="240" w:lineRule="auto" w:before="46"/>
        <w:ind w:left="0" w:right="1121"/>
        <w:jc w:val="right"/>
      </w:pPr>
      <w:r>
        <w:rPr/>
        <w:t>单位：</w:t>
      </w:r>
      <w:r>
        <w:rPr>
          <w:spacing w:val="5"/>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3"/>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8"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厦门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融资租赁有限公司昆明分公司</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47,547.24</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金融有限公司</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112,748.44</w:t>
            </w:r>
          </w:p>
        </w:tc>
      </w:tr>
      <w:tr>
        <w:trPr>
          <w:trHeight w:val="40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汽车金融有限责任公司</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184,991.04</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345,286.72</w:t>
            </w:r>
          </w:p>
        </w:tc>
      </w:tr>
    </w:tbl>
    <w:p>
      <w:pPr>
        <w:spacing w:line="240" w:lineRule="auto" w:before="3"/>
        <w:rPr>
          <w:rFonts w:ascii="宋体" w:hAnsi="宋体" w:cs="宋体" w:eastAsia="宋体" w:hint="default"/>
          <w:sz w:val="19"/>
          <w:szCs w:val="19"/>
        </w:rPr>
      </w:pPr>
    </w:p>
    <w:p>
      <w:pPr>
        <w:pStyle w:val="Heading4"/>
        <w:spacing w:line="240" w:lineRule="auto" w:before="36"/>
        <w:ind w:right="855"/>
        <w:jc w:val="left"/>
        <w:rPr>
          <w:b w:val="0"/>
          <w:bCs w:val="0"/>
        </w:rPr>
      </w:pPr>
      <w:r>
        <w:rPr>
          <w:rFonts w:ascii="Times New Roman" w:hAnsi="Times New Roman" w:cs="Times New Roman" w:eastAsia="Times New Roman" w:hint="default"/>
        </w:rPr>
        <w:t>29</w:t>
      </w:r>
      <w:r>
        <w:rPr/>
        <w:t>、预计负债</w:t>
      </w:r>
      <w:r>
        <w:rPr>
          <w:b w:val="0"/>
          <w:bCs w:val="0"/>
        </w:rPr>
      </w:r>
    </w:p>
    <w:p>
      <w:pPr>
        <w:spacing w:line="240" w:lineRule="auto" w:before="11"/>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6" w:footer="974" w:top="1060" w:bottom="1160" w:left="980" w:right="0"/>
        </w:sectPr>
      </w:pPr>
    </w:p>
    <w:p>
      <w:pPr>
        <w:pStyle w:val="BodyText"/>
        <w:spacing w:line="240" w:lineRule="auto" w:before="46"/>
        <w:ind w:right="0"/>
        <w:jc w:val="left"/>
      </w:pPr>
      <w:r>
        <w:rPr>
          <w:spacing w:val="-2"/>
        </w:rPr>
        <w:t>是否已执行新收入准则</w:t>
      </w:r>
    </w:p>
    <w:p>
      <w:pPr>
        <w:pStyle w:val="BodyText"/>
        <w:spacing w:line="240" w:lineRule="auto" w:before="115"/>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w:t>
      </w:r>
      <w:r>
        <w:rPr>
          <w:spacing w:val="5"/>
        </w:rPr>
        <w:t> </w:t>
      </w:r>
      <w:r>
        <w:rPr/>
        <w:t>元</w:t>
      </w:r>
    </w:p>
    <w:p>
      <w:pPr>
        <w:spacing w:after="0" w:line="240" w:lineRule="auto"/>
        <w:jc w:val="left"/>
        <w:sectPr>
          <w:type w:val="continuous"/>
          <w:pgSz w:w="11910" w:h="16840"/>
          <w:pgMar w:top="1060" w:bottom="1160" w:left="980" w:right="0"/>
          <w:cols w:num="2" w:equalWidth="0">
            <w:col w:w="1959" w:space="6872"/>
            <w:col w:w="2099"/>
          </w:cols>
        </w:sectPr>
      </w:pPr>
    </w:p>
    <w:p>
      <w:pPr>
        <w:spacing w:line="240" w:lineRule="auto" w:before="6"/>
        <w:rPr>
          <w:rFonts w:ascii="宋体" w:hAnsi="宋体" w:cs="宋体" w:eastAsia="宋体" w:hint="default"/>
          <w:sz w:val="28"/>
          <w:szCs w:val="28"/>
        </w:rPr>
      </w:pPr>
    </w:p>
    <w:tbl>
      <w:tblPr>
        <w:tblW w:w="0" w:type="auto"/>
        <w:jc w:val="left"/>
        <w:tblInd w:w="308" w:type="dxa"/>
        <w:tblLayout w:type="fixed"/>
        <w:tblCellMar>
          <w:top w:w="0" w:type="dxa"/>
          <w:left w:w="0" w:type="dxa"/>
          <w:bottom w:w="0" w:type="dxa"/>
          <w:right w:w="0" w:type="dxa"/>
        </w:tblCellMar>
        <w:tblLook w:val="01E0"/>
      </w:tblPr>
      <w:tblGrid>
        <w:gridCol w:w="2391"/>
        <w:gridCol w:w="2396"/>
        <w:gridCol w:w="2391"/>
        <w:gridCol w:w="2391"/>
      </w:tblGrid>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398"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产品质量保证</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6,753,596.50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7,277,312.50</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6,753,596.50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pacing w:val="-1"/>
                <w:sz w:val="18"/>
              </w:rPr>
              <w:t>7,277,312.50</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9"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4"/>
        <w:spacing w:line="240" w:lineRule="auto" w:before="36"/>
        <w:ind w:left="313" w:right="216"/>
        <w:jc w:val="left"/>
        <w:rPr>
          <w:b w:val="0"/>
          <w:bCs w:val="0"/>
        </w:rPr>
      </w:pPr>
      <w:r>
        <w:rPr>
          <w:rFonts w:ascii="Times New Roman" w:hAnsi="Times New Roman" w:cs="Times New Roman" w:eastAsia="Times New Roman" w:hint="default"/>
        </w:rPr>
        <w:t>30</w:t>
      </w:r>
      <w:r>
        <w:rPr/>
        <w:t>、递延收益</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1"/>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308" w:type="dxa"/>
        <w:tblLayout w:type="fixed"/>
        <w:tblCellMar>
          <w:top w:w="0" w:type="dxa"/>
          <w:left w:w="0" w:type="dxa"/>
          <w:bottom w:w="0" w:type="dxa"/>
          <w:right w:w="0" w:type="dxa"/>
        </w:tblCellMar>
        <w:tblLook w:val="01E0"/>
      </w:tblPr>
      <w:tblGrid>
        <w:gridCol w:w="1594"/>
        <w:gridCol w:w="1599"/>
        <w:gridCol w:w="1594"/>
        <w:gridCol w:w="1595"/>
        <w:gridCol w:w="1594"/>
        <w:gridCol w:w="1594"/>
      </w:tblGrid>
      <w:tr>
        <w:trPr>
          <w:trHeight w:val="40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3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398"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23,397,166.77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10,884,400.00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6,741,485.80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27,540,080.97</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23,397,166.77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10,884,400.00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6,741,485.80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27,540,080.97</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3"/>
        <w:ind w:left="313" w:right="216"/>
        <w:jc w:val="left"/>
      </w:pPr>
      <w:r>
        <w:rPr/>
        <w:t>涉及政府补助的项目：</w:t>
      </w:r>
    </w:p>
    <w:p>
      <w:pPr>
        <w:pStyle w:val="BodyText"/>
        <w:spacing w:line="240" w:lineRule="auto" w:before="115"/>
        <w:ind w:left="0" w:right="1121"/>
        <w:jc w:val="right"/>
      </w:pPr>
      <w:r>
        <w:rPr/>
        <w:t>单位：</w:t>
      </w:r>
      <w:r>
        <w:rPr>
          <w:spacing w:val="5"/>
        </w:rPr>
        <w:t> </w:t>
      </w:r>
      <w:r>
        <w:rPr/>
        <w:t>元</w:t>
      </w:r>
    </w:p>
    <w:p>
      <w:pPr>
        <w:spacing w:line="240" w:lineRule="auto" w:before="0"/>
        <w:rPr>
          <w:rFonts w:ascii="宋体" w:hAnsi="宋体" w:cs="宋体" w:eastAsia="宋体" w:hint="default"/>
          <w:sz w:val="8"/>
          <w:szCs w:val="8"/>
        </w:rPr>
      </w:pPr>
    </w:p>
    <w:tbl>
      <w:tblPr>
        <w:tblW w:w="0" w:type="auto"/>
        <w:jc w:val="left"/>
        <w:tblInd w:w="111" w:type="dxa"/>
        <w:tblLayout w:type="fixed"/>
        <w:tblCellMar>
          <w:top w:w="0" w:type="dxa"/>
          <w:left w:w="0" w:type="dxa"/>
          <w:bottom w:w="0" w:type="dxa"/>
          <w:right w:w="0" w:type="dxa"/>
        </w:tblCellMar>
        <w:tblLook w:val="01E0"/>
      </w:tblPr>
      <w:tblGrid>
        <w:gridCol w:w="2271"/>
        <w:gridCol w:w="1133"/>
        <w:gridCol w:w="994"/>
        <w:gridCol w:w="994"/>
        <w:gridCol w:w="989"/>
        <w:gridCol w:w="850"/>
        <w:gridCol w:w="543"/>
        <w:gridCol w:w="1249"/>
        <w:gridCol w:w="1013"/>
      </w:tblGrid>
      <w:tr>
        <w:trPr>
          <w:trHeight w:val="1027" w:hRule="exact"/>
        </w:trPr>
        <w:tc>
          <w:tcPr>
            <w:tcW w:w="22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负债项目</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0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2" w:lineRule="auto"/>
              <w:ind w:left="220" w:right="36" w:hanging="178"/>
              <w:jc w:val="left"/>
              <w:rPr>
                <w:rFonts w:ascii="宋体" w:hAnsi="宋体" w:cs="宋体" w:eastAsia="宋体" w:hint="default"/>
                <w:sz w:val="18"/>
                <w:szCs w:val="18"/>
              </w:rPr>
            </w:pPr>
            <w:r>
              <w:rPr>
                <w:rFonts w:ascii="宋体" w:hAnsi="宋体" w:cs="宋体" w:eastAsia="宋体" w:hint="default"/>
                <w:spacing w:val="-2"/>
                <w:sz w:val="18"/>
                <w:szCs w:val="18"/>
              </w:rPr>
              <w:t>本期新增补</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助金额</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43" w:right="36"/>
              <w:jc w:val="center"/>
              <w:rPr>
                <w:rFonts w:ascii="宋体" w:hAnsi="宋体" w:cs="宋体" w:eastAsia="宋体" w:hint="default"/>
                <w:sz w:val="18"/>
                <w:szCs w:val="18"/>
              </w:rPr>
            </w:pPr>
            <w:r>
              <w:rPr>
                <w:rFonts w:ascii="宋体" w:hAnsi="宋体" w:cs="宋体" w:eastAsia="宋体" w:hint="default"/>
                <w:spacing w:val="-2"/>
                <w:sz w:val="18"/>
                <w:szCs w:val="18"/>
              </w:rPr>
              <w:t>本期计入营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业外收入金</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p>
        </w:tc>
        <w:tc>
          <w:tcPr>
            <w:tcW w:w="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2" w:lineRule="auto"/>
              <w:ind w:left="43" w:right="31"/>
              <w:jc w:val="left"/>
              <w:rPr>
                <w:rFonts w:ascii="宋体" w:hAnsi="宋体" w:cs="宋体" w:eastAsia="宋体" w:hint="default"/>
                <w:sz w:val="18"/>
                <w:szCs w:val="18"/>
              </w:rPr>
            </w:pPr>
            <w:r>
              <w:rPr>
                <w:rFonts w:ascii="宋体" w:hAnsi="宋体" w:cs="宋体" w:eastAsia="宋体" w:hint="default"/>
                <w:spacing w:val="-2"/>
                <w:sz w:val="18"/>
                <w:szCs w:val="18"/>
              </w:rPr>
              <w:t>本期计入其</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他收益金额</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57" w:right="56"/>
              <w:jc w:val="center"/>
              <w:rPr>
                <w:rFonts w:ascii="宋体" w:hAnsi="宋体" w:cs="宋体" w:eastAsia="宋体" w:hint="default"/>
                <w:sz w:val="18"/>
                <w:szCs w:val="18"/>
              </w:rPr>
            </w:pPr>
            <w:r>
              <w:rPr>
                <w:rFonts w:ascii="宋体" w:hAnsi="宋体" w:cs="宋体" w:eastAsia="宋体" w:hint="default"/>
                <w:spacing w:val="-2"/>
                <w:sz w:val="18"/>
                <w:szCs w:val="18"/>
              </w:rPr>
              <w:t>本期冲减</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成本费用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金额</w:t>
            </w:r>
          </w:p>
        </w:tc>
        <w:tc>
          <w:tcPr>
            <w:tcW w:w="5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2" w:lineRule="auto"/>
              <w:ind w:left="86" w:right="81"/>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pacing w:val="-86"/>
                <w:sz w:val="18"/>
                <w:szCs w:val="18"/>
              </w:rPr>
              <w:t> </w:t>
            </w:r>
            <w:r>
              <w:rPr>
                <w:rFonts w:ascii="宋体" w:hAnsi="宋体" w:cs="宋体" w:eastAsia="宋体" w:hint="default"/>
                <w:sz w:val="18"/>
                <w:szCs w:val="18"/>
              </w:rPr>
              <w:t>变动</w:t>
            </w:r>
          </w:p>
        </w:tc>
        <w:tc>
          <w:tcPr>
            <w:tcW w:w="12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59"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95" w:lineRule="auto"/>
              <w:ind w:left="52" w:right="24" w:hanging="29"/>
              <w:jc w:val="left"/>
              <w:rPr>
                <w:rFonts w:ascii="宋体" w:hAnsi="宋体" w:cs="宋体" w:eastAsia="宋体" w:hint="default"/>
                <w:sz w:val="18"/>
                <w:szCs w:val="18"/>
              </w:rPr>
            </w:pPr>
            <w:r>
              <w:rPr>
                <w:rFonts w:ascii="宋体" w:hAnsi="宋体" w:cs="宋体" w:eastAsia="宋体" w:hint="default"/>
                <w:spacing w:val="-2"/>
                <w:sz w:val="18"/>
                <w:szCs w:val="18"/>
              </w:rPr>
              <w:t>与资产相关</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31"/>
                <w:sz w:val="18"/>
                <w:szCs w:val="18"/>
              </w:rPr>
              <w:t> </w:t>
            </w:r>
            <w:r>
              <w:rPr>
                <w:rFonts w:ascii="宋体" w:hAnsi="宋体" w:cs="宋体" w:eastAsia="宋体" w:hint="default"/>
                <w:sz w:val="18"/>
                <w:szCs w:val="18"/>
              </w:rPr>
              <w:t>与收益相关</w:t>
            </w:r>
          </w:p>
        </w:tc>
      </w:tr>
      <w:tr>
        <w:trPr>
          <w:trHeight w:val="716"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95" w:lineRule="auto" w:before="53"/>
              <w:ind w:left="24" w:right="27"/>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3"/>
                <w:sz w:val="18"/>
                <w:szCs w:val="18"/>
              </w:rPr>
              <w:t> </w:t>
            </w:r>
            <w:r>
              <w:rPr>
                <w:rFonts w:ascii="宋体" w:hAnsi="宋体" w:cs="宋体" w:eastAsia="宋体" w:hint="default"/>
                <w:spacing w:val="-3"/>
                <w:sz w:val="18"/>
                <w:szCs w:val="18"/>
              </w:rPr>
              <w:t>年电子信息产业振兴和</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技术改造</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10,663,505.13</w:t>
            </w:r>
          </w:p>
        </w:tc>
        <w:tc>
          <w:tcPr>
            <w:tcW w:w="99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325,000.00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543"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10,338,505.13</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51"/>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3"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经济开发区项目</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3,240,065.00</w:t>
            </w:r>
          </w:p>
        </w:tc>
        <w:tc>
          <w:tcPr>
            <w:tcW w:w="99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98,750.00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543"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3,141,315.00</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51"/>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0"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3"/>
              <w:ind w:left="24" w:right="70"/>
              <w:jc w:val="left"/>
              <w:rPr>
                <w:rFonts w:ascii="宋体" w:hAnsi="宋体" w:cs="宋体" w:eastAsia="宋体" w:hint="default"/>
                <w:sz w:val="18"/>
                <w:szCs w:val="18"/>
              </w:rPr>
            </w:pPr>
            <w:r>
              <w:rPr>
                <w:rFonts w:ascii="宋体" w:hAnsi="宋体" w:cs="宋体" w:eastAsia="宋体" w:hint="default"/>
                <w:spacing w:val="-3"/>
                <w:sz w:val="18"/>
                <w:szCs w:val="18"/>
              </w:rPr>
              <w:t>金融行业业务管理与信息服</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务系统应用</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2,389,064.46</w:t>
            </w:r>
          </w:p>
        </w:tc>
        <w:tc>
          <w:tcPr>
            <w:tcW w:w="99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43"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2,389,064.46</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1"/>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6"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70"/>
              <w:jc w:val="left"/>
              <w:rPr>
                <w:rFonts w:ascii="宋体" w:hAnsi="宋体" w:cs="宋体" w:eastAsia="宋体" w:hint="default"/>
                <w:sz w:val="18"/>
                <w:szCs w:val="18"/>
              </w:rPr>
            </w:pPr>
            <w:r>
              <w:rPr>
                <w:rFonts w:ascii="宋体" w:hAnsi="宋体" w:cs="宋体" w:eastAsia="宋体" w:hint="default"/>
                <w:spacing w:val="-3"/>
                <w:sz w:val="18"/>
                <w:szCs w:val="18"/>
              </w:rPr>
              <w:t>南天商业银行中之中间业务</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云平台改造项目</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1,500,000.00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1,500,000.0</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
        </w:tc>
        <w:tc>
          <w:tcPr>
            <w:tcW w:w="543"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51"/>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5"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3"/>
              <w:ind w:left="24" w:right="70"/>
              <w:jc w:val="left"/>
              <w:rPr>
                <w:rFonts w:ascii="宋体" w:hAnsi="宋体" w:cs="宋体" w:eastAsia="宋体" w:hint="default"/>
                <w:sz w:val="18"/>
                <w:szCs w:val="18"/>
              </w:rPr>
            </w:pPr>
            <w:r>
              <w:rPr>
                <w:rFonts w:ascii="宋体" w:hAnsi="宋体" w:cs="宋体" w:eastAsia="宋体" w:hint="default"/>
                <w:spacing w:val="-3"/>
                <w:sz w:val="18"/>
                <w:szCs w:val="18"/>
              </w:rPr>
              <w:t>智慧城市解决方案及应用软</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件开发项目</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2,000,000.00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2,000,000.0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
        </w:tc>
        <w:tc>
          <w:tcPr>
            <w:tcW w:w="543"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51"/>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6"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70"/>
              <w:jc w:val="left"/>
              <w:rPr>
                <w:rFonts w:ascii="宋体" w:hAnsi="宋体" w:cs="宋体" w:eastAsia="宋体" w:hint="default"/>
                <w:sz w:val="18"/>
                <w:szCs w:val="18"/>
              </w:rPr>
            </w:pPr>
            <w:r>
              <w:rPr>
                <w:rFonts w:ascii="宋体" w:hAnsi="宋体" w:cs="宋体" w:eastAsia="宋体" w:hint="default"/>
                <w:spacing w:val="-3"/>
                <w:sz w:val="18"/>
                <w:szCs w:val="18"/>
              </w:rPr>
              <w:t>昆明市工业企业扩销促产补</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助</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200,000.00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200,000.00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43"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400,000.00</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1"/>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98"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南天职能运维管理平台项目</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1,060,000.00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43"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1,060,000.00</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51"/>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7"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3"/>
              <w:ind w:left="24" w:right="27"/>
              <w:jc w:val="both"/>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3"/>
                <w:sz w:val="18"/>
                <w:szCs w:val="18"/>
              </w:rPr>
              <w:t> </w:t>
            </w:r>
            <w:r>
              <w:rPr>
                <w:rFonts w:ascii="宋体" w:hAnsi="宋体" w:cs="宋体" w:eastAsia="宋体" w:hint="default"/>
                <w:spacing w:val="-3"/>
                <w:sz w:val="18"/>
                <w:szCs w:val="18"/>
              </w:rPr>
              <w:t>年盘龙区昆明市引导企</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3"/>
                <w:sz w:val="18"/>
                <w:szCs w:val="18"/>
              </w:rPr>
              <w:t>业加大研究与试验发展经费</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投入</w:t>
            </w:r>
            <w:r>
              <w:rPr>
                <w:rFonts w:ascii="Times New Roman" w:hAnsi="Times New Roman" w:cs="Times New Roman" w:eastAsia="Times New Roman" w:hint="default"/>
                <w:sz w:val="18"/>
                <w:szCs w:val="18"/>
              </w:rPr>
              <w:t>“</w:t>
            </w:r>
            <w:r>
              <w:rPr>
                <w:rFonts w:ascii="宋体" w:hAnsi="宋体" w:cs="宋体" w:eastAsia="宋体" w:hint="default"/>
                <w:sz w:val="18"/>
                <w:szCs w:val="18"/>
              </w:rPr>
              <w:t>放管服</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pacing w:val="-3"/>
                <w:sz w:val="18"/>
                <w:szCs w:val="18"/>
              </w:rPr>
              <w:t>扶持资金</w:t>
            </w: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221,900.00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43"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221,900.00</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51"/>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4"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云岭产业技术领军人才项目</w:t>
            </w: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400,000.00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43"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400,000.00</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51"/>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3"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专利资助费</w:t>
            </w: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25,000.00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43"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25,000.00</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51"/>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0"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3"/>
              <w:ind w:left="24" w:right="70"/>
              <w:jc w:val="left"/>
              <w:rPr>
                <w:rFonts w:ascii="宋体" w:hAnsi="宋体" w:cs="宋体" w:eastAsia="宋体" w:hint="default"/>
                <w:sz w:val="18"/>
                <w:szCs w:val="18"/>
              </w:rPr>
            </w:pPr>
            <w:r>
              <w:rPr>
                <w:rFonts w:ascii="宋体" w:hAnsi="宋体" w:cs="宋体" w:eastAsia="宋体" w:hint="default"/>
                <w:spacing w:val="-3"/>
                <w:sz w:val="18"/>
                <w:szCs w:val="18"/>
              </w:rPr>
              <w:t>南天行业大数据智慧平台项</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目</w:t>
            </w: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2,400,000.0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43"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2,400,000.00</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1"/>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4"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中小微企业云服务综合平台</w:t>
            </w: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700,000.00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43"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700,000.00</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51"/>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3"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研发后补助项目</w:t>
            </w: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639,000.00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639,000.00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543"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51"/>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5"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95" w:lineRule="auto" w:before="53"/>
              <w:ind w:left="24" w:right="27"/>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3"/>
                <w:sz w:val="18"/>
                <w:szCs w:val="18"/>
              </w:rPr>
              <w:t> </w:t>
            </w:r>
            <w:r>
              <w:rPr>
                <w:rFonts w:ascii="宋体" w:hAnsi="宋体" w:cs="宋体" w:eastAsia="宋体" w:hint="default"/>
                <w:spacing w:val="-3"/>
                <w:sz w:val="18"/>
                <w:szCs w:val="18"/>
              </w:rPr>
              <w:t>创业园补助（昆明市人</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力资源和社会保障局）</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189,601.10</w:t>
            </w:r>
          </w:p>
        </w:tc>
        <w:tc>
          <w:tcPr>
            <w:tcW w:w="99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7,920.00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543"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181,681.10</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1"/>
              <w:jc w:val="center"/>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center"/>
        <w:rPr>
          <w:rFonts w:ascii="宋体" w:hAnsi="宋体" w:cs="宋体" w:eastAsia="宋体" w:hint="default"/>
          <w:sz w:val="18"/>
          <w:szCs w:val="18"/>
        </w:rPr>
        <w:sectPr>
          <w:pgSz w:w="11910" w:h="16840"/>
          <w:pgMar w:header="746" w:footer="974" w:top="1060" w:bottom="1160" w:left="820" w:right="0"/>
        </w:sectPr>
      </w:pPr>
    </w:p>
    <w:p>
      <w:pPr>
        <w:spacing w:line="240" w:lineRule="auto" w:before="6"/>
        <w:rPr>
          <w:rFonts w:ascii="宋体" w:hAnsi="宋体" w:cs="宋体" w:eastAsia="宋体" w:hint="default"/>
          <w:sz w:val="28"/>
          <w:szCs w:val="28"/>
        </w:rPr>
      </w:pPr>
    </w:p>
    <w:tbl>
      <w:tblPr>
        <w:tblW w:w="0" w:type="auto"/>
        <w:jc w:val="left"/>
        <w:tblInd w:w="111" w:type="dxa"/>
        <w:tblLayout w:type="fixed"/>
        <w:tblCellMar>
          <w:top w:w="0" w:type="dxa"/>
          <w:left w:w="0" w:type="dxa"/>
          <w:bottom w:w="0" w:type="dxa"/>
          <w:right w:w="0" w:type="dxa"/>
        </w:tblCellMar>
        <w:tblLook w:val="01E0"/>
      </w:tblPr>
      <w:tblGrid>
        <w:gridCol w:w="2271"/>
        <w:gridCol w:w="1133"/>
        <w:gridCol w:w="994"/>
        <w:gridCol w:w="994"/>
        <w:gridCol w:w="989"/>
        <w:gridCol w:w="850"/>
        <w:gridCol w:w="543"/>
        <w:gridCol w:w="1249"/>
        <w:gridCol w:w="1013"/>
      </w:tblGrid>
      <w:tr>
        <w:trPr>
          <w:trHeight w:val="1027"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70"/>
              <w:jc w:val="left"/>
              <w:rPr>
                <w:rFonts w:ascii="宋体" w:hAnsi="宋体" w:cs="宋体" w:eastAsia="宋体" w:hint="default"/>
                <w:sz w:val="18"/>
                <w:szCs w:val="18"/>
              </w:rPr>
            </w:pPr>
            <w:r>
              <w:rPr>
                <w:rFonts w:ascii="宋体" w:hAnsi="宋体" w:cs="宋体" w:eastAsia="宋体" w:hint="default"/>
                <w:spacing w:val="-3"/>
                <w:sz w:val="18"/>
                <w:szCs w:val="18"/>
              </w:rPr>
              <w:t>昆明经济技术开发区管理委</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员会（非公党 建示范点建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设）</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24,931.08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90,000.00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40,815.80</w:t>
            </w:r>
          </w:p>
        </w:tc>
        <w:tc>
          <w:tcPr>
            <w:tcW w:w="850" w:type="dxa"/>
            <w:tcBorders>
              <w:top w:val="single" w:sz="4" w:space="0" w:color="000000"/>
              <w:left w:val="single" w:sz="4" w:space="0" w:color="000000"/>
              <w:bottom w:val="single" w:sz="4" w:space="0" w:color="000000"/>
              <w:right w:val="single" w:sz="4" w:space="0" w:color="000000"/>
            </w:tcBorders>
          </w:tcPr>
          <w:p>
            <w:pPr/>
          </w:p>
        </w:tc>
        <w:tc>
          <w:tcPr>
            <w:tcW w:w="543"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74,115.28</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51"/>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99"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智慧党建平台</w:t>
            </w: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200,000.00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43"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200,000.00</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51"/>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5"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8"/>
              <w:ind w:left="24" w:right="70"/>
              <w:jc w:val="left"/>
              <w:rPr>
                <w:rFonts w:ascii="宋体" w:hAnsi="宋体" w:cs="宋体" w:eastAsia="宋体" w:hint="default"/>
                <w:sz w:val="18"/>
                <w:szCs w:val="18"/>
              </w:rPr>
            </w:pPr>
            <w:r>
              <w:rPr>
                <w:rFonts w:ascii="宋体" w:hAnsi="宋体" w:cs="宋体" w:eastAsia="宋体" w:hint="default"/>
                <w:spacing w:val="-3"/>
                <w:sz w:val="18"/>
                <w:szCs w:val="18"/>
              </w:rPr>
              <w:t>昆明市信息产业发展项目资</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金</w:t>
            </w: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700,000.00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43"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700,000.00</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51"/>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6"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70"/>
              <w:jc w:val="left"/>
              <w:rPr>
                <w:rFonts w:ascii="宋体" w:hAnsi="宋体" w:cs="宋体" w:eastAsia="宋体" w:hint="default"/>
                <w:sz w:val="18"/>
                <w:szCs w:val="18"/>
              </w:rPr>
            </w:pPr>
            <w:r>
              <w:rPr>
                <w:rFonts w:ascii="宋体" w:hAnsi="宋体" w:cs="宋体" w:eastAsia="宋体" w:hint="default"/>
                <w:spacing w:val="-3"/>
                <w:sz w:val="18"/>
                <w:szCs w:val="18"/>
              </w:rPr>
              <w:t>自助服务网络化智能监控及</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运维管理平台</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130,000.00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130,000.00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543"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51"/>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5"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3"/>
              <w:ind w:left="24" w:right="70"/>
              <w:jc w:val="left"/>
              <w:rPr>
                <w:rFonts w:ascii="宋体" w:hAnsi="宋体" w:cs="宋体" w:eastAsia="宋体" w:hint="default"/>
                <w:sz w:val="18"/>
                <w:szCs w:val="18"/>
              </w:rPr>
            </w:pPr>
            <w:r>
              <w:rPr>
                <w:rFonts w:ascii="宋体" w:hAnsi="宋体" w:cs="宋体" w:eastAsia="宋体" w:hint="default"/>
                <w:spacing w:val="-3"/>
                <w:sz w:val="18"/>
                <w:szCs w:val="18"/>
              </w:rPr>
              <w:t>南天多功能实时制卡智能终</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端研发及产业化</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1,000,000.00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1,000,000.0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
        </w:tc>
        <w:tc>
          <w:tcPr>
            <w:tcW w:w="543"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51"/>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0"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3"/>
              <w:ind w:left="24" w:right="70"/>
              <w:jc w:val="left"/>
              <w:rPr>
                <w:rFonts w:ascii="宋体" w:hAnsi="宋体" w:cs="宋体" w:eastAsia="宋体" w:hint="default"/>
                <w:sz w:val="18"/>
                <w:szCs w:val="18"/>
              </w:rPr>
            </w:pPr>
            <w:r>
              <w:rPr>
                <w:rFonts w:ascii="宋体" w:hAnsi="宋体" w:cs="宋体" w:eastAsia="宋体" w:hint="default"/>
                <w:spacing w:val="-3"/>
                <w:sz w:val="18"/>
                <w:szCs w:val="18"/>
              </w:rPr>
              <w:t>南天移动互联网金融设备研</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发及产业化项目</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1,000,000.00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1,000,000.0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
        </w:tc>
        <w:tc>
          <w:tcPr>
            <w:tcW w:w="543"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1"/>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40"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9"/>
              <w:ind w:left="24" w:right="70"/>
              <w:jc w:val="both"/>
              <w:rPr>
                <w:rFonts w:ascii="宋体" w:hAnsi="宋体" w:cs="宋体" w:eastAsia="宋体" w:hint="default"/>
                <w:sz w:val="18"/>
                <w:szCs w:val="18"/>
              </w:rPr>
            </w:pPr>
            <w:r>
              <w:rPr>
                <w:rFonts w:ascii="宋体" w:hAnsi="宋体" w:cs="宋体" w:eastAsia="宋体" w:hint="default"/>
                <w:spacing w:val="-3"/>
                <w:sz w:val="18"/>
                <w:szCs w:val="18"/>
              </w:rPr>
              <w:t>基于安全可靠基础软硬件的</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邮储银行个人核心业务集中</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授权及交易查询系统的构建</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项目款</w:t>
            </w: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5,308,500.0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43"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5,308,500.00</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51"/>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6"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23,397,166.77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10,884,400.</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00</w:t>
            </w:r>
          </w:p>
        </w:tc>
        <w:tc>
          <w:tcPr>
            <w:tcW w:w="994"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6,741,485.8</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
        </w:tc>
        <w:tc>
          <w:tcPr>
            <w:tcW w:w="543"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27,540,080.97</w:t>
            </w:r>
          </w:p>
        </w:tc>
        <w:tc>
          <w:tcPr>
            <w:tcW w:w="101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left="313" w:right="216"/>
        <w:jc w:val="left"/>
        <w:rPr>
          <w:b w:val="0"/>
          <w:bCs w:val="0"/>
        </w:rPr>
      </w:pPr>
      <w:r>
        <w:rPr>
          <w:rFonts w:ascii="Times New Roman" w:hAnsi="Times New Roman" w:cs="Times New Roman" w:eastAsia="Times New Roman" w:hint="default"/>
        </w:rPr>
        <w:t>31</w:t>
      </w:r>
      <w:r>
        <w:rPr/>
        <w:t>、股本</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6"/>
        <w:ind w:left="0" w:right="1121"/>
        <w:jc w:val="right"/>
      </w:pPr>
      <w:r>
        <w:rPr>
          <w:spacing w:val="-2"/>
        </w:rPr>
        <w:t>单位：元</w:t>
      </w:r>
    </w:p>
    <w:p>
      <w:pPr>
        <w:spacing w:line="240" w:lineRule="auto" w:before="4"/>
        <w:rPr>
          <w:rFonts w:ascii="宋体" w:hAnsi="宋体" w:cs="宋体" w:eastAsia="宋体" w:hint="default"/>
          <w:sz w:val="8"/>
          <w:szCs w:val="8"/>
        </w:rPr>
      </w:pPr>
    </w:p>
    <w:tbl>
      <w:tblPr>
        <w:tblW w:w="0" w:type="auto"/>
        <w:jc w:val="left"/>
        <w:tblInd w:w="308" w:type="dxa"/>
        <w:tblLayout w:type="fixed"/>
        <w:tblCellMar>
          <w:top w:w="0" w:type="dxa"/>
          <w:left w:w="0" w:type="dxa"/>
          <w:bottom w:w="0" w:type="dxa"/>
          <w:right w:w="0" w:type="dxa"/>
        </w:tblCellMar>
        <w:tblLook w:val="01E0"/>
      </w:tblPr>
      <w:tblGrid>
        <w:gridCol w:w="1196"/>
        <w:gridCol w:w="1196"/>
        <w:gridCol w:w="1201"/>
        <w:gridCol w:w="1196"/>
        <w:gridCol w:w="1196"/>
        <w:gridCol w:w="1196"/>
        <w:gridCol w:w="1196"/>
        <w:gridCol w:w="1196"/>
      </w:tblGrid>
      <w:tr>
        <w:trPr>
          <w:trHeight w:val="401" w:hRule="exact"/>
        </w:trPr>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23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8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235"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35"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4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19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3" w:right="0"/>
              <w:jc w:val="left"/>
              <w:rPr>
                <w:rFonts w:ascii="Times New Roman" w:hAnsi="Times New Roman" w:cs="Times New Roman" w:eastAsia="Times New Roman" w:hint="default"/>
                <w:sz w:val="18"/>
                <w:szCs w:val="18"/>
              </w:rPr>
            </w:pPr>
            <w:r>
              <w:rPr>
                <w:rFonts w:ascii="Times New Roman"/>
                <w:sz w:val="18"/>
              </w:rPr>
              <w:t>246,606,046.00</w:t>
            </w:r>
          </w:p>
        </w:tc>
        <w:tc>
          <w:tcPr>
            <w:tcW w:w="1201"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29" w:right="0"/>
              <w:jc w:val="left"/>
              <w:rPr>
                <w:rFonts w:ascii="Times New Roman" w:hAnsi="Times New Roman" w:cs="Times New Roman" w:eastAsia="Times New Roman" w:hint="default"/>
                <w:sz w:val="18"/>
                <w:szCs w:val="18"/>
              </w:rPr>
            </w:pPr>
            <w:r>
              <w:rPr>
                <w:rFonts w:ascii="Times New Roman"/>
                <w:sz w:val="18"/>
              </w:rPr>
              <w:t>73,981,813.00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29" w:right="0"/>
              <w:jc w:val="left"/>
              <w:rPr>
                <w:rFonts w:ascii="Times New Roman" w:hAnsi="Times New Roman" w:cs="Times New Roman" w:eastAsia="Times New Roman" w:hint="default"/>
                <w:sz w:val="18"/>
                <w:szCs w:val="18"/>
              </w:rPr>
            </w:pPr>
            <w:r>
              <w:rPr>
                <w:rFonts w:ascii="Times New Roman"/>
                <w:sz w:val="18"/>
              </w:rPr>
              <w:t>73,981,813.00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3" w:right="0"/>
              <w:jc w:val="left"/>
              <w:rPr>
                <w:rFonts w:ascii="Times New Roman" w:hAnsi="Times New Roman" w:cs="Times New Roman" w:eastAsia="Times New Roman" w:hint="default"/>
                <w:sz w:val="18"/>
                <w:szCs w:val="18"/>
              </w:rPr>
            </w:pPr>
            <w:r>
              <w:rPr>
                <w:rFonts w:ascii="Times New Roman"/>
                <w:sz w:val="18"/>
              </w:rPr>
              <w:t>320,587,859.00</w:t>
            </w:r>
          </w:p>
        </w:tc>
      </w:tr>
    </w:tbl>
    <w:p>
      <w:pPr>
        <w:pStyle w:val="BodyText"/>
        <w:spacing w:line="240" w:lineRule="auto" w:before="53"/>
        <w:ind w:left="313" w:right="216"/>
        <w:jc w:val="left"/>
      </w:pPr>
      <w:r>
        <w:rPr/>
        <w:t>其他说明：</w:t>
      </w:r>
    </w:p>
    <w:p>
      <w:pPr>
        <w:pStyle w:val="BodyText"/>
        <w:spacing w:line="300" w:lineRule="auto" w:before="115"/>
        <w:ind w:left="313" w:right="216" w:firstLine="360"/>
        <w:jc w:val="left"/>
      </w:pP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3</w:t>
      </w:r>
      <w:r>
        <w:rPr>
          <w:spacing w:val="-3"/>
        </w:rPr>
        <w:t>月</w:t>
      </w:r>
      <w:r>
        <w:rPr>
          <w:rFonts w:ascii="Times New Roman" w:hAnsi="Times New Roman" w:cs="Times New Roman" w:eastAsia="Times New Roman" w:hint="default"/>
          <w:spacing w:val="-3"/>
        </w:rPr>
        <w:t>28</w:t>
      </w:r>
      <w:r>
        <w:rPr>
          <w:spacing w:val="-3"/>
        </w:rPr>
        <w:t>日，公司召开</w:t>
      </w:r>
      <w:r>
        <w:rPr>
          <w:rFonts w:ascii="Times New Roman" w:hAnsi="Times New Roman" w:cs="Times New Roman" w:eastAsia="Times New Roman" w:hint="default"/>
          <w:spacing w:val="-3"/>
        </w:rPr>
        <w:t>2018</w:t>
      </w:r>
      <w:r>
        <w:rPr>
          <w:spacing w:val="-3"/>
        </w:rPr>
        <w:t>年度股东大会审议通过了《南天信息</w:t>
      </w:r>
      <w:r>
        <w:rPr>
          <w:rFonts w:ascii="Times New Roman" w:hAnsi="Times New Roman" w:cs="Times New Roman" w:eastAsia="Times New Roman" w:hint="default"/>
          <w:spacing w:val="-3"/>
        </w:rPr>
        <w:t>2018</w:t>
      </w:r>
      <w:r>
        <w:rPr>
          <w:spacing w:val="-3"/>
        </w:rPr>
        <w:t>年度利润分配及资本公积转增股本的方案》，</w:t>
      </w:r>
      <w:r>
        <w:rPr>
          <w:w w:val="101"/>
        </w:rPr>
        <w:t> </w:t>
      </w:r>
      <w:r>
        <w:rPr/>
        <w:t>公司以</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日的总股本</w:t>
      </w:r>
      <w:r>
        <w:rPr>
          <w:rFonts w:ascii="Times New Roman" w:hAnsi="Times New Roman" w:cs="Times New Roman" w:eastAsia="Times New Roman" w:hint="default"/>
        </w:rPr>
        <w:t>246,606,046.00 </w:t>
      </w:r>
      <w:r>
        <w:rPr>
          <w:spacing w:val="-3"/>
        </w:rPr>
        <w:t>股为基数，进行资本公积金转增股本，向全体股东每</w:t>
      </w:r>
      <w:r>
        <w:rPr>
          <w:rFonts w:ascii="Times New Roman" w:hAnsi="Times New Roman" w:cs="Times New Roman" w:eastAsia="Times New Roman" w:hint="default"/>
          <w:spacing w:val="-3"/>
        </w:rPr>
        <w:t>10</w:t>
      </w:r>
      <w:r>
        <w:rPr>
          <w:spacing w:val="-3"/>
        </w:rPr>
        <w:t>股转增</w:t>
      </w:r>
      <w:r>
        <w:rPr>
          <w:rFonts w:ascii="Times New Roman" w:hAnsi="Times New Roman" w:cs="Times New Roman" w:eastAsia="Times New Roman" w:hint="default"/>
          <w:spacing w:val="-3"/>
        </w:rPr>
        <w:t>3</w:t>
      </w:r>
      <w:r>
        <w:rPr>
          <w:spacing w:val="-3"/>
        </w:rPr>
        <w:t>股，合计转</w:t>
      </w:r>
      <w:r>
        <w:rPr>
          <w:spacing w:val="-54"/>
        </w:rPr>
        <w:t> </w:t>
      </w:r>
      <w:r>
        <w:rPr>
          <w:spacing w:val="-54"/>
        </w:rPr>
      </w:r>
      <w:r>
        <w:rPr/>
        <w:t>增股本</w:t>
      </w:r>
      <w:r>
        <w:rPr>
          <w:rFonts w:ascii="Times New Roman" w:hAnsi="Times New Roman" w:cs="Times New Roman" w:eastAsia="Times New Roman" w:hint="default"/>
        </w:rPr>
        <w:t>73,981,813.00</w:t>
      </w:r>
      <w:r>
        <w:rPr/>
        <w:t>股。该分配方案已于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15</w:t>
      </w:r>
      <w:r>
        <w:rPr/>
        <w:t>日实施完成，转增后，公司的总股本由</w:t>
      </w:r>
      <w:r>
        <w:rPr>
          <w:rFonts w:ascii="Times New Roman" w:hAnsi="Times New Roman" w:cs="Times New Roman" w:eastAsia="Times New Roman" w:hint="default"/>
        </w:rPr>
        <w:t>246,606,046.00</w:t>
      </w:r>
      <w:r>
        <w:rPr/>
        <w:t>股增加至</w:t>
      </w:r>
      <w:r>
        <w:rPr>
          <w:w w:val="101"/>
        </w:rPr>
        <w:t> </w:t>
      </w:r>
      <w:r>
        <w:rPr>
          <w:rFonts w:ascii="Times New Roman" w:hAnsi="Times New Roman" w:cs="Times New Roman" w:eastAsia="Times New Roman" w:hint="default"/>
        </w:rPr>
        <w:t>320,587,859.00</w:t>
      </w:r>
      <w:r>
        <w:rPr/>
        <w:t>股。</w:t>
      </w:r>
    </w:p>
    <w:p>
      <w:pPr>
        <w:spacing w:line="240" w:lineRule="auto" w:before="2"/>
        <w:rPr>
          <w:rFonts w:ascii="宋体" w:hAnsi="宋体" w:cs="宋体" w:eastAsia="宋体" w:hint="default"/>
          <w:sz w:val="22"/>
          <w:szCs w:val="22"/>
        </w:rPr>
      </w:pPr>
    </w:p>
    <w:p>
      <w:pPr>
        <w:pStyle w:val="Heading4"/>
        <w:spacing w:line="240" w:lineRule="auto"/>
        <w:ind w:left="313" w:right="216"/>
        <w:jc w:val="left"/>
        <w:rPr>
          <w:b w:val="0"/>
          <w:bCs w:val="0"/>
        </w:rPr>
      </w:pPr>
      <w:r>
        <w:rPr>
          <w:rFonts w:ascii="Times New Roman" w:hAnsi="Times New Roman" w:cs="Times New Roman" w:eastAsia="Times New Roman" w:hint="default"/>
        </w:rPr>
        <w:t>32</w:t>
      </w:r>
      <w:r>
        <w:rPr/>
        <w:t>、资本公积</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21"/>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308" w:type="dxa"/>
        <w:tblLayout w:type="fixed"/>
        <w:tblCellMar>
          <w:top w:w="0" w:type="dxa"/>
          <w:left w:w="0" w:type="dxa"/>
          <w:bottom w:w="0" w:type="dxa"/>
          <w:right w:w="0" w:type="dxa"/>
        </w:tblCellMar>
        <w:tblLook w:val="01E0"/>
      </w:tblPr>
      <w:tblGrid>
        <w:gridCol w:w="1911"/>
        <w:gridCol w:w="1921"/>
        <w:gridCol w:w="1911"/>
        <w:gridCol w:w="1916"/>
        <w:gridCol w:w="1916"/>
      </w:tblGrid>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733,762,106.07</w:t>
            </w: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73,981,813.00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659,780,293.07</w:t>
            </w:r>
          </w:p>
        </w:tc>
      </w:tr>
      <w:tr>
        <w:trPr>
          <w:trHeight w:val="404"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63,162,102.53</w:t>
            </w: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63,162,102.53</w:t>
            </w:r>
          </w:p>
        </w:tc>
      </w:tr>
      <w:tr>
        <w:trPr>
          <w:trHeight w:val="398"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796,924,208.60</w:t>
            </w: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73,981,813.00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722,942,395.60</w:t>
            </w:r>
          </w:p>
        </w:tc>
      </w:tr>
    </w:tbl>
    <w:p>
      <w:pPr>
        <w:pStyle w:val="BodyText"/>
        <w:spacing w:line="240" w:lineRule="auto" w:before="53"/>
        <w:ind w:left="313" w:right="216"/>
        <w:jc w:val="left"/>
      </w:pPr>
      <w:r>
        <w:rPr>
          <w:spacing w:val="-3"/>
        </w:rPr>
        <w:t>其他说明，包括本期增减变动情况、变动原因说明：</w:t>
      </w:r>
    </w:p>
    <w:p>
      <w:pPr>
        <w:spacing w:after="0" w:line="240" w:lineRule="auto"/>
        <w:jc w:val="left"/>
        <w:sectPr>
          <w:pgSz w:w="11910" w:h="16840"/>
          <w:pgMar w:header="746" w:footer="974" w:top="1060" w:bottom="1160" w:left="820" w:right="0"/>
        </w:sectPr>
      </w:pPr>
    </w:p>
    <w:p>
      <w:pPr>
        <w:spacing w:line="240" w:lineRule="auto" w:before="9"/>
        <w:rPr>
          <w:rFonts w:ascii="宋体" w:hAnsi="宋体" w:cs="宋体" w:eastAsia="宋体" w:hint="default"/>
          <w:sz w:val="25"/>
          <w:szCs w:val="25"/>
        </w:rPr>
      </w:pPr>
    </w:p>
    <w:p>
      <w:pPr>
        <w:pStyle w:val="BodyText"/>
        <w:spacing w:line="300" w:lineRule="auto" w:before="46"/>
        <w:ind w:right="855" w:firstLine="360"/>
        <w:jc w:val="left"/>
      </w:pPr>
      <w:r>
        <w:rPr/>
        <w:t>根据南天信息</w:t>
      </w:r>
      <w:r>
        <w:rPr>
          <w:rFonts w:ascii="Times New Roman" w:hAnsi="Times New Roman" w:cs="Times New Roman" w:eastAsia="Times New Roman" w:hint="default"/>
        </w:rPr>
        <w:t>2018</w:t>
      </w:r>
      <w:r>
        <w:rPr/>
        <w:t>年度利润分配及资本公积转增股本的方案，公司以</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日的总股本</w:t>
      </w:r>
      <w:r>
        <w:rPr>
          <w:rFonts w:ascii="Times New Roman" w:hAnsi="Times New Roman" w:cs="Times New Roman" w:eastAsia="Times New Roman" w:hint="default"/>
        </w:rPr>
        <w:t>246,606,046.00</w:t>
      </w:r>
      <w:r>
        <w:rPr>
          <w:rFonts w:ascii="Times New Roman" w:hAnsi="Times New Roman" w:cs="Times New Roman" w:eastAsia="Times New Roman" w:hint="default"/>
          <w:spacing w:val="26"/>
        </w:rPr>
        <w:t> </w:t>
      </w:r>
      <w:r>
        <w:rPr/>
        <w:t>股为基</w:t>
      </w:r>
      <w:r>
        <w:rPr>
          <w:w w:val="101"/>
        </w:rPr>
        <w:t> </w:t>
      </w:r>
      <w:r>
        <w:rPr>
          <w:spacing w:val="-2"/>
        </w:rPr>
        <w:t>数，进行资本公积金转增股本，向全体股东每</w:t>
      </w:r>
      <w:r>
        <w:rPr>
          <w:rFonts w:ascii="Times New Roman" w:hAnsi="Times New Roman" w:cs="Times New Roman" w:eastAsia="Times New Roman" w:hint="default"/>
          <w:spacing w:val="-2"/>
        </w:rPr>
        <w:t>10</w:t>
      </w:r>
      <w:r>
        <w:rPr>
          <w:spacing w:val="-2"/>
        </w:rPr>
        <w:t>股转增</w:t>
      </w:r>
      <w:r>
        <w:rPr>
          <w:rFonts w:ascii="Times New Roman" w:hAnsi="Times New Roman" w:cs="Times New Roman" w:eastAsia="Times New Roman" w:hint="default"/>
          <w:spacing w:val="-2"/>
        </w:rPr>
        <w:t>3</w:t>
      </w:r>
      <w:r>
        <w:rPr>
          <w:spacing w:val="-2"/>
        </w:rPr>
        <w:t>股，合计转增股本</w:t>
      </w:r>
      <w:r>
        <w:rPr>
          <w:rFonts w:ascii="Times New Roman" w:hAnsi="Times New Roman" w:cs="Times New Roman" w:eastAsia="Times New Roman" w:hint="default"/>
          <w:spacing w:val="-2"/>
        </w:rPr>
        <w:t>73,981,813.00</w:t>
      </w:r>
      <w:r>
        <w:rPr>
          <w:spacing w:val="-2"/>
        </w:rPr>
        <w:t>股，减少资本公积</w:t>
      </w:r>
      <w:r>
        <w:rPr>
          <w:rFonts w:ascii="Times New Roman" w:hAnsi="Times New Roman" w:cs="Times New Roman" w:eastAsia="Times New Roman" w:hint="default"/>
          <w:spacing w:val="-2"/>
        </w:rPr>
        <w:t>73,981,813.00</w:t>
      </w:r>
      <w:r>
        <w:rPr>
          <w:spacing w:val="-2"/>
        </w:rPr>
        <w:t>元。</w:t>
      </w:r>
      <w:r>
        <w:rPr/>
      </w:r>
    </w:p>
    <w:p>
      <w:pPr>
        <w:spacing w:line="240" w:lineRule="auto" w:before="3"/>
        <w:rPr>
          <w:rFonts w:ascii="宋体" w:hAnsi="宋体" w:cs="宋体" w:eastAsia="宋体" w:hint="default"/>
          <w:sz w:val="22"/>
          <w:szCs w:val="22"/>
        </w:rPr>
      </w:pPr>
    </w:p>
    <w:p>
      <w:pPr>
        <w:pStyle w:val="Heading4"/>
        <w:spacing w:line="240" w:lineRule="auto"/>
        <w:ind w:right="855"/>
        <w:jc w:val="left"/>
        <w:rPr>
          <w:b w:val="0"/>
          <w:bCs w:val="0"/>
        </w:rPr>
      </w:pPr>
      <w:r>
        <w:rPr>
          <w:rFonts w:ascii="Times New Roman" w:hAnsi="Times New Roman" w:cs="Times New Roman" w:eastAsia="Times New Roman" w:hint="default"/>
        </w:rPr>
        <w:t>33</w:t>
      </w:r>
      <w:r>
        <w:rPr/>
        <w:t>、其他综合收益</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21"/>
        <w:jc w:val="right"/>
      </w:pPr>
      <w:r>
        <w:rPr/>
        <w:t>单位：</w:t>
      </w:r>
      <w:r>
        <w:rPr>
          <w:spacing w:val="5"/>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838"/>
        <w:gridCol w:w="567"/>
        <w:gridCol w:w="980"/>
        <w:gridCol w:w="1052"/>
        <w:gridCol w:w="1373"/>
        <w:gridCol w:w="566"/>
        <w:gridCol w:w="850"/>
        <w:gridCol w:w="711"/>
        <w:gridCol w:w="634"/>
      </w:tblGrid>
      <w:tr>
        <w:trPr>
          <w:trHeight w:val="398" w:hRule="exact"/>
        </w:trPr>
        <w:tc>
          <w:tcPr>
            <w:tcW w:w="2838" w:type="dxa"/>
            <w:vMerge w:val="restart"/>
            <w:tcBorders>
              <w:top w:val="single" w:sz="4" w:space="0" w:color="000000"/>
              <w:left w:val="single" w:sz="4" w:space="0" w:color="000000"/>
              <w:right w:val="single" w:sz="4" w:space="0" w:color="000000"/>
            </w:tcBorders>
            <w:shd w:val="clear" w:color="auto" w:fill="D2D2D2"/>
          </w:tcPr>
          <w:p>
            <w:pPr/>
          </w:p>
        </w:tc>
        <w:tc>
          <w:tcPr>
            <w:tcW w:w="5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314" w:lineRule="auto"/>
              <w:ind w:left="96" w:right="95"/>
              <w:jc w:val="left"/>
              <w:rPr>
                <w:rFonts w:ascii="宋体" w:hAnsi="宋体" w:cs="宋体" w:eastAsia="宋体" w:hint="default"/>
                <w:sz w:val="18"/>
                <w:szCs w:val="18"/>
              </w:rPr>
            </w:pPr>
            <w:r>
              <w:rPr>
                <w:rFonts w:ascii="宋体" w:hAnsi="宋体" w:cs="宋体" w:eastAsia="宋体" w:hint="default"/>
                <w:sz w:val="18"/>
                <w:szCs w:val="18"/>
              </w:rPr>
              <w:t>期初</w:t>
            </w:r>
            <w:r>
              <w:rPr>
                <w:rFonts w:ascii="宋体" w:hAnsi="宋体" w:cs="宋体" w:eastAsia="宋体" w:hint="default"/>
                <w:spacing w:val="-86"/>
                <w:sz w:val="18"/>
                <w:szCs w:val="18"/>
              </w:rPr>
              <w:t> </w:t>
            </w:r>
            <w:r>
              <w:rPr>
                <w:rFonts w:ascii="宋体" w:hAnsi="宋体" w:cs="宋体" w:eastAsia="宋体" w:hint="default"/>
                <w:sz w:val="18"/>
                <w:szCs w:val="18"/>
              </w:rPr>
              <w:t>余额</w:t>
            </w:r>
          </w:p>
        </w:tc>
        <w:tc>
          <w:tcPr>
            <w:tcW w:w="5532"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6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314" w:lineRule="auto"/>
              <w:ind w:left="225" w:right="36" w:hanging="183"/>
              <w:jc w:val="left"/>
              <w:rPr>
                <w:rFonts w:ascii="宋体" w:hAnsi="宋体" w:cs="宋体" w:eastAsia="宋体" w:hint="default"/>
                <w:sz w:val="18"/>
                <w:szCs w:val="18"/>
              </w:rPr>
            </w:pPr>
            <w:r>
              <w:rPr>
                <w:rFonts w:ascii="宋体" w:hAnsi="宋体" w:cs="宋体" w:eastAsia="宋体" w:hint="default"/>
                <w:sz w:val="18"/>
                <w:szCs w:val="18"/>
              </w:rPr>
              <w:t>期末余</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额</w:t>
            </w:r>
          </w:p>
        </w:tc>
      </w:tr>
      <w:tr>
        <w:trPr>
          <w:trHeight w:val="274" w:hRule="exact"/>
        </w:trPr>
        <w:tc>
          <w:tcPr>
            <w:tcW w:w="2838" w:type="dxa"/>
            <w:vMerge/>
            <w:tcBorders>
              <w:left w:val="single" w:sz="4" w:space="0" w:color="000000"/>
              <w:bottom w:val="nil" w:sz="6" w:space="0" w:color="auto"/>
              <w:right w:val="single" w:sz="4" w:space="0" w:color="000000"/>
            </w:tcBorders>
            <w:shd w:val="clear" w:color="auto" w:fill="D2D2D2"/>
          </w:tcPr>
          <w:p>
            <w:pPr/>
          </w:p>
        </w:tc>
        <w:tc>
          <w:tcPr>
            <w:tcW w:w="567" w:type="dxa"/>
            <w:vMerge/>
            <w:tcBorders>
              <w:left w:val="single" w:sz="4" w:space="0" w:color="000000"/>
              <w:right w:val="single" w:sz="4" w:space="0" w:color="000000"/>
            </w:tcBorders>
            <w:shd w:val="clear" w:color="auto" w:fill="D2D2D2"/>
          </w:tcPr>
          <w:p>
            <w:pPr/>
          </w:p>
        </w:tc>
        <w:tc>
          <w:tcPr>
            <w:tcW w:w="9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124" w:right="27" w:hanging="87"/>
              <w:jc w:val="left"/>
              <w:rPr>
                <w:rFonts w:ascii="宋体" w:hAnsi="宋体" w:cs="宋体" w:eastAsia="宋体" w:hint="default"/>
                <w:sz w:val="18"/>
                <w:szCs w:val="18"/>
              </w:rPr>
            </w:pPr>
            <w:r>
              <w:rPr>
                <w:rFonts w:ascii="宋体" w:hAnsi="宋体" w:cs="宋体" w:eastAsia="宋体" w:hint="default"/>
                <w:spacing w:val="-2"/>
                <w:sz w:val="18"/>
                <w:szCs w:val="18"/>
              </w:rPr>
              <w:t>本期所得税</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前发生额</w:t>
            </w:r>
          </w:p>
        </w:tc>
        <w:tc>
          <w:tcPr>
            <w:tcW w:w="105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3"/>
              <w:ind w:left="24" w:right="17"/>
              <w:jc w:val="center"/>
              <w:rPr>
                <w:rFonts w:ascii="宋体" w:hAnsi="宋体" w:cs="宋体" w:eastAsia="宋体" w:hint="default"/>
                <w:sz w:val="18"/>
                <w:szCs w:val="18"/>
              </w:rPr>
            </w:pPr>
            <w:r>
              <w:rPr>
                <w:rFonts w:ascii="宋体" w:hAnsi="宋体" w:cs="宋体" w:eastAsia="宋体" w:hint="default"/>
                <w:spacing w:val="-16"/>
                <w:w w:val="101"/>
                <w:sz w:val="18"/>
                <w:szCs w:val="18"/>
              </w:rPr>
              <w:t>减：前期计入</w:t>
            </w:r>
            <w:r>
              <w:rPr>
                <w:rFonts w:ascii="宋体" w:hAnsi="宋体" w:cs="宋体" w:eastAsia="宋体" w:hint="default"/>
                <w:w w:val="101"/>
                <w:sz w:val="18"/>
                <w:szCs w:val="18"/>
              </w:rPr>
              <w:t> </w:t>
            </w:r>
            <w:r>
              <w:rPr>
                <w:rFonts w:ascii="宋体" w:hAnsi="宋体" w:cs="宋体" w:eastAsia="宋体" w:hint="default"/>
                <w:sz w:val="18"/>
                <w:szCs w:val="18"/>
              </w:rPr>
              <w:t>其他综合收</w:t>
            </w:r>
            <w:r>
              <w:rPr>
                <w:rFonts w:ascii="宋体" w:hAnsi="宋体" w:cs="宋体" w:eastAsia="宋体" w:hint="default"/>
                <w:w w:val="101"/>
                <w:sz w:val="18"/>
                <w:szCs w:val="18"/>
              </w:rPr>
              <w:t> </w:t>
            </w:r>
            <w:r>
              <w:rPr>
                <w:rFonts w:ascii="宋体" w:hAnsi="宋体" w:cs="宋体" w:eastAsia="宋体" w:hint="default"/>
                <w:sz w:val="18"/>
                <w:szCs w:val="18"/>
              </w:rPr>
              <w:t>益当期转入</w:t>
            </w:r>
            <w:r>
              <w:rPr>
                <w:rFonts w:ascii="宋体" w:hAnsi="宋体" w:cs="宋体" w:eastAsia="宋体" w:hint="default"/>
                <w:w w:val="101"/>
                <w:sz w:val="18"/>
                <w:szCs w:val="18"/>
              </w:rPr>
              <w:t> </w:t>
            </w:r>
            <w:r>
              <w:rPr>
                <w:rFonts w:ascii="宋体" w:hAnsi="宋体" w:cs="宋体" w:eastAsia="宋体" w:hint="default"/>
                <w:sz w:val="18"/>
                <w:szCs w:val="18"/>
              </w:rPr>
              <w:t>损益</w:t>
            </w:r>
          </w:p>
        </w:tc>
        <w:tc>
          <w:tcPr>
            <w:tcW w:w="137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4" w:lineRule="auto"/>
              <w:ind w:left="52" w:right="46"/>
              <w:jc w:val="both"/>
              <w:rPr>
                <w:rFonts w:ascii="宋体" w:hAnsi="宋体" w:cs="宋体" w:eastAsia="宋体" w:hint="default"/>
                <w:sz w:val="18"/>
                <w:szCs w:val="18"/>
              </w:rPr>
            </w:pPr>
            <w:r>
              <w:rPr>
                <w:rFonts w:ascii="宋体" w:hAnsi="宋体" w:cs="宋体" w:eastAsia="宋体" w:hint="default"/>
                <w:spacing w:val="-3"/>
                <w:sz w:val="18"/>
                <w:szCs w:val="18"/>
              </w:rPr>
              <w:t>减：前期计入其</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他综合收益当期</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转入留存收益</w:t>
            </w:r>
          </w:p>
        </w:tc>
        <w:tc>
          <w:tcPr>
            <w:tcW w:w="5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4" w:lineRule="auto"/>
              <w:ind w:left="95" w:right="17" w:hanging="72"/>
              <w:jc w:val="left"/>
              <w:rPr>
                <w:rFonts w:ascii="宋体" w:hAnsi="宋体" w:cs="宋体" w:eastAsia="宋体" w:hint="default"/>
                <w:sz w:val="18"/>
                <w:szCs w:val="18"/>
              </w:rPr>
            </w:pPr>
            <w:r>
              <w:rPr>
                <w:rFonts w:ascii="宋体" w:hAnsi="宋体" w:cs="宋体" w:eastAsia="宋体" w:hint="default"/>
                <w:spacing w:val="-12"/>
                <w:sz w:val="18"/>
                <w:szCs w:val="18"/>
              </w:rPr>
              <w:t>减：所</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得税</w:t>
            </w:r>
            <w:r>
              <w:rPr>
                <w:rFonts w:ascii="宋体" w:hAnsi="宋体" w:cs="宋体" w:eastAsia="宋体" w:hint="default"/>
                <w:w w:val="101"/>
                <w:sz w:val="18"/>
                <w:szCs w:val="18"/>
              </w:rPr>
              <w:t> </w:t>
            </w:r>
            <w:r>
              <w:rPr>
                <w:rFonts w:ascii="宋体" w:hAnsi="宋体" w:cs="宋体" w:eastAsia="宋体" w:hint="default"/>
                <w:sz w:val="18"/>
                <w:szCs w:val="18"/>
              </w:rPr>
              <w:t>费用</w:t>
            </w:r>
          </w:p>
        </w:tc>
        <w:tc>
          <w:tcPr>
            <w:tcW w:w="8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62" w:right="50"/>
              <w:jc w:val="left"/>
              <w:rPr>
                <w:rFonts w:ascii="宋体" w:hAnsi="宋体" w:cs="宋体" w:eastAsia="宋体" w:hint="default"/>
                <w:sz w:val="18"/>
                <w:szCs w:val="18"/>
              </w:rPr>
            </w:pPr>
            <w:r>
              <w:rPr>
                <w:rFonts w:ascii="宋体" w:hAnsi="宋体" w:cs="宋体" w:eastAsia="宋体" w:hint="default"/>
                <w:sz w:val="18"/>
                <w:szCs w:val="18"/>
              </w:rPr>
              <w:t>税后归属</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于母公司</w:t>
            </w:r>
          </w:p>
        </w:tc>
        <w:tc>
          <w:tcPr>
            <w:tcW w:w="7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4" w:lineRule="auto"/>
              <w:ind w:left="81" w:right="75"/>
              <w:jc w:val="both"/>
              <w:rPr>
                <w:rFonts w:ascii="宋体" w:hAnsi="宋体" w:cs="宋体" w:eastAsia="宋体" w:hint="default"/>
                <w:sz w:val="18"/>
                <w:szCs w:val="18"/>
              </w:rPr>
            </w:pPr>
            <w:r>
              <w:rPr>
                <w:rFonts w:ascii="宋体" w:hAnsi="宋体" w:cs="宋体" w:eastAsia="宋体" w:hint="default"/>
                <w:sz w:val="18"/>
                <w:szCs w:val="18"/>
              </w:rPr>
              <w:t>税后归</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属于少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数股东</w:t>
            </w:r>
          </w:p>
        </w:tc>
        <w:tc>
          <w:tcPr>
            <w:tcW w:w="634" w:type="dxa"/>
            <w:vMerge/>
            <w:tcBorders>
              <w:left w:val="single" w:sz="4" w:space="0" w:color="000000"/>
              <w:right w:val="single" w:sz="4" w:space="0" w:color="000000"/>
            </w:tcBorders>
            <w:shd w:val="clear" w:color="auto" w:fill="D2D2D2"/>
          </w:tcPr>
          <w:p>
            <w:pPr/>
          </w:p>
        </w:tc>
      </w:tr>
      <w:tr>
        <w:trPr>
          <w:trHeight w:val="394" w:hRule="exact"/>
        </w:trPr>
        <w:tc>
          <w:tcPr>
            <w:tcW w:w="28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67" w:type="dxa"/>
            <w:vMerge/>
            <w:tcBorders>
              <w:left w:val="single" w:sz="4" w:space="0" w:color="000000"/>
              <w:right w:val="single" w:sz="4" w:space="0" w:color="000000"/>
            </w:tcBorders>
            <w:shd w:val="clear" w:color="auto" w:fill="D2D2D2"/>
          </w:tcPr>
          <w:p>
            <w:pPr/>
          </w:p>
        </w:tc>
        <w:tc>
          <w:tcPr>
            <w:tcW w:w="980" w:type="dxa"/>
            <w:vMerge/>
            <w:tcBorders>
              <w:left w:val="single" w:sz="4" w:space="0" w:color="000000"/>
              <w:right w:val="single" w:sz="4" w:space="0" w:color="000000"/>
            </w:tcBorders>
            <w:shd w:val="clear" w:color="auto" w:fill="D2D2D2"/>
          </w:tcPr>
          <w:p>
            <w:pPr/>
          </w:p>
        </w:tc>
        <w:tc>
          <w:tcPr>
            <w:tcW w:w="1052" w:type="dxa"/>
            <w:vMerge/>
            <w:tcBorders>
              <w:left w:val="single" w:sz="4" w:space="0" w:color="000000"/>
              <w:right w:val="single" w:sz="4" w:space="0" w:color="000000"/>
            </w:tcBorders>
            <w:shd w:val="clear" w:color="auto" w:fill="D2D2D2"/>
          </w:tcPr>
          <w:p>
            <w:pPr/>
          </w:p>
        </w:tc>
        <w:tc>
          <w:tcPr>
            <w:tcW w:w="1373" w:type="dxa"/>
            <w:vMerge/>
            <w:tcBorders>
              <w:left w:val="single" w:sz="4" w:space="0" w:color="000000"/>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shd w:val="clear" w:color="auto" w:fill="D2D2D2"/>
          </w:tcPr>
          <w:p>
            <w:pPr/>
          </w:p>
        </w:tc>
        <w:tc>
          <w:tcPr>
            <w:tcW w:w="711" w:type="dxa"/>
            <w:vMerge/>
            <w:tcBorders>
              <w:left w:val="single" w:sz="4" w:space="0" w:color="000000"/>
              <w:right w:val="single" w:sz="4" w:space="0" w:color="000000"/>
            </w:tcBorders>
            <w:shd w:val="clear" w:color="auto" w:fill="D2D2D2"/>
          </w:tcPr>
          <w:p>
            <w:pPr/>
          </w:p>
        </w:tc>
        <w:tc>
          <w:tcPr>
            <w:tcW w:w="634" w:type="dxa"/>
            <w:vMerge/>
            <w:tcBorders>
              <w:left w:val="single" w:sz="4" w:space="0" w:color="000000"/>
              <w:right w:val="single" w:sz="4" w:space="0" w:color="000000"/>
            </w:tcBorders>
            <w:shd w:val="clear" w:color="auto" w:fill="D2D2D2"/>
          </w:tcPr>
          <w:p>
            <w:pPr/>
          </w:p>
        </w:tc>
      </w:tr>
      <w:tr>
        <w:trPr>
          <w:trHeight w:val="672" w:hRule="exact"/>
        </w:trPr>
        <w:tc>
          <w:tcPr>
            <w:tcW w:w="2838" w:type="dxa"/>
            <w:tcBorders>
              <w:top w:val="nil" w:sz="6" w:space="0" w:color="auto"/>
              <w:left w:val="single" w:sz="4" w:space="0" w:color="000000"/>
              <w:bottom w:val="single" w:sz="4" w:space="0" w:color="000000"/>
              <w:right w:val="single" w:sz="4" w:space="0" w:color="000000"/>
            </w:tcBorders>
            <w:shd w:val="clear" w:color="auto" w:fill="D2D2D2"/>
          </w:tcPr>
          <w:p>
            <w:pPr/>
          </w:p>
        </w:tc>
        <w:tc>
          <w:tcPr>
            <w:tcW w:w="567" w:type="dxa"/>
            <w:vMerge/>
            <w:tcBorders>
              <w:left w:val="single" w:sz="4" w:space="0" w:color="000000"/>
              <w:bottom w:val="single" w:sz="4" w:space="0" w:color="000000"/>
              <w:right w:val="single" w:sz="4" w:space="0" w:color="000000"/>
            </w:tcBorders>
            <w:shd w:val="clear" w:color="auto" w:fill="D2D2D2"/>
          </w:tcPr>
          <w:p>
            <w:pPr/>
          </w:p>
        </w:tc>
        <w:tc>
          <w:tcPr>
            <w:tcW w:w="980" w:type="dxa"/>
            <w:vMerge/>
            <w:tcBorders>
              <w:left w:val="single" w:sz="4" w:space="0" w:color="000000"/>
              <w:bottom w:val="single" w:sz="4" w:space="0" w:color="000000"/>
              <w:right w:val="single" w:sz="4" w:space="0" w:color="000000"/>
            </w:tcBorders>
            <w:shd w:val="clear" w:color="auto" w:fill="D2D2D2"/>
          </w:tcPr>
          <w:p>
            <w:pPr/>
          </w:p>
        </w:tc>
        <w:tc>
          <w:tcPr>
            <w:tcW w:w="1052" w:type="dxa"/>
            <w:vMerge/>
            <w:tcBorders>
              <w:left w:val="single" w:sz="4" w:space="0" w:color="000000"/>
              <w:bottom w:val="single" w:sz="4" w:space="0" w:color="000000"/>
              <w:right w:val="single" w:sz="4" w:space="0" w:color="000000"/>
            </w:tcBorders>
            <w:shd w:val="clear" w:color="auto" w:fill="D2D2D2"/>
          </w:tcPr>
          <w:p>
            <w:pPr/>
          </w:p>
        </w:tc>
        <w:tc>
          <w:tcPr>
            <w:tcW w:w="1373" w:type="dxa"/>
            <w:vMerge/>
            <w:tcBorders>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711" w:type="dxa"/>
            <w:vMerge/>
            <w:tcBorders>
              <w:left w:val="single" w:sz="4" w:space="0" w:color="000000"/>
              <w:bottom w:val="single" w:sz="4" w:space="0" w:color="000000"/>
              <w:right w:val="single" w:sz="4" w:space="0" w:color="000000"/>
            </w:tcBorders>
            <w:shd w:val="clear" w:color="auto" w:fill="D2D2D2"/>
          </w:tcPr>
          <w:p>
            <w:pPr/>
          </w:p>
        </w:tc>
        <w:tc>
          <w:tcPr>
            <w:tcW w:w="634" w:type="dxa"/>
            <w:vMerge/>
            <w:tcBorders>
              <w:left w:val="single" w:sz="4" w:space="0" w:color="000000"/>
              <w:bottom w:val="single" w:sz="4" w:space="0" w:color="000000"/>
              <w:right w:val="single" w:sz="4" w:space="0" w:color="000000"/>
            </w:tcBorders>
            <w:shd w:val="clear" w:color="auto" w:fill="D2D2D2"/>
          </w:tcPr>
          <w:p>
            <w:pPr/>
          </w:p>
        </w:tc>
      </w:tr>
      <w:tr>
        <w:trPr>
          <w:trHeight w:val="716" w:hRule="exact"/>
        </w:trPr>
        <w:tc>
          <w:tcPr>
            <w:tcW w:w="2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99"/>
              <w:jc w:val="left"/>
              <w:rPr>
                <w:rFonts w:ascii="宋体" w:hAnsi="宋体" w:cs="宋体" w:eastAsia="宋体" w:hint="default"/>
                <w:sz w:val="18"/>
                <w:szCs w:val="18"/>
              </w:rPr>
            </w:pPr>
            <w:r>
              <w:rPr>
                <w:rFonts w:ascii="宋体" w:hAnsi="宋体" w:cs="宋体" w:eastAsia="宋体" w:hint="default"/>
                <w:spacing w:val="-3"/>
                <w:sz w:val="18"/>
                <w:szCs w:val="18"/>
              </w:rPr>
              <w:t>一、不能重分类进损益的其他综合</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收益</w:t>
            </w:r>
          </w:p>
        </w:tc>
        <w:tc>
          <w:tcPr>
            <w:tcW w:w="567" w:type="dxa"/>
            <w:tcBorders>
              <w:top w:val="single" w:sz="4" w:space="0" w:color="000000"/>
              <w:left w:val="single" w:sz="10" w:space="0" w:color="D2D2D2"/>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-235,197.97</w:t>
            </w:r>
          </w:p>
        </w:tc>
        <w:tc>
          <w:tcPr>
            <w:tcW w:w="1052"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 w:right="0"/>
              <w:jc w:val="center"/>
              <w:rPr>
                <w:rFonts w:ascii="Times New Roman" w:hAnsi="Times New Roman" w:cs="Times New Roman" w:eastAsia="Times New Roman" w:hint="default"/>
                <w:sz w:val="18"/>
                <w:szCs w:val="18"/>
              </w:rPr>
            </w:pPr>
            <w:r>
              <w:rPr>
                <w:rFonts w:ascii="Times New Roman"/>
                <w:sz w:val="18"/>
              </w:rPr>
              <w:t>-35,89</w:t>
            </w:r>
          </w:p>
          <w:p>
            <w:pPr>
              <w:pStyle w:val="TableParagraph"/>
              <w:spacing w:line="240" w:lineRule="auto" w:before="110"/>
              <w:ind w:left="196" w:right="0"/>
              <w:jc w:val="center"/>
              <w:rPr>
                <w:rFonts w:ascii="Times New Roman" w:hAnsi="Times New Roman" w:cs="Times New Roman" w:eastAsia="Times New Roman" w:hint="default"/>
                <w:sz w:val="18"/>
                <w:szCs w:val="18"/>
              </w:rPr>
            </w:pPr>
            <w:r>
              <w:rPr>
                <w:rFonts w:ascii="Times New Roman"/>
                <w:sz w:val="18"/>
              </w:rPr>
              <w:t>7.04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-80,232.87</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-119,068</w:t>
            </w:r>
          </w:p>
          <w:p>
            <w:pPr>
              <w:pStyle w:val="TableParagraph"/>
              <w:spacing w:line="240" w:lineRule="auto" w:before="110"/>
              <w:ind w:left="451" w:right="0"/>
              <w:jc w:val="left"/>
              <w:rPr>
                <w:rFonts w:ascii="Times New Roman" w:hAnsi="Times New Roman" w:cs="Times New Roman" w:eastAsia="Times New Roman" w:hint="default"/>
                <w:sz w:val="18"/>
                <w:szCs w:val="18"/>
              </w:rPr>
            </w:pPr>
            <w:r>
              <w:rPr>
                <w:rFonts w:ascii="Times New Roman"/>
                <w:sz w:val="18"/>
              </w:rPr>
              <w:t>.06</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left"/>
              <w:rPr>
                <w:rFonts w:ascii="Times New Roman" w:hAnsi="Times New Roman" w:cs="Times New Roman" w:eastAsia="Times New Roman" w:hint="default"/>
                <w:sz w:val="18"/>
                <w:szCs w:val="18"/>
              </w:rPr>
            </w:pPr>
            <w:r>
              <w:rPr>
                <w:rFonts w:ascii="Times New Roman"/>
                <w:sz w:val="18"/>
              </w:rPr>
              <w:t>-80,232</w:t>
            </w:r>
          </w:p>
          <w:p>
            <w:pPr>
              <w:pStyle w:val="TableParagraph"/>
              <w:spacing w:line="240" w:lineRule="auto" w:before="110"/>
              <w:ind w:left="379" w:right="0"/>
              <w:jc w:val="left"/>
              <w:rPr>
                <w:rFonts w:ascii="Times New Roman" w:hAnsi="Times New Roman" w:cs="Times New Roman" w:eastAsia="Times New Roman" w:hint="default"/>
                <w:sz w:val="18"/>
                <w:szCs w:val="18"/>
              </w:rPr>
            </w:pPr>
            <w:r>
              <w:rPr>
                <w:rFonts w:ascii="Times New Roman"/>
                <w:sz w:val="18"/>
              </w:rPr>
              <w:t>.87</w:t>
            </w:r>
          </w:p>
        </w:tc>
      </w:tr>
      <w:tr>
        <w:trPr>
          <w:trHeight w:val="715" w:hRule="exact"/>
        </w:trPr>
        <w:tc>
          <w:tcPr>
            <w:tcW w:w="2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24" w:right="99"/>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spacing w:val="-3"/>
                <w:sz w:val="18"/>
                <w:szCs w:val="18"/>
              </w:rPr>
              <w:t>其他权益工具投资公允价值</w:t>
            </w:r>
            <w:r>
              <w:rPr>
                <w:rFonts w:ascii="宋体" w:hAnsi="宋体" w:cs="宋体" w:eastAsia="宋体" w:hint="default"/>
                <w:w w:val="101"/>
                <w:sz w:val="18"/>
                <w:szCs w:val="18"/>
              </w:rPr>
              <w:t> </w:t>
            </w:r>
            <w:r>
              <w:rPr>
                <w:rFonts w:ascii="宋体" w:hAnsi="宋体" w:cs="宋体" w:eastAsia="宋体" w:hint="default"/>
                <w:sz w:val="18"/>
                <w:szCs w:val="18"/>
              </w:rPr>
              <w:t>变动</w:t>
            </w:r>
          </w:p>
        </w:tc>
        <w:tc>
          <w:tcPr>
            <w:tcW w:w="567" w:type="dxa"/>
            <w:tcBorders>
              <w:top w:val="single" w:sz="4" w:space="0" w:color="000000"/>
              <w:left w:val="single" w:sz="10" w:space="0" w:color="D2D2D2"/>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-235,197.97</w:t>
            </w:r>
          </w:p>
        </w:tc>
        <w:tc>
          <w:tcPr>
            <w:tcW w:w="1052"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 w:right="0"/>
              <w:jc w:val="center"/>
              <w:rPr>
                <w:rFonts w:ascii="Times New Roman" w:hAnsi="Times New Roman" w:cs="Times New Roman" w:eastAsia="Times New Roman" w:hint="default"/>
                <w:sz w:val="18"/>
                <w:szCs w:val="18"/>
              </w:rPr>
            </w:pPr>
            <w:r>
              <w:rPr>
                <w:rFonts w:ascii="Times New Roman"/>
                <w:sz w:val="18"/>
              </w:rPr>
              <w:t>-35,89</w:t>
            </w:r>
          </w:p>
          <w:p>
            <w:pPr>
              <w:pStyle w:val="TableParagraph"/>
              <w:spacing w:line="240" w:lineRule="auto" w:before="105"/>
              <w:ind w:left="196" w:right="0"/>
              <w:jc w:val="center"/>
              <w:rPr>
                <w:rFonts w:ascii="Times New Roman" w:hAnsi="Times New Roman" w:cs="Times New Roman" w:eastAsia="Times New Roman" w:hint="default"/>
                <w:sz w:val="18"/>
                <w:szCs w:val="18"/>
              </w:rPr>
            </w:pPr>
            <w:r>
              <w:rPr>
                <w:rFonts w:ascii="Times New Roman"/>
                <w:sz w:val="18"/>
              </w:rPr>
              <w:t>7.04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-80,232.87</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-119,068</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.06</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left"/>
              <w:rPr>
                <w:rFonts w:ascii="Times New Roman" w:hAnsi="Times New Roman" w:cs="Times New Roman" w:eastAsia="Times New Roman" w:hint="default"/>
                <w:sz w:val="18"/>
                <w:szCs w:val="18"/>
              </w:rPr>
            </w:pPr>
            <w:r>
              <w:rPr>
                <w:rFonts w:ascii="Times New Roman"/>
                <w:sz w:val="18"/>
              </w:rPr>
              <w:t>-80,232</w:t>
            </w:r>
          </w:p>
          <w:p>
            <w:pPr>
              <w:pStyle w:val="TableParagraph"/>
              <w:spacing w:line="240" w:lineRule="auto" w:before="105"/>
              <w:ind w:left="379" w:right="0"/>
              <w:jc w:val="left"/>
              <w:rPr>
                <w:rFonts w:ascii="Times New Roman" w:hAnsi="Times New Roman" w:cs="Times New Roman" w:eastAsia="Times New Roman" w:hint="default"/>
                <w:sz w:val="18"/>
                <w:szCs w:val="18"/>
              </w:rPr>
            </w:pPr>
            <w:r>
              <w:rPr>
                <w:rFonts w:ascii="Times New Roman"/>
                <w:sz w:val="18"/>
              </w:rPr>
              <w:t>.87</w:t>
            </w:r>
          </w:p>
        </w:tc>
      </w:tr>
      <w:tr>
        <w:trPr>
          <w:trHeight w:val="710" w:hRule="exact"/>
        </w:trPr>
        <w:tc>
          <w:tcPr>
            <w:tcW w:w="2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24" w:right="99"/>
              <w:jc w:val="left"/>
              <w:rPr>
                <w:rFonts w:ascii="宋体" w:hAnsi="宋体" w:cs="宋体" w:eastAsia="宋体" w:hint="default"/>
                <w:sz w:val="18"/>
                <w:szCs w:val="18"/>
              </w:rPr>
            </w:pPr>
            <w:r>
              <w:rPr>
                <w:rFonts w:ascii="宋体" w:hAnsi="宋体" w:cs="宋体" w:eastAsia="宋体" w:hint="default"/>
                <w:spacing w:val="-3"/>
                <w:sz w:val="18"/>
                <w:szCs w:val="18"/>
              </w:rPr>
              <w:t>二、将重分类进损益的其他综合收</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益</w:t>
            </w:r>
          </w:p>
        </w:tc>
        <w:tc>
          <w:tcPr>
            <w:tcW w:w="567" w:type="dxa"/>
            <w:tcBorders>
              <w:top w:val="single" w:sz="4" w:space="0" w:color="000000"/>
              <w:left w:val="single" w:sz="10" w:space="0" w:color="D2D2D2"/>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33,380.14</w:t>
            </w:r>
          </w:p>
        </w:tc>
        <w:tc>
          <w:tcPr>
            <w:tcW w:w="1052"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9,525.42</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23,854.7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9,525.4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r>
      <w:tr>
        <w:trPr>
          <w:trHeight w:val="163" w:hRule="exact"/>
        </w:trPr>
        <w:tc>
          <w:tcPr>
            <w:tcW w:w="2838" w:type="dxa"/>
            <w:tcBorders>
              <w:top w:val="single" w:sz="4" w:space="0" w:color="000000"/>
              <w:left w:val="single" w:sz="4" w:space="0" w:color="000000"/>
              <w:bottom w:val="nil" w:sz="6" w:space="0" w:color="auto"/>
              <w:right w:val="single" w:sz="4" w:space="0" w:color="000000"/>
            </w:tcBorders>
            <w:shd w:val="clear" w:color="auto" w:fill="D2D2D2"/>
          </w:tcPr>
          <w:p>
            <w:pPr/>
          </w:p>
        </w:tc>
        <w:tc>
          <w:tcPr>
            <w:tcW w:w="567" w:type="dxa"/>
            <w:vMerge w:val="restart"/>
            <w:tcBorders>
              <w:top w:val="single" w:sz="4" w:space="0" w:color="000000"/>
              <w:left w:val="single" w:sz="4" w:space="0" w:color="000000"/>
              <w:right w:val="single" w:sz="4" w:space="0" w:color="000000"/>
            </w:tcBorders>
          </w:tcPr>
          <w:p>
            <w:pPr/>
          </w:p>
        </w:tc>
        <w:tc>
          <w:tcPr>
            <w:tcW w:w="98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30" w:right="0"/>
              <w:jc w:val="left"/>
              <w:rPr>
                <w:rFonts w:ascii="Times New Roman" w:hAnsi="Times New Roman" w:cs="Times New Roman" w:eastAsia="Times New Roman" w:hint="default"/>
                <w:sz w:val="18"/>
                <w:szCs w:val="18"/>
              </w:rPr>
            </w:pPr>
            <w:r>
              <w:rPr>
                <w:rFonts w:ascii="Times New Roman"/>
                <w:sz w:val="18"/>
              </w:rPr>
              <w:t>33,380.14</w:t>
            </w:r>
          </w:p>
        </w:tc>
        <w:tc>
          <w:tcPr>
            <w:tcW w:w="1052" w:type="dxa"/>
            <w:vMerge w:val="restart"/>
            <w:tcBorders>
              <w:top w:val="single" w:sz="4" w:space="0" w:color="000000"/>
              <w:left w:val="single" w:sz="4" w:space="0" w:color="000000"/>
              <w:right w:val="single" w:sz="4" w:space="0" w:color="000000"/>
            </w:tcBorders>
          </w:tcPr>
          <w:p>
            <w:pPr/>
          </w:p>
        </w:tc>
        <w:tc>
          <w:tcPr>
            <w:tcW w:w="1373" w:type="dxa"/>
            <w:vMerge w:val="restart"/>
            <w:tcBorders>
              <w:top w:val="single" w:sz="4" w:space="0" w:color="000000"/>
              <w:left w:val="single" w:sz="4" w:space="0" w:color="000000"/>
              <w:right w:val="single" w:sz="4" w:space="0" w:color="000000"/>
            </w:tcBorders>
          </w:tcPr>
          <w:p>
            <w:pPr/>
          </w:p>
        </w:tc>
        <w:tc>
          <w:tcPr>
            <w:tcW w:w="566" w:type="dxa"/>
            <w:vMerge w:val="restart"/>
            <w:tcBorders>
              <w:top w:val="single" w:sz="4" w:space="0" w:color="000000"/>
              <w:left w:val="single" w:sz="4" w:space="0" w:color="000000"/>
              <w:right w:val="single" w:sz="4" w:space="0" w:color="000000"/>
            </w:tcBorders>
          </w:tcPr>
          <w:p>
            <w:pP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92" w:right="0"/>
              <w:jc w:val="left"/>
              <w:rPr>
                <w:rFonts w:ascii="Times New Roman" w:hAnsi="Times New Roman" w:cs="Times New Roman" w:eastAsia="Times New Roman" w:hint="default"/>
                <w:sz w:val="18"/>
                <w:szCs w:val="18"/>
              </w:rPr>
            </w:pPr>
            <w:r>
              <w:rPr>
                <w:rFonts w:ascii="Times New Roman"/>
                <w:sz w:val="18"/>
              </w:rPr>
              <w:t>9,525.42</w:t>
            </w:r>
          </w:p>
        </w:tc>
        <w:tc>
          <w:tcPr>
            <w:tcW w:w="711"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23,854.7</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634" w:type="dxa"/>
            <w:vMerge w:val="restart"/>
            <w:tcBorders>
              <w:top w:val="single" w:sz="4" w:space="0" w:color="000000"/>
              <w:left w:val="single" w:sz="4" w:space="0" w:color="000000"/>
              <w:right w:val="single" w:sz="4"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9,525.4</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r>
      <w:tr>
        <w:trPr>
          <w:trHeight w:val="394" w:hRule="exact"/>
        </w:trPr>
        <w:tc>
          <w:tcPr>
            <w:tcW w:w="28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spacing w:val="-3"/>
                <w:sz w:val="18"/>
                <w:szCs w:val="18"/>
              </w:rPr>
              <w:t>外币财务报表折算差额</w:t>
            </w:r>
          </w:p>
        </w:tc>
        <w:tc>
          <w:tcPr>
            <w:tcW w:w="567" w:type="dxa"/>
            <w:vMerge/>
            <w:tcBorders>
              <w:left w:val="single" w:sz="4" w:space="0" w:color="000000"/>
              <w:right w:val="single" w:sz="4" w:space="0" w:color="000000"/>
            </w:tcBorders>
          </w:tcPr>
          <w:p>
            <w:pPr/>
          </w:p>
        </w:tc>
        <w:tc>
          <w:tcPr>
            <w:tcW w:w="980" w:type="dxa"/>
            <w:vMerge/>
            <w:tcBorders>
              <w:left w:val="single" w:sz="4" w:space="0" w:color="000000"/>
              <w:right w:val="single" w:sz="4" w:space="0" w:color="000000"/>
            </w:tcBorders>
          </w:tcPr>
          <w:p>
            <w:pPr/>
          </w:p>
        </w:tc>
        <w:tc>
          <w:tcPr>
            <w:tcW w:w="1052" w:type="dxa"/>
            <w:vMerge/>
            <w:tcBorders>
              <w:left w:val="single" w:sz="4" w:space="0" w:color="000000"/>
              <w:right w:val="single" w:sz="4" w:space="0" w:color="000000"/>
            </w:tcBorders>
          </w:tcPr>
          <w:p>
            <w:pPr/>
          </w:p>
        </w:tc>
        <w:tc>
          <w:tcPr>
            <w:tcW w:w="1373"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11" w:type="dxa"/>
            <w:vMerge/>
            <w:tcBorders>
              <w:left w:val="single" w:sz="4" w:space="0" w:color="000000"/>
              <w:right w:val="single" w:sz="4" w:space="0" w:color="000000"/>
            </w:tcBorders>
          </w:tcPr>
          <w:p>
            <w:pPr/>
          </w:p>
        </w:tc>
        <w:tc>
          <w:tcPr>
            <w:tcW w:w="634" w:type="dxa"/>
            <w:vMerge/>
            <w:tcBorders>
              <w:left w:val="single" w:sz="4" w:space="0" w:color="000000"/>
              <w:right w:val="single" w:sz="4" w:space="0" w:color="000000"/>
            </w:tcBorders>
          </w:tcPr>
          <w:p>
            <w:pPr/>
          </w:p>
        </w:tc>
      </w:tr>
      <w:tr>
        <w:trPr>
          <w:trHeight w:val="158" w:hRule="exact"/>
        </w:trPr>
        <w:tc>
          <w:tcPr>
            <w:tcW w:w="2838" w:type="dxa"/>
            <w:tcBorders>
              <w:top w:val="nil" w:sz="6" w:space="0" w:color="auto"/>
              <w:left w:val="single" w:sz="4" w:space="0" w:color="000000"/>
              <w:bottom w:val="single" w:sz="4" w:space="0" w:color="000000"/>
              <w:right w:val="single" w:sz="4" w:space="0" w:color="000000"/>
            </w:tcBorders>
            <w:shd w:val="clear" w:color="auto" w:fill="D2D2D2"/>
          </w:tcPr>
          <w:p>
            <w:pPr/>
          </w:p>
        </w:tc>
        <w:tc>
          <w:tcPr>
            <w:tcW w:w="567" w:type="dxa"/>
            <w:vMerge/>
            <w:tcBorders>
              <w:left w:val="single" w:sz="4" w:space="0" w:color="000000"/>
              <w:bottom w:val="single" w:sz="4" w:space="0" w:color="000000"/>
              <w:right w:val="single" w:sz="4" w:space="0" w:color="000000"/>
            </w:tcBorders>
          </w:tcPr>
          <w:p>
            <w:pPr/>
          </w:p>
        </w:tc>
        <w:tc>
          <w:tcPr>
            <w:tcW w:w="980" w:type="dxa"/>
            <w:vMerge/>
            <w:tcBorders>
              <w:left w:val="single" w:sz="4" w:space="0" w:color="000000"/>
              <w:bottom w:val="single" w:sz="4" w:space="0" w:color="000000"/>
              <w:right w:val="single" w:sz="4" w:space="0" w:color="000000"/>
            </w:tcBorders>
          </w:tcPr>
          <w:p>
            <w:pPr/>
          </w:p>
        </w:tc>
        <w:tc>
          <w:tcPr>
            <w:tcW w:w="1052" w:type="dxa"/>
            <w:vMerge/>
            <w:tcBorders>
              <w:left w:val="single" w:sz="4" w:space="0" w:color="000000"/>
              <w:bottom w:val="single" w:sz="4" w:space="0" w:color="000000"/>
              <w:right w:val="single" w:sz="4" w:space="0" w:color="000000"/>
            </w:tcBorders>
          </w:tcPr>
          <w:p>
            <w:pPr/>
          </w:p>
        </w:tc>
        <w:tc>
          <w:tcPr>
            <w:tcW w:w="1373"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711" w:type="dxa"/>
            <w:vMerge/>
            <w:tcBorders>
              <w:left w:val="single" w:sz="4" w:space="0" w:color="000000"/>
              <w:bottom w:val="single" w:sz="4" w:space="0" w:color="000000"/>
              <w:right w:val="single" w:sz="4" w:space="0" w:color="000000"/>
            </w:tcBorders>
          </w:tcPr>
          <w:p>
            <w:pPr/>
          </w:p>
        </w:tc>
        <w:tc>
          <w:tcPr>
            <w:tcW w:w="634" w:type="dxa"/>
            <w:vMerge/>
            <w:tcBorders>
              <w:left w:val="single" w:sz="4" w:space="0" w:color="000000"/>
              <w:bottom w:val="single" w:sz="4" w:space="0" w:color="000000"/>
              <w:right w:val="single" w:sz="4" w:space="0" w:color="000000"/>
            </w:tcBorders>
          </w:tcPr>
          <w:p>
            <w:pPr/>
          </w:p>
        </w:tc>
      </w:tr>
      <w:tr>
        <w:trPr>
          <w:trHeight w:val="163" w:hRule="exact"/>
        </w:trPr>
        <w:tc>
          <w:tcPr>
            <w:tcW w:w="2838" w:type="dxa"/>
            <w:tcBorders>
              <w:top w:val="single" w:sz="4" w:space="0" w:color="000000"/>
              <w:left w:val="single" w:sz="4" w:space="0" w:color="000000"/>
              <w:bottom w:val="nil" w:sz="6" w:space="0" w:color="auto"/>
              <w:right w:val="single" w:sz="4" w:space="0" w:color="000000"/>
            </w:tcBorders>
            <w:shd w:val="clear" w:color="auto" w:fill="D2D2D2"/>
          </w:tcPr>
          <w:p>
            <w:pPr/>
          </w:p>
        </w:tc>
        <w:tc>
          <w:tcPr>
            <w:tcW w:w="567" w:type="dxa"/>
            <w:vMerge w:val="restart"/>
            <w:tcBorders>
              <w:top w:val="single" w:sz="4" w:space="0" w:color="000000"/>
              <w:left w:val="single" w:sz="4" w:space="0" w:color="000000"/>
              <w:right w:val="single" w:sz="4" w:space="0" w:color="000000"/>
            </w:tcBorders>
          </w:tcPr>
          <w:p>
            <w:pPr/>
          </w:p>
        </w:tc>
        <w:tc>
          <w:tcPr>
            <w:tcW w:w="98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-201,817.83</w:t>
            </w:r>
          </w:p>
        </w:tc>
        <w:tc>
          <w:tcPr>
            <w:tcW w:w="1052" w:type="dxa"/>
            <w:vMerge w:val="restart"/>
            <w:tcBorders>
              <w:top w:val="single" w:sz="4" w:space="0" w:color="000000"/>
              <w:left w:val="single" w:sz="4" w:space="0" w:color="000000"/>
              <w:right w:val="single" w:sz="4" w:space="0" w:color="000000"/>
            </w:tcBorders>
          </w:tcPr>
          <w:p>
            <w:pPr/>
          </w:p>
        </w:tc>
        <w:tc>
          <w:tcPr>
            <w:tcW w:w="1373" w:type="dxa"/>
            <w:vMerge w:val="restart"/>
            <w:tcBorders>
              <w:top w:val="single" w:sz="4" w:space="0" w:color="000000"/>
              <w:left w:val="single" w:sz="4" w:space="0" w:color="000000"/>
              <w:right w:val="single" w:sz="4" w:space="0" w:color="000000"/>
            </w:tcBorders>
          </w:tcPr>
          <w:p>
            <w:pPr/>
          </w:p>
        </w:tc>
        <w:tc>
          <w:tcPr>
            <w:tcW w:w="566" w:type="dxa"/>
            <w:vMerge w:val="restart"/>
            <w:tcBorders>
              <w:top w:val="single" w:sz="4" w:space="0" w:color="000000"/>
              <w:left w:val="single" w:sz="4" w:space="0" w:color="000000"/>
              <w:right w:val="single" w:sz="4" w:space="0" w:color="000000"/>
            </w:tcBorders>
          </w:tcPr>
          <w:p>
            <w:pPr>
              <w:pStyle w:val="TableParagraph"/>
              <w:spacing w:line="240" w:lineRule="auto" w:before="91"/>
              <w:ind w:left="47" w:right="0"/>
              <w:jc w:val="center"/>
              <w:rPr>
                <w:rFonts w:ascii="Times New Roman" w:hAnsi="Times New Roman" w:cs="Times New Roman" w:eastAsia="Times New Roman" w:hint="default"/>
                <w:sz w:val="18"/>
                <w:szCs w:val="18"/>
              </w:rPr>
            </w:pPr>
            <w:r>
              <w:rPr>
                <w:rFonts w:ascii="Times New Roman"/>
                <w:sz w:val="18"/>
              </w:rPr>
              <w:t>-35,89</w:t>
            </w:r>
          </w:p>
          <w:p>
            <w:pPr>
              <w:pStyle w:val="TableParagraph"/>
              <w:spacing w:line="240" w:lineRule="auto" w:before="110"/>
              <w:ind w:left="196" w:right="0"/>
              <w:jc w:val="center"/>
              <w:rPr>
                <w:rFonts w:ascii="Times New Roman" w:hAnsi="Times New Roman" w:cs="Times New Roman" w:eastAsia="Times New Roman" w:hint="default"/>
                <w:sz w:val="18"/>
                <w:szCs w:val="18"/>
              </w:rPr>
            </w:pPr>
            <w:r>
              <w:rPr>
                <w:rFonts w:ascii="Times New Roman"/>
                <w:sz w:val="18"/>
              </w:rPr>
              <w:t>7.04</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-70,707.45</w:t>
            </w:r>
          </w:p>
        </w:tc>
        <w:tc>
          <w:tcPr>
            <w:tcW w:w="711"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-95,213.</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34</w:t>
            </w:r>
          </w:p>
        </w:tc>
        <w:tc>
          <w:tcPr>
            <w:tcW w:w="634" w:type="dxa"/>
            <w:vMerge w:val="restart"/>
            <w:tcBorders>
              <w:top w:val="single" w:sz="4" w:space="0" w:color="000000"/>
              <w:left w:val="single" w:sz="4" w:space="0" w:color="000000"/>
              <w:right w:val="single" w:sz="4" w:space="0" w:color="000000"/>
            </w:tcBorders>
          </w:tcPr>
          <w:p>
            <w:pPr>
              <w:pStyle w:val="TableParagraph"/>
              <w:spacing w:line="240" w:lineRule="auto" w:before="91"/>
              <w:ind w:left="48" w:right="0"/>
              <w:jc w:val="left"/>
              <w:rPr>
                <w:rFonts w:ascii="Times New Roman" w:hAnsi="Times New Roman" w:cs="Times New Roman" w:eastAsia="Times New Roman" w:hint="default"/>
                <w:sz w:val="18"/>
                <w:szCs w:val="18"/>
              </w:rPr>
            </w:pPr>
            <w:r>
              <w:rPr>
                <w:rFonts w:ascii="Times New Roman"/>
                <w:sz w:val="18"/>
              </w:rPr>
              <w:t>-70,707</w:t>
            </w:r>
          </w:p>
          <w:p>
            <w:pPr>
              <w:pStyle w:val="TableParagraph"/>
              <w:spacing w:line="240" w:lineRule="auto" w:before="110"/>
              <w:ind w:left="379" w:right="0"/>
              <w:jc w:val="left"/>
              <w:rPr>
                <w:rFonts w:ascii="Times New Roman" w:hAnsi="Times New Roman" w:cs="Times New Roman" w:eastAsia="Times New Roman" w:hint="default"/>
                <w:sz w:val="18"/>
                <w:szCs w:val="18"/>
              </w:rPr>
            </w:pPr>
            <w:r>
              <w:rPr>
                <w:rFonts w:ascii="Times New Roman"/>
                <w:sz w:val="18"/>
              </w:rPr>
              <w:t>.45</w:t>
            </w:r>
          </w:p>
        </w:tc>
      </w:tr>
      <w:tr>
        <w:trPr>
          <w:trHeight w:val="389" w:hRule="exact"/>
        </w:trPr>
        <w:tc>
          <w:tcPr>
            <w:tcW w:w="28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567" w:type="dxa"/>
            <w:vMerge/>
            <w:tcBorders>
              <w:left w:val="single" w:sz="4" w:space="0" w:color="000000"/>
              <w:right w:val="single" w:sz="4" w:space="0" w:color="000000"/>
            </w:tcBorders>
          </w:tcPr>
          <w:p>
            <w:pPr/>
          </w:p>
        </w:tc>
        <w:tc>
          <w:tcPr>
            <w:tcW w:w="980" w:type="dxa"/>
            <w:vMerge/>
            <w:tcBorders>
              <w:left w:val="single" w:sz="4" w:space="0" w:color="000000"/>
              <w:right w:val="single" w:sz="4" w:space="0" w:color="000000"/>
            </w:tcBorders>
          </w:tcPr>
          <w:p>
            <w:pPr/>
          </w:p>
        </w:tc>
        <w:tc>
          <w:tcPr>
            <w:tcW w:w="1052" w:type="dxa"/>
            <w:vMerge/>
            <w:tcBorders>
              <w:left w:val="single" w:sz="4" w:space="0" w:color="000000"/>
              <w:right w:val="single" w:sz="4" w:space="0" w:color="000000"/>
            </w:tcBorders>
          </w:tcPr>
          <w:p>
            <w:pPr/>
          </w:p>
        </w:tc>
        <w:tc>
          <w:tcPr>
            <w:tcW w:w="1373"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11" w:type="dxa"/>
            <w:vMerge/>
            <w:tcBorders>
              <w:left w:val="single" w:sz="4" w:space="0" w:color="000000"/>
              <w:right w:val="single" w:sz="4" w:space="0" w:color="000000"/>
            </w:tcBorders>
          </w:tcPr>
          <w:p>
            <w:pPr/>
          </w:p>
        </w:tc>
        <w:tc>
          <w:tcPr>
            <w:tcW w:w="634" w:type="dxa"/>
            <w:vMerge/>
            <w:tcBorders>
              <w:left w:val="single" w:sz="4" w:space="0" w:color="000000"/>
              <w:right w:val="single" w:sz="4" w:space="0" w:color="000000"/>
            </w:tcBorders>
          </w:tcPr>
          <w:p>
            <w:pPr/>
          </w:p>
        </w:tc>
      </w:tr>
      <w:tr>
        <w:trPr>
          <w:trHeight w:val="163" w:hRule="exact"/>
        </w:trPr>
        <w:tc>
          <w:tcPr>
            <w:tcW w:w="2838" w:type="dxa"/>
            <w:tcBorders>
              <w:top w:val="nil" w:sz="6" w:space="0" w:color="auto"/>
              <w:left w:val="single" w:sz="4" w:space="0" w:color="000000"/>
              <w:bottom w:val="single" w:sz="4" w:space="0" w:color="000000"/>
              <w:right w:val="single" w:sz="4" w:space="0" w:color="000000"/>
            </w:tcBorders>
            <w:shd w:val="clear" w:color="auto" w:fill="D2D2D2"/>
          </w:tcPr>
          <w:p>
            <w:pPr/>
          </w:p>
        </w:tc>
        <w:tc>
          <w:tcPr>
            <w:tcW w:w="567" w:type="dxa"/>
            <w:vMerge/>
            <w:tcBorders>
              <w:left w:val="single" w:sz="4" w:space="0" w:color="000000"/>
              <w:bottom w:val="single" w:sz="4" w:space="0" w:color="000000"/>
              <w:right w:val="single" w:sz="4" w:space="0" w:color="000000"/>
            </w:tcBorders>
          </w:tcPr>
          <w:p>
            <w:pPr/>
          </w:p>
        </w:tc>
        <w:tc>
          <w:tcPr>
            <w:tcW w:w="980" w:type="dxa"/>
            <w:vMerge/>
            <w:tcBorders>
              <w:left w:val="single" w:sz="4" w:space="0" w:color="000000"/>
              <w:bottom w:val="single" w:sz="4" w:space="0" w:color="000000"/>
              <w:right w:val="single" w:sz="4" w:space="0" w:color="000000"/>
            </w:tcBorders>
          </w:tcPr>
          <w:p>
            <w:pPr/>
          </w:p>
        </w:tc>
        <w:tc>
          <w:tcPr>
            <w:tcW w:w="1052" w:type="dxa"/>
            <w:vMerge/>
            <w:tcBorders>
              <w:left w:val="single" w:sz="4" w:space="0" w:color="000000"/>
              <w:bottom w:val="single" w:sz="4" w:space="0" w:color="000000"/>
              <w:right w:val="single" w:sz="4" w:space="0" w:color="000000"/>
            </w:tcBorders>
          </w:tcPr>
          <w:p>
            <w:pPr/>
          </w:p>
        </w:tc>
        <w:tc>
          <w:tcPr>
            <w:tcW w:w="1373"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711" w:type="dxa"/>
            <w:vMerge/>
            <w:tcBorders>
              <w:left w:val="single" w:sz="4" w:space="0" w:color="000000"/>
              <w:bottom w:val="single" w:sz="4" w:space="0" w:color="000000"/>
              <w:right w:val="single" w:sz="4" w:space="0" w:color="000000"/>
            </w:tcBorders>
          </w:tcPr>
          <w:p>
            <w:pPr/>
          </w:p>
        </w:tc>
        <w:tc>
          <w:tcPr>
            <w:tcW w:w="634" w:type="dxa"/>
            <w:vMerge/>
            <w:tcBorders>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855"/>
        <w:jc w:val="left"/>
        <w:rPr>
          <w:b w:val="0"/>
          <w:bCs w:val="0"/>
        </w:rPr>
      </w:pPr>
      <w:r>
        <w:rPr>
          <w:rFonts w:ascii="Times New Roman" w:hAnsi="Times New Roman" w:cs="Times New Roman" w:eastAsia="Times New Roman" w:hint="default"/>
        </w:rPr>
        <w:t>34</w:t>
      </w:r>
      <w:r>
        <w:rPr/>
        <w:t>、盈余公积</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6"/>
        <w:ind w:left="0" w:right="1121"/>
        <w:jc w:val="right"/>
      </w:pPr>
      <w:r>
        <w:rPr/>
        <w:t>单位：</w:t>
      </w:r>
      <w:r>
        <w:rPr>
          <w:spacing w:val="5"/>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1"/>
        <w:gridCol w:w="1921"/>
        <w:gridCol w:w="1911"/>
        <w:gridCol w:w="1916"/>
        <w:gridCol w:w="1916"/>
      </w:tblGrid>
      <w:tr>
        <w:trPr>
          <w:trHeight w:val="398"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71,357,637.85</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2,040,259.60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73,397,897.45</w:t>
            </w:r>
          </w:p>
        </w:tc>
      </w:tr>
      <w:tr>
        <w:trPr>
          <w:trHeight w:val="404"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任意盈余公积</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11,232,558.71</w:t>
            </w: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11,232,558.71</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82,590,196.56</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2,040,259.60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84,630,456.16</w:t>
            </w:r>
          </w:p>
        </w:tc>
      </w:tr>
    </w:tbl>
    <w:p>
      <w:pPr>
        <w:spacing w:line="240" w:lineRule="auto" w:before="3"/>
        <w:rPr>
          <w:rFonts w:ascii="宋体" w:hAnsi="宋体" w:cs="宋体" w:eastAsia="宋体" w:hint="default"/>
          <w:sz w:val="19"/>
          <w:szCs w:val="19"/>
        </w:rPr>
      </w:pPr>
    </w:p>
    <w:p>
      <w:pPr>
        <w:pStyle w:val="Heading4"/>
        <w:spacing w:line="240" w:lineRule="auto" w:before="36"/>
        <w:ind w:right="855"/>
        <w:jc w:val="left"/>
        <w:rPr>
          <w:b w:val="0"/>
          <w:bCs w:val="0"/>
        </w:rPr>
      </w:pPr>
      <w:r>
        <w:rPr>
          <w:rFonts w:ascii="Times New Roman" w:hAnsi="Times New Roman" w:cs="Times New Roman" w:eastAsia="Times New Roman" w:hint="default"/>
        </w:rPr>
        <w:t>35</w:t>
      </w:r>
      <w:r>
        <w:rPr/>
        <w:t>、未分配利润</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6"/>
        <w:ind w:left="0" w:right="1121"/>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726"/>
        <w:gridCol w:w="2925"/>
        <w:gridCol w:w="2919"/>
      </w:tblGrid>
      <w:tr>
        <w:trPr>
          <w:trHeight w:val="403"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3"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调整前上期末未分配利润</w:t>
            </w:r>
          </w:p>
        </w:tc>
        <w:tc>
          <w:tcPr>
            <w:tcW w:w="2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387,394,501.93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322,953,434.90</w:t>
            </w:r>
          </w:p>
        </w:tc>
      </w:tr>
      <w:tr>
        <w:trPr>
          <w:trHeight w:val="401"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调整期初未分配利润合计数（调增</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，调减</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p>
        </w:tc>
        <w:tc>
          <w:tcPr>
            <w:tcW w:w="2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-1,990,840.58</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8"/>
              <w:jc w:val="right"/>
              <w:rPr>
                <w:rFonts w:ascii="Times New Roman" w:hAnsi="Times New Roman" w:cs="Times New Roman" w:eastAsia="Times New Roman" w:hint="default"/>
                <w:sz w:val="18"/>
                <w:szCs w:val="18"/>
              </w:rPr>
            </w:pPr>
            <w:r>
              <w:rPr>
                <w:rFonts w:ascii="Times New Roman"/>
                <w:spacing w:val="-1"/>
                <w:sz w:val="18"/>
              </w:rPr>
              <w:t>385,403,661.35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8"/>
              <w:jc w:val="right"/>
              <w:rPr>
                <w:rFonts w:ascii="Times New Roman" w:hAnsi="Times New Roman" w:cs="Times New Roman" w:eastAsia="Times New Roman" w:hint="default"/>
                <w:sz w:val="18"/>
                <w:szCs w:val="18"/>
              </w:rPr>
            </w:pPr>
            <w:r>
              <w:rPr>
                <w:rFonts w:ascii="Times New Roman"/>
                <w:spacing w:val="-1"/>
                <w:sz w:val="18"/>
              </w:rPr>
              <w:t>322,953,434.90</w:t>
            </w:r>
          </w:p>
        </w:tc>
      </w:tr>
      <w:tr>
        <w:trPr>
          <w:trHeight w:val="403"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加：本期归属于母公司所有者的净利润</w:t>
            </w:r>
          </w:p>
        </w:tc>
        <w:tc>
          <w:tcPr>
            <w:tcW w:w="2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59,178,171.08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74,771,358.39</w:t>
            </w:r>
          </w:p>
        </w:tc>
      </w:tr>
      <w:tr>
        <w:trPr>
          <w:trHeight w:val="403"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2,040,259.60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5,398,170.44</w:t>
            </w:r>
          </w:p>
        </w:tc>
      </w:tr>
    </w:tbl>
    <w:p>
      <w:pPr>
        <w:spacing w:after="0" w:line="240" w:lineRule="auto"/>
        <w:jc w:val="right"/>
        <w:rPr>
          <w:rFonts w:ascii="Times New Roman" w:hAnsi="Times New Roman" w:cs="Times New Roman" w:eastAsia="Times New Roman" w:hint="default"/>
          <w:sz w:val="18"/>
          <w:szCs w:val="18"/>
        </w:rPr>
        <w:sectPr>
          <w:pgSz w:w="11910" w:h="16840"/>
          <w:pgMar w:header="746" w:footer="974"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726"/>
        <w:gridCol w:w="2925"/>
        <w:gridCol w:w="2919"/>
      </w:tblGrid>
      <w:tr>
        <w:trPr>
          <w:trHeight w:val="403"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应付普通股股利</w:t>
            </w:r>
          </w:p>
        </w:tc>
        <w:tc>
          <w:tcPr>
            <w:tcW w:w="2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12,330,302.30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4,932,120.92</w:t>
            </w:r>
          </w:p>
        </w:tc>
      </w:tr>
      <w:tr>
        <w:trPr>
          <w:trHeight w:val="398" w:hRule="exact"/>
        </w:trPr>
        <w:tc>
          <w:tcPr>
            <w:tcW w:w="3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其它调整因素</w:t>
            </w:r>
          </w:p>
        </w:tc>
        <w:tc>
          <w:tcPr>
            <w:tcW w:w="2925" w:type="dxa"/>
            <w:tcBorders>
              <w:top w:val="single" w:sz="4" w:space="0" w:color="000000"/>
              <w:left w:val="single" w:sz="4" w:space="0" w:color="000000"/>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pacing w:val="-3"/>
                <w:sz w:val="18"/>
                <w:szCs w:val="18"/>
              </w:rPr>
              <w:t>期末未分配利润</w:t>
            </w:r>
          </w:p>
        </w:tc>
        <w:tc>
          <w:tcPr>
            <w:tcW w:w="2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8"/>
                <w:szCs w:val="18"/>
              </w:rPr>
            </w:pPr>
            <w:r>
              <w:rPr>
                <w:rFonts w:ascii="Times New Roman"/>
                <w:spacing w:val="-2"/>
                <w:sz w:val="18"/>
              </w:rPr>
              <w:t>430,211,270.53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8"/>
                <w:szCs w:val="18"/>
              </w:rPr>
            </w:pPr>
            <w:r>
              <w:rPr>
                <w:rFonts w:ascii="Times New Roman"/>
                <w:spacing w:val="-1"/>
                <w:sz w:val="18"/>
              </w:rPr>
              <w:t>387,394,501.93</w:t>
            </w:r>
          </w:p>
        </w:tc>
      </w:tr>
    </w:tbl>
    <w:p>
      <w:pPr>
        <w:pStyle w:val="BodyText"/>
        <w:spacing w:line="240" w:lineRule="auto" w:before="53"/>
        <w:ind w:right="855"/>
        <w:jc w:val="left"/>
      </w:pPr>
      <w:r>
        <w:rPr>
          <w:spacing w:val="-3"/>
        </w:rPr>
        <w:t>调整期初未分配利润明细：</w:t>
      </w:r>
    </w:p>
    <w:p>
      <w:pPr>
        <w:pStyle w:val="BodyText"/>
        <w:spacing w:line="240" w:lineRule="auto" w:before="115"/>
        <w:ind w:left="513" w:right="855"/>
        <w:jc w:val="left"/>
      </w:pPr>
      <w:r>
        <w:rPr>
          <w:rFonts w:ascii="Times New Roman" w:hAnsi="Times New Roman" w:cs="Times New Roman" w:eastAsia="Times New Roman" w:hint="default"/>
          <w:spacing w:val="-2"/>
        </w:rPr>
        <w:t>1)</w:t>
      </w:r>
      <w:r>
        <w:rPr>
          <w:spacing w:val="-2"/>
        </w:rPr>
        <w:t>、由于《企业会计准则》及其相关新规定进行追溯调整，影响期初未分配利润</w:t>
      </w:r>
      <w:r>
        <w:rPr>
          <w:rFonts w:ascii="Times New Roman" w:hAnsi="Times New Roman" w:cs="Times New Roman" w:eastAsia="Times New Roman" w:hint="default"/>
          <w:spacing w:val="-2"/>
        </w:rPr>
        <w:t>-1,990,840.58</w:t>
      </w:r>
      <w:r>
        <w:rPr>
          <w:rFonts w:ascii="Times New Roman" w:hAnsi="Times New Roman" w:cs="Times New Roman" w:eastAsia="Times New Roman" w:hint="default"/>
        </w:rPr>
        <w:t>  </w:t>
      </w:r>
      <w:r>
        <w:rPr>
          <w:rFonts w:ascii="Times New Roman" w:hAnsi="Times New Roman" w:cs="Times New Roman" w:eastAsia="Times New Roman" w:hint="default"/>
          <w:spacing w:val="8"/>
        </w:rPr>
        <w:t> </w:t>
      </w:r>
      <w:r>
        <w:rPr/>
        <w:t>元。</w:t>
      </w:r>
    </w:p>
    <w:p>
      <w:pPr>
        <w:pStyle w:val="BodyText"/>
        <w:spacing w:line="240" w:lineRule="auto" w:before="101"/>
        <w:ind w:left="513" w:right="855"/>
        <w:jc w:val="left"/>
      </w:pPr>
      <w:r>
        <w:rPr>
          <w:rFonts w:ascii="Times New Roman" w:hAnsi="Times New Roman" w:cs="Times New Roman" w:eastAsia="Times New Roman" w:hint="default"/>
          <w:spacing w:val="-3"/>
        </w:rPr>
        <w:t>2)</w:t>
      </w:r>
      <w:r>
        <w:rPr>
          <w:spacing w:val="-3"/>
        </w:rPr>
        <w:t>、由于会计政策变更，影响期初未分配利润 </w:t>
      </w:r>
      <w:r>
        <w:rPr>
          <w:rFonts w:ascii="Times New Roman" w:hAnsi="Times New Roman" w:cs="Times New Roman" w:eastAsia="Times New Roman" w:hint="default"/>
        </w:rPr>
        <w:t>0.00</w:t>
      </w:r>
      <w:r>
        <w:rPr>
          <w:rFonts w:ascii="Times New Roman" w:hAnsi="Times New Roman" w:cs="Times New Roman" w:eastAsia="Times New Roman" w:hint="default"/>
          <w:spacing w:val="22"/>
        </w:rPr>
        <w:t> </w:t>
      </w:r>
      <w:r>
        <w:rPr/>
        <w:t>元。</w:t>
      </w:r>
    </w:p>
    <w:p>
      <w:pPr>
        <w:pStyle w:val="BodyText"/>
        <w:spacing w:line="240" w:lineRule="auto" w:before="106"/>
        <w:ind w:left="513" w:right="855"/>
        <w:jc w:val="left"/>
      </w:pPr>
      <w:r>
        <w:rPr>
          <w:rFonts w:ascii="Times New Roman" w:hAnsi="Times New Roman" w:cs="Times New Roman" w:eastAsia="Times New Roman" w:hint="default"/>
          <w:spacing w:val="-3"/>
        </w:rPr>
        <w:t>3)</w:t>
      </w:r>
      <w:r>
        <w:rPr>
          <w:spacing w:val="-3"/>
        </w:rPr>
        <w:t>、由于重大会计差错更正，影响期初未分配利润 </w:t>
      </w:r>
      <w:r>
        <w:rPr>
          <w:rFonts w:ascii="Times New Roman" w:hAnsi="Times New Roman" w:cs="Times New Roman" w:eastAsia="Times New Roman" w:hint="default"/>
        </w:rPr>
        <w:t>0.00</w:t>
      </w:r>
      <w:r>
        <w:rPr>
          <w:rFonts w:ascii="Times New Roman" w:hAnsi="Times New Roman" w:cs="Times New Roman" w:eastAsia="Times New Roman" w:hint="default"/>
          <w:spacing w:val="28"/>
        </w:rPr>
        <w:t> </w:t>
      </w:r>
      <w:r>
        <w:rPr/>
        <w:t>元。</w:t>
      </w:r>
    </w:p>
    <w:p>
      <w:pPr>
        <w:pStyle w:val="BodyText"/>
        <w:spacing w:line="240" w:lineRule="auto" w:before="101"/>
        <w:ind w:left="513" w:right="855"/>
        <w:jc w:val="left"/>
      </w:pPr>
      <w:r>
        <w:rPr>
          <w:rFonts w:ascii="Times New Roman" w:hAnsi="Times New Roman" w:cs="Times New Roman" w:eastAsia="Times New Roman" w:hint="default"/>
          <w:spacing w:val="-3"/>
        </w:rPr>
        <w:t>4)</w:t>
      </w:r>
      <w:r>
        <w:rPr>
          <w:spacing w:val="-3"/>
        </w:rPr>
        <w:t>、由于同一控制导致的合并范围变更，影响期初未分配利润 </w:t>
      </w:r>
      <w:r>
        <w:rPr>
          <w:rFonts w:ascii="Times New Roman" w:hAnsi="Times New Roman" w:cs="Times New Roman" w:eastAsia="Times New Roman" w:hint="default"/>
        </w:rPr>
        <w:t>0.00</w:t>
      </w:r>
      <w:r>
        <w:rPr>
          <w:rFonts w:ascii="Times New Roman" w:hAnsi="Times New Roman" w:cs="Times New Roman" w:eastAsia="Times New Roman" w:hint="default"/>
          <w:spacing w:val="40"/>
        </w:rPr>
        <w:t> </w:t>
      </w:r>
      <w:r>
        <w:rPr/>
        <w:t>元。</w:t>
      </w:r>
    </w:p>
    <w:p>
      <w:pPr>
        <w:pStyle w:val="BodyText"/>
        <w:spacing w:line="240" w:lineRule="auto" w:before="101"/>
        <w:ind w:left="513" w:right="855"/>
        <w:jc w:val="left"/>
      </w:pPr>
      <w:r>
        <w:rPr>
          <w:rFonts w:ascii="Times New Roman" w:hAnsi="Times New Roman" w:cs="Times New Roman" w:eastAsia="Times New Roman" w:hint="default"/>
        </w:rPr>
        <w:t>5)</w:t>
      </w:r>
      <w:r>
        <w:rPr/>
        <w:t>、其他调整合计影响期初未分配利润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4"/>
        </w:rPr>
        <w:t> </w:t>
      </w:r>
      <w:r>
        <w:rPr>
          <w:spacing w:val="-5"/>
        </w:rPr>
        <w:t>元。</w:t>
      </w:r>
      <w:r>
        <w:rPr/>
      </w:r>
    </w:p>
    <w:p>
      <w:pPr>
        <w:spacing w:line="240" w:lineRule="auto" w:before="13"/>
        <w:rPr>
          <w:rFonts w:ascii="宋体" w:hAnsi="宋体" w:cs="宋体" w:eastAsia="宋体" w:hint="default"/>
          <w:sz w:val="25"/>
          <w:szCs w:val="25"/>
        </w:rPr>
      </w:pPr>
    </w:p>
    <w:p>
      <w:pPr>
        <w:pStyle w:val="Heading4"/>
        <w:spacing w:line="240" w:lineRule="auto"/>
        <w:ind w:right="855"/>
        <w:jc w:val="left"/>
        <w:rPr>
          <w:b w:val="0"/>
          <w:bCs w:val="0"/>
        </w:rPr>
      </w:pPr>
      <w:r>
        <w:rPr>
          <w:rFonts w:ascii="Times New Roman" w:hAnsi="Times New Roman" w:cs="Times New Roman" w:eastAsia="Times New Roman" w:hint="default"/>
        </w:rPr>
        <w:t>36</w:t>
      </w:r>
      <w:r>
        <w:rPr/>
        <w:t>、营业收入和营业成本</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1"/>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1"/>
        <w:gridCol w:w="1921"/>
        <w:gridCol w:w="1911"/>
        <w:gridCol w:w="1916"/>
        <w:gridCol w:w="1916"/>
      </w:tblGrid>
      <w:tr>
        <w:trPr>
          <w:trHeight w:val="403" w:hRule="exact"/>
        </w:trPr>
        <w:tc>
          <w:tcPr>
            <w:tcW w:w="19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98" w:hRule="exact"/>
        </w:trPr>
        <w:tc>
          <w:tcPr>
            <w:tcW w:w="1911" w:type="dxa"/>
            <w:vMerge/>
            <w:tcBorders>
              <w:left w:val="single" w:sz="4" w:space="0" w:color="000000"/>
              <w:bottom w:val="single" w:sz="4" w:space="0" w:color="000000"/>
              <w:right w:val="single" w:sz="4" w:space="0" w:color="000000"/>
            </w:tcBorders>
            <w:shd w:val="clear" w:color="auto" w:fill="D2D2D2"/>
          </w:tcPr>
          <w:p>
            <w:pPr/>
          </w:p>
        </w:tc>
        <w:tc>
          <w:tcPr>
            <w:tcW w:w="1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3,276,115,014.84</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2"/>
                <w:sz w:val="18"/>
              </w:rPr>
              <w:t>2,522,957,676.29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2,753,094,617.21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2,116,758,364.53</w:t>
            </w:r>
          </w:p>
        </w:tc>
      </w:tr>
      <w:tr>
        <w:trPr>
          <w:trHeight w:val="404"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27,252,413.35</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6,259,657.50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26,708,537.06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15,710,636.82</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3,303,367,428.19</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2,529,217,333.79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2,779,803,154.27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2,132,469,001.35</w:t>
            </w:r>
          </w:p>
        </w:tc>
      </w:tr>
    </w:tbl>
    <w:p>
      <w:pPr>
        <w:pStyle w:val="BodyText"/>
        <w:spacing w:line="240" w:lineRule="auto" w:before="53"/>
        <w:ind w:right="855"/>
        <w:jc w:val="left"/>
      </w:pPr>
      <w:r>
        <w:rPr/>
        <w:t>是否已执行新收入准则</w:t>
      </w:r>
    </w:p>
    <w:p>
      <w:pPr>
        <w:pStyle w:val="BodyText"/>
        <w:spacing w:line="343" w:lineRule="auto" w:before="110"/>
        <w:ind w:right="986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w:t>
      </w:r>
      <w:r>
        <w:rPr>
          <w:w w:val="101"/>
        </w:rPr>
        <w:t> </w:t>
      </w:r>
      <w:r>
        <w:rPr/>
        <w:t>其他说明</w:t>
      </w:r>
    </w:p>
    <w:p>
      <w:pPr>
        <w:spacing w:line="240" w:lineRule="auto" w:before="11"/>
        <w:rPr>
          <w:rFonts w:ascii="宋体" w:hAnsi="宋体" w:cs="宋体" w:eastAsia="宋体" w:hint="default"/>
          <w:sz w:val="15"/>
          <w:szCs w:val="15"/>
        </w:rPr>
      </w:pPr>
    </w:p>
    <w:p>
      <w:pPr>
        <w:pStyle w:val="Heading3"/>
        <w:spacing w:line="240" w:lineRule="auto" w:before="0"/>
        <w:ind w:right="855"/>
        <w:jc w:val="left"/>
        <w:rPr>
          <w:rFonts w:ascii="Times New Roman" w:hAnsi="Times New Roman" w:cs="Times New Roman" w:eastAsia="Times New Roman" w:hint="default"/>
        </w:rPr>
      </w:pPr>
      <w:r>
        <w:rPr/>
        <w:t>（</w:t>
      </w:r>
      <w:r>
        <w:rPr>
          <w:rFonts w:ascii="Times New Roman" w:hAnsi="Times New Roman" w:cs="Times New Roman" w:eastAsia="Times New Roman" w:hint="default"/>
        </w:rPr>
        <w:t>1</w:t>
      </w:r>
      <w:r>
        <w:rPr/>
        <w:t>）主营业务</w:t>
      </w:r>
      <w:r>
        <w:rPr>
          <w:rFonts w:ascii="Times New Roman" w:hAnsi="Times New Roman" w:cs="Times New Roman" w:eastAsia="Times New Roman" w:hint="default"/>
        </w:rPr>
        <w:t>(</w:t>
      </w:r>
      <w:r>
        <w:rPr/>
        <w:t>按行业</w:t>
      </w:r>
      <w:r>
        <w:rPr>
          <w:rFonts w:ascii="Times New Roman" w:hAnsi="Times New Roman" w:cs="Times New Roman" w:eastAsia="Times New Roman" w:hint="default"/>
        </w:rPr>
        <w:t>)</w:t>
      </w:r>
    </w:p>
    <w:p>
      <w:pPr>
        <w:spacing w:line="240" w:lineRule="auto" w:before="3"/>
        <w:rPr>
          <w:rFonts w:ascii="Times New Roman" w:hAnsi="Times New Roman" w:cs="Times New Roman" w:eastAsia="Times New Roman" w:hint="default"/>
          <w:sz w:val="20"/>
          <w:szCs w:val="20"/>
        </w:rPr>
      </w:pPr>
    </w:p>
    <w:p>
      <w:pPr>
        <w:pStyle w:val="BodyText"/>
        <w:spacing w:line="240" w:lineRule="auto" w:before="46"/>
        <w:ind w:left="0" w:right="1035"/>
        <w:jc w:val="right"/>
        <w:rPr>
          <w:rFonts w:ascii="宋体" w:hAnsi="宋体" w:cs="宋体" w:eastAsia="宋体" w:hint="default"/>
        </w:rPr>
      </w:pPr>
      <w:r>
        <w:rPr>
          <w:spacing w:val="-3"/>
        </w:rPr>
        <w:t>单位：元</w:t>
      </w:r>
      <w:r>
        <w:rPr>
          <w:rFonts w:ascii="宋体" w:hAnsi="宋体" w:cs="宋体" w:eastAsia="宋体" w:hint="default"/>
        </w:rPr>
        <w:t> </w:t>
      </w:r>
    </w:p>
    <w:p>
      <w:pPr>
        <w:spacing w:line="240" w:lineRule="auto" w:before="5"/>
        <w:rPr>
          <w:rFonts w:ascii="宋体" w:hAnsi="宋体" w:cs="宋体" w:eastAsia="宋体" w:hint="default"/>
          <w:sz w:val="23"/>
          <w:szCs w:val="23"/>
        </w:rPr>
      </w:pPr>
    </w:p>
    <w:tbl>
      <w:tblPr>
        <w:tblW w:w="0" w:type="auto"/>
        <w:jc w:val="left"/>
        <w:tblInd w:w="148" w:type="dxa"/>
        <w:tblLayout w:type="fixed"/>
        <w:tblCellMar>
          <w:top w:w="0" w:type="dxa"/>
          <w:left w:w="0" w:type="dxa"/>
          <w:bottom w:w="0" w:type="dxa"/>
          <w:right w:w="0" w:type="dxa"/>
        </w:tblCellMar>
        <w:tblLook w:val="01E0"/>
      </w:tblPr>
      <w:tblGrid>
        <w:gridCol w:w="1844"/>
        <w:gridCol w:w="1820"/>
        <w:gridCol w:w="1983"/>
        <w:gridCol w:w="1983"/>
        <w:gridCol w:w="1988"/>
      </w:tblGrid>
      <w:tr>
        <w:trPr>
          <w:trHeight w:val="341" w:hRule="exact"/>
        </w:trPr>
        <w:tc>
          <w:tcPr>
            <w:tcW w:w="1844" w:type="dxa"/>
            <w:vMerge w:val="restart"/>
            <w:tcBorders>
              <w:top w:val="single" w:sz="4" w:space="0" w:color="000000"/>
              <w:left w:val="single" w:sz="4" w:space="0" w:color="000000"/>
              <w:right w:val="single" w:sz="4" w:space="0" w:color="000000"/>
            </w:tcBorders>
          </w:tcPr>
          <w:p>
            <w:pPr>
              <w:pStyle w:val="TableParagraph"/>
              <w:spacing w:line="240" w:lineRule="auto" w:before="6"/>
              <w:ind w:left="513" w:right="0"/>
              <w:jc w:val="left"/>
              <w:rPr>
                <w:rFonts w:ascii="宋体" w:hAnsi="宋体" w:cs="宋体" w:eastAsia="宋体" w:hint="default"/>
                <w:sz w:val="20"/>
                <w:szCs w:val="20"/>
              </w:rPr>
            </w:pPr>
            <w:r>
              <w:rPr>
                <w:rFonts w:ascii="宋体" w:hAnsi="宋体" w:cs="宋体" w:eastAsia="宋体" w:hint="default"/>
                <w:b/>
                <w:bCs/>
                <w:sz w:val="20"/>
                <w:szCs w:val="20"/>
              </w:rPr>
              <w:t>行业名称</w:t>
            </w:r>
            <w:r>
              <w:rPr>
                <w:rFonts w:ascii="宋体" w:hAnsi="宋体" w:cs="宋体" w:eastAsia="宋体" w:hint="default"/>
                <w:sz w:val="20"/>
                <w:szCs w:val="20"/>
              </w:rPr>
            </w:r>
          </w:p>
        </w:tc>
        <w:tc>
          <w:tcPr>
            <w:tcW w:w="380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0"/>
                <w:szCs w:val="20"/>
              </w:rPr>
            </w:pPr>
            <w:r>
              <w:rPr>
                <w:rFonts w:ascii="宋体" w:hAnsi="宋体" w:cs="宋体" w:eastAsia="宋体" w:hint="default"/>
                <w:b/>
                <w:bCs/>
                <w:sz w:val="20"/>
                <w:szCs w:val="20"/>
              </w:rPr>
              <w:t>本年发生额</w:t>
            </w:r>
            <w:r>
              <w:rPr>
                <w:rFonts w:ascii="宋体" w:hAnsi="宋体" w:cs="宋体" w:eastAsia="宋体" w:hint="default"/>
                <w:sz w:val="20"/>
                <w:szCs w:val="20"/>
              </w:rPr>
            </w:r>
          </w:p>
        </w:tc>
        <w:tc>
          <w:tcPr>
            <w:tcW w:w="39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4" w:right="0"/>
              <w:jc w:val="center"/>
              <w:rPr>
                <w:rFonts w:ascii="宋体" w:hAnsi="宋体" w:cs="宋体" w:eastAsia="宋体" w:hint="default"/>
                <w:sz w:val="20"/>
                <w:szCs w:val="20"/>
              </w:rPr>
            </w:pPr>
            <w:r>
              <w:rPr>
                <w:rFonts w:ascii="宋体" w:hAnsi="宋体" w:cs="宋体" w:eastAsia="宋体" w:hint="default"/>
                <w:b/>
                <w:bCs/>
                <w:sz w:val="20"/>
                <w:szCs w:val="20"/>
              </w:rPr>
              <w:t>上年发生额</w:t>
            </w:r>
            <w:r>
              <w:rPr>
                <w:rFonts w:ascii="宋体" w:hAnsi="宋体" w:cs="宋体" w:eastAsia="宋体" w:hint="default"/>
                <w:sz w:val="20"/>
                <w:szCs w:val="20"/>
              </w:rPr>
            </w:r>
          </w:p>
        </w:tc>
      </w:tr>
      <w:tr>
        <w:trPr>
          <w:trHeight w:val="341" w:hRule="exact"/>
        </w:trPr>
        <w:tc>
          <w:tcPr>
            <w:tcW w:w="1844" w:type="dxa"/>
            <w:vMerge/>
            <w:tcBorders>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503" w:right="0"/>
              <w:jc w:val="left"/>
              <w:rPr>
                <w:rFonts w:ascii="宋体" w:hAnsi="宋体" w:cs="宋体" w:eastAsia="宋体" w:hint="default"/>
                <w:sz w:val="20"/>
                <w:szCs w:val="20"/>
              </w:rPr>
            </w:pPr>
            <w:r>
              <w:rPr>
                <w:rFonts w:ascii="宋体" w:hAnsi="宋体" w:cs="宋体" w:eastAsia="宋体" w:hint="default"/>
                <w:sz w:val="20"/>
                <w:szCs w:val="20"/>
              </w:rPr>
              <w:t>营业收入</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585" w:right="0"/>
              <w:jc w:val="left"/>
              <w:rPr>
                <w:rFonts w:ascii="宋体" w:hAnsi="宋体" w:cs="宋体" w:eastAsia="宋体" w:hint="default"/>
                <w:sz w:val="20"/>
                <w:szCs w:val="20"/>
              </w:rPr>
            </w:pPr>
            <w:r>
              <w:rPr>
                <w:rFonts w:ascii="宋体" w:hAnsi="宋体" w:cs="宋体" w:eastAsia="宋体" w:hint="default"/>
                <w:sz w:val="20"/>
                <w:szCs w:val="20"/>
              </w:rPr>
              <w:t>营业成本</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3" w:right="0"/>
              <w:jc w:val="center"/>
              <w:rPr>
                <w:rFonts w:ascii="宋体" w:hAnsi="宋体" w:cs="宋体" w:eastAsia="宋体" w:hint="default"/>
                <w:sz w:val="20"/>
                <w:szCs w:val="20"/>
              </w:rPr>
            </w:pPr>
            <w:r>
              <w:rPr>
                <w:rFonts w:ascii="宋体" w:hAnsi="宋体" w:cs="宋体" w:eastAsia="宋体" w:hint="default"/>
                <w:sz w:val="20"/>
                <w:szCs w:val="20"/>
              </w:rPr>
              <w:t>营业收入</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8" w:right="0"/>
              <w:jc w:val="center"/>
              <w:rPr>
                <w:rFonts w:ascii="宋体" w:hAnsi="宋体" w:cs="宋体" w:eastAsia="宋体" w:hint="default"/>
                <w:sz w:val="20"/>
                <w:szCs w:val="20"/>
              </w:rPr>
            </w:pPr>
            <w:r>
              <w:rPr>
                <w:rFonts w:ascii="宋体" w:hAnsi="宋体" w:cs="宋体" w:eastAsia="宋体" w:hint="default"/>
                <w:sz w:val="20"/>
                <w:szCs w:val="20"/>
              </w:rPr>
              <w:t>营业成本</w:t>
            </w:r>
          </w:p>
        </w:tc>
      </w:tr>
      <w:tr>
        <w:trPr>
          <w:trHeight w:val="346"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8"/>
              <w:jc w:val="center"/>
              <w:rPr>
                <w:rFonts w:ascii="宋体" w:hAnsi="宋体" w:cs="宋体" w:eastAsia="宋体" w:hint="default"/>
                <w:sz w:val="20"/>
                <w:szCs w:val="20"/>
              </w:rPr>
            </w:pPr>
            <w:r>
              <w:rPr>
                <w:rFonts w:ascii="宋体" w:hAnsi="宋体" w:cs="宋体" w:eastAsia="宋体" w:hint="default"/>
                <w:spacing w:val="-2"/>
                <w:sz w:val="20"/>
                <w:szCs w:val="20"/>
              </w:rPr>
              <w:t>软件和信息技术服务</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right"/>
              <w:rPr>
                <w:rFonts w:ascii="Times New Roman" w:hAnsi="Times New Roman" w:cs="Times New Roman" w:eastAsia="Times New Roman" w:hint="default"/>
                <w:sz w:val="20"/>
                <w:szCs w:val="20"/>
              </w:rPr>
            </w:pPr>
            <w:r>
              <w:rPr>
                <w:rFonts w:ascii="Times New Roman"/>
                <w:spacing w:val="-1"/>
                <w:sz w:val="20"/>
              </w:rPr>
              <w:t>3,276,115,014.84</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66" w:right="0"/>
              <w:jc w:val="left"/>
              <w:rPr>
                <w:rFonts w:ascii="Times New Roman" w:hAnsi="Times New Roman" w:cs="Times New Roman" w:eastAsia="Times New Roman" w:hint="default"/>
                <w:sz w:val="20"/>
                <w:szCs w:val="20"/>
              </w:rPr>
            </w:pPr>
            <w:r>
              <w:rPr>
                <w:rFonts w:ascii="Times New Roman"/>
                <w:sz w:val="20"/>
              </w:rPr>
              <w:t>2,522,957,676.29</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7" w:right="0"/>
              <w:jc w:val="center"/>
              <w:rPr>
                <w:rFonts w:ascii="Times New Roman" w:hAnsi="Times New Roman" w:cs="Times New Roman" w:eastAsia="Times New Roman" w:hint="default"/>
                <w:sz w:val="20"/>
                <w:szCs w:val="20"/>
              </w:rPr>
            </w:pPr>
            <w:r>
              <w:rPr>
                <w:rFonts w:ascii="Times New Roman"/>
                <w:sz w:val="20"/>
              </w:rPr>
              <w:t>2,753,094,617.21</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3" w:right="0"/>
              <w:jc w:val="center"/>
              <w:rPr>
                <w:rFonts w:ascii="Times New Roman" w:hAnsi="Times New Roman" w:cs="Times New Roman" w:eastAsia="Times New Roman" w:hint="default"/>
                <w:sz w:val="20"/>
                <w:szCs w:val="20"/>
              </w:rPr>
            </w:pPr>
            <w:r>
              <w:rPr>
                <w:rFonts w:ascii="Times New Roman"/>
                <w:sz w:val="20"/>
              </w:rPr>
              <w:t>2,116,758,364.53</w:t>
            </w:r>
          </w:p>
        </w:tc>
      </w:tr>
      <w:tr>
        <w:trPr>
          <w:trHeight w:val="341"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0"/>
                <w:szCs w:val="20"/>
              </w:rPr>
            </w:pPr>
            <w:r>
              <w:rPr>
                <w:rFonts w:ascii="宋体" w:hAnsi="宋体" w:cs="宋体" w:eastAsia="宋体" w:hint="default"/>
                <w:b/>
                <w:bCs/>
                <w:sz w:val="20"/>
                <w:szCs w:val="20"/>
              </w:rPr>
              <w:t>合</w:t>
            </w:r>
            <w:r>
              <w:rPr>
                <w:rFonts w:ascii="宋体" w:hAnsi="宋体" w:cs="宋体" w:eastAsia="宋体" w:hint="default"/>
                <w:b/>
                <w:bCs/>
                <w:spacing w:val="-14"/>
                <w:sz w:val="20"/>
                <w:szCs w:val="20"/>
              </w:rPr>
              <w:t> </w:t>
            </w:r>
            <w:r>
              <w:rPr>
                <w:rFonts w:ascii="宋体" w:hAnsi="宋体" w:cs="宋体" w:eastAsia="宋体" w:hint="default"/>
                <w:b/>
                <w:bCs/>
                <w:sz w:val="20"/>
                <w:szCs w:val="20"/>
              </w:rPr>
              <w:t>计</w:t>
            </w:r>
            <w:r>
              <w:rPr>
                <w:rFonts w:ascii="宋体" w:hAnsi="宋体" w:cs="宋体" w:eastAsia="宋体" w:hint="default"/>
                <w:sz w:val="20"/>
                <w:szCs w:val="20"/>
              </w:rPr>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right"/>
              <w:rPr>
                <w:rFonts w:ascii="Times New Roman" w:hAnsi="Times New Roman" w:cs="Times New Roman" w:eastAsia="Times New Roman" w:hint="default"/>
                <w:sz w:val="20"/>
                <w:szCs w:val="20"/>
              </w:rPr>
            </w:pPr>
            <w:r>
              <w:rPr>
                <w:rFonts w:ascii="Times New Roman"/>
                <w:b/>
                <w:spacing w:val="-1"/>
                <w:sz w:val="20"/>
              </w:rPr>
              <w:t>3,276,115,014.84</w:t>
            </w:r>
            <w:r>
              <w:rPr>
                <w:rFonts w:ascii="Times New Roman"/>
                <w:spacing w:val="-1"/>
                <w:sz w:val="20"/>
              </w:rPr>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66" w:right="0"/>
              <w:jc w:val="left"/>
              <w:rPr>
                <w:rFonts w:ascii="Times New Roman" w:hAnsi="Times New Roman" w:cs="Times New Roman" w:eastAsia="Times New Roman" w:hint="default"/>
                <w:sz w:val="20"/>
                <w:szCs w:val="20"/>
              </w:rPr>
            </w:pPr>
            <w:r>
              <w:rPr>
                <w:rFonts w:ascii="Times New Roman"/>
                <w:b/>
                <w:sz w:val="20"/>
              </w:rPr>
              <w:t>2,522,957,676.29</w:t>
            </w:r>
            <w:r>
              <w:rPr>
                <w:rFonts w:ascii="Times New Roman"/>
                <w:sz w:val="20"/>
              </w:rPr>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7" w:right="0"/>
              <w:jc w:val="center"/>
              <w:rPr>
                <w:rFonts w:ascii="Times New Roman" w:hAnsi="Times New Roman" w:cs="Times New Roman" w:eastAsia="Times New Roman" w:hint="default"/>
                <w:sz w:val="20"/>
                <w:szCs w:val="20"/>
              </w:rPr>
            </w:pPr>
            <w:r>
              <w:rPr>
                <w:rFonts w:ascii="Times New Roman"/>
                <w:b/>
                <w:sz w:val="20"/>
              </w:rPr>
              <w:t>2,753,094,617.21</w:t>
            </w:r>
            <w:r>
              <w:rPr>
                <w:rFonts w:ascii="Times New Roman"/>
                <w:sz w:val="20"/>
              </w:rPr>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3" w:right="0"/>
              <w:jc w:val="center"/>
              <w:rPr>
                <w:rFonts w:ascii="Times New Roman" w:hAnsi="Times New Roman" w:cs="Times New Roman" w:eastAsia="Times New Roman" w:hint="default"/>
                <w:sz w:val="20"/>
                <w:szCs w:val="20"/>
              </w:rPr>
            </w:pPr>
            <w:r>
              <w:rPr>
                <w:rFonts w:ascii="Times New Roman"/>
                <w:b/>
                <w:sz w:val="20"/>
              </w:rPr>
              <w:t>2,116,758,364.53</w:t>
            </w:r>
            <w:r>
              <w:rPr>
                <w:rFonts w:ascii="Times New Roman"/>
                <w:sz w:val="20"/>
              </w:rPr>
            </w:r>
          </w:p>
        </w:tc>
      </w:tr>
    </w:tbl>
    <w:p>
      <w:pPr>
        <w:spacing w:line="240" w:lineRule="auto" w:before="2"/>
        <w:rPr>
          <w:rFonts w:ascii="宋体" w:hAnsi="宋体" w:cs="宋体" w:eastAsia="宋体" w:hint="default"/>
          <w:sz w:val="14"/>
          <w:szCs w:val="14"/>
        </w:rPr>
      </w:pPr>
    </w:p>
    <w:p>
      <w:pPr>
        <w:pStyle w:val="Heading3"/>
        <w:spacing w:line="240" w:lineRule="auto"/>
        <w:ind w:right="855"/>
        <w:jc w:val="left"/>
        <w:rPr>
          <w:rFonts w:ascii="Times New Roman" w:hAnsi="Times New Roman" w:cs="Times New Roman" w:eastAsia="Times New Roman" w:hint="default"/>
        </w:rPr>
      </w:pPr>
      <w:r>
        <w:rPr/>
        <w:t>（</w:t>
      </w:r>
      <w:r>
        <w:rPr>
          <w:rFonts w:ascii="Times New Roman" w:hAnsi="Times New Roman" w:cs="Times New Roman" w:eastAsia="Times New Roman" w:hint="default"/>
        </w:rPr>
        <w:t>2</w:t>
      </w:r>
      <w:r>
        <w:rPr/>
        <w:t>）主营业务</w:t>
      </w:r>
      <w:r>
        <w:rPr>
          <w:rFonts w:ascii="Times New Roman" w:hAnsi="Times New Roman" w:cs="Times New Roman" w:eastAsia="Times New Roman" w:hint="default"/>
        </w:rPr>
        <w:t>(</w:t>
      </w:r>
      <w:r>
        <w:rPr/>
        <w:t>按产品类别</w:t>
      </w:r>
      <w:r>
        <w:rPr>
          <w:rFonts w:ascii="Times New Roman" w:hAnsi="Times New Roman" w:cs="Times New Roman" w:eastAsia="Times New Roman" w:hint="default"/>
        </w:rPr>
        <w:t>)</w:t>
      </w:r>
    </w:p>
    <w:p>
      <w:pPr>
        <w:spacing w:line="240" w:lineRule="auto" w:before="4"/>
        <w:rPr>
          <w:rFonts w:ascii="Times New Roman" w:hAnsi="Times New Roman" w:cs="Times New Roman" w:eastAsia="Times New Roman" w:hint="default"/>
          <w:sz w:val="20"/>
          <w:szCs w:val="20"/>
        </w:rPr>
      </w:pPr>
    </w:p>
    <w:p>
      <w:pPr>
        <w:pStyle w:val="BodyText"/>
        <w:spacing w:line="240" w:lineRule="auto" w:before="46"/>
        <w:ind w:left="0" w:right="1035"/>
        <w:jc w:val="right"/>
        <w:rPr>
          <w:rFonts w:ascii="宋体" w:hAnsi="宋体" w:cs="宋体" w:eastAsia="宋体" w:hint="default"/>
        </w:rPr>
      </w:pPr>
      <w:r>
        <w:rPr>
          <w:spacing w:val="-3"/>
        </w:rPr>
        <w:t>单位：元</w:t>
      </w:r>
      <w:r>
        <w:rPr>
          <w:rFonts w:ascii="宋体" w:hAnsi="宋体" w:cs="宋体" w:eastAsia="宋体" w:hint="default"/>
        </w:rPr>
        <w:t> </w:t>
      </w:r>
    </w:p>
    <w:p>
      <w:pPr>
        <w:spacing w:line="240" w:lineRule="auto" w:before="5"/>
        <w:rPr>
          <w:rFonts w:ascii="宋体" w:hAnsi="宋体" w:cs="宋体" w:eastAsia="宋体" w:hint="default"/>
          <w:sz w:val="23"/>
          <w:szCs w:val="23"/>
        </w:rPr>
      </w:pPr>
    </w:p>
    <w:tbl>
      <w:tblPr>
        <w:tblW w:w="0" w:type="auto"/>
        <w:jc w:val="left"/>
        <w:tblInd w:w="143" w:type="dxa"/>
        <w:tblLayout w:type="fixed"/>
        <w:tblCellMar>
          <w:top w:w="0" w:type="dxa"/>
          <w:left w:w="0" w:type="dxa"/>
          <w:bottom w:w="0" w:type="dxa"/>
          <w:right w:w="0" w:type="dxa"/>
        </w:tblCellMar>
        <w:tblLook w:val="01E0"/>
      </w:tblPr>
      <w:tblGrid>
        <w:gridCol w:w="1820"/>
        <w:gridCol w:w="2012"/>
        <w:gridCol w:w="2166"/>
        <w:gridCol w:w="1859"/>
        <w:gridCol w:w="1820"/>
      </w:tblGrid>
      <w:tr>
        <w:trPr>
          <w:trHeight w:val="346" w:hRule="exact"/>
        </w:trPr>
        <w:tc>
          <w:tcPr>
            <w:tcW w:w="1820" w:type="dxa"/>
            <w:vMerge w:val="restart"/>
            <w:tcBorders>
              <w:top w:val="single" w:sz="6" w:space="0" w:color="000000"/>
              <w:left w:val="single" w:sz="6" w:space="0" w:color="000000"/>
              <w:right w:val="single" w:sz="6" w:space="0" w:color="000000"/>
            </w:tcBorders>
          </w:tcPr>
          <w:p>
            <w:pPr>
              <w:pStyle w:val="TableParagraph"/>
              <w:spacing w:line="240" w:lineRule="auto" w:before="20"/>
              <w:ind w:left="9"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417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4" w:right="0"/>
              <w:jc w:val="center"/>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367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4" w:right="0"/>
              <w:jc w:val="center"/>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r>
      <w:tr>
        <w:trPr>
          <w:trHeight w:val="346" w:hRule="exact"/>
        </w:trPr>
        <w:tc>
          <w:tcPr>
            <w:tcW w:w="1820" w:type="dxa"/>
            <w:vMerge/>
            <w:tcBorders>
              <w:left w:val="single" w:sz="6" w:space="0" w:color="000000"/>
              <w:bottom w:val="single" w:sz="6" w:space="0" w:color="000000"/>
              <w:right w:val="single" w:sz="6" w:space="0" w:color="000000"/>
            </w:tcBorders>
          </w:tcPr>
          <w:p>
            <w:pPr/>
          </w:p>
        </w:tc>
        <w:tc>
          <w:tcPr>
            <w:tcW w:w="20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9" w:right="0"/>
              <w:jc w:val="center"/>
              <w:rPr>
                <w:rFonts w:ascii="宋体" w:hAnsi="宋体" w:cs="宋体" w:eastAsia="宋体" w:hint="default"/>
                <w:sz w:val="18"/>
                <w:szCs w:val="18"/>
              </w:rPr>
            </w:pPr>
            <w:r>
              <w:rPr>
                <w:rFonts w:ascii="宋体" w:hAnsi="宋体" w:cs="宋体" w:eastAsia="宋体" w:hint="default"/>
                <w:b/>
                <w:bCs/>
                <w:sz w:val="18"/>
                <w:szCs w:val="18"/>
              </w:rPr>
              <w:t>收入</w:t>
            </w:r>
            <w:r>
              <w:rPr>
                <w:rFonts w:ascii="宋体" w:hAnsi="宋体" w:cs="宋体" w:eastAsia="宋体" w:hint="default"/>
                <w:sz w:val="18"/>
                <w:szCs w:val="18"/>
              </w:rPr>
            </w:r>
          </w:p>
        </w:tc>
        <w:tc>
          <w:tcPr>
            <w:tcW w:w="2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9" w:right="0"/>
              <w:jc w:val="center"/>
              <w:rPr>
                <w:rFonts w:ascii="宋体" w:hAnsi="宋体" w:cs="宋体" w:eastAsia="宋体" w:hint="default"/>
                <w:sz w:val="18"/>
                <w:szCs w:val="18"/>
              </w:rPr>
            </w:pPr>
            <w:r>
              <w:rPr>
                <w:rFonts w:ascii="宋体" w:hAnsi="宋体" w:cs="宋体" w:eastAsia="宋体" w:hint="default"/>
                <w:b/>
                <w:bCs/>
                <w:sz w:val="18"/>
                <w:szCs w:val="18"/>
              </w:rPr>
              <w:t>成本</w:t>
            </w:r>
            <w:r>
              <w:rPr>
                <w:rFonts w:ascii="宋体" w:hAnsi="宋体" w:cs="宋体" w:eastAsia="宋体" w:hint="default"/>
                <w:sz w:val="18"/>
                <w:szCs w:val="18"/>
              </w:rPr>
            </w:r>
          </w:p>
        </w:tc>
        <w:tc>
          <w:tcPr>
            <w:tcW w:w="18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9" w:right="0"/>
              <w:jc w:val="center"/>
              <w:rPr>
                <w:rFonts w:ascii="宋体" w:hAnsi="宋体" w:cs="宋体" w:eastAsia="宋体" w:hint="default"/>
                <w:sz w:val="18"/>
                <w:szCs w:val="18"/>
              </w:rPr>
            </w:pPr>
            <w:r>
              <w:rPr>
                <w:rFonts w:ascii="宋体" w:hAnsi="宋体" w:cs="宋体" w:eastAsia="宋体" w:hint="default"/>
                <w:b/>
                <w:bCs/>
                <w:sz w:val="18"/>
                <w:szCs w:val="18"/>
              </w:rPr>
              <w:t>收入</w:t>
            </w:r>
            <w:r>
              <w:rPr>
                <w:rFonts w:ascii="宋体" w:hAnsi="宋体" w:cs="宋体" w:eastAsia="宋体" w:hint="default"/>
                <w:sz w:val="18"/>
                <w:szCs w:val="18"/>
              </w:rPr>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0" w:right="0"/>
              <w:jc w:val="center"/>
              <w:rPr>
                <w:rFonts w:ascii="宋体" w:hAnsi="宋体" w:cs="宋体" w:eastAsia="宋体" w:hint="default"/>
                <w:sz w:val="18"/>
                <w:szCs w:val="18"/>
              </w:rPr>
            </w:pPr>
            <w:r>
              <w:rPr>
                <w:rFonts w:ascii="宋体" w:hAnsi="宋体" w:cs="宋体" w:eastAsia="宋体" w:hint="default"/>
                <w:b/>
                <w:bCs/>
                <w:sz w:val="18"/>
                <w:szCs w:val="18"/>
              </w:rPr>
              <w:t>成本</w:t>
            </w:r>
            <w:r>
              <w:rPr>
                <w:rFonts w:ascii="宋体" w:hAnsi="宋体" w:cs="宋体" w:eastAsia="宋体" w:hint="default"/>
                <w:sz w:val="18"/>
                <w:szCs w:val="18"/>
              </w:rPr>
            </w:r>
          </w:p>
        </w:tc>
      </w:tr>
      <w:tr>
        <w:trPr>
          <w:trHeight w:val="428" w:hRule="exact"/>
        </w:trPr>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pacing w:val="-3"/>
                <w:sz w:val="18"/>
                <w:szCs w:val="18"/>
              </w:rPr>
              <w:t>软件开发及服务</w:t>
            </w:r>
          </w:p>
        </w:tc>
        <w:tc>
          <w:tcPr>
            <w:tcW w:w="20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4"/>
              <w:jc w:val="right"/>
              <w:rPr>
                <w:rFonts w:ascii="Times New Roman" w:hAnsi="Times New Roman" w:cs="Times New Roman" w:eastAsia="Times New Roman" w:hint="default"/>
                <w:sz w:val="18"/>
                <w:szCs w:val="18"/>
              </w:rPr>
            </w:pPr>
            <w:r>
              <w:rPr>
                <w:rFonts w:ascii="Times New Roman"/>
                <w:spacing w:val="-2"/>
                <w:sz w:val="18"/>
              </w:rPr>
              <w:t>1,518,516,199.29</w:t>
            </w:r>
          </w:p>
        </w:tc>
        <w:tc>
          <w:tcPr>
            <w:tcW w:w="2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1"/>
              <w:ind w:right="-5"/>
              <w:jc w:val="right"/>
              <w:rPr>
                <w:rFonts w:ascii="Times New Roman" w:hAnsi="Times New Roman" w:cs="Times New Roman" w:eastAsia="Times New Roman" w:hint="default"/>
                <w:sz w:val="18"/>
                <w:szCs w:val="18"/>
              </w:rPr>
            </w:pPr>
            <w:r>
              <w:rPr>
                <w:rFonts w:ascii="Times New Roman"/>
                <w:spacing w:val="-1"/>
                <w:sz w:val="18"/>
              </w:rPr>
              <w:t>913,494,033.48</w:t>
            </w:r>
          </w:p>
        </w:tc>
        <w:tc>
          <w:tcPr>
            <w:tcW w:w="18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9"/>
              <w:jc w:val="right"/>
              <w:rPr>
                <w:rFonts w:ascii="Times New Roman" w:hAnsi="Times New Roman" w:cs="Times New Roman" w:eastAsia="Times New Roman" w:hint="default"/>
                <w:sz w:val="18"/>
                <w:szCs w:val="18"/>
              </w:rPr>
            </w:pPr>
            <w:r>
              <w:rPr>
                <w:rFonts w:ascii="Times New Roman"/>
                <w:spacing w:val="-2"/>
                <w:sz w:val="18"/>
              </w:rPr>
              <w:t>1,244,037,322.45</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4"/>
              <w:jc w:val="right"/>
              <w:rPr>
                <w:rFonts w:ascii="Times New Roman" w:hAnsi="Times New Roman" w:cs="Times New Roman" w:eastAsia="Times New Roman" w:hint="default"/>
                <w:sz w:val="18"/>
                <w:szCs w:val="18"/>
              </w:rPr>
            </w:pPr>
            <w:r>
              <w:rPr>
                <w:rFonts w:ascii="Times New Roman"/>
                <w:spacing w:val="-1"/>
                <w:sz w:val="18"/>
              </w:rPr>
              <w:t>756,617,474.39</w:t>
            </w:r>
          </w:p>
        </w:tc>
      </w:tr>
      <w:tr>
        <w:trPr>
          <w:trHeight w:val="427" w:hRule="exact"/>
        </w:trPr>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z w:val="18"/>
                <w:szCs w:val="18"/>
              </w:rPr>
              <w:t>智能渠道解决方案</w:t>
            </w:r>
          </w:p>
        </w:tc>
        <w:tc>
          <w:tcPr>
            <w:tcW w:w="20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4"/>
              <w:jc w:val="right"/>
              <w:rPr>
                <w:rFonts w:ascii="Times New Roman" w:hAnsi="Times New Roman" w:cs="Times New Roman" w:eastAsia="Times New Roman" w:hint="default"/>
                <w:sz w:val="18"/>
                <w:szCs w:val="18"/>
              </w:rPr>
            </w:pPr>
            <w:r>
              <w:rPr>
                <w:rFonts w:ascii="Times New Roman"/>
                <w:spacing w:val="-1"/>
                <w:sz w:val="18"/>
              </w:rPr>
              <w:t>368,060,175.28</w:t>
            </w:r>
          </w:p>
        </w:tc>
        <w:tc>
          <w:tcPr>
            <w:tcW w:w="2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right="-5"/>
              <w:jc w:val="right"/>
              <w:rPr>
                <w:rFonts w:ascii="Times New Roman" w:hAnsi="Times New Roman" w:cs="Times New Roman" w:eastAsia="Times New Roman" w:hint="default"/>
                <w:sz w:val="18"/>
                <w:szCs w:val="18"/>
              </w:rPr>
            </w:pPr>
            <w:r>
              <w:rPr>
                <w:rFonts w:ascii="Times New Roman"/>
                <w:spacing w:val="-1"/>
                <w:sz w:val="18"/>
              </w:rPr>
              <w:t>307,872,163.42</w:t>
            </w:r>
          </w:p>
        </w:tc>
        <w:tc>
          <w:tcPr>
            <w:tcW w:w="18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9"/>
              <w:jc w:val="right"/>
              <w:rPr>
                <w:rFonts w:ascii="Times New Roman" w:hAnsi="Times New Roman" w:cs="Times New Roman" w:eastAsia="Times New Roman" w:hint="default"/>
                <w:sz w:val="18"/>
                <w:szCs w:val="18"/>
              </w:rPr>
            </w:pPr>
            <w:r>
              <w:rPr>
                <w:rFonts w:ascii="Times New Roman"/>
                <w:spacing w:val="-1"/>
                <w:sz w:val="18"/>
              </w:rPr>
              <w:t>320,374,888.19</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4"/>
              <w:jc w:val="right"/>
              <w:rPr>
                <w:rFonts w:ascii="Times New Roman" w:hAnsi="Times New Roman" w:cs="Times New Roman" w:eastAsia="Times New Roman" w:hint="default"/>
                <w:sz w:val="18"/>
                <w:szCs w:val="18"/>
              </w:rPr>
            </w:pPr>
            <w:r>
              <w:rPr>
                <w:rFonts w:ascii="Times New Roman"/>
                <w:spacing w:val="-1"/>
                <w:sz w:val="18"/>
              </w:rPr>
              <w:t>254,803,670.67</w:t>
            </w:r>
          </w:p>
        </w:tc>
      </w:tr>
      <w:tr>
        <w:trPr>
          <w:trHeight w:val="427" w:hRule="exact"/>
        </w:trPr>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z w:val="18"/>
                <w:szCs w:val="18"/>
              </w:rPr>
              <w:t>集成解决方案</w:t>
            </w:r>
          </w:p>
        </w:tc>
        <w:tc>
          <w:tcPr>
            <w:tcW w:w="20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4"/>
              <w:jc w:val="right"/>
              <w:rPr>
                <w:rFonts w:ascii="Times New Roman" w:hAnsi="Times New Roman" w:cs="Times New Roman" w:eastAsia="Times New Roman" w:hint="default"/>
                <w:sz w:val="18"/>
                <w:szCs w:val="18"/>
              </w:rPr>
            </w:pPr>
            <w:r>
              <w:rPr>
                <w:rFonts w:ascii="Times New Roman"/>
                <w:spacing w:val="-2"/>
                <w:sz w:val="18"/>
              </w:rPr>
              <w:t>1,389,538,640.27</w:t>
            </w:r>
          </w:p>
        </w:tc>
        <w:tc>
          <w:tcPr>
            <w:tcW w:w="2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right="-5"/>
              <w:jc w:val="right"/>
              <w:rPr>
                <w:rFonts w:ascii="Times New Roman" w:hAnsi="Times New Roman" w:cs="Times New Roman" w:eastAsia="Times New Roman" w:hint="default"/>
                <w:sz w:val="18"/>
                <w:szCs w:val="18"/>
              </w:rPr>
            </w:pPr>
            <w:r>
              <w:rPr>
                <w:rFonts w:ascii="Times New Roman"/>
                <w:spacing w:val="-2"/>
                <w:sz w:val="18"/>
              </w:rPr>
              <w:t>1,301,591,479.39</w:t>
            </w:r>
          </w:p>
        </w:tc>
        <w:tc>
          <w:tcPr>
            <w:tcW w:w="18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9"/>
              <w:jc w:val="right"/>
              <w:rPr>
                <w:rFonts w:ascii="Times New Roman" w:hAnsi="Times New Roman" w:cs="Times New Roman" w:eastAsia="Times New Roman" w:hint="default"/>
                <w:sz w:val="18"/>
                <w:szCs w:val="18"/>
              </w:rPr>
            </w:pPr>
            <w:r>
              <w:rPr>
                <w:rFonts w:ascii="Times New Roman"/>
                <w:spacing w:val="-2"/>
                <w:sz w:val="18"/>
              </w:rPr>
              <w:t>1,188,682,406.57</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4"/>
              <w:jc w:val="right"/>
              <w:rPr>
                <w:rFonts w:ascii="Times New Roman" w:hAnsi="Times New Roman" w:cs="Times New Roman" w:eastAsia="Times New Roman" w:hint="default"/>
                <w:sz w:val="18"/>
                <w:szCs w:val="18"/>
              </w:rPr>
            </w:pPr>
            <w:r>
              <w:rPr>
                <w:rFonts w:ascii="Times New Roman"/>
                <w:spacing w:val="-2"/>
                <w:sz w:val="18"/>
              </w:rPr>
              <w:t>1,105,337,219.47</w:t>
            </w:r>
          </w:p>
        </w:tc>
      </w:tr>
    </w:tbl>
    <w:p>
      <w:pPr>
        <w:spacing w:after="0" w:line="240" w:lineRule="auto"/>
        <w:jc w:val="right"/>
        <w:rPr>
          <w:rFonts w:ascii="Times New Roman" w:hAnsi="Times New Roman" w:cs="Times New Roman" w:eastAsia="Times New Roman" w:hint="default"/>
          <w:sz w:val="18"/>
          <w:szCs w:val="18"/>
        </w:rPr>
        <w:sectPr>
          <w:pgSz w:w="11910" w:h="16840"/>
          <w:pgMar w:header="746" w:footer="974" w:top="1060" w:bottom="1160" w:left="980" w:right="0"/>
        </w:sectPr>
      </w:pPr>
    </w:p>
    <w:p>
      <w:pPr>
        <w:spacing w:line="240" w:lineRule="auto" w:before="6"/>
        <w:rPr>
          <w:rFonts w:ascii="宋体" w:hAnsi="宋体" w:cs="宋体" w:eastAsia="宋体" w:hint="default"/>
          <w:sz w:val="28"/>
          <w:szCs w:val="28"/>
        </w:rPr>
      </w:pPr>
    </w:p>
    <w:tbl>
      <w:tblPr>
        <w:tblW w:w="0" w:type="auto"/>
        <w:jc w:val="left"/>
        <w:tblInd w:w="143" w:type="dxa"/>
        <w:tblLayout w:type="fixed"/>
        <w:tblCellMar>
          <w:top w:w="0" w:type="dxa"/>
          <w:left w:w="0" w:type="dxa"/>
          <w:bottom w:w="0" w:type="dxa"/>
          <w:right w:w="0" w:type="dxa"/>
        </w:tblCellMar>
        <w:tblLook w:val="01E0"/>
      </w:tblPr>
      <w:tblGrid>
        <w:gridCol w:w="1820"/>
        <w:gridCol w:w="2012"/>
        <w:gridCol w:w="2166"/>
        <w:gridCol w:w="1859"/>
        <w:gridCol w:w="1820"/>
      </w:tblGrid>
      <w:tr>
        <w:trPr>
          <w:trHeight w:val="346" w:hRule="exact"/>
        </w:trPr>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9"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0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739" w:right="-4"/>
              <w:jc w:val="left"/>
              <w:rPr>
                <w:rFonts w:ascii="Times New Roman" w:hAnsi="Times New Roman" w:cs="Times New Roman" w:eastAsia="Times New Roman" w:hint="default"/>
                <w:sz w:val="18"/>
                <w:szCs w:val="18"/>
              </w:rPr>
            </w:pPr>
            <w:r>
              <w:rPr>
                <w:rFonts w:ascii="Times New Roman"/>
                <w:b/>
                <w:spacing w:val="-2"/>
                <w:sz w:val="18"/>
              </w:rPr>
              <w:t>3,276,115,014.84</w:t>
            </w:r>
            <w:r>
              <w:rPr>
                <w:rFonts w:ascii="Times New Roman"/>
                <w:spacing w:val="-2"/>
                <w:sz w:val="18"/>
              </w:rPr>
            </w:r>
          </w:p>
        </w:tc>
        <w:tc>
          <w:tcPr>
            <w:tcW w:w="2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893" w:right="-5"/>
              <w:jc w:val="left"/>
              <w:rPr>
                <w:rFonts w:ascii="Times New Roman" w:hAnsi="Times New Roman" w:cs="Times New Roman" w:eastAsia="Times New Roman" w:hint="default"/>
                <w:sz w:val="18"/>
                <w:szCs w:val="18"/>
              </w:rPr>
            </w:pPr>
            <w:r>
              <w:rPr>
                <w:rFonts w:ascii="Times New Roman"/>
                <w:b/>
                <w:spacing w:val="-2"/>
                <w:sz w:val="18"/>
              </w:rPr>
              <w:t>2,522,957,676.29</w:t>
            </w:r>
            <w:r>
              <w:rPr>
                <w:rFonts w:ascii="Times New Roman"/>
                <w:spacing w:val="-2"/>
                <w:sz w:val="18"/>
              </w:rPr>
            </w:r>
          </w:p>
        </w:tc>
        <w:tc>
          <w:tcPr>
            <w:tcW w:w="18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90" w:right="-9"/>
              <w:jc w:val="left"/>
              <w:rPr>
                <w:rFonts w:ascii="Times New Roman" w:hAnsi="Times New Roman" w:cs="Times New Roman" w:eastAsia="Times New Roman" w:hint="default"/>
                <w:sz w:val="18"/>
                <w:szCs w:val="18"/>
              </w:rPr>
            </w:pPr>
            <w:r>
              <w:rPr>
                <w:rFonts w:ascii="Times New Roman"/>
                <w:b/>
                <w:spacing w:val="-2"/>
                <w:sz w:val="18"/>
              </w:rPr>
              <w:t>2,753,094,617.21</w:t>
            </w:r>
            <w:r>
              <w:rPr>
                <w:rFonts w:ascii="Times New Roman"/>
                <w:spacing w:val="-2"/>
                <w:sz w:val="18"/>
              </w:rPr>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47" w:right="-4"/>
              <w:jc w:val="left"/>
              <w:rPr>
                <w:rFonts w:ascii="Times New Roman" w:hAnsi="Times New Roman" w:cs="Times New Roman" w:eastAsia="Times New Roman" w:hint="default"/>
                <w:sz w:val="18"/>
                <w:szCs w:val="18"/>
              </w:rPr>
            </w:pPr>
            <w:r>
              <w:rPr>
                <w:rFonts w:ascii="Times New Roman"/>
                <w:b/>
                <w:spacing w:val="-2"/>
                <w:sz w:val="18"/>
              </w:rPr>
              <w:t>2,116,758,364.53</w:t>
            </w:r>
            <w:r>
              <w:rPr>
                <w:rFonts w:ascii="Times New Roman"/>
                <w:spacing w:val="-2"/>
                <w:sz w:val="18"/>
              </w:rPr>
            </w:r>
          </w:p>
        </w:tc>
      </w:tr>
    </w:tbl>
    <w:p>
      <w:pPr>
        <w:spacing w:line="240" w:lineRule="auto" w:before="2"/>
        <w:rPr>
          <w:rFonts w:ascii="宋体" w:hAnsi="宋体" w:cs="宋体" w:eastAsia="宋体" w:hint="default"/>
          <w:sz w:val="14"/>
          <w:szCs w:val="14"/>
        </w:rPr>
      </w:pPr>
    </w:p>
    <w:p>
      <w:pPr>
        <w:pStyle w:val="Heading3"/>
        <w:spacing w:line="240" w:lineRule="auto"/>
        <w:ind w:right="855"/>
        <w:jc w:val="left"/>
        <w:rPr>
          <w:rFonts w:ascii="Times New Roman" w:hAnsi="Times New Roman" w:cs="Times New Roman" w:eastAsia="Times New Roman" w:hint="default"/>
        </w:rPr>
      </w:pPr>
      <w:r>
        <w:rPr/>
        <w:t>（</w:t>
      </w:r>
      <w:r>
        <w:rPr>
          <w:rFonts w:ascii="Times New Roman" w:hAnsi="Times New Roman" w:cs="Times New Roman" w:eastAsia="Times New Roman" w:hint="default"/>
        </w:rPr>
        <w:t>3</w:t>
      </w:r>
      <w:r>
        <w:rPr/>
        <w:t>）主营业务</w:t>
      </w:r>
      <w:r>
        <w:rPr>
          <w:rFonts w:ascii="Times New Roman" w:hAnsi="Times New Roman" w:cs="Times New Roman" w:eastAsia="Times New Roman" w:hint="default"/>
        </w:rPr>
        <w:t>(</w:t>
      </w:r>
      <w:r>
        <w:rPr/>
        <w:t>按地区</w:t>
      </w:r>
      <w:r>
        <w:rPr>
          <w:rFonts w:ascii="Times New Roman" w:hAnsi="Times New Roman" w:cs="Times New Roman" w:eastAsia="Times New Roman" w:hint="default"/>
        </w:rPr>
        <w:t>)</w:t>
      </w:r>
    </w:p>
    <w:p>
      <w:pPr>
        <w:spacing w:line="240" w:lineRule="auto" w:before="4"/>
        <w:rPr>
          <w:rFonts w:ascii="Times New Roman" w:hAnsi="Times New Roman" w:cs="Times New Roman" w:eastAsia="Times New Roman" w:hint="default"/>
          <w:sz w:val="20"/>
          <w:szCs w:val="20"/>
        </w:rPr>
      </w:pPr>
    </w:p>
    <w:p>
      <w:pPr>
        <w:pStyle w:val="BodyText"/>
        <w:spacing w:line="240" w:lineRule="auto" w:before="46"/>
        <w:ind w:left="0" w:right="1035"/>
        <w:jc w:val="right"/>
        <w:rPr>
          <w:rFonts w:ascii="宋体" w:hAnsi="宋体" w:cs="宋体" w:eastAsia="宋体" w:hint="default"/>
        </w:rPr>
      </w:pPr>
      <w:r>
        <w:rPr>
          <w:spacing w:val="-3"/>
        </w:rPr>
        <w:t>单位：元</w:t>
      </w:r>
      <w:r>
        <w:rPr>
          <w:rFonts w:ascii="宋体" w:hAnsi="宋体" w:cs="宋体" w:eastAsia="宋体" w:hint="default"/>
        </w:rPr>
        <w:t> </w:t>
      </w:r>
    </w:p>
    <w:p>
      <w:pPr>
        <w:spacing w:line="240" w:lineRule="auto" w:before="5"/>
        <w:rPr>
          <w:rFonts w:ascii="宋体" w:hAnsi="宋体" w:cs="宋体" w:eastAsia="宋体" w:hint="default"/>
          <w:sz w:val="23"/>
          <w:szCs w:val="23"/>
        </w:rPr>
      </w:pPr>
    </w:p>
    <w:tbl>
      <w:tblPr>
        <w:tblW w:w="0" w:type="auto"/>
        <w:jc w:val="left"/>
        <w:tblInd w:w="148" w:type="dxa"/>
        <w:tblLayout w:type="fixed"/>
        <w:tblCellMar>
          <w:top w:w="0" w:type="dxa"/>
          <w:left w:w="0" w:type="dxa"/>
          <w:bottom w:w="0" w:type="dxa"/>
          <w:right w:w="0" w:type="dxa"/>
        </w:tblCellMar>
        <w:tblLook w:val="01E0"/>
      </w:tblPr>
      <w:tblGrid>
        <w:gridCol w:w="1354"/>
        <w:gridCol w:w="2012"/>
        <w:gridCol w:w="2007"/>
        <w:gridCol w:w="2166"/>
        <w:gridCol w:w="2127"/>
      </w:tblGrid>
      <w:tr>
        <w:trPr>
          <w:trHeight w:val="384" w:hRule="exact"/>
        </w:trPr>
        <w:tc>
          <w:tcPr>
            <w:tcW w:w="1354" w:type="dxa"/>
            <w:vMerge w:val="restart"/>
            <w:tcBorders>
              <w:top w:val="single" w:sz="4" w:space="0" w:color="000000"/>
              <w:left w:val="single" w:sz="4" w:space="0" w:color="000000"/>
              <w:right w:val="single" w:sz="4" w:space="0" w:color="000000"/>
            </w:tcBorders>
          </w:tcPr>
          <w:p>
            <w:pPr>
              <w:pStyle w:val="TableParagraph"/>
              <w:spacing w:line="240" w:lineRule="auto" w:before="11"/>
              <w:ind w:left="268" w:right="0"/>
              <w:jc w:val="left"/>
              <w:rPr>
                <w:rFonts w:ascii="宋体" w:hAnsi="宋体" w:cs="宋体" w:eastAsia="宋体" w:hint="default"/>
                <w:sz w:val="20"/>
                <w:szCs w:val="20"/>
              </w:rPr>
            </w:pPr>
            <w:r>
              <w:rPr>
                <w:rFonts w:ascii="宋体" w:hAnsi="宋体" w:cs="宋体" w:eastAsia="宋体" w:hint="default"/>
                <w:b/>
                <w:bCs/>
                <w:sz w:val="20"/>
                <w:szCs w:val="20"/>
              </w:rPr>
              <w:t>地区名称</w:t>
            </w:r>
            <w:r>
              <w:rPr>
                <w:rFonts w:ascii="宋体" w:hAnsi="宋体" w:cs="宋体" w:eastAsia="宋体" w:hint="default"/>
                <w:sz w:val="20"/>
                <w:szCs w:val="20"/>
              </w:rPr>
            </w:r>
          </w:p>
        </w:tc>
        <w:tc>
          <w:tcPr>
            <w:tcW w:w="40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4" w:right="0"/>
              <w:jc w:val="center"/>
              <w:rPr>
                <w:rFonts w:ascii="宋体" w:hAnsi="宋体" w:cs="宋体" w:eastAsia="宋体" w:hint="default"/>
                <w:sz w:val="20"/>
                <w:szCs w:val="20"/>
              </w:rPr>
            </w:pPr>
            <w:r>
              <w:rPr>
                <w:rFonts w:ascii="宋体" w:hAnsi="宋体" w:cs="宋体" w:eastAsia="宋体" w:hint="default"/>
                <w:b/>
                <w:bCs/>
                <w:sz w:val="20"/>
                <w:szCs w:val="20"/>
              </w:rPr>
              <w:t>本年发生额</w:t>
            </w:r>
            <w:r>
              <w:rPr>
                <w:rFonts w:ascii="宋体" w:hAnsi="宋体" w:cs="宋体" w:eastAsia="宋体" w:hint="default"/>
                <w:sz w:val="20"/>
                <w:szCs w:val="20"/>
              </w:rPr>
            </w:r>
          </w:p>
        </w:tc>
        <w:tc>
          <w:tcPr>
            <w:tcW w:w="42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20"/>
                <w:szCs w:val="20"/>
              </w:rPr>
            </w:pPr>
            <w:r>
              <w:rPr>
                <w:rFonts w:ascii="宋体" w:hAnsi="宋体" w:cs="宋体" w:eastAsia="宋体" w:hint="default"/>
                <w:b/>
                <w:bCs/>
                <w:sz w:val="20"/>
                <w:szCs w:val="20"/>
              </w:rPr>
              <w:t>上年发生额</w:t>
            </w:r>
            <w:r>
              <w:rPr>
                <w:rFonts w:ascii="宋体" w:hAnsi="宋体" w:cs="宋体" w:eastAsia="宋体" w:hint="default"/>
                <w:sz w:val="20"/>
                <w:szCs w:val="20"/>
              </w:rPr>
            </w:r>
          </w:p>
        </w:tc>
      </w:tr>
      <w:tr>
        <w:trPr>
          <w:trHeight w:val="379" w:hRule="exact"/>
        </w:trPr>
        <w:tc>
          <w:tcPr>
            <w:tcW w:w="1354" w:type="dxa"/>
            <w:vMerge/>
            <w:tcBorders>
              <w:left w:val="single" w:sz="4" w:space="0" w:color="000000"/>
              <w:bottom w:val="single" w:sz="4" w:space="0" w:color="000000"/>
              <w:right w:val="single" w:sz="4" w:space="0" w:color="000000"/>
            </w:tcBorders>
          </w:tcPr>
          <w:p>
            <w:pPr/>
          </w:p>
        </w:tc>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600" w:right="0"/>
              <w:jc w:val="left"/>
              <w:rPr>
                <w:rFonts w:ascii="宋体" w:hAnsi="宋体" w:cs="宋体" w:eastAsia="宋体" w:hint="default"/>
                <w:sz w:val="20"/>
                <w:szCs w:val="20"/>
              </w:rPr>
            </w:pPr>
            <w:r>
              <w:rPr>
                <w:rFonts w:ascii="宋体" w:hAnsi="宋体" w:cs="宋体" w:eastAsia="宋体" w:hint="default"/>
                <w:b/>
                <w:bCs/>
                <w:sz w:val="20"/>
                <w:szCs w:val="20"/>
              </w:rPr>
              <w:t>营业收入</w:t>
            </w:r>
            <w:r>
              <w:rPr>
                <w:rFonts w:ascii="宋体" w:hAnsi="宋体" w:cs="宋体" w:eastAsia="宋体" w:hint="default"/>
                <w:sz w:val="20"/>
                <w:szCs w:val="20"/>
              </w:rPr>
            </w: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595" w:right="0"/>
              <w:jc w:val="left"/>
              <w:rPr>
                <w:rFonts w:ascii="宋体" w:hAnsi="宋体" w:cs="宋体" w:eastAsia="宋体" w:hint="default"/>
                <w:sz w:val="20"/>
                <w:szCs w:val="20"/>
              </w:rPr>
            </w:pPr>
            <w:r>
              <w:rPr>
                <w:rFonts w:ascii="宋体" w:hAnsi="宋体" w:cs="宋体" w:eastAsia="宋体" w:hint="default"/>
                <w:b/>
                <w:bCs/>
                <w:sz w:val="20"/>
                <w:szCs w:val="20"/>
              </w:rPr>
              <w:t>营业成本</w:t>
            </w:r>
            <w:r>
              <w:rPr>
                <w:rFonts w:ascii="宋体" w:hAnsi="宋体" w:cs="宋体" w:eastAsia="宋体" w:hint="default"/>
                <w:sz w:val="20"/>
                <w:szCs w:val="20"/>
              </w:rPr>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676" w:right="0"/>
              <w:jc w:val="left"/>
              <w:rPr>
                <w:rFonts w:ascii="宋体" w:hAnsi="宋体" w:cs="宋体" w:eastAsia="宋体" w:hint="default"/>
                <w:sz w:val="20"/>
                <w:szCs w:val="20"/>
              </w:rPr>
            </w:pPr>
            <w:r>
              <w:rPr>
                <w:rFonts w:ascii="宋体" w:hAnsi="宋体" w:cs="宋体" w:eastAsia="宋体" w:hint="default"/>
                <w:b/>
                <w:bCs/>
                <w:sz w:val="20"/>
                <w:szCs w:val="20"/>
              </w:rPr>
              <w:t>营业收入</w:t>
            </w:r>
            <w:r>
              <w:rPr>
                <w:rFonts w:ascii="宋体" w:hAnsi="宋体" w:cs="宋体" w:eastAsia="宋体" w:hint="default"/>
                <w:sz w:val="20"/>
                <w:szCs w:val="20"/>
              </w:rPr>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657" w:right="0"/>
              <w:jc w:val="left"/>
              <w:rPr>
                <w:rFonts w:ascii="宋体" w:hAnsi="宋体" w:cs="宋体" w:eastAsia="宋体" w:hint="default"/>
                <w:sz w:val="20"/>
                <w:szCs w:val="20"/>
              </w:rPr>
            </w:pPr>
            <w:r>
              <w:rPr>
                <w:rFonts w:ascii="宋体" w:hAnsi="宋体" w:cs="宋体" w:eastAsia="宋体" w:hint="default"/>
                <w:b/>
                <w:bCs/>
                <w:sz w:val="20"/>
                <w:szCs w:val="20"/>
              </w:rPr>
              <w:t>营业成本</w:t>
            </w:r>
            <w:r>
              <w:rPr>
                <w:rFonts w:ascii="宋体" w:hAnsi="宋体" w:cs="宋体" w:eastAsia="宋体" w:hint="default"/>
                <w:sz w:val="20"/>
                <w:szCs w:val="20"/>
              </w:rPr>
            </w:r>
          </w:p>
        </w:tc>
      </w:tr>
      <w:tr>
        <w:trPr>
          <w:trHeight w:val="384" w:hRule="exact"/>
        </w:trPr>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4" w:right="0"/>
              <w:jc w:val="left"/>
              <w:rPr>
                <w:rFonts w:ascii="宋体" w:hAnsi="宋体" w:cs="宋体" w:eastAsia="宋体" w:hint="default"/>
                <w:sz w:val="20"/>
                <w:szCs w:val="20"/>
              </w:rPr>
            </w:pPr>
            <w:r>
              <w:rPr>
                <w:rFonts w:ascii="宋体" w:hAnsi="宋体" w:cs="宋体" w:eastAsia="宋体" w:hint="default"/>
                <w:sz w:val="20"/>
                <w:szCs w:val="20"/>
              </w:rPr>
              <w:t>华北地区</w:t>
            </w:r>
          </w:p>
        </w:tc>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right"/>
              <w:rPr>
                <w:rFonts w:ascii="Times New Roman" w:hAnsi="Times New Roman" w:cs="Times New Roman" w:eastAsia="Times New Roman" w:hint="default"/>
                <w:sz w:val="20"/>
                <w:szCs w:val="20"/>
              </w:rPr>
            </w:pPr>
            <w:r>
              <w:rPr>
                <w:rFonts w:ascii="Times New Roman"/>
                <w:spacing w:val="-1"/>
                <w:sz w:val="20"/>
              </w:rPr>
              <w:t>1,560,805,991.27</w:t>
            </w: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right"/>
              <w:rPr>
                <w:rFonts w:ascii="Times New Roman" w:hAnsi="Times New Roman" w:cs="Times New Roman" w:eastAsia="Times New Roman" w:hint="default"/>
                <w:sz w:val="20"/>
                <w:szCs w:val="20"/>
              </w:rPr>
            </w:pPr>
            <w:r>
              <w:rPr>
                <w:rFonts w:ascii="Times New Roman"/>
                <w:spacing w:val="-1"/>
                <w:sz w:val="20"/>
              </w:rPr>
              <w:t>1,227,118,812.51</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right"/>
              <w:rPr>
                <w:rFonts w:ascii="Times New Roman" w:hAnsi="Times New Roman" w:cs="Times New Roman" w:eastAsia="Times New Roman" w:hint="default"/>
                <w:sz w:val="20"/>
                <w:szCs w:val="20"/>
              </w:rPr>
            </w:pPr>
            <w:r>
              <w:rPr>
                <w:rFonts w:ascii="Times New Roman"/>
                <w:spacing w:val="-1"/>
                <w:sz w:val="20"/>
              </w:rPr>
              <w:t>1,318,755,340.31</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right"/>
              <w:rPr>
                <w:rFonts w:ascii="Times New Roman" w:hAnsi="Times New Roman" w:cs="Times New Roman" w:eastAsia="Times New Roman" w:hint="default"/>
                <w:sz w:val="20"/>
                <w:szCs w:val="20"/>
              </w:rPr>
            </w:pPr>
            <w:r>
              <w:rPr>
                <w:rFonts w:ascii="Times New Roman"/>
                <w:spacing w:val="-1"/>
                <w:sz w:val="20"/>
              </w:rPr>
              <w:t>1,076,237,483.72</w:t>
            </w:r>
          </w:p>
        </w:tc>
      </w:tr>
      <w:tr>
        <w:trPr>
          <w:trHeight w:val="379" w:hRule="exact"/>
        </w:trPr>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4" w:right="0"/>
              <w:jc w:val="left"/>
              <w:rPr>
                <w:rFonts w:ascii="宋体" w:hAnsi="宋体" w:cs="宋体" w:eastAsia="宋体" w:hint="default"/>
                <w:sz w:val="20"/>
                <w:szCs w:val="20"/>
              </w:rPr>
            </w:pPr>
            <w:r>
              <w:rPr>
                <w:rFonts w:ascii="宋体" w:hAnsi="宋体" w:cs="宋体" w:eastAsia="宋体" w:hint="default"/>
                <w:sz w:val="20"/>
                <w:szCs w:val="20"/>
              </w:rPr>
              <w:t>华东地区</w:t>
            </w:r>
          </w:p>
        </w:tc>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right"/>
              <w:rPr>
                <w:rFonts w:ascii="Times New Roman" w:hAnsi="Times New Roman" w:cs="Times New Roman" w:eastAsia="Times New Roman" w:hint="default"/>
                <w:sz w:val="20"/>
                <w:szCs w:val="20"/>
              </w:rPr>
            </w:pPr>
            <w:r>
              <w:rPr>
                <w:rFonts w:ascii="Times New Roman"/>
                <w:spacing w:val="-1"/>
                <w:sz w:val="20"/>
              </w:rPr>
              <w:t>450,473,929.06</w:t>
            </w: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right"/>
              <w:rPr>
                <w:rFonts w:ascii="Times New Roman" w:hAnsi="Times New Roman" w:cs="Times New Roman" w:eastAsia="Times New Roman" w:hint="default"/>
                <w:sz w:val="20"/>
                <w:szCs w:val="20"/>
              </w:rPr>
            </w:pPr>
            <w:r>
              <w:rPr>
                <w:rFonts w:ascii="Times New Roman"/>
                <w:spacing w:val="-1"/>
                <w:sz w:val="20"/>
              </w:rPr>
              <w:t>366,627,645.95</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right"/>
              <w:rPr>
                <w:rFonts w:ascii="Times New Roman" w:hAnsi="Times New Roman" w:cs="Times New Roman" w:eastAsia="Times New Roman" w:hint="default"/>
                <w:sz w:val="20"/>
                <w:szCs w:val="20"/>
              </w:rPr>
            </w:pPr>
            <w:r>
              <w:rPr>
                <w:rFonts w:ascii="Times New Roman"/>
                <w:spacing w:val="-1"/>
                <w:sz w:val="20"/>
              </w:rPr>
              <w:t>422,118,289.57</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right"/>
              <w:rPr>
                <w:rFonts w:ascii="Times New Roman" w:hAnsi="Times New Roman" w:cs="Times New Roman" w:eastAsia="Times New Roman" w:hint="default"/>
                <w:sz w:val="20"/>
                <w:szCs w:val="20"/>
              </w:rPr>
            </w:pPr>
            <w:r>
              <w:rPr>
                <w:rFonts w:ascii="Times New Roman"/>
                <w:spacing w:val="-1"/>
                <w:sz w:val="20"/>
              </w:rPr>
              <w:t>304,290,668.89</w:t>
            </w:r>
          </w:p>
        </w:tc>
      </w:tr>
      <w:tr>
        <w:trPr>
          <w:trHeight w:val="379" w:hRule="exact"/>
        </w:trPr>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4" w:right="0"/>
              <w:jc w:val="left"/>
              <w:rPr>
                <w:rFonts w:ascii="宋体" w:hAnsi="宋体" w:cs="宋体" w:eastAsia="宋体" w:hint="default"/>
                <w:sz w:val="20"/>
                <w:szCs w:val="20"/>
              </w:rPr>
            </w:pPr>
            <w:r>
              <w:rPr>
                <w:rFonts w:ascii="宋体" w:hAnsi="宋体" w:cs="宋体" w:eastAsia="宋体" w:hint="default"/>
                <w:sz w:val="20"/>
                <w:szCs w:val="20"/>
              </w:rPr>
              <w:t>华南地区</w:t>
            </w:r>
          </w:p>
        </w:tc>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right"/>
              <w:rPr>
                <w:rFonts w:ascii="Times New Roman" w:hAnsi="Times New Roman" w:cs="Times New Roman" w:eastAsia="Times New Roman" w:hint="default"/>
                <w:sz w:val="20"/>
                <w:szCs w:val="20"/>
              </w:rPr>
            </w:pPr>
            <w:r>
              <w:rPr>
                <w:rFonts w:ascii="Times New Roman"/>
                <w:spacing w:val="-1"/>
                <w:sz w:val="20"/>
              </w:rPr>
              <w:t>770,522,037.36</w:t>
            </w: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right"/>
              <w:rPr>
                <w:rFonts w:ascii="Times New Roman" w:hAnsi="Times New Roman" w:cs="Times New Roman" w:eastAsia="Times New Roman" w:hint="default"/>
                <w:sz w:val="20"/>
                <w:szCs w:val="20"/>
              </w:rPr>
            </w:pPr>
            <w:r>
              <w:rPr>
                <w:rFonts w:ascii="Times New Roman"/>
                <w:spacing w:val="-1"/>
                <w:sz w:val="20"/>
              </w:rPr>
              <w:t>507,029,021.91</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right"/>
              <w:rPr>
                <w:rFonts w:ascii="Times New Roman" w:hAnsi="Times New Roman" w:cs="Times New Roman" w:eastAsia="Times New Roman" w:hint="default"/>
                <w:sz w:val="20"/>
                <w:szCs w:val="20"/>
              </w:rPr>
            </w:pPr>
            <w:r>
              <w:rPr>
                <w:rFonts w:ascii="Times New Roman"/>
                <w:spacing w:val="-1"/>
                <w:sz w:val="20"/>
              </w:rPr>
              <w:t>553,789,247.62</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right"/>
              <w:rPr>
                <w:rFonts w:ascii="Times New Roman" w:hAnsi="Times New Roman" w:cs="Times New Roman" w:eastAsia="Times New Roman" w:hint="default"/>
                <w:sz w:val="20"/>
                <w:szCs w:val="20"/>
              </w:rPr>
            </w:pPr>
            <w:r>
              <w:rPr>
                <w:rFonts w:ascii="Times New Roman"/>
                <w:spacing w:val="-1"/>
                <w:sz w:val="20"/>
              </w:rPr>
              <w:t>400,231,625.50</w:t>
            </w:r>
          </w:p>
        </w:tc>
      </w:tr>
      <w:tr>
        <w:trPr>
          <w:trHeight w:val="384" w:hRule="exact"/>
        </w:trPr>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4" w:right="0"/>
              <w:jc w:val="left"/>
              <w:rPr>
                <w:rFonts w:ascii="宋体" w:hAnsi="宋体" w:cs="宋体" w:eastAsia="宋体" w:hint="default"/>
                <w:sz w:val="20"/>
                <w:szCs w:val="20"/>
              </w:rPr>
            </w:pPr>
            <w:r>
              <w:rPr>
                <w:rFonts w:ascii="宋体" w:hAnsi="宋体" w:cs="宋体" w:eastAsia="宋体" w:hint="default"/>
                <w:sz w:val="20"/>
                <w:szCs w:val="20"/>
              </w:rPr>
              <w:t>西南地区</w:t>
            </w:r>
          </w:p>
        </w:tc>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right"/>
              <w:rPr>
                <w:rFonts w:ascii="Times New Roman" w:hAnsi="Times New Roman" w:cs="Times New Roman" w:eastAsia="Times New Roman" w:hint="default"/>
                <w:sz w:val="20"/>
                <w:szCs w:val="20"/>
              </w:rPr>
            </w:pPr>
            <w:r>
              <w:rPr>
                <w:rFonts w:ascii="Times New Roman"/>
                <w:spacing w:val="-1"/>
                <w:sz w:val="20"/>
              </w:rPr>
              <w:t>433,582,514.30</w:t>
            </w: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right"/>
              <w:rPr>
                <w:rFonts w:ascii="Times New Roman" w:hAnsi="Times New Roman" w:cs="Times New Roman" w:eastAsia="Times New Roman" w:hint="default"/>
                <w:sz w:val="20"/>
                <w:szCs w:val="20"/>
              </w:rPr>
            </w:pPr>
            <w:r>
              <w:rPr>
                <w:rFonts w:ascii="Times New Roman"/>
                <w:spacing w:val="-1"/>
                <w:sz w:val="20"/>
              </w:rPr>
              <w:t>383,354,276.91</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right"/>
              <w:rPr>
                <w:rFonts w:ascii="Times New Roman" w:hAnsi="Times New Roman" w:cs="Times New Roman" w:eastAsia="Times New Roman" w:hint="default"/>
                <w:sz w:val="20"/>
                <w:szCs w:val="20"/>
              </w:rPr>
            </w:pPr>
            <w:r>
              <w:rPr>
                <w:rFonts w:ascii="Times New Roman"/>
                <w:spacing w:val="-1"/>
                <w:sz w:val="20"/>
              </w:rPr>
              <w:t>432,439,182.98</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right"/>
              <w:rPr>
                <w:rFonts w:ascii="Times New Roman" w:hAnsi="Times New Roman" w:cs="Times New Roman" w:eastAsia="Times New Roman" w:hint="default"/>
                <w:sz w:val="20"/>
                <w:szCs w:val="20"/>
              </w:rPr>
            </w:pPr>
            <w:r>
              <w:rPr>
                <w:rFonts w:ascii="Times New Roman"/>
                <w:spacing w:val="-1"/>
                <w:sz w:val="20"/>
              </w:rPr>
              <w:t>315,157,452.85</w:t>
            </w:r>
          </w:p>
        </w:tc>
      </w:tr>
      <w:tr>
        <w:trPr>
          <w:trHeight w:val="380" w:hRule="exact"/>
        </w:trPr>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4" w:right="0"/>
              <w:jc w:val="left"/>
              <w:rPr>
                <w:rFonts w:ascii="宋体" w:hAnsi="宋体" w:cs="宋体" w:eastAsia="宋体" w:hint="default"/>
                <w:sz w:val="20"/>
                <w:szCs w:val="20"/>
              </w:rPr>
            </w:pPr>
            <w:r>
              <w:rPr>
                <w:rFonts w:ascii="宋体" w:hAnsi="宋体" w:cs="宋体" w:eastAsia="宋体" w:hint="default"/>
                <w:sz w:val="20"/>
                <w:szCs w:val="20"/>
              </w:rPr>
              <w:t>华中地区</w:t>
            </w:r>
          </w:p>
        </w:tc>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right"/>
              <w:rPr>
                <w:rFonts w:ascii="Times New Roman" w:hAnsi="Times New Roman" w:cs="Times New Roman" w:eastAsia="Times New Roman" w:hint="default"/>
                <w:sz w:val="20"/>
                <w:szCs w:val="20"/>
              </w:rPr>
            </w:pPr>
            <w:r>
              <w:rPr>
                <w:rFonts w:ascii="Times New Roman"/>
                <w:spacing w:val="-1"/>
                <w:sz w:val="20"/>
              </w:rPr>
              <w:t>29,035,795.73</w:t>
            </w: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right"/>
              <w:rPr>
                <w:rFonts w:ascii="Times New Roman" w:hAnsi="Times New Roman" w:cs="Times New Roman" w:eastAsia="Times New Roman" w:hint="default"/>
                <w:sz w:val="20"/>
                <w:szCs w:val="20"/>
              </w:rPr>
            </w:pPr>
            <w:r>
              <w:rPr>
                <w:rFonts w:ascii="Times New Roman"/>
                <w:spacing w:val="-1"/>
                <w:sz w:val="20"/>
              </w:rPr>
              <w:t>18,497,633.87</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right"/>
              <w:rPr>
                <w:rFonts w:ascii="Times New Roman" w:hAnsi="Times New Roman" w:cs="Times New Roman" w:eastAsia="Times New Roman" w:hint="default"/>
                <w:sz w:val="20"/>
                <w:szCs w:val="20"/>
              </w:rPr>
            </w:pPr>
            <w:r>
              <w:rPr>
                <w:rFonts w:ascii="Times New Roman"/>
                <w:spacing w:val="-1"/>
                <w:sz w:val="20"/>
              </w:rPr>
              <w:t>6,283,932.17</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right"/>
              <w:rPr>
                <w:rFonts w:ascii="Times New Roman" w:hAnsi="Times New Roman" w:cs="Times New Roman" w:eastAsia="Times New Roman" w:hint="default"/>
                <w:sz w:val="20"/>
                <w:szCs w:val="20"/>
              </w:rPr>
            </w:pPr>
            <w:r>
              <w:rPr>
                <w:rFonts w:ascii="Times New Roman"/>
                <w:spacing w:val="-1"/>
                <w:sz w:val="20"/>
              </w:rPr>
              <w:t>4,903,969.60</w:t>
            </w:r>
          </w:p>
        </w:tc>
      </w:tr>
      <w:tr>
        <w:trPr>
          <w:trHeight w:val="379" w:hRule="exact"/>
        </w:trPr>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4" w:right="0"/>
              <w:jc w:val="left"/>
              <w:rPr>
                <w:rFonts w:ascii="宋体" w:hAnsi="宋体" w:cs="宋体" w:eastAsia="宋体" w:hint="default"/>
                <w:sz w:val="20"/>
                <w:szCs w:val="20"/>
              </w:rPr>
            </w:pPr>
            <w:r>
              <w:rPr>
                <w:rFonts w:ascii="宋体" w:hAnsi="宋体" w:cs="宋体" w:eastAsia="宋体" w:hint="default"/>
                <w:sz w:val="20"/>
                <w:szCs w:val="20"/>
              </w:rPr>
              <w:t>西北地区</w:t>
            </w:r>
          </w:p>
        </w:tc>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right"/>
              <w:rPr>
                <w:rFonts w:ascii="Times New Roman" w:hAnsi="Times New Roman" w:cs="Times New Roman" w:eastAsia="Times New Roman" w:hint="default"/>
                <w:sz w:val="20"/>
                <w:szCs w:val="20"/>
              </w:rPr>
            </w:pPr>
            <w:r>
              <w:rPr>
                <w:rFonts w:ascii="Times New Roman"/>
                <w:spacing w:val="-1"/>
                <w:sz w:val="20"/>
              </w:rPr>
              <w:t>31,694,747.12</w:t>
            </w: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right"/>
              <w:rPr>
                <w:rFonts w:ascii="Times New Roman" w:hAnsi="Times New Roman" w:cs="Times New Roman" w:eastAsia="Times New Roman" w:hint="default"/>
                <w:sz w:val="20"/>
                <w:szCs w:val="20"/>
              </w:rPr>
            </w:pPr>
            <w:r>
              <w:rPr>
                <w:rFonts w:ascii="Times New Roman"/>
                <w:spacing w:val="-1"/>
                <w:sz w:val="20"/>
              </w:rPr>
              <w:t>20,330,285.14</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right"/>
              <w:rPr>
                <w:rFonts w:ascii="Times New Roman" w:hAnsi="Times New Roman" w:cs="Times New Roman" w:eastAsia="Times New Roman" w:hint="default"/>
                <w:sz w:val="20"/>
                <w:szCs w:val="20"/>
              </w:rPr>
            </w:pPr>
            <w:r>
              <w:rPr>
                <w:rFonts w:ascii="Times New Roman"/>
                <w:spacing w:val="-1"/>
                <w:sz w:val="20"/>
              </w:rPr>
              <w:t>19,708,624.56</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right"/>
              <w:rPr>
                <w:rFonts w:ascii="Times New Roman" w:hAnsi="Times New Roman" w:cs="Times New Roman" w:eastAsia="Times New Roman" w:hint="default"/>
                <w:sz w:val="20"/>
                <w:szCs w:val="20"/>
              </w:rPr>
            </w:pPr>
            <w:r>
              <w:rPr>
                <w:rFonts w:ascii="Times New Roman"/>
                <w:spacing w:val="-1"/>
                <w:sz w:val="20"/>
              </w:rPr>
              <w:t>15,937,163.97</w:t>
            </w:r>
          </w:p>
        </w:tc>
      </w:tr>
      <w:tr>
        <w:trPr>
          <w:trHeight w:val="384" w:hRule="exact"/>
        </w:trPr>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right"/>
              <w:rPr>
                <w:rFonts w:ascii="Times New Roman" w:hAnsi="Times New Roman" w:cs="Times New Roman" w:eastAsia="Times New Roman" w:hint="default"/>
                <w:sz w:val="20"/>
                <w:szCs w:val="20"/>
              </w:rPr>
            </w:pPr>
            <w:r>
              <w:rPr>
                <w:rFonts w:ascii="Times New Roman"/>
                <w:b/>
                <w:spacing w:val="-1"/>
                <w:sz w:val="20"/>
              </w:rPr>
              <w:t>3,276,115,014.84</w:t>
            </w:r>
            <w:r>
              <w:rPr>
                <w:rFonts w:ascii="Times New Roman"/>
                <w:spacing w:val="-1"/>
                <w:sz w:val="20"/>
              </w:rPr>
            </w: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right"/>
              <w:rPr>
                <w:rFonts w:ascii="Times New Roman" w:hAnsi="Times New Roman" w:cs="Times New Roman" w:eastAsia="Times New Roman" w:hint="default"/>
                <w:sz w:val="20"/>
                <w:szCs w:val="20"/>
              </w:rPr>
            </w:pPr>
            <w:r>
              <w:rPr>
                <w:rFonts w:ascii="Times New Roman"/>
                <w:b/>
                <w:spacing w:val="-1"/>
                <w:sz w:val="20"/>
              </w:rPr>
              <w:t>2,522,957,676.29</w:t>
            </w:r>
            <w:r>
              <w:rPr>
                <w:rFonts w:ascii="Times New Roman"/>
                <w:spacing w:val="-1"/>
                <w:sz w:val="20"/>
              </w:rPr>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right"/>
              <w:rPr>
                <w:rFonts w:ascii="Times New Roman" w:hAnsi="Times New Roman" w:cs="Times New Roman" w:eastAsia="Times New Roman" w:hint="default"/>
                <w:sz w:val="20"/>
                <w:szCs w:val="20"/>
              </w:rPr>
            </w:pPr>
            <w:r>
              <w:rPr>
                <w:rFonts w:ascii="Times New Roman"/>
                <w:b/>
                <w:spacing w:val="-1"/>
                <w:sz w:val="20"/>
              </w:rPr>
              <w:t>2,753,094,617.21</w:t>
            </w:r>
            <w:r>
              <w:rPr>
                <w:rFonts w:ascii="Times New Roman"/>
                <w:spacing w:val="-1"/>
                <w:sz w:val="20"/>
              </w:rPr>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right"/>
              <w:rPr>
                <w:rFonts w:ascii="Times New Roman" w:hAnsi="Times New Roman" w:cs="Times New Roman" w:eastAsia="Times New Roman" w:hint="default"/>
                <w:sz w:val="20"/>
                <w:szCs w:val="20"/>
              </w:rPr>
            </w:pPr>
            <w:r>
              <w:rPr>
                <w:rFonts w:ascii="Times New Roman"/>
                <w:b/>
                <w:spacing w:val="-1"/>
                <w:sz w:val="20"/>
              </w:rPr>
              <w:t>2,116,758,364.53</w:t>
            </w:r>
            <w:r>
              <w:rPr>
                <w:rFonts w:ascii="Times New Roman"/>
                <w:spacing w:val="-1"/>
                <w:sz w:val="20"/>
              </w:rPr>
            </w:r>
          </w:p>
        </w:tc>
      </w:tr>
    </w:tbl>
    <w:p>
      <w:pPr>
        <w:spacing w:line="240" w:lineRule="auto" w:before="2"/>
        <w:rPr>
          <w:rFonts w:ascii="宋体" w:hAnsi="宋体" w:cs="宋体" w:eastAsia="宋体" w:hint="default"/>
          <w:sz w:val="14"/>
          <w:szCs w:val="14"/>
        </w:rPr>
      </w:pPr>
    </w:p>
    <w:p>
      <w:pPr>
        <w:pStyle w:val="Heading3"/>
        <w:spacing w:line="240" w:lineRule="auto"/>
        <w:ind w:right="855"/>
        <w:jc w:val="left"/>
        <w:rPr>
          <w:rFonts w:ascii="宋体" w:hAnsi="宋体" w:cs="宋体" w:eastAsia="宋体" w:hint="default"/>
        </w:rPr>
      </w:pPr>
      <w:r>
        <w:rPr/>
        <w:t>（</w:t>
      </w:r>
      <w:r>
        <w:rPr>
          <w:rFonts w:ascii="Times New Roman" w:hAnsi="Times New Roman" w:cs="Times New Roman" w:eastAsia="Times New Roman" w:hint="default"/>
        </w:rPr>
        <w:t>4</w:t>
      </w:r>
      <w:r>
        <w:rPr/>
        <w:t>）营业成本构成</w:t>
      </w:r>
      <w:r>
        <w:rPr>
          <w:rFonts w:ascii="宋体" w:hAnsi="宋体" w:cs="宋体" w:eastAsia="宋体" w:hint="default"/>
        </w:rPr>
        <w:t> </w:t>
      </w:r>
    </w:p>
    <w:p>
      <w:pPr>
        <w:spacing w:line="240" w:lineRule="auto" w:before="11"/>
        <w:rPr>
          <w:rFonts w:ascii="宋体" w:hAnsi="宋体" w:cs="宋体" w:eastAsia="宋体" w:hint="default"/>
          <w:sz w:val="17"/>
          <w:szCs w:val="17"/>
        </w:rPr>
      </w:pPr>
    </w:p>
    <w:p>
      <w:pPr>
        <w:pStyle w:val="BodyText"/>
        <w:spacing w:line="240" w:lineRule="auto" w:before="46"/>
        <w:ind w:left="0" w:right="1035"/>
        <w:jc w:val="right"/>
        <w:rPr>
          <w:rFonts w:ascii="宋体" w:hAnsi="宋体" w:cs="宋体" w:eastAsia="宋体" w:hint="default"/>
        </w:rPr>
      </w:pPr>
      <w:r>
        <w:rPr>
          <w:spacing w:val="-3"/>
        </w:rPr>
        <w:t>单位：元</w:t>
      </w:r>
      <w:r>
        <w:rPr>
          <w:rFonts w:ascii="宋体" w:hAnsi="宋体" w:cs="宋体" w:eastAsia="宋体" w:hint="default"/>
        </w:rPr>
        <w:t> </w:t>
      </w:r>
    </w:p>
    <w:p>
      <w:pPr>
        <w:spacing w:line="240" w:lineRule="auto" w:before="5"/>
        <w:rPr>
          <w:rFonts w:ascii="宋体" w:hAnsi="宋体" w:cs="宋体" w:eastAsia="宋体" w:hint="default"/>
          <w:sz w:val="23"/>
          <w:szCs w:val="23"/>
        </w:rPr>
      </w:pPr>
    </w:p>
    <w:tbl>
      <w:tblPr>
        <w:tblW w:w="0" w:type="auto"/>
        <w:jc w:val="left"/>
        <w:tblInd w:w="148" w:type="dxa"/>
        <w:tblLayout w:type="fixed"/>
        <w:tblCellMar>
          <w:top w:w="0" w:type="dxa"/>
          <w:left w:w="0" w:type="dxa"/>
          <w:bottom w:w="0" w:type="dxa"/>
          <w:right w:w="0" w:type="dxa"/>
        </w:tblCellMar>
        <w:tblLook w:val="01E0"/>
      </w:tblPr>
      <w:tblGrid>
        <w:gridCol w:w="2334"/>
        <w:gridCol w:w="2334"/>
        <w:gridCol w:w="2516"/>
        <w:gridCol w:w="2473"/>
      </w:tblGrid>
      <w:tr>
        <w:trPr>
          <w:trHeight w:val="341" w:hRule="exact"/>
        </w:trPr>
        <w:tc>
          <w:tcPr>
            <w:tcW w:w="2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0"/>
                <w:szCs w:val="20"/>
              </w:rPr>
            </w:pPr>
            <w:r>
              <w:rPr>
                <w:rFonts w:ascii="宋体" w:hAnsi="宋体" w:cs="宋体" w:eastAsia="宋体" w:hint="default"/>
                <w:b/>
                <w:bCs/>
                <w:sz w:val="20"/>
                <w:szCs w:val="20"/>
              </w:rPr>
              <w:t>产品类型</w:t>
            </w:r>
            <w:r>
              <w:rPr>
                <w:rFonts w:ascii="宋体" w:hAnsi="宋体" w:cs="宋体" w:eastAsia="宋体" w:hint="default"/>
                <w:sz w:val="20"/>
                <w:szCs w:val="20"/>
              </w:rPr>
            </w:r>
          </w:p>
        </w:tc>
        <w:tc>
          <w:tcPr>
            <w:tcW w:w="2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0"/>
                <w:szCs w:val="20"/>
              </w:rPr>
            </w:pPr>
            <w:r>
              <w:rPr>
                <w:rFonts w:ascii="宋体" w:hAnsi="宋体" w:cs="宋体" w:eastAsia="宋体" w:hint="default"/>
                <w:b/>
                <w:bCs/>
                <w:sz w:val="20"/>
                <w:szCs w:val="20"/>
              </w:rPr>
              <w:t>本年金额</w:t>
            </w:r>
            <w:r>
              <w:rPr>
                <w:rFonts w:ascii="宋体" w:hAnsi="宋体" w:cs="宋体" w:eastAsia="宋体" w:hint="default"/>
                <w:sz w:val="20"/>
                <w:szCs w:val="20"/>
              </w:rPr>
            </w:r>
          </w:p>
        </w:tc>
        <w:tc>
          <w:tcPr>
            <w:tcW w:w="2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4" w:right="0"/>
              <w:jc w:val="center"/>
              <w:rPr>
                <w:rFonts w:ascii="宋体" w:hAnsi="宋体" w:cs="宋体" w:eastAsia="宋体" w:hint="default"/>
                <w:sz w:val="20"/>
                <w:szCs w:val="20"/>
              </w:rPr>
            </w:pPr>
            <w:r>
              <w:rPr>
                <w:rFonts w:ascii="宋体" w:hAnsi="宋体" w:cs="宋体" w:eastAsia="宋体" w:hint="default"/>
                <w:b/>
                <w:bCs/>
                <w:sz w:val="20"/>
                <w:szCs w:val="20"/>
              </w:rPr>
              <w:t>上年金额</w:t>
            </w:r>
            <w:r>
              <w:rPr>
                <w:rFonts w:ascii="宋体" w:hAnsi="宋体" w:cs="宋体" w:eastAsia="宋体" w:hint="default"/>
                <w:sz w:val="20"/>
                <w:szCs w:val="20"/>
              </w:rPr>
            </w:r>
          </w:p>
        </w:tc>
      </w:tr>
      <w:tr>
        <w:trPr>
          <w:trHeight w:val="341" w:hRule="exact"/>
        </w:trPr>
        <w:tc>
          <w:tcPr>
            <w:tcW w:w="2334" w:type="dxa"/>
            <w:vMerge w:val="restart"/>
            <w:tcBorders>
              <w:top w:val="single" w:sz="4" w:space="0" w:color="000000"/>
              <w:left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软件开发及服务</w:t>
            </w:r>
          </w:p>
        </w:tc>
        <w:tc>
          <w:tcPr>
            <w:tcW w:w="2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4" w:right="0"/>
              <w:jc w:val="left"/>
              <w:rPr>
                <w:rFonts w:ascii="宋体" w:hAnsi="宋体" w:cs="宋体" w:eastAsia="宋体" w:hint="default"/>
                <w:sz w:val="20"/>
                <w:szCs w:val="20"/>
              </w:rPr>
            </w:pPr>
            <w:r>
              <w:rPr>
                <w:rFonts w:ascii="宋体" w:hAnsi="宋体" w:cs="宋体" w:eastAsia="宋体" w:hint="default"/>
                <w:sz w:val="20"/>
                <w:szCs w:val="20"/>
              </w:rPr>
              <w:t>人工成本</w:t>
            </w:r>
          </w:p>
        </w:tc>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right"/>
              <w:rPr>
                <w:rFonts w:ascii="Times New Roman" w:hAnsi="Times New Roman" w:cs="Times New Roman" w:eastAsia="Times New Roman" w:hint="default"/>
                <w:sz w:val="20"/>
                <w:szCs w:val="20"/>
              </w:rPr>
            </w:pPr>
            <w:r>
              <w:rPr>
                <w:rFonts w:ascii="Times New Roman"/>
                <w:spacing w:val="-1"/>
                <w:sz w:val="20"/>
              </w:rPr>
              <w:t>313,502,493.74</w:t>
            </w:r>
          </w:p>
        </w:tc>
        <w:tc>
          <w:tcPr>
            <w:tcW w:w="2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right"/>
              <w:rPr>
                <w:rFonts w:ascii="Times New Roman" w:hAnsi="Times New Roman" w:cs="Times New Roman" w:eastAsia="Times New Roman" w:hint="default"/>
                <w:sz w:val="20"/>
                <w:szCs w:val="20"/>
              </w:rPr>
            </w:pPr>
            <w:r>
              <w:rPr>
                <w:rFonts w:ascii="Times New Roman"/>
                <w:spacing w:val="-1"/>
                <w:sz w:val="20"/>
              </w:rPr>
              <w:t>219,934,645.53</w:t>
            </w:r>
          </w:p>
        </w:tc>
      </w:tr>
      <w:tr>
        <w:trPr>
          <w:trHeight w:val="346" w:hRule="exact"/>
        </w:trPr>
        <w:tc>
          <w:tcPr>
            <w:tcW w:w="2334" w:type="dxa"/>
            <w:vMerge/>
            <w:tcBorders>
              <w:left w:val="single" w:sz="4" w:space="0" w:color="000000"/>
              <w:bottom w:val="single" w:sz="4" w:space="0" w:color="000000"/>
              <w:right w:val="single" w:sz="4" w:space="0" w:color="000000"/>
            </w:tcBorders>
          </w:tcPr>
          <w:p>
            <w:pPr/>
          </w:p>
        </w:tc>
        <w:tc>
          <w:tcPr>
            <w:tcW w:w="2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4" w:right="0"/>
              <w:jc w:val="left"/>
              <w:rPr>
                <w:rFonts w:ascii="宋体" w:hAnsi="宋体" w:cs="宋体" w:eastAsia="宋体" w:hint="default"/>
                <w:sz w:val="20"/>
                <w:szCs w:val="20"/>
              </w:rPr>
            </w:pPr>
            <w:r>
              <w:rPr>
                <w:rFonts w:ascii="宋体" w:hAnsi="宋体" w:cs="宋体" w:eastAsia="宋体" w:hint="default"/>
                <w:sz w:val="20"/>
                <w:szCs w:val="20"/>
              </w:rPr>
              <w:t>项目实施成本</w:t>
            </w:r>
          </w:p>
        </w:tc>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right"/>
              <w:rPr>
                <w:rFonts w:ascii="Times New Roman" w:hAnsi="Times New Roman" w:cs="Times New Roman" w:eastAsia="Times New Roman" w:hint="default"/>
                <w:sz w:val="20"/>
                <w:szCs w:val="20"/>
              </w:rPr>
            </w:pPr>
            <w:r>
              <w:rPr>
                <w:rFonts w:ascii="Times New Roman"/>
                <w:spacing w:val="-1"/>
                <w:sz w:val="20"/>
              </w:rPr>
              <w:t>599,991,539.74</w:t>
            </w:r>
          </w:p>
        </w:tc>
        <w:tc>
          <w:tcPr>
            <w:tcW w:w="2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right"/>
              <w:rPr>
                <w:rFonts w:ascii="Times New Roman" w:hAnsi="Times New Roman" w:cs="Times New Roman" w:eastAsia="Times New Roman" w:hint="default"/>
                <w:sz w:val="20"/>
                <w:szCs w:val="20"/>
              </w:rPr>
            </w:pPr>
            <w:r>
              <w:rPr>
                <w:rFonts w:ascii="Times New Roman"/>
                <w:spacing w:val="-1"/>
                <w:sz w:val="20"/>
              </w:rPr>
              <w:t>536,682,828.87</w:t>
            </w:r>
          </w:p>
        </w:tc>
      </w:tr>
      <w:tr>
        <w:trPr>
          <w:trHeight w:val="341" w:hRule="exact"/>
        </w:trPr>
        <w:tc>
          <w:tcPr>
            <w:tcW w:w="2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center"/>
              <w:rPr>
                <w:rFonts w:ascii="宋体" w:hAnsi="宋体" w:cs="宋体" w:eastAsia="宋体" w:hint="default"/>
                <w:sz w:val="20"/>
                <w:szCs w:val="20"/>
              </w:rPr>
            </w:pPr>
            <w:r>
              <w:rPr>
                <w:rFonts w:ascii="宋体" w:hAnsi="宋体" w:cs="宋体" w:eastAsia="宋体" w:hint="default"/>
                <w:sz w:val="20"/>
                <w:szCs w:val="20"/>
              </w:rPr>
              <w:t>小计</w:t>
            </w:r>
          </w:p>
        </w:tc>
        <w:tc>
          <w:tcPr>
            <w:tcW w:w="2334" w:type="dxa"/>
            <w:tcBorders>
              <w:top w:val="single" w:sz="4" w:space="0" w:color="000000"/>
              <w:left w:val="single" w:sz="4" w:space="0" w:color="000000"/>
              <w:bottom w:val="single" w:sz="4" w:space="0" w:color="000000"/>
              <w:right w:val="single" w:sz="4" w:space="0" w:color="000000"/>
            </w:tcBorders>
          </w:tcPr>
          <w:p>
            <w:pPr/>
          </w:p>
        </w:tc>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right"/>
              <w:rPr>
                <w:rFonts w:ascii="Times New Roman" w:hAnsi="Times New Roman" w:cs="Times New Roman" w:eastAsia="Times New Roman" w:hint="default"/>
                <w:sz w:val="20"/>
                <w:szCs w:val="20"/>
              </w:rPr>
            </w:pPr>
            <w:r>
              <w:rPr>
                <w:rFonts w:ascii="Times New Roman"/>
                <w:spacing w:val="-1"/>
                <w:sz w:val="20"/>
              </w:rPr>
              <w:t>913,494,033.48</w:t>
            </w:r>
          </w:p>
        </w:tc>
        <w:tc>
          <w:tcPr>
            <w:tcW w:w="2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right"/>
              <w:rPr>
                <w:rFonts w:ascii="Times New Roman" w:hAnsi="Times New Roman" w:cs="Times New Roman" w:eastAsia="Times New Roman" w:hint="default"/>
                <w:sz w:val="20"/>
                <w:szCs w:val="20"/>
              </w:rPr>
            </w:pPr>
            <w:r>
              <w:rPr>
                <w:rFonts w:ascii="Times New Roman"/>
                <w:spacing w:val="-1"/>
                <w:sz w:val="20"/>
              </w:rPr>
              <w:t>756,617,474.39</w:t>
            </w:r>
          </w:p>
        </w:tc>
      </w:tr>
      <w:tr>
        <w:trPr>
          <w:trHeight w:val="341" w:hRule="exact"/>
        </w:trPr>
        <w:tc>
          <w:tcPr>
            <w:tcW w:w="2334" w:type="dxa"/>
            <w:vMerge w:val="restart"/>
            <w:tcBorders>
              <w:top w:val="single" w:sz="4" w:space="0" w:color="000000"/>
              <w:left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智能渠道解决方案</w:t>
            </w:r>
          </w:p>
        </w:tc>
        <w:tc>
          <w:tcPr>
            <w:tcW w:w="2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4" w:right="0"/>
              <w:jc w:val="left"/>
              <w:rPr>
                <w:rFonts w:ascii="宋体" w:hAnsi="宋体" w:cs="宋体" w:eastAsia="宋体" w:hint="default"/>
                <w:sz w:val="20"/>
                <w:szCs w:val="20"/>
              </w:rPr>
            </w:pPr>
            <w:r>
              <w:rPr>
                <w:rFonts w:ascii="宋体" w:hAnsi="宋体" w:cs="宋体" w:eastAsia="宋体" w:hint="default"/>
                <w:sz w:val="20"/>
                <w:szCs w:val="20"/>
              </w:rPr>
              <w:t>人工成本</w:t>
            </w:r>
          </w:p>
        </w:tc>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right"/>
              <w:rPr>
                <w:rFonts w:ascii="Times New Roman" w:hAnsi="Times New Roman" w:cs="Times New Roman" w:eastAsia="Times New Roman" w:hint="default"/>
                <w:sz w:val="20"/>
                <w:szCs w:val="20"/>
              </w:rPr>
            </w:pPr>
            <w:r>
              <w:rPr>
                <w:rFonts w:ascii="Times New Roman"/>
                <w:spacing w:val="-1"/>
                <w:sz w:val="20"/>
              </w:rPr>
              <w:t>22,960,746.02</w:t>
            </w:r>
          </w:p>
        </w:tc>
        <w:tc>
          <w:tcPr>
            <w:tcW w:w="2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right"/>
              <w:rPr>
                <w:rFonts w:ascii="Times New Roman" w:hAnsi="Times New Roman" w:cs="Times New Roman" w:eastAsia="Times New Roman" w:hint="default"/>
                <w:sz w:val="20"/>
                <w:szCs w:val="20"/>
              </w:rPr>
            </w:pPr>
            <w:r>
              <w:rPr>
                <w:rFonts w:ascii="Times New Roman"/>
                <w:spacing w:val="-1"/>
                <w:sz w:val="20"/>
              </w:rPr>
              <w:t>15,709,617.54</w:t>
            </w:r>
          </w:p>
        </w:tc>
      </w:tr>
      <w:tr>
        <w:trPr>
          <w:trHeight w:val="341" w:hRule="exact"/>
        </w:trPr>
        <w:tc>
          <w:tcPr>
            <w:tcW w:w="2334" w:type="dxa"/>
            <w:vMerge/>
            <w:tcBorders>
              <w:left w:val="single" w:sz="4" w:space="0" w:color="000000"/>
              <w:bottom w:val="single" w:sz="4" w:space="0" w:color="000000"/>
              <w:right w:val="single" w:sz="4" w:space="0" w:color="000000"/>
            </w:tcBorders>
          </w:tcPr>
          <w:p>
            <w:pPr/>
          </w:p>
        </w:tc>
        <w:tc>
          <w:tcPr>
            <w:tcW w:w="2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4" w:right="0"/>
              <w:jc w:val="left"/>
              <w:rPr>
                <w:rFonts w:ascii="宋体" w:hAnsi="宋体" w:cs="宋体" w:eastAsia="宋体" w:hint="default"/>
                <w:sz w:val="20"/>
                <w:szCs w:val="20"/>
              </w:rPr>
            </w:pPr>
            <w:r>
              <w:rPr>
                <w:rFonts w:ascii="宋体" w:hAnsi="宋体" w:cs="宋体" w:eastAsia="宋体" w:hint="default"/>
                <w:sz w:val="20"/>
                <w:szCs w:val="20"/>
              </w:rPr>
              <w:t>项目实施成本</w:t>
            </w:r>
          </w:p>
        </w:tc>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right"/>
              <w:rPr>
                <w:rFonts w:ascii="Times New Roman" w:hAnsi="Times New Roman" w:cs="Times New Roman" w:eastAsia="Times New Roman" w:hint="default"/>
                <w:sz w:val="20"/>
                <w:szCs w:val="20"/>
              </w:rPr>
            </w:pPr>
            <w:r>
              <w:rPr>
                <w:rFonts w:ascii="Times New Roman"/>
                <w:spacing w:val="-1"/>
                <w:sz w:val="20"/>
              </w:rPr>
              <w:t>284,911,417.40</w:t>
            </w:r>
          </w:p>
        </w:tc>
        <w:tc>
          <w:tcPr>
            <w:tcW w:w="2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right"/>
              <w:rPr>
                <w:rFonts w:ascii="Times New Roman" w:hAnsi="Times New Roman" w:cs="Times New Roman" w:eastAsia="Times New Roman" w:hint="default"/>
                <w:sz w:val="20"/>
                <w:szCs w:val="20"/>
              </w:rPr>
            </w:pPr>
            <w:r>
              <w:rPr>
                <w:rFonts w:ascii="Times New Roman"/>
                <w:spacing w:val="-1"/>
                <w:sz w:val="20"/>
              </w:rPr>
              <w:t>239,094,053.13</w:t>
            </w:r>
          </w:p>
        </w:tc>
      </w:tr>
      <w:tr>
        <w:trPr>
          <w:trHeight w:val="346" w:hRule="exact"/>
        </w:trPr>
        <w:tc>
          <w:tcPr>
            <w:tcW w:w="46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20"/>
                <w:szCs w:val="20"/>
              </w:rPr>
            </w:pPr>
            <w:r>
              <w:rPr>
                <w:rFonts w:ascii="宋体" w:hAnsi="宋体" w:cs="宋体" w:eastAsia="宋体" w:hint="default"/>
                <w:sz w:val="20"/>
                <w:szCs w:val="20"/>
              </w:rPr>
              <w:t>小计</w:t>
            </w:r>
          </w:p>
        </w:tc>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right"/>
              <w:rPr>
                <w:rFonts w:ascii="Times New Roman" w:hAnsi="Times New Roman" w:cs="Times New Roman" w:eastAsia="Times New Roman" w:hint="default"/>
                <w:sz w:val="20"/>
                <w:szCs w:val="20"/>
              </w:rPr>
            </w:pPr>
            <w:r>
              <w:rPr>
                <w:rFonts w:ascii="Times New Roman"/>
                <w:spacing w:val="-1"/>
                <w:sz w:val="20"/>
              </w:rPr>
              <w:t>307,872,163.42</w:t>
            </w:r>
          </w:p>
        </w:tc>
        <w:tc>
          <w:tcPr>
            <w:tcW w:w="2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right"/>
              <w:rPr>
                <w:rFonts w:ascii="Times New Roman" w:hAnsi="Times New Roman" w:cs="Times New Roman" w:eastAsia="Times New Roman" w:hint="default"/>
                <w:sz w:val="20"/>
                <w:szCs w:val="20"/>
              </w:rPr>
            </w:pPr>
            <w:r>
              <w:rPr>
                <w:rFonts w:ascii="Times New Roman"/>
                <w:spacing w:val="-1"/>
                <w:sz w:val="20"/>
              </w:rPr>
              <w:t>254,803,670.67</w:t>
            </w:r>
          </w:p>
        </w:tc>
      </w:tr>
      <w:tr>
        <w:trPr>
          <w:trHeight w:val="341" w:hRule="exact"/>
        </w:trPr>
        <w:tc>
          <w:tcPr>
            <w:tcW w:w="2334" w:type="dxa"/>
            <w:vMerge w:val="restart"/>
            <w:tcBorders>
              <w:top w:val="single" w:sz="4" w:space="0" w:color="000000"/>
              <w:left w:val="single" w:sz="4" w:space="0" w:color="000000"/>
              <w:right w:val="single" w:sz="4" w:space="0" w:color="000000"/>
            </w:tcBorders>
          </w:tcPr>
          <w:p>
            <w:pPr>
              <w:pStyle w:val="TableParagraph"/>
              <w:spacing w:line="240" w:lineRule="auto" w:before="6"/>
              <w:ind w:left="4" w:right="0"/>
              <w:jc w:val="left"/>
              <w:rPr>
                <w:rFonts w:ascii="宋体" w:hAnsi="宋体" w:cs="宋体" w:eastAsia="宋体" w:hint="default"/>
                <w:sz w:val="20"/>
                <w:szCs w:val="20"/>
              </w:rPr>
            </w:pPr>
            <w:r>
              <w:rPr>
                <w:rFonts w:ascii="宋体" w:hAnsi="宋体" w:cs="宋体" w:eastAsia="宋体" w:hint="default"/>
                <w:sz w:val="20"/>
                <w:szCs w:val="20"/>
              </w:rPr>
              <w:t>集成解决方案</w:t>
            </w:r>
          </w:p>
        </w:tc>
        <w:tc>
          <w:tcPr>
            <w:tcW w:w="2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4" w:right="0"/>
              <w:jc w:val="left"/>
              <w:rPr>
                <w:rFonts w:ascii="宋体" w:hAnsi="宋体" w:cs="宋体" w:eastAsia="宋体" w:hint="default"/>
                <w:sz w:val="20"/>
                <w:szCs w:val="20"/>
              </w:rPr>
            </w:pPr>
            <w:r>
              <w:rPr>
                <w:rFonts w:ascii="宋体" w:hAnsi="宋体" w:cs="宋体" w:eastAsia="宋体" w:hint="default"/>
                <w:sz w:val="20"/>
                <w:szCs w:val="20"/>
              </w:rPr>
              <w:t>人工成本</w:t>
            </w:r>
          </w:p>
        </w:tc>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right"/>
              <w:rPr>
                <w:rFonts w:ascii="Times New Roman" w:hAnsi="Times New Roman" w:cs="Times New Roman" w:eastAsia="Times New Roman" w:hint="default"/>
                <w:sz w:val="20"/>
                <w:szCs w:val="20"/>
              </w:rPr>
            </w:pPr>
            <w:r>
              <w:rPr>
                <w:rFonts w:ascii="Times New Roman"/>
                <w:spacing w:val="-1"/>
                <w:sz w:val="20"/>
              </w:rPr>
              <w:t>105,089,568.32</w:t>
            </w:r>
          </w:p>
        </w:tc>
        <w:tc>
          <w:tcPr>
            <w:tcW w:w="2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right"/>
              <w:rPr>
                <w:rFonts w:ascii="Times New Roman" w:hAnsi="Times New Roman" w:cs="Times New Roman" w:eastAsia="Times New Roman" w:hint="default"/>
                <w:sz w:val="20"/>
                <w:szCs w:val="20"/>
              </w:rPr>
            </w:pPr>
            <w:r>
              <w:rPr>
                <w:rFonts w:ascii="Times New Roman"/>
                <w:spacing w:val="-1"/>
                <w:sz w:val="20"/>
              </w:rPr>
              <w:t>78,548,087.69</w:t>
            </w:r>
          </w:p>
        </w:tc>
      </w:tr>
      <w:tr>
        <w:trPr>
          <w:trHeight w:val="341" w:hRule="exact"/>
        </w:trPr>
        <w:tc>
          <w:tcPr>
            <w:tcW w:w="2334" w:type="dxa"/>
            <w:vMerge/>
            <w:tcBorders>
              <w:left w:val="single" w:sz="4" w:space="0" w:color="000000"/>
              <w:bottom w:val="single" w:sz="4" w:space="0" w:color="000000"/>
              <w:right w:val="single" w:sz="4" w:space="0" w:color="000000"/>
            </w:tcBorders>
          </w:tcPr>
          <w:p>
            <w:pPr/>
          </w:p>
        </w:tc>
        <w:tc>
          <w:tcPr>
            <w:tcW w:w="2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4" w:right="0"/>
              <w:jc w:val="left"/>
              <w:rPr>
                <w:rFonts w:ascii="宋体" w:hAnsi="宋体" w:cs="宋体" w:eastAsia="宋体" w:hint="default"/>
                <w:sz w:val="20"/>
                <w:szCs w:val="20"/>
              </w:rPr>
            </w:pPr>
            <w:r>
              <w:rPr>
                <w:rFonts w:ascii="宋体" w:hAnsi="宋体" w:cs="宋体" w:eastAsia="宋体" w:hint="default"/>
                <w:sz w:val="20"/>
                <w:szCs w:val="20"/>
              </w:rPr>
              <w:t>项目实施成本</w:t>
            </w:r>
          </w:p>
        </w:tc>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
              <w:jc w:val="right"/>
              <w:rPr>
                <w:rFonts w:ascii="Times New Roman" w:hAnsi="Times New Roman" w:cs="Times New Roman" w:eastAsia="Times New Roman" w:hint="default"/>
                <w:sz w:val="20"/>
                <w:szCs w:val="20"/>
              </w:rPr>
            </w:pPr>
            <w:r>
              <w:rPr>
                <w:rFonts w:ascii="Times New Roman"/>
                <w:spacing w:val="-1"/>
                <w:sz w:val="20"/>
              </w:rPr>
              <w:t>1,196,501,911.07</w:t>
            </w:r>
          </w:p>
        </w:tc>
        <w:tc>
          <w:tcPr>
            <w:tcW w:w="2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
              <w:jc w:val="right"/>
              <w:rPr>
                <w:rFonts w:ascii="Times New Roman" w:hAnsi="Times New Roman" w:cs="Times New Roman" w:eastAsia="Times New Roman" w:hint="default"/>
                <w:sz w:val="20"/>
                <w:szCs w:val="20"/>
              </w:rPr>
            </w:pPr>
            <w:r>
              <w:rPr>
                <w:rFonts w:ascii="Times New Roman"/>
                <w:spacing w:val="-1"/>
                <w:sz w:val="20"/>
              </w:rPr>
              <w:t>1,026,789,131.78</w:t>
            </w:r>
          </w:p>
        </w:tc>
      </w:tr>
      <w:tr>
        <w:trPr>
          <w:trHeight w:val="341" w:hRule="exact"/>
        </w:trPr>
        <w:tc>
          <w:tcPr>
            <w:tcW w:w="46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0"/>
                <w:szCs w:val="20"/>
              </w:rPr>
            </w:pPr>
            <w:r>
              <w:rPr>
                <w:rFonts w:ascii="宋体" w:hAnsi="宋体" w:cs="宋体" w:eastAsia="宋体" w:hint="default"/>
                <w:sz w:val="20"/>
                <w:szCs w:val="20"/>
              </w:rPr>
              <w:t>小计</w:t>
            </w:r>
          </w:p>
        </w:tc>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right"/>
              <w:rPr>
                <w:rFonts w:ascii="Times New Roman" w:hAnsi="Times New Roman" w:cs="Times New Roman" w:eastAsia="Times New Roman" w:hint="default"/>
                <w:sz w:val="20"/>
                <w:szCs w:val="20"/>
              </w:rPr>
            </w:pPr>
            <w:r>
              <w:rPr>
                <w:rFonts w:ascii="Times New Roman"/>
                <w:spacing w:val="-1"/>
                <w:sz w:val="20"/>
              </w:rPr>
              <w:t>1,301,591,479.39</w:t>
            </w:r>
          </w:p>
        </w:tc>
        <w:tc>
          <w:tcPr>
            <w:tcW w:w="2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right"/>
              <w:rPr>
                <w:rFonts w:ascii="Times New Roman" w:hAnsi="Times New Roman" w:cs="Times New Roman" w:eastAsia="Times New Roman" w:hint="default"/>
                <w:sz w:val="20"/>
                <w:szCs w:val="20"/>
              </w:rPr>
            </w:pPr>
            <w:r>
              <w:rPr>
                <w:rFonts w:ascii="Times New Roman"/>
                <w:spacing w:val="-1"/>
                <w:sz w:val="20"/>
              </w:rPr>
              <w:t>1,105,337,219.47</w:t>
            </w:r>
          </w:p>
        </w:tc>
      </w:tr>
      <w:tr>
        <w:trPr>
          <w:trHeight w:val="346" w:hRule="exact"/>
        </w:trPr>
        <w:tc>
          <w:tcPr>
            <w:tcW w:w="46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right"/>
              <w:rPr>
                <w:rFonts w:ascii="Times New Roman" w:hAnsi="Times New Roman" w:cs="Times New Roman" w:eastAsia="Times New Roman" w:hint="default"/>
                <w:sz w:val="20"/>
                <w:szCs w:val="20"/>
              </w:rPr>
            </w:pPr>
            <w:r>
              <w:rPr>
                <w:rFonts w:ascii="Times New Roman"/>
                <w:b/>
                <w:spacing w:val="-1"/>
                <w:sz w:val="20"/>
              </w:rPr>
              <w:t>2,522,957,676.29</w:t>
            </w:r>
            <w:r>
              <w:rPr>
                <w:rFonts w:ascii="Times New Roman"/>
                <w:spacing w:val="-1"/>
                <w:sz w:val="20"/>
              </w:rPr>
            </w:r>
          </w:p>
        </w:tc>
        <w:tc>
          <w:tcPr>
            <w:tcW w:w="2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right"/>
              <w:rPr>
                <w:rFonts w:ascii="Times New Roman" w:hAnsi="Times New Roman" w:cs="Times New Roman" w:eastAsia="Times New Roman" w:hint="default"/>
                <w:sz w:val="20"/>
                <w:szCs w:val="20"/>
              </w:rPr>
            </w:pPr>
            <w:r>
              <w:rPr>
                <w:rFonts w:ascii="Times New Roman"/>
                <w:b/>
                <w:spacing w:val="-1"/>
                <w:sz w:val="20"/>
              </w:rPr>
              <w:t>2,116,758,364.53</w:t>
            </w:r>
            <w:r>
              <w:rPr>
                <w:rFonts w:ascii="Times New Roman"/>
                <w:spacing w:val="-1"/>
                <w:sz w:val="20"/>
              </w:rPr>
            </w:r>
          </w:p>
        </w:tc>
      </w:tr>
    </w:tbl>
    <w:p>
      <w:pPr>
        <w:spacing w:line="240" w:lineRule="auto" w:before="2"/>
        <w:rPr>
          <w:rFonts w:ascii="宋体" w:hAnsi="宋体" w:cs="宋体" w:eastAsia="宋体" w:hint="default"/>
          <w:sz w:val="14"/>
          <w:szCs w:val="14"/>
        </w:rPr>
      </w:pPr>
    </w:p>
    <w:p>
      <w:pPr>
        <w:pStyle w:val="Heading3"/>
        <w:spacing w:line="240" w:lineRule="auto"/>
        <w:ind w:right="855"/>
        <w:jc w:val="left"/>
        <w:rPr>
          <w:rFonts w:ascii="宋体" w:hAnsi="宋体" w:cs="宋体" w:eastAsia="宋体" w:hint="default"/>
        </w:rPr>
      </w:pPr>
      <w:r>
        <w:rPr/>
        <w:t>（</w:t>
      </w:r>
      <w:r>
        <w:rPr>
          <w:rFonts w:ascii="Times New Roman" w:hAnsi="Times New Roman" w:cs="Times New Roman" w:eastAsia="Times New Roman" w:hint="default"/>
        </w:rPr>
        <w:t>5</w:t>
      </w:r>
      <w:r>
        <w:rPr/>
        <w:t>）公司前</w:t>
      </w:r>
      <w:r>
        <w:rPr>
          <w:rFonts w:ascii="Times New Roman" w:hAnsi="Times New Roman" w:cs="Times New Roman" w:eastAsia="Times New Roman" w:hint="default"/>
        </w:rPr>
        <w:t>5</w:t>
      </w:r>
      <w:r>
        <w:rPr/>
        <w:t>名客户</w:t>
      </w:r>
      <w:r>
        <w:rPr>
          <w:rFonts w:ascii="宋体" w:hAnsi="宋体" w:cs="宋体" w:eastAsia="宋体" w:hint="default"/>
        </w:rPr>
        <w:t> </w:t>
      </w:r>
    </w:p>
    <w:p>
      <w:pPr>
        <w:spacing w:line="240" w:lineRule="auto" w:before="11"/>
        <w:rPr>
          <w:rFonts w:ascii="宋体" w:hAnsi="宋体" w:cs="宋体" w:eastAsia="宋体" w:hint="default"/>
          <w:sz w:val="17"/>
          <w:szCs w:val="17"/>
        </w:rPr>
      </w:pPr>
    </w:p>
    <w:p>
      <w:pPr>
        <w:pStyle w:val="BodyText"/>
        <w:spacing w:line="240" w:lineRule="auto" w:before="46"/>
        <w:ind w:left="0" w:right="1035"/>
        <w:jc w:val="right"/>
        <w:rPr>
          <w:rFonts w:ascii="宋体" w:hAnsi="宋体" w:cs="宋体" w:eastAsia="宋体" w:hint="default"/>
        </w:rPr>
      </w:pPr>
      <w:r>
        <w:rPr>
          <w:spacing w:val="-3"/>
        </w:rPr>
        <w:t>单位：元</w:t>
      </w:r>
      <w:r>
        <w:rPr>
          <w:rFonts w:ascii="宋体" w:hAnsi="宋体" w:cs="宋体" w:eastAsia="宋体" w:hint="default"/>
        </w:rPr>
        <w:t> </w:t>
      </w:r>
    </w:p>
    <w:p>
      <w:pPr>
        <w:spacing w:line="240" w:lineRule="auto" w:before="5"/>
        <w:rPr>
          <w:rFonts w:ascii="宋体" w:hAnsi="宋体" w:cs="宋体" w:eastAsia="宋体" w:hint="default"/>
          <w:sz w:val="23"/>
          <w:szCs w:val="23"/>
        </w:rPr>
      </w:pPr>
    </w:p>
    <w:tbl>
      <w:tblPr>
        <w:tblW w:w="0" w:type="auto"/>
        <w:jc w:val="left"/>
        <w:tblInd w:w="148" w:type="dxa"/>
        <w:tblLayout w:type="fixed"/>
        <w:tblCellMar>
          <w:top w:w="0" w:type="dxa"/>
          <w:left w:w="0" w:type="dxa"/>
          <w:bottom w:w="0" w:type="dxa"/>
          <w:right w:w="0" w:type="dxa"/>
        </w:tblCellMar>
        <w:tblLook w:val="01E0"/>
      </w:tblPr>
      <w:tblGrid>
        <w:gridCol w:w="3515"/>
        <w:gridCol w:w="2626"/>
        <w:gridCol w:w="3515"/>
      </w:tblGrid>
      <w:tr>
        <w:trPr>
          <w:trHeight w:val="346" w:hRule="exact"/>
        </w:trPr>
        <w:tc>
          <w:tcPr>
            <w:tcW w:w="3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0"/>
                <w:szCs w:val="20"/>
              </w:rPr>
            </w:pPr>
            <w:r>
              <w:rPr>
                <w:rFonts w:ascii="宋体" w:hAnsi="宋体" w:cs="宋体" w:eastAsia="宋体" w:hint="default"/>
                <w:b/>
                <w:bCs/>
                <w:sz w:val="20"/>
                <w:szCs w:val="20"/>
              </w:rPr>
              <w:t>客户名称</w:t>
            </w:r>
            <w:r>
              <w:rPr>
                <w:rFonts w:ascii="宋体" w:hAnsi="宋体" w:cs="宋体" w:eastAsia="宋体" w:hint="default"/>
                <w:sz w:val="20"/>
                <w:szCs w:val="20"/>
              </w:rPr>
            </w:r>
          </w:p>
        </w:tc>
        <w:tc>
          <w:tcPr>
            <w:tcW w:w="2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504" w:right="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2019</w:t>
            </w:r>
            <w:r>
              <w:rPr>
                <w:rFonts w:ascii="宋体" w:hAnsi="宋体" w:cs="宋体" w:eastAsia="宋体" w:hint="default"/>
                <w:b/>
                <w:bCs/>
                <w:sz w:val="20"/>
                <w:szCs w:val="20"/>
              </w:rPr>
              <w:t>年度营业收入</w:t>
            </w:r>
            <w:r>
              <w:rPr>
                <w:rFonts w:ascii="宋体" w:hAnsi="宋体" w:cs="宋体" w:eastAsia="宋体" w:hint="default"/>
                <w:sz w:val="20"/>
                <w:szCs w:val="20"/>
              </w:rPr>
            </w:r>
          </w:p>
        </w:tc>
        <w:tc>
          <w:tcPr>
            <w:tcW w:w="3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45" w:right="0"/>
              <w:jc w:val="left"/>
              <w:rPr>
                <w:rFonts w:ascii="宋体" w:hAnsi="宋体" w:cs="宋体" w:eastAsia="宋体" w:hint="default"/>
                <w:sz w:val="20"/>
                <w:szCs w:val="20"/>
              </w:rPr>
            </w:pPr>
            <w:r>
              <w:rPr>
                <w:rFonts w:ascii="宋体" w:hAnsi="宋体" w:cs="宋体" w:eastAsia="宋体" w:hint="default"/>
                <w:b/>
                <w:bCs/>
                <w:sz w:val="20"/>
                <w:szCs w:val="20"/>
              </w:rPr>
              <w:t>占公司全部营业收入的比例（</w:t>
            </w:r>
            <w:r>
              <w:rPr>
                <w:rFonts w:ascii="Times New Roman" w:hAnsi="Times New Roman" w:cs="Times New Roman" w:eastAsia="Times New Roman" w:hint="default"/>
                <w:b/>
                <w:bCs/>
                <w:sz w:val="20"/>
                <w:szCs w:val="20"/>
              </w:rPr>
              <w:t>%</w:t>
            </w:r>
            <w:r>
              <w:rPr>
                <w:rFonts w:ascii="宋体" w:hAnsi="宋体" w:cs="宋体" w:eastAsia="宋体" w:hint="default"/>
                <w:b/>
                <w:bCs/>
                <w:sz w:val="20"/>
                <w:szCs w:val="20"/>
              </w:rPr>
              <w:t>）</w:t>
            </w:r>
            <w:r>
              <w:rPr>
                <w:rFonts w:ascii="宋体" w:hAnsi="宋体" w:cs="宋体" w:eastAsia="宋体" w:hint="default"/>
                <w:sz w:val="20"/>
                <w:szCs w:val="20"/>
              </w:rPr>
            </w:r>
          </w:p>
        </w:tc>
      </w:tr>
      <w:tr>
        <w:trPr>
          <w:trHeight w:val="350" w:hRule="exact"/>
        </w:trPr>
        <w:tc>
          <w:tcPr>
            <w:tcW w:w="3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4" w:right="0"/>
              <w:jc w:val="left"/>
              <w:rPr>
                <w:rFonts w:ascii="宋体" w:hAnsi="宋体" w:cs="宋体" w:eastAsia="宋体" w:hint="default"/>
                <w:sz w:val="20"/>
                <w:szCs w:val="20"/>
              </w:rPr>
            </w:pPr>
            <w:r>
              <w:rPr>
                <w:rFonts w:ascii="宋体" w:hAnsi="宋体" w:cs="宋体" w:eastAsia="宋体" w:hint="default"/>
                <w:sz w:val="20"/>
                <w:szCs w:val="20"/>
              </w:rPr>
              <w:t>第一名</w:t>
            </w:r>
          </w:p>
        </w:tc>
        <w:tc>
          <w:tcPr>
            <w:tcW w:w="2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right"/>
              <w:rPr>
                <w:rFonts w:ascii="Times New Roman" w:hAnsi="Times New Roman" w:cs="Times New Roman" w:eastAsia="Times New Roman" w:hint="default"/>
                <w:sz w:val="20"/>
                <w:szCs w:val="20"/>
              </w:rPr>
            </w:pPr>
            <w:r>
              <w:rPr>
                <w:rFonts w:ascii="Times New Roman"/>
                <w:spacing w:val="-1"/>
                <w:sz w:val="20"/>
              </w:rPr>
              <w:t>366,834,317.20</w:t>
            </w:r>
          </w:p>
        </w:tc>
        <w:tc>
          <w:tcPr>
            <w:tcW w:w="3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right"/>
              <w:rPr>
                <w:rFonts w:ascii="Times New Roman" w:hAnsi="Times New Roman" w:cs="Times New Roman" w:eastAsia="Times New Roman" w:hint="default"/>
                <w:sz w:val="20"/>
                <w:szCs w:val="20"/>
              </w:rPr>
            </w:pPr>
            <w:r>
              <w:rPr>
                <w:rFonts w:ascii="Times New Roman"/>
                <w:sz w:val="20"/>
              </w:rPr>
              <w:t>11.10</w:t>
            </w:r>
          </w:p>
        </w:tc>
      </w:tr>
      <w:tr>
        <w:trPr>
          <w:trHeight w:val="361" w:hRule="exact"/>
        </w:trPr>
        <w:tc>
          <w:tcPr>
            <w:tcW w:w="3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4" w:right="0"/>
              <w:jc w:val="left"/>
              <w:rPr>
                <w:rFonts w:ascii="宋体" w:hAnsi="宋体" w:cs="宋体" w:eastAsia="宋体" w:hint="default"/>
                <w:sz w:val="20"/>
                <w:szCs w:val="20"/>
              </w:rPr>
            </w:pPr>
            <w:r>
              <w:rPr>
                <w:rFonts w:ascii="宋体" w:hAnsi="宋体" w:cs="宋体" w:eastAsia="宋体" w:hint="default"/>
                <w:sz w:val="20"/>
                <w:szCs w:val="20"/>
              </w:rPr>
              <w:t>第二名</w:t>
            </w:r>
          </w:p>
        </w:tc>
        <w:tc>
          <w:tcPr>
            <w:tcW w:w="2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right"/>
              <w:rPr>
                <w:rFonts w:ascii="Times New Roman" w:hAnsi="Times New Roman" w:cs="Times New Roman" w:eastAsia="Times New Roman" w:hint="default"/>
                <w:sz w:val="20"/>
                <w:szCs w:val="20"/>
              </w:rPr>
            </w:pPr>
            <w:r>
              <w:rPr>
                <w:rFonts w:ascii="Times New Roman"/>
                <w:spacing w:val="-1"/>
                <w:sz w:val="20"/>
              </w:rPr>
              <w:t>221,247,126.40</w:t>
            </w:r>
          </w:p>
        </w:tc>
        <w:tc>
          <w:tcPr>
            <w:tcW w:w="3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right"/>
              <w:rPr>
                <w:rFonts w:ascii="Times New Roman" w:hAnsi="Times New Roman" w:cs="Times New Roman" w:eastAsia="Times New Roman" w:hint="default"/>
                <w:sz w:val="20"/>
                <w:szCs w:val="20"/>
              </w:rPr>
            </w:pPr>
            <w:r>
              <w:rPr>
                <w:rFonts w:ascii="Times New Roman"/>
                <w:sz w:val="20"/>
              </w:rPr>
              <w:t>6.70</w:t>
            </w:r>
          </w:p>
        </w:tc>
      </w:tr>
      <w:tr>
        <w:trPr>
          <w:trHeight w:val="350" w:hRule="exact"/>
        </w:trPr>
        <w:tc>
          <w:tcPr>
            <w:tcW w:w="3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4" w:right="0"/>
              <w:jc w:val="left"/>
              <w:rPr>
                <w:rFonts w:ascii="宋体" w:hAnsi="宋体" w:cs="宋体" w:eastAsia="宋体" w:hint="default"/>
                <w:sz w:val="20"/>
                <w:szCs w:val="20"/>
              </w:rPr>
            </w:pPr>
            <w:r>
              <w:rPr>
                <w:rFonts w:ascii="宋体" w:hAnsi="宋体" w:cs="宋体" w:eastAsia="宋体" w:hint="default"/>
                <w:sz w:val="20"/>
                <w:szCs w:val="20"/>
              </w:rPr>
              <w:t>第三名</w:t>
            </w:r>
          </w:p>
        </w:tc>
        <w:tc>
          <w:tcPr>
            <w:tcW w:w="2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right"/>
              <w:rPr>
                <w:rFonts w:ascii="Times New Roman" w:hAnsi="Times New Roman" w:cs="Times New Roman" w:eastAsia="Times New Roman" w:hint="default"/>
                <w:sz w:val="20"/>
                <w:szCs w:val="20"/>
              </w:rPr>
            </w:pPr>
            <w:r>
              <w:rPr>
                <w:rFonts w:ascii="Times New Roman"/>
                <w:spacing w:val="-1"/>
                <w:sz w:val="20"/>
              </w:rPr>
              <w:t>192,168,889.70</w:t>
            </w:r>
          </w:p>
        </w:tc>
        <w:tc>
          <w:tcPr>
            <w:tcW w:w="3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right"/>
              <w:rPr>
                <w:rFonts w:ascii="Times New Roman" w:hAnsi="Times New Roman" w:cs="Times New Roman" w:eastAsia="Times New Roman" w:hint="default"/>
                <w:sz w:val="20"/>
                <w:szCs w:val="20"/>
              </w:rPr>
            </w:pPr>
            <w:r>
              <w:rPr>
                <w:rFonts w:ascii="Times New Roman"/>
                <w:sz w:val="20"/>
              </w:rPr>
              <w:t>5.82</w:t>
            </w:r>
          </w:p>
        </w:tc>
      </w:tr>
      <w:tr>
        <w:trPr>
          <w:trHeight w:val="346" w:hRule="exact"/>
        </w:trPr>
        <w:tc>
          <w:tcPr>
            <w:tcW w:w="3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4" w:right="0"/>
              <w:jc w:val="left"/>
              <w:rPr>
                <w:rFonts w:ascii="宋体" w:hAnsi="宋体" w:cs="宋体" w:eastAsia="宋体" w:hint="default"/>
                <w:sz w:val="20"/>
                <w:szCs w:val="20"/>
              </w:rPr>
            </w:pPr>
            <w:r>
              <w:rPr>
                <w:rFonts w:ascii="宋体" w:hAnsi="宋体" w:cs="宋体" w:eastAsia="宋体" w:hint="default"/>
                <w:sz w:val="20"/>
                <w:szCs w:val="20"/>
              </w:rPr>
              <w:t>第四名</w:t>
            </w:r>
          </w:p>
        </w:tc>
        <w:tc>
          <w:tcPr>
            <w:tcW w:w="2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right"/>
              <w:rPr>
                <w:rFonts w:ascii="Times New Roman" w:hAnsi="Times New Roman" w:cs="Times New Roman" w:eastAsia="Times New Roman" w:hint="default"/>
                <w:sz w:val="20"/>
                <w:szCs w:val="20"/>
              </w:rPr>
            </w:pPr>
            <w:r>
              <w:rPr>
                <w:rFonts w:ascii="Times New Roman"/>
                <w:spacing w:val="-1"/>
                <w:sz w:val="20"/>
              </w:rPr>
              <w:t>151,824,247.62</w:t>
            </w:r>
          </w:p>
        </w:tc>
        <w:tc>
          <w:tcPr>
            <w:tcW w:w="3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right"/>
              <w:rPr>
                <w:rFonts w:ascii="Times New Roman" w:hAnsi="Times New Roman" w:cs="Times New Roman" w:eastAsia="Times New Roman" w:hint="default"/>
                <w:sz w:val="20"/>
                <w:szCs w:val="20"/>
              </w:rPr>
            </w:pPr>
            <w:r>
              <w:rPr>
                <w:rFonts w:ascii="Times New Roman"/>
                <w:sz w:val="20"/>
              </w:rPr>
              <w:t>4.60</w:t>
            </w:r>
          </w:p>
        </w:tc>
      </w:tr>
      <w:tr>
        <w:trPr>
          <w:trHeight w:val="350" w:hRule="exact"/>
        </w:trPr>
        <w:tc>
          <w:tcPr>
            <w:tcW w:w="3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4" w:right="0"/>
              <w:jc w:val="left"/>
              <w:rPr>
                <w:rFonts w:ascii="宋体" w:hAnsi="宋体" w:cs="宋体" w:eastAsia="宋体" w:hint="default"/>
                <w:sz w:val="20"/>
                <w:szCs w:val="20"/>
              </w:rPr>
            </w:pPr>
            <w:r>
              <w:rPr>
                <w:rFonts w:ascii="宋体" w:hAnsi="宋体" w:cs="宋体" w:eastAsia="宋体" w:hint="default"/>
                <w:sz w:val="20"/>
                <w:szCs w:val="20"/>
              </w:rPr>
              <w:t>第五名</w:t>
            </w:r>
          </w:p>
        </w:tc>
        <w:tc>
          <w:tcPr>
            <w:tcW w:w="2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right"/>
              <w:rPr>
                <w:rFonts w:ascii="Times New Roman" w:hAnsi="Times New Roman" w:cs="Times New Roman" w:eastAsia="Times New Roman" w:hint="default"/>
                <w:sz w:val="20"/>
                <w:szCs w:val="20"/>
              </w:rPr>
            </w:pPr>
            <w:r>
              <w:rPr>
                <w:rFonts w:ascii="Times New Roman"/>
                <w:spacing w:val="-1"/>
                <w:sz w:val="20"/>
              </w:rPr>
              <w:t>145,326,357.47</w:t>
            </w:r>
          </w:p>
        </w:tc>
        <w:tc>
          <w:tcPr>
            <w:tcW w:w="3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right"/>
              <w:rPr>
                <w:rFonts w:ascii="Times New Roman" w:hAnsi="Times New Roman" w:cs="Times New Roman" w:eastAsia="Times New Roman" w:hint="default"/>
                <w:sz w:val="20"/>
                <w:szCs w:val="20"/>
              </w:rPr>
            </w:pPr>
            <w:r>
              <w:rPr>
                <w:rFonts w:ascii="Times New Roman"/>
                <w:sz w:val="20"/>
              </w:rPr>
              <w:t>4.40</w:t>
            </w:r>
          </w:p>
        </w:tc>
      </w:tr>
    </w:tbl>
    <w:p>
      <w:pPr>
        <w:spacing w:after="0" w:line="240" w:lineRule="auto"/>
        <w:jc w:val="right"/>
        <w:rPr>
          <w:rFonts w:ascii="Times New Roman" w:hAnsi="Times New Roman" w:cs="Times New Roman" w:eastAsia="Times New Roman" w:hint="default"/>
          <w:sz w:val="20"/>
          <w:szCs w:val="20"/>
        </w:rPr>
        <w:sectPr>
          <w:pgSz w:w="11910" w:h="16840"/>
          <w:pgMar w:header="746" w:footer="974"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515"/>
        <w:gridCol w:w="2626"/>
        <w:gridCol w:w="3518"/>
      </w:tblGrid>
      <w:tr>
        <w:trPr>
          <w:trHeight w:val="350" w:hRule="exact"/>
        </w:trPr>
        <w:tc>
          <w:tcPr>
            <w:tcW w:w="3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209" w:right="0"/>
              <w:jc w:val="left"/>
              <w:rPr>
                <w:rFonts w:ascii="Times New Roman" w:hAnsi="Times New Roman" w:cs="Times New Roman" w:eastAsia="Times New Roman" w:hint="default"/>
                <w:sz w:val="20"/>
                <w:szCs w:val="20"/>
              </w:rPr>
            </w:pPr>
            <w:r>
              <w:rPr>
                <w:rFonts w:ascii="Times New Roman"/>
                <w:b/>
                <w:sz w:val="20"/>
              </w:rPr>
              <w:t>1,077,400,938.39</w:t>
            </w:r>
            <w:r>
              <w:rPr>
                <w:rFonts w:ascii="Times New Roman"/>
                <w:sz w:val="20"/>
              </w:rPr>
            </w:r>
          </w:p>
        </w:tc>
        <w:tc>
          <w:tcPr>
            <w:tcW w:w="3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right"/>
              <w:rPr>
                <w:rFonts w:ascii="Times New Roman" w:hAnsi="Times New Roman" w:cs="Times New Roman" w:eastAsia="Times New Roman" w:hint="default"/>
                <w:sz w:val="20"/>
                <w:szCs w:val="20"/>
              </w:rPr>
            </w:pPr>
            <w:r>
              <w:rPr>
                <w:rFonts w:ascii="Times New Roman"/>
                <w:b/>
                <w:sz w:val="20"/>
              </w:rPr>
              <w:t>32.62</w:t>
            </w:r>
            <w:r>
              <w:rPr>
                <w:rFonts w:ascii="Times New Roman"/>
                <w:sz w:val="20"/>
              </w:rPr>
            </w:r>
          </w:p>
        </w:tc>
      </w:tr>
    </w:tbl>
    <w:p>
      <w:pPr>
        <w:spacing w:line="240" w:lineRule="auto" w:before="3"/>
        <w:rPr>
          <w:rFonts w:ascii="宋体" w:hAnsi="宋体" w:cs="宋体" w:eastAsia="宋体" w:hint="default"/>
          <w:sz w:val="19"/>
          <w:szCs w:val="19"/>
        </w:rPr>
      </w:pPr>
    </w:p>
    <w:p>
      <w:pPr>
        <w:pStyle w:val="Heading4"/>
        <w:spacing w:line="240" w:lineRule="auto" w:before="36"/>
        <w:ind w:right="855"/>
        <w:jc w:val="left"/>
        <w:rPr>
          <w:b w:val="0"/>
          <w:bCs w:val="0"/>
        </w:rPr>
      </w:pPr>
      <w:r>
        <w:rPr>
          <w:rFonts w:ascii="Times New Roman" w:hAnsi="Times New Roman" w:cs="Times New Roman" w:eastAsia="Times New Roman" w:hint="default"/>
        </w:rPr>
        <w:t>37</w:t>
      </w:r>
      <w:r>
        <w:rPr/>
        <w:t>、税金及附加</w:t>
      </w:r>
      <w:r>
        <w:rPr>
          <w:b w:val="0"/>
          <w:bCs w:val="0"/>
        </w:rPr>
      </w:r>
    </w:p>
    <w:p>
      <w:pPr>
        <w:spacing w:line="240" w:lineRule="auto" w:before="11"/>
        <w:rPr>
          <w:rFonts w:ascii="宋体" w:hAnsi="宋体" w:cs="宋体" w:eastAsia="宋体" w:hint="default"/>
          <w:b/>
          <w:bCs/>
          <w:sz w:val="22"/>
          <w:szCs w:val="22"/>
        </w:rPr>
      </w:pPr>
    </w:p>
    <w:p>
      <w:pPr>
        <w:pStyle w:val="BodyText"/>
        <w:spacing w:line="240" w:lineRule="auto" w:before="46"/>
        <w:ind w:left="0" w:right="1121"/>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3"/>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城市维护建设税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5,812,486.78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5,409,446.98</w:t>
            </w:r>
          </w:p>
        </w:tc>
      </w:tr>
      <w:tr>
        <w:trPr>
          <w:trHeight w:val="40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2,491,015.44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2,319,061.72</w:t>
            </w:r>
          </w:p>
        </w:tc>
      </w:tr>
      <w:tr>
        <w:trPr>
          <w:trHeight w:val="398"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5,081,772.31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4,868,852.25</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965,326.21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962,680.72</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车船使用税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59,780.00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57,823.25</w:t>
            </w:r>
          </w:p>
        </w:tc>
      </w:tr>
      <w:tr>
        <w:trPr>
          <w:trHeight w:val="40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2,876,061.32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1,579,993.10</w:t>
            </w:r>
          </w:p>
        </w:tc>
      </w:tr>
      <w:tr>
        <w:trPr>
          <w:trHeight w:val="398"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地方教育费附加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1,612,458.81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1,432,849.28</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其他税金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5,638.72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2,248.48</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18,904,539.59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16,632,955.78</w:t>
            </w:r>
          </w:p>
        </w:tc>
      </w:tr>
    </w:tbl>
    <w:p>
      <w:pPr>
        <w:spacing w:line="240" w:lineRule="auto" w:before="3"/>
        <w:rPr>
          <w:rFonts w:ascii="宋体" w:hAnsi="宋体" w:cs="宋体" w:eastAsia="宋体" w:hint="default"/>
          <w:sz w:val="19"/>
          <w:szCs w:val="19"/>
        </w:rPr>
      </w:pPr>
    </w:p>
    <w:p>
      <w:pPr>
        <w:pStyle w:val="Heading4"/>
        <w:spacing w:line="240" w:lineRule="auto" w:before="36"/>
        <w:ind w:right="855"/>
        <w:jc w:val="left"/>
        <w:rPr>
          <w:b w:val="0"/>
          <w:bCs w:val="0"/>
        </w:rPr>
      </w:pPr>
      <w:r>
        <w:rPr>
          <w:rFonts w:ascii="Times New Roman" w:hAnsi="Times New Roman" w:cs="Times New Roman" w:eastAsia="Times New Roman" w:hint="default"/>
        </w:rPr>
        <w:t>38</w:t>
      </w:r>
      <w:r>
        <w:rPr/>
        <w:t>、销售费用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6"/>
        <w:ind w:left="0" w:right="1121"/>
        <w:jc w:val="right"/>
      </w:pPr>
      <w:r>
        <w:rPr/>
        <w:t>单位：</w:t>
      </w:r>
      <w:r>
        <w:rPr>
          <w:spacing w:val="5"/>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3"/>
      </w:tblGrid>
      <w:tr>
        <w:trPr>
          <w:trHeight w:val="398"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142,937,574.26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125,808,930.14</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20,893,706.55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24,661,636.21</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13,242,910.16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14,947,128.53</w:t>
            </w:r>
          </w:p>
        </w:tc>
      </w:tr>
      <w:tr>
        <w:trPr>
          <w:trHeight w:val="398"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6,426,582.36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4,092,895.30</w:t>
            </w:r>
          </w:p>
        </w:tc>
      </w:tr>
      <w:tr>
        <w:trPr>
          <w:trHeight w:val="40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5,105,504.43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4,098,781.88</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技术服务费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2,787,834.67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1,597,504.91</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1,516,001.68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1,235,986.20</w:t>
            </w:r>
          </w:p>
        </w:tc>
      </w:tr>
      <w:tr>
        <w:trPr>
          <w:trHeight w:val="398"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1,507,242.17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2,632,456.52</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维修费及物料消耗</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1,136,506.59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2,671,023.45</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咨询费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957,262.91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2,120,181.13</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2,145,792.31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1,243,605.52</w:t>
            </w:r>
          </w:p>
        </w:tc>
      </w:tr>
      <w:tr>
        <w:trPr>
          <w:trHeight w:val="398"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198,656,918.09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185,110,129.79</w:t>
            </w:r>
          </w:p>
        </w:tc>
      </w:tr>
    </w:tbl>
    <w:p>
      <w:pPr>
        <w:spacing w:line="240" w:lineRule="auto" w:before="3"/>
        <w:rPr>
          <w:rFonts w:ascii="宋体" w:hAnsi="宋体" w:cs="宋体" w:eastAsia="宋体" w:hint="default"/>
          <w:sz w:val="19"/>
          <w:szCs w:val="19"/>
        </w:rPr>
      </w:pPr>
    </w:p>
    <w:p>
      <w:pPr>
        <w:pStyle w:val="Heading4"/>
        <w:spacing w:line="240" w:lineRule="auto" w:before="36"/>
        <w:ind w:right="855"/>
        <w:jc w:val="left"/>
        <w:rPr>
          <w:b w:val="0"/>
          <w:bCs w:val="0"/>
        </w:rPr>
      </w:pPr>
      <w:r>
        <w:rPr>
          <w:rFonts w:ascii="Times New Roman" w:hAnsi="Times New Roman" w:cs="Times New Roman" w:eastAsia="Times New Roman" w:hint="default"/>
        </w:rPr>
        <w:t>39</w:t>
      </w:r>
      <w:r>
        <w:rPr/>
        <w:t>、管理费用</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1"/>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3"/>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746" w:footer="974"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3"/>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82,023,270.39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72,260,648.09</w:t>
            </w:r>
          </w:p>
        </w:tc>
      </w:tr>
      <w:tr>
        <w:trPr>
          <w:trHeight w:val="398"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15,751,660.36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13,264,371.63</w:t>
            </w:r>
          </w:p>
        </w:tc>
      </w:tr>
      <w:tr>
        <w:trPr>
          <w:trHeight w:val="40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8"/>
                <w:szCs w:val="18"/>
              </w:rPr>
            </w:pPr>
            <w:r>
              <w:rPr>
                <w:rFonts w:ascii="Times New Roman"/>
                <w:spacing w:val="-1"/>
                <w:sz w:val="18"/>
              </w:rPr>
              <w:t>7,828,230.28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6,783,494.12</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中介机构费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5,471,707.02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7,114,622.17</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5,024,850.72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4,191,216.95</w:t>
            </w:r>
          </w:p>
        </w:tc>
      </w:tr>
      <w:tr>
        <w:trPr>
          <w:trHeight w:val="398"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4,765,475.39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2,994,452.93</w:t>
            </w:r>
          </w:p>
        </w:tc>
      </w:tr>
      <w:tr>
        <w:trPr>
          <w:trHeight w:val="40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2,743,816.02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3,482,249.48</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修理费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2,467,516.64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1,822,229.21</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水电费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2,105,958.61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2,092,194.02</w:t>
            </w:r>
          </w:p>
        </w:tc>
      </w:tr>
      <w:tr>
        <w:trPr>
          <w:trHeight w:val="398"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物业费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1,801,617.22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1,753,741.79</w:t>
            </w:r>
          </w:p>
        </w:tc>
      </w:tr>
      <w:tr>
        <w:trPr>
          <w:trHeight w:val="40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其他费用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8,018,251.28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7,183,515.98</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138,002,353.93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122,942,736.37</w:t>
            </w:r>
          </w:p>
        </w:tc>
      </w:tr>
    </w:tbl>
    <w:p>
      <w:pPr>
        <w:spacing w:line="240" w:lineRule="auto" w:before="3"/>
        <w:rPr>
          <w:rFonts w:ascii="宋体" w:hAnsi="宋体" w:cs="宋体" w:eastAsia="宋体" w:hint="default"/>
          <w:sz w:val="19"/>
          <w:szCs w:val="19"/>
        </w:rPr>
      </w:pPr>
    </w:p>
    <w:p>
      <w:pPr>
        <w:pStyle w:val="Heading4"/>
        <w:spacing w:line="240" w:lineRule="auto" w:before="36"/>
        <w:ind w:right="855"/>
        <w:jc w:val="left"/>
        <w:rPr>
          <w:b w:val="0"/>
          <w:bCs w:val="0"/>
        </w:rPr>
      </w:pPr>
      <w:r>
        <w:rPr>
          <w:rFonts w:ascii="Times New Roman" w:hAnsi="Times New Roman" w:cs="Times New Roman" w:eastAsia="Times New Roman" w:hint="default"/>
        </w:rPr>
        <w:t>40</w:t>
      </w:r>
      <w:r>
        <w:rPr/>
        <w:t>、研发费用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6"/>
        <w:ind w:left="0" w:right="1121"/>
        <w:jc w:val="right"/>
      </w:pPr>
      <w:r>
        <w:rPr/>
        <w:t>单位：</w:t>
      </w:r>
      <w:r>
        <w:rPr>
          <w:spacing w:val="5"/>
        </w:rPr>
        <w:t> </w:t>
      </w:r>
      <w:r>
        <w:rPr/>
        <w:t>元</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3"/>
      </w:tblGrid>
      <w:tr>
        <w:trPr>
          <w:trHeight w:val="398"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261,671,630.07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232,395,275.88</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14,451,679.81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16,361,261.64</w:t>
            </w:r>
          </w:p>
        </w:tc>
      </w:tr>
      <w:tr>
        <w:trPr>
          <w:trHeight w:val="40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中介机构费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2,922,764.78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1,781,139.30</w:t>
            </w:r>
          </w:p>
        </w:tc>
      </w:tr>
      <w:tr>
        <w:trPr>
          <w:trHeight w:val="398"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1,813,364.65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1,188,808.30</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1,059,230.18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957,501.02</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物料消耗</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754,519.52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805,846.25</w:t>
            </w:r>
          </w:p>
        </w:tc>
      </w:tr>
      <w:tr>
        <w:trPr>
          <w:trHeight w:val="40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技术服务费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9,663,811.49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6,340,051.69</w:t>
            </w:r>
          </w:p>
        </w:tc>
      </w:tr>
      <w:tr>
        <w:trPr>
          <w:trHeight w:val="398"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2,957,135.90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601,944.82</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5,555,830.54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682,680.60</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300,475.41</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办公用品</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41,426.08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606,236.86</w:t>
            </w:r>
          </w:p>
        </w:tc>
      </w:tr>
      <w:tr>
        <w:trPr>
          <w:trHeight w:val="399"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789,738.03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4,634,380.32</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301,681,131.05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266,655,602.09</w:t>
            </w:r>
          </w:p>
        </w:tc>
      </w:tr>
    </w:tbl>
    <w:p>
      <w:pPr>
        <w:spacing w:line="240" w:lineRule="auto" w:before="3"/>
        <w:rPr>
          <w:rFonts w:ascii="宋体" w:hAnsi="宋体" w:cs="宋体" w:eastAsia="宋体" w:hint="default"/>
          <w:sz w:val="19"/>
          <w:szCs w:val="19"/>
        </w:rPr>
      </w:pPr>
    </w:p>
    <w:p>
      <w:pPr>
        <w:pStyle w:val="Heading4"/>
        <w:spacing w:line="240" w:lineRule="auto" w:before="36"/>
        <w:ind w:right="855"/>
        <w:jc w:val="left"/>
        <w:rPr>
          <w:b w:val="0"/>
          <w:bCs w:val="0"/>
        </w:rPr>
      </w:pPr>
      <w:r>
        <w:rPr>
          <w:rFonts w:ascii="Times New Roman" w:hAnsi="Times New Roman" w:cs="Times New Roman" w:eastAsia="Times New Roman" w:hint="default"/>
        </w:rPr>
        <w:t>41</w:t>
      </w:r>
      <w:r>
        <w:rPr/>
        <w:t>、财务费用</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1"/>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3"/>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98"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122" w:right="0"/>
              <w:jc w:val="left"/>
              <w:rPr>
                <w:rFonts w:ascii="Times New Roman" w:hAnsi="Times New Roman" w:cs="Times New Roman" w:eastAsia="Times New Roman" w:hint="default"/>
                <w:sz w:val="18"/>
                <w:szCs w:val="18"/>
              </w:rPr>
            </w:pPr>
            <w:r>
              <w:rPr>
                <w:rFonts w:ascii="Times New Roman"/>
                <w:sz w:val="18"/>
              </w:rPr>
              <w:t>28,054,783.10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122" w:right="0"/>
              <w:jc w:val="left"/>
              <w:rPr>
                <w:rFonts w:ascii="Times New Roman" w:hAnsi="Times New Roman" w:cs="Times New Roman" w:eastAsia="Times New Roman" w:hint="default"/>
                <w:sz w:val="18"/>
                <w:szCs w:val="18"/>
              </w:rPr>
            </w:pPr>
            <w:r>
              <w:rPr>
                <w:rFonts w:ascii="Times New Roman"/>
                <w:sz w:val="18"/>
              </w:rPr>
              <w:t>26,321,040.12</w:t>
            </w:r>
          </w:p>
        </w:tc>
      </w:tr>
    </w:tbl>
    <w:p>
      <w:pPr>
        <w:spacing w:after="0" w:line="240" w:lineRule="auto"/>
        <w:jc w:val="left"/>
        <w:rPr>
          <w:rFonts w:ascii="Times New Roman" w:hAnsi="Times New Roman" w:cs="Times New Roman" w:eastAsia="Times New Roman" w:hint="default"/>
          <w:sz w:val="18"/>
          <w:szCs w:val="18"/>
        </w:rPr>
        <w:sectPr>
          <w:pgSz w:w="11910" w:h="16840"/>
          <w:pgMar w:header="746" w:footer="974"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3"/>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10,671,395.91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10,534,333.27</w:t>
            </w:r>
          </w:p>
        </w:tc>
      </w:tr>
      <w:tr>
        <w:trPr>
          <w:trHeight w:val="398"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利息净支出</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17,383,387.19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15,786,706.85</w:t>
            </w:r>
          </w:p>
        </w:tc>
      </w:tr>
      <w:tr>
        <w:trPr>
          <w:trHeight w:val="40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汇兑损失</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293,592.08</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减：汇兑损益</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46,595.82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18,283.87</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汇兑净损失</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-46,595.82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275,308.21</w:t>
            </w:r>
          </w:p>
        </w:tc>
      </w:tr>
      <w:tr>
        <w:trPr>
          <w:trHeight w:val="398"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加：手续费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1,906,708.91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1,212,262.28</w:t>
            </w:r>
          </w:p>
        </w:tc>
      </w:tr>
      <w:tr>
        <w:trPr>
          <w:trHeight w:val="40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加：其他支出</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-90,406.32</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19,153,093.96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17,274,277.34</w:t>
            </w:r>
          </w:p>
        </w:tc>
      </w:tr>
    </w:tbl>
    <w:p>
      <w:pPr>
        <w:spacing w:line="240" w:lineRule="auto" w:before="3"/>
        <w:rPr>
          <w:rFonts w:ascii="宋体" w:hAnsi="宋体" w:cs="宋体" w:eastAsia="宋体" w:hint="default"/>
          <w:sz w:val="19"/>
          <w:szCs w:val="19"/>
        </w:rPr>
      </w:pPr>
    </w:p>
    <w:p>
      <w:pPr>
        <w:pStyle w:val="Heading4"/>
        <w:spacing w:line="240" w:lineRule="auto" w:before="36"/>
        <w:ind w:right="855"/>
        <w:jc w:val="left"/>
        <w:rPr>
          <w:b w:val="0"/>
          <w:bCs w:val="0"/>
        </w:rPr>
      </w:pPr>
      <w:r>
        <w:rPr>
          <w:rFonts w:ascii="Times New Roman" w:hAnsi="Times New Roman" w:cs="Times New Roman" w:eastAsia="Times New Roman" w:hint="default"/>
        </w:rPr>
        <w:t>42</w:t>
      </w:r>
      <w:r>
        <w:rPr/>
        <w:t>、其他收益</w:t>
      </w:r>
      <w:r>
        <w:rPr>
          <w:b w:val="0"/>
          <w:bCs w:val="0"/>
        </w:rPr>
      </w:r>
    </w:p>
    <w:p>
      <w:pPr>
        <w:spacing w:line="240" w:lineRule="auto" w:before="11"/>
        <w:rPr>
          <w:rFonts w:ascii="宋体" w:hAnsi="宋体" w:cs="宋体" w:eastAsia="宋体" w:hint="default"/>
          <w:b/>
          <w:bCs/>
          <w:sz w:val="22"/>
          <w:szCs w:val="22"/>
        </w:rPr>
      </w:pPr>
    </w:p>
    <w:p>
      <w:pPr>
        <w:pStyle w:val="BodyText"/>
        <w:spacing w:line="240" w:lineRule="auto" w:before="46"/>
        <w:ind w:left="0" w:right="1121"/>
        <w:jc w:val="right"/>
      </w:pPr>
      <w:r>
        <w:rPr/>
        <w:t>单位：</w:t>
      </w:r>
      <w:r>
        <w:rPr>
          <w:spacing w:val="5"/>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3"/>
      </w:tblGrid>
      <w:tr>
        <w:trPr>
          <w:trHeight w:val="398"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82" w:right="0"/>
              <w:jc w:val="left"/>
              <w:rPr>
                <w:rFonts w:ascii="宋体" w:hAnsi="宋体" w:cs="宋体" w:eastAsia="宋体" w:hint="default"/>
                <w:sz w:val="18"/>
                <w:szCs w:val="18"/>
              </w:rPr>
            </w:pPr>
            <w:r>
              <w:rPr>
                <w:rFonts w:ascii="宋体" w:hAnsi="宋体" w:cs="宋体" w:eastAsia="宋体" w:hint="default"/>
                <w:spacing w:val="-3"/>
                <w:sz w:val="18"/>
                <w:szCs w:val="18"/>
              </w:rPr>
              <w:t>产生其他收益的来源</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14,758,109.63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21,219,106.41</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代扣个税返还手续费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62,434.93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120,712.46</w:t>
            </w:r>
          </w:p>
        </w:tc>
      </w:tr>
      <w:tr>
        <w:trPr>
          <w:trHeight w:val="40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14,820,544.56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21,339,818.87</w:t>
            </w:r>
          </w:p>
        </w:tc>
      </w:tr>
    </w:tbl>
    <w:p>
      <w:pPr>
        <w:spacing w:line="240" w:lineRule="auto" w:before="3"/>
        <w:rPr>
          <w:rFonts w:ascii="宋体" w:hAnsi="宋体" w:cs="宋体" w:eastAsia="宋体" w:hint="default"/>
          <w:sz w:val="19"/>
          <w:szCs w:val="19"/>
        </w:rPr>
      </w:pPr>
    </w:p>
    <w:p>
      <w:pPr>
        <w:pStyle w:val="Heading4"/>
        <w:spacing w:line="240" w:lineRule="auto" w:before="36"/>
        <w:ind w:right="855"/>
        <w:jc w:val="left"/>
        <w:rPr>
          <w:b w:val="0"/>
          <w:bCs w:val="0"/>
        </w:rPr>
      </w:pPr>
      <w:r>
        <w:rPr>
          <w:rFonts w:ascii="Times New Roman" w:hAnsi="Times New Roman" w:cs="Times New Roman" w:eastAsia="Times New Roman" w:hint="default"/>
        </w:rPr>
        <w:t>43</w:t>
      </w:r>
      <w:r>
        <w:rPr/>
        <w:t>、投资收益</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6"/>
        <w:ind w:left="0" w:right="1121"/>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688"/>
        <w:gridCol w:w="2963"/>
        <w:gridCol w:w="2919"/>
      </w:tblGrid>
      <w:tr>
        <w:trPr>
          <w:trHeight w:val="404" w:hRule="exact"/>
        </w:trPr>
        <w:tc>
          <w:tcPr>
            <w:tcW w:w="36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6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权益法核算的长期股权投资收益</w:t>
            </w:r>
          </w:p>
        </w:tc>
        <w:tc>
          <w:tcPr>
            <w:tcW w:w="2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-3,285,151.10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-6,426,768.95</w:t>
            </w:r>
          </w:p>
        </w:tc>
      </w:tr>
      <w:tr>
        <w:trPr>
          <w:trHeight w:val="403" w:hRule="exact"/>
        </w:trPr>
        <w:tc>
          <w:tcPr>
            <w:tcW w:w="36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处置长期股权投资产生的投资收益</w:t>
            </w:r>
          </w:p>
        </w:tc>
        <w:tc>
          <w:tcPr>
            <w:tcW w:w="2963" w:type="dxa"/>
            <w:tcBorders>
              <w:top w:val="single" w:sz="4" w:space="0" w:color="000000"/>
              <w:left w:val="single" w:sz="4" w:space="0" w:color="000000"/>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83,506,826.75</w:t>
            </w:r>
          </w:p>
        </w:tc>
      </w:tr>
      <w:tr>
        <w:trPr>
          <w:trHeight w:val="398" w:hRule="exact"/>
        </w:trPr>
        <w:tc>
          <w:tcPr>
            <w:tcW w:w="3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其他非流动金融资产在持有期间的投资收益</w:t>
            </w:r>
          </w:p>
        </w:tc>
        <w:tc>
          <w:tcPr>
            <w:tcW w:w="2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9,268,569.85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9,340,000.00</w:t>
            </w:r>
          </w:p>
        </w:tc>
      </w:tr>
      <w:tr>
        <w:trPr>
          <w:trHeight w:val="404" w:hRule="exact"/>
        </w:trPr>
        <w:tc>
          <w:tcPr>
            <w:tcW w:w="3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处置其他权益工具投资等取得的投资收益</w:t>
            </w:r>
          </w:p>
        </w:tc>
        <w:tc>
          <w:tcPr>
            <w:tcW w:w="2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79,411.60</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5,380.40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364,850.21</w:t>
            </w:r>
          </w:p>
        </w:tc>
      </w:tr>
      <w:tr>
        <w:trPr>
          <w:trHeight w:val="403" w:hRule="exact"/>
        </w:trPr>
        <w:tc>
          <w:tcPr>
            <w:tcW w:w="36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6,068,210.75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86,784,908.01</w:t>
            </w:r>
          </w:p>
        </w:tc>
      </w:tr>
    </w:tbl>
    <w:p>
      <w:pPr>
        <w:spacing w:line="240" w:lineRule="auto" w:before="3"/>
        <w:rPr>
          <w:rFonts w:ascii="宋体" w:hAnsi="宋体" w:cs="宋体" w:eastAsia="宋体" w:hint="default"/>
          <w:sz w:val="19"/>
          <w:szCs w:val="19"/>
        </w:rPr>
      </w:pPr>
    </w:p>
    <w:p>
      <w:pPr>
        <w:pStyle w:val="Heading4"/>
        <w:spacing w:line="240" w:lineRule="auto" w:before="36"/>
        <w:ind w:right="855"/>
        <w:jc w:val="left"/>
        <w:rPr>
          <w:b w:val="0"/>
          <w:bCs w:val="0"/>
        </w:rPr>
      </w:pPr>
      <w:r>
        <w:rPr>
          <w:rFonts w:ascii="Times New Roman" w:hAnsi="Times New Roman" w:cs="Times New Roman" w:eastAsia="Times New Roman" w:hint="default"/>
        </w:rPr>
        <w:t>44</w:t>
      </w:r>
      <w:r>
        <w:rPr/>
        <w:t>、信用减值损失</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6"/>
        <w:ind w:left="0" w:right="1121"/>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3"/>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-2,529,937.90</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-20,604,318.91</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其他应收账</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-1,473,874.50</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-24,608,131.31</w:t>
            </w:r>
          </w:p>
        </w:tc>
        <w:tc>
          <w:tcPr>
            <w:tcW w:w="319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3"/>
        <w:ind w:right="855"/>
        <w:jc w:val="left"/>
      </w:pPr>
      <w:r>
        <w:rPr/>
        <w:t>其他说明：</w:t>
      </w:r>
    </w:p>
    <w:p>
      <w:pPr>
        <w:spacing w:after="0" w:line="240" w:lineRule="auto"/>
        <w:jc w:val="left"/>
        <w:sectPr>
          <w:pgSz w:w="11910" w:h="16840"/>
          <w:pgMar w:header="746" w:footer="974"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6"/>
        <w:ind w:right="855"/>
        <w:jc w:val="left"/>
      </w:pPr>
      <w:r>
        <w:rPr>
          <w:spacing w:val="-3"/>
        </w:rPr>
        <w:t>注：预计的减值损失以</w:t>
      </w:r>
      <w:r>
        <w:rPr>
          <w:rFonts w:ascii="Times New Roman" w:hAnsi="Times New Roman" w:cs="Times New Roman" w:eastAsia="Times New Roman" w:hint="default"/>
          <w:spacing w:val="-3"/>
        </w:rPr>
        <w:t>“</w:t>
      </w:r>
      <w:r>
        <w:rPr>
          <w:rFonts w:ascii="Times New Roman" w:hAnsi="Times New Roman" w:cs="Times New Roman" w:eastAsia="Times New Roman" w:hint="default"/>
          <w:spacing w:val="-3"/>
        </w:rPr>
        <w:t>-</w:t>
      </w:r>
      <w:r>
        <w:rPr>
          <w:rFonts w:ascii="Times New Roman" w:hAnsi="Times New Roman" w:cs="Times New Roman" w:eastAsia="Times New Roman" w:hint="default"/>
          <w:spacing w:val="-3"/>
        </w:rPr>
        <w:t>”</w:t>
      </w:r>
      <w:r>
        <w:rPr>
          <w:spacing w:val="-3"/>
        </w:rPr>
        <w:t>号填列</w:t>
      </w:r>
    </w:p>
    <w:p>
      <w:pPr>
        <w:spacing w:line="240" w:lineRule="auto" w:before="13"/>
        <w:rPr>
          <w:rFonts w:ascii="宋体" w:hAnsi="宋体" w:cs="宋体" w:eastAsia="宋体" w:hint="default"/>
          <w:sz w:val="25"/>
          <w:szCs w:val="25"/>
        </w:rPr>
      </w:pPr>
    </w:p>
    <w:p>
      <w:pPr>
        <w:pStyle w:val="Heading4"/>
        <w:spacing w:line="240" w:lineRule="auto"/>
        <w:ind w:right="855"/>
        <w:jc w:val="left"/>
        <w:rPr>
          <w:b w:val="0"/>
          <w:bCs w:val="0"/>
        </w:rPr>
      </w:pPr>
      <w:r>
        <w:rPr>
          <w:rFonts w:ascii="Times New Roman" w:hAnsi="Times New Roman" w:cs="Times New Roman" w:eastAsia="Times New Roman" w:hint="default"/>
        </w:rPr>
        <w:t>45</w:t>
      </w:r>
      <w:r>
        <w:rPr/>
        <w:t>、资产减值损失</w:t>
      </w:r>
      <w:r>
        <w:rPr>
          <w:b w:val="0"/>
          <w:bCs w:val="0"/>
        </w:rPr>
      </w:r>
    </w:p>
    <w:p>
      <w:pPr>
        <w:spacing w:line="240" w:lineRule="auto" w:before="11"/>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6" w:footer="974" w:top="1060" w:bottom="1160" w:left="980" w:right="0"/>
        </w:sectPr>
      </w:pPr>
    </w:p>
    <w:p>
      <w:pPr>
        <w:pStyle w:val="BodyText"/>
        <w:spacing w:line="240" w:lineRule="auto" w:before="46"/>
        <w:ind w:right="0"/>
        <w:jc w:val="left"/>
      </w:pPr>
      <w:r>
        <w:rPr>
          <w:spacing w:val="-2"/>
        </w:rPr>
        <w:t>是否已执行新收入准则</w:t>
      </w:r>
    </w:p>
    <w:p>
      <w:pPr>
        <w:pStyle w:val="BodyText"/>
        <w:spacing w:line="240" w:lineRule="auto" w:before="119"/>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w:t>
      </w:r>
      <w:r>
        <w:rPr>
          <w:spacing w:val="5"/>
        </w:rPr>
        <w:t> </w:t>
      </w:r>
      <w:r>
        <w:rPr/>
        <w:t>元</w:t>
      </w:r>
    </w:p>
    <w:p>
      <w:pPr>
        <w:spacing w:after="0" w:line="240" w:lineRule="auto"/>
        <w:jc w:val="left"/>
        <w:sectPr>
          <w:type w:val="continuous"/>
          <w:pgSz w:w="11910" w:h="16840"/>
          <w:pgMar w:top="1060" w:bottom="1160" w:left="980" w:right="0"/>
          <w:cols w:num="2" w:equalWidth="0">
            <w:col w:w="1959" w:space="6872"/>
            <w:col w:w="2099"/>
          </w:cols>
        </w:sectPr>
      </w:pP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3"/>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-5,881,866.40</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7,280.82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-249,945.93</w:t>
            </w:r>
          </w:p>
        </w:tc>
      </w:tr>
      <w:tr>
        <w:trPr>
          <w:trHeight w:val="398"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五、长期股权投资减值损失</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-1,551,786.43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-906,123.48</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-1,544,505.61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-7,037,935.81</w:t>
            </w:r>
          </w:p>
        </w:tc>
      </w:tr>
    </w:tbl>
    <w:p>
      <w:pPr>
        <w:pStyle w:val="BodyText"/>
        <w:spacing w:line="357" w:lineRule="auto" w:before="54"/>
        <w:ind w:right="8204"/>
        <w:jc w:val="left"/>
      </w:pPr>
      <w:r>
        <w:rPr/>
        <w:t>其他说明：</w:t>
      </w:r>
      <w:r>
        <w:rPr>
          <w:w w:val="101"/>
        </w:rPr>
        <w:t> </w:t>
      </w:r>
      <w:r>
        <w:rPr>
          <w:spacing w:val="-3"/>
        </w:rPr>
        <w:t>注：预计的减值损失以</w:t>
      </w:r>
      <w:r>
        <w:rPr>
          <w:rFonts w:ascii="Times New Roman" w:hAnsi="Times New Roman" w:cs="Times New Roman" w:eastAsia="Times New Roman" w:hint="default"/>
          <w:spacing w:val="-3"/>
        </w:rPr>
        <w:t>“</w:t>
      </w:r>
      <w:r>
        <w:rPr>
          <w:rFonts w:ascii="Times New Roman" w:hAnsi="Times New Roman" w:cs="Times New Roman" w:eastAsia="Times New Roman" w:hint="default"/>
          <w:spacing w:val="-3"/>
        </w:rPr>
        <w:t>-</w:t>
      </w:r>
      <w:r>
        <w:rPr>
          <w:rFonts w:ascii="Times New Roman" w:hAnsi="Times New Roman" w:cs="Times New Roman" w:eastAsia="Times New Roman" w:hint="default"/>
          <w:spacing w:val="-3"/>
        </w:rPr>
        <w:t>”</w:t>
      </w:r>
      <w:r>
        <w:rPr>
          <w:spacing w:val="-3"/>
        </w:rPr>
        <w:t>号填列</w:t>
      </w:r>
    </w:p>
    <w:p>
      <w:pPr>
        <w:spacing w:line="240" w:lineRule="auto" w:before="7"/>
        <w:rPr>
          <w:rFonts w:ascii="宋体" w:hAnsi="宋体" w:cs="宋体" w:eastAsia="宋体" w:hint="default"/>
          <w:sz w:val="18"/>
          <w:szCs w:val="18"/>
        </w:rPr>
      </w:pPr>
    </w:p>
    <w:p>
      <w:pPr>
        <w:pStyle w:val="Heading4"/>
        <w:spacing w:line="240" w:lineRule="auto"/>
        <w:ind w:right="855"/>
        <w:jc w:val="left"/>
        <w:rPr>
          <w:b w:val="0"/>
          <w:bCs w:val="0"/>
        </w:rPr>
      </w:pPr>
      <w:r>
        <w:rPr>
          <w:rFonts w:ascii="Times New Roman" w:hAnsi="Times New Roman" w:cs="Times New Roman" w:eastAsia="Times New Roman" w:hint="default"/>
        </w:rPr>
        <w:t>46</w:t>
      </w:r>
      <w:r>
        <w:rPr/>
        <w:t>、资产处置收益</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6"/>
        <w:ind w:left="0" w:right="1121"/>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3"/>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82" w:right="0"/>
              <w:jc w:val="left"/>
              <w:rPr>
                <w:rFonts w:ascii="宋体" w:hAnsi="宋体" w:cs="宋体" w:eastAsia="宋体" w:hint="default"/>
                <w:sz w:val="18"/>
                <w:szCs w:val="18"/>
              </w:rPr>
            </w:pPr>
            <w:r>
              <w:rPr>
                <w:rFonts w:ascii="宋体" w:hAnsi="宋体" w:cs="宋体" w:eastAsia="宋体" w:hint="default"/>
                <w:spacing w:val="-3"/>
                <w:sz w:val="18"/>
                <w:szCs w:val="18"/>
              </w:rPr>
              <w:t>资产处置收益的来源</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资产处置利得</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161.98</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其中：固定资产处置利得</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161.98</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资产处置损失</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95,999.38</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其中：固定资产处置损失</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95,999.38</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161.98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-95,999.38</w:t>
            </w:r>
          </w:p>
        </w:tc>
      </w:tr>
    </w:tbl>
    <w:p>
      <w:pPr>
        <w:spacing w:line="240" w:lineRule="auto" w:before="3"/>
        <w:rPr>
          <w:rFonts w:ascii="宋体" w:hAnsi="宋体" w:cs="宋体" w:eastAsia="宋体" w:hint="default"/>
          <w:sz w:val="19"/>
          <w:szCs w:val="19"/>
        </w:rPr>
      </w:pPr>
    </w:p>
    <w:p>
      <w:pPr>
        <w:pStyle w:val="Heading4"/>
        <w:spacing w:line="240" w:lineRule="auto" w:before="36"/>
        <w:ind w:right="855"/>
        <w:jc w:val="left"/>
        <w:rPr>
          <w:b w:val="0"/>
          <w:bCs w:val="0"/>
        </w:rPr>
      </w:pPr>
      <w:r>
        <w:rPr>
          <w:rFonts w:ascii="Times New Roman" w:hAnsi="Times New Roman" w:cs="Times New Roman" w:eastAsia="Times New Roman" w:hint="default"/>
        </w:rPr>
        <w:t>47</w:t>
      </w:r>
      <w:r>
        <w:rPr/>
        <w:t>、营业外收入</w:t>
      </w:r>
      <w:r>
        <w:rPr>
          <w:b w:val="0"/>
          <w:bCs w:val="0"/>
        </w:rPr>
      </w:r>
    </w:p>
    <w:p>
      <w:pPr>
        <w:spacing w:line="240" w:lineRule="auto" w:before="11"/>
        <w:rPr>
          <w:rFonts w:ascii="宋体" w:hAnsi="宋体" w:cs="宋体" w:eastAsia="宋体" w:hint="default"/>
          <w:b/>
          <w:bCs/>
          <w:sz w:val="22"/>
          <w:szCs w:val="22"/>
        </w:rPr>
      </w:pPr>
    </w:p>
    <w:p>
      <w:pPr>
        <w:pStyle w:val="BodyText"/>
        <w:spacing w:line="240" w:lineRule="auto" w:before="46"/>
        <w:ind w:left="0" w:right="1121"/>
        <w:jc w:val="right"/>
      </w:pPr>
      <w:r>
        <w:rPr/>
        <w:t>单位：</w:t>
      </w:r>
      <w:r>
        <w:rPr>
          <w:spacing w:val="5"/>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1"/>
      </w:tblGrid>
      <w:tr>
        <w:trPr>
          <w:trHeight w:val="710"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4"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1104" w:right="104" w:hanging="994"/>
              <w:jc w:val="left"/>
              <w:rPr>
                <w:rFonts w:ascii="宋体" w:hAnsi="宋体" w:cs="宋体" w:eastAsia="宋体" w:hint="default"/>
                <w:sz w:val="18"/>
                <w:szCs w:val="18"/>
              </w:rPr>
            </w:pPr>
            <w:r>
              <w:rPr>
                <w:rFonts w:ascii="宋体" w:hAnsi="宋体" w:cs="宋体" w:eastAsia="宋体" w:hint="default"/>
                <w:spacing w:val="-3"/>
                <w:sz w:val="18"/>
                <w:szCs w:val="18"/>
              </w:rPr>
              <w:t>计入当期非经常性损益的金</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额</w:t>
            </w:r>
          </w:p>
        </w:tc>
      </w:tr>
      <w:tr>
        <w:trPr>
          <w:trHeight w:val="404"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赔偿金、违约金等其他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160,000.00</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160,000.00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199,393.69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1,986,765.87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199,393.69</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359,393.69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1,986,765.87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359,393.69</w:t>
            </w:r>
          </w:p>
        </w:tc>
      </w:tr>
    </w:tbl>
    <w:p>
      <w:pPr>
        <w:spacing w:line="240" w:lineRule="auto" w:before="3"/>
        <w:rPr>
          <w:rFonts w:ascii="宋体" w:hAnsi="宋体" w:cs="宋体" w:eastAsia="宋体" w:hint="default"/>
          <w:sz w:val="19"/>
          <w:szCs w:val="19"/>
        </w:rPr>
      </w:pPr>
    </w:p>
    <w:p>
      <w:pPr>
        <w:pStyle w:val="Heading4"/>
        <w:spacing w:line="240" w:lineRule="auto" w:before="36"/>
        <w:ind w:right="855"/>
        <w:jc w:val="left"/>
        <w:rPr>
          <w:b w:val="0"/>
          <w:bCs w:val="0"/>
        </w:rPr>
      </w:pPr>
      <w:r>
        <w:rPr>
          <w:rFonts w:ascii="Times New Roman" w:hAnsi="Times New Roman" w:cs="Times New Roman" w:eastAsia="Times New Roman" w:hint="default"/>
        </w:rPr>
        <w:t>48</w:t>
      </w:r>
      <w:r>
        <w:rPr/>
        <w:t>、营业外支出</w:t>
      </w:r>
      <w:r>
        <w:rPr>
          <w:b w:val="0"/>
          <w:bCs w:val="0"/>
        </w:rPr>
      </w:r>
    </w:p>
    <w:p>
      <w:pPr>
        <w:spacing w:line="240" w:lineRule="auto" w:before="11"/>
        <w:rPr>
          <w:rFonts w:ascii="宋体" w:hAnsi="宋体" w:cs="宋体" w:eastAsia="宋体" w:hint="default"/>
          <w:b/>
          <w:bCs/>
          <w:sz w:val="22"/>
          <w:szCs w:val="22"/>
        </w:rPr>
      </w:pPr>
    </w:p>
    <w:p>
      <w:pPr>
        <w:pStyle w:val="BodyText"/>
        <w:spacing w:line="240" w:lineRule="auto" w:before="46"/>
        <w:ind w:left="0" w:right="1121"/>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1"/>
      </w:tblGrid>
      <w:tr>
        <w:trPr>
          <w:trHeight w:val="715"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74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744"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04" w:right="104" w:hanging="994"/>
              <w:jc w:val="left"/>
              <w:rPr>
                <w:rFonts w:ascii="宋体" w:hAnsi="宋体" w:cs="宋体" w:eastAsia="宋体" w:hint="default"/>
                <w:sz w:val="18"/>
                <w:szCs w:val="18"/>
              </w:rPr>
            </w:pPr>
            <w:r>
              <w:rPr>
                <w:rFonts w:ascii="宋体" w:hAnsi="宋体" w:cs="宋体" w:eastAsia="宋体" w:hint="default"/>
                <w:spacing w:val="-3"/>
                <w:sz w:val="18"/>
                <w:szCs w:val="18"/>
              </w:rPr>
              <w:t>计入当期非经常性损益的金</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额</w:t>
            </w:r>
          </w:p>
        </w:tc>
      </w:tr>
    </w:tbl>
    <w:p>
      <w:pPr>
        <w:spacing w:after="0" w:line="316"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1"/>
      </w:tblGrid>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55,000.00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50,000.00</w:t>
            </w:r>
          </w:p>
        </w:tc>
      </w:tr>
      <w:tr>
        <w:trPr>
          <w:trHeight w:val="398"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非流动资产毁损报废损失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565,953.89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192,113.50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565,953.89</w:t>
            </w:r>
          </w:p>
        </w:tc>
      </w:tr>
      <w:tr>
        <w:trPr>
          <w:trHeight w:val="404"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罚款支出</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50,756.56</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2"/>
              <w:jc w:val="right"/>
              <w:rPr>
                <w:rFonts w:ascii="Times New Roman" w:hAnsi="Times New Roman" w:cs="Times New Roman" w:eastAsia="Times New Roman" w:hint="default"/>
                <w:sz w:val="18"/>
                <w:szCs w:val="18"/>
              </w:rPr>
            </w:pPr>
            <w:r>
              <w:rPr>
                <w:rFonts w:ascii="Times New Roman"/>
                <w:spacing w:val="-1"/>
                <w:sz w:val="18"/>
              </w:rPr>
              <w:t>50,756.56</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14,796.92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1,539,584.80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14,796.92</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681,507.37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1,786,698.30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681,507.37</w:t>
            </w:r>
          </w:p>
        </w:tc>
      </w:tr>
    </w:tbl>
    <w:p>
      <w:pPr>
        <w:spacing w:line="240" w:lineRule="auto" w:before="3"/>
        <w:rPr>
          <w:rFonts w:ascii="宋体" w:hAnsi="宋体" w:cs="宋体" w:eastAsia="宋体" w:hint="default"/>
          <w:sz w:val="19"/>
          <w:szCs w:val="19"/>
        </w:rPr>
      </w:pPr>
    </w:p>
    <w:p>
      <w:pPr>
        <w:pStyle w:val="Heading4"/>
        <w:spacing w:line="240" w:lineRule="auto" w:before="36"/>
        <w:ind w:right="855"/>
        <w:jc w:val="left"/>
        <w:rPr>
          <w:b w:val="0"/>
          <w:bCs w:val="0"/>
        </w:rPr>
      </w:pPr>
      <w:r>
        <w:rPr>
          <w:rFonts w:ascii="Times New Roman" w:hAnsi="Times New Roman" w:cs="Times New Roman" w:eastAsia="Times New Roman" w:hint="default"/>
        </w:rPr>
        <w:t>49</w:t>
      </w:r>
      <w:r>
        <w:rPr/>
        <w:t>、所得税费用</w:t>
      </w:r>
      <w:r>
        <w:rPr>
          <w:b w:val="0"/>
          <w:bCs w:val="0"/>
        </w:rPr>
      </w:r>
    </w:p>
    <w:p>
      <w:pPr>
        <w:spacing w:line="240" w:lineRule="auto" w:before="5"/>
        <w:rPr>
          <w:rFonts w:ascii="宋体" w:hAnsi="宋体" w:cs="宋体" w:eastAsia="宋体" w:hint="default"/>
          <w:b/>
          <w:bCs/>
          <w:sz w:val="24"/>
          <w:szCs w:val="24"/>
        </w:rPr>
      </w:pPr>
    </w:p>
    <w:p>
      <w:pPr>
        <w:spacing w:before="0"/>
        <w:ind w:left="153" w:right="85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）所得税费用表</w:t>
      </w:r>
      <w:r>
        <w:rPr>
          <w:rFonts w:ascii="宋体" w:hAnsi="宋体" w:cs="宋体" w:eastAsia="宋体" w:hint="default"/>
          <w:sz w:val="21"/>
          <w:szCs w:val="21"/>
        </w:rPr>
      </w:r>
    </w:p>
    <w:p>
      <w:pPr>
        <w:spacing w:line="240" w:lineRule="auto" w:before="2"/>
        <w:rPr>
          <w:rFonts w:ascii="宋体" w:hAnsi="宋体" w:cs="宋体" w:eastAsia="宋体" w:hint="default"/>
          <w:b/>
          <w:bCs/>
          <w:sz w:val="23"/>
          <w:szCs w:val="23"/>
        </w:rPr>
      </w:pPr>
    </w:p>
    <w:p>
      <w:pPr>
        <w:pStyle w:val="BodyText"/>
        <w:spacing w:line="240" w:lineRule="auto" w:before="46"/>
        <w:ind w:left="0" w:right="1121"/>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3"/>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当期所得税费用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12,173,182.65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46,039,958.98</w:t>
            </w:r>
          </w:p>
        </w:tc>
      </w:tr>
      <w:tr>
        <w:trPr>
          <w:trHeight w:val="398"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递延所得税费用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-3,485,131.04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-4,905,929.62</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8,688,051.61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41,134,029.36</w:t>
            </w:r>
          </w:p>
        </w:tc>
      </w:tr>
    </w:tbl>
    <w:p>
      <w:pPr>
        <w:spacing w:line="240" w:lineRule="auto" w:before="3"/>
        <w:rPr>
          <w:rFonts w:ascii="宋体" w:hAnsi="宋体" w:cs="宋体" w:eastAsia="宋体" w:hint="default"/>
          <w:sz w:val="19"/>
          <w:szCs w:val="19"/>
        </w:rPr>
      </w:pPr>
    </w:p>
    <w:p>
      <w:pPr>
        <w:pStyle w:val="Heading4"/>
        <w:spacing w:line="240" w:lineRule="auto" w:before="36"/>
        <w:ind w:right="855"/>
        <w:jc w:val="left"/>
        <w:rPr>
          <w:b w:val="0"/>
          <w:bCs w:val="0"/>
        </w:rPr>
      </w:pP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1"/>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5532"/>
        <w:gridCol w:w="4038"/>
      </w:tblGrid>
      <w:tr>
        <w:trPr>
          <w:trHeight w:val="398" w:hRule="exact"/>
        </w:trPr>
        <w:tc>
          <w:tcPr>
            <w:tcW w:w="5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3" w:hRule="exact"/>
        </w:trPr>
        <w:tc>
          <w:tcPr>
            <w:tcW w:w="5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92,166,224.47</w:t>
            </w:r>
          </w:p>
        </w:tc>
      </w:tr>
      <w:tr>
        <w:trPr>
          <w:trHeight w:val="404" w:hRule="exact"/>
        </w:trPr>
        <w:tc>
          <w:tcPr>
            <w:tcW w:w="5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按法定</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适用税率计算的所得税费用</w:t>
            </w:r>
          </w:p>
        </w:tc>
        <w:tc>
          <w:tcPr>
            <w:tcW w:w="4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13,824,933.67</w:t>
            </w:r>
          </w:p>
        </w:tc>
      </w:tr>
      <w:tr>
        <w:trPr>
          <w:trHeight w:val="403" w:hRule="exact"/>
        </w:trPr>
        <w:tc>
          <w:tcPr>
            <w:tcW w:w="5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子公司适用不同税率的影响</w:t>
            </w:r>
          </w:p>
        </w:tc>
        <w:tc>
          <w:tcPr>
            <w:tcW w:w="4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1,292,816.74</w:t>
            </w:r>
          </w:p>
        </w:tc>
      </w:tr>
      <w:tr>
        <w:trPr>
          <w:trHeight w:val="403" w:hRule="exact"/>
        </w:trPr>
        <w:tc>
          <w:tcPr>
            <w:tcW w:w="5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调整以前期间所得税的影响</w:t>
            </w:r>
          </w:p>
        </w:tc>
        <w:tc>
          <w:tcPr>
            <w:tcW w:w="4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-159,033.85</w:t>
            </w:r>
          </w:p>
        </w:tc>
      </w:tr>
      <w:tr>
        <w:trPr>
          <w:trHeight w:val="398" w:hRule="exact"/>
        </w:trPr>
        <w:tc>
          <w:tcPr>
            <w:tcW w:w="5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不可抵扣的成本、费用和损失的影响</w:t>
            </w:r>
          </w:p>
        </w:tc>
        <w:tc>
          <w:tcPr>
            <w:tcW w:w="4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1,305,197.80</w:t>
            </w:r>
          </w:p>
        </w:tc>
      </w:tr>
      <w:tr>
        <w:trPr>
          <w:trHeight w:val="404" w:hRule="exact"/>
        </w:trPr>
        <w:tc>
          <w:tcPr>
            <w:tcW w:w="5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使用前期未确认递延所得税资产的可抵扣亏损的影响</w:t>
            </w:r>
          </w:p>
        </w:tc>
        <w:tc>
          <w:tcPr>
            <w:tcW w:w="4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-1,366,173.83</w:t>
            </w:r>
          </w:p>
        </w:tc>
      </w:tr>
      <w:tr>
        <w:trPr>
          <w:trHeight w:val="403" w:hRule="exact"/>
        </w:trPr>
        <w:tc>
          <w:tcPr>
            <w:tcW w:w="5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本期未确认递延所得税资产的可抵扣暂时性差异或可抵扣亏损的影响</w:t>
            </w:r>
          </w:p>
        </w:tc>
        <w:tc>
          <w:tcPr>
            <w:tcW w:w="4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3,989,941.61</w:t>
            </w:r>
          </w:p>
        </w:tc>
      </w:tr>
      <w:tr>
        <w:trPr>
          <w:trHeight w:val="403" w:hRule="exact"/>
        </w:trPr>
        <w:tc>
          <w:tcPr>
            <w:tcW w:w="5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税法规定的额外可扣除费用</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研发费加计扣除</w:t>
            </w:r>
          </w:p>
        </w:tc>
        <w:tc>
          <w:tcPr>
            <w:tcW w:w="4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-10,199,630.53</w:t>
            </w:r>
          </w:p>
        </w:tc>
      </w:tr>
      <w:tr>
        <w:trPr>
          <w:trHeight w:val="398" w:hRule="exact"/>
        </w:trPr>
        <w:tc>
          <w:tcPr>
            <w:tcW w:w="5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8,688,051.61</w:t>
            </w:r>
          </w:p>
        </w:tc>
      </w:tr>
    </w:tbl>
    <w:p>
      <w:pPr>
        <w:spacing w:line="240" w:lineRule="auto" w:before="3"/>
        <w:rPr>
          <w:rFonts w:ascii="宋体" w:hAnsi="宋体" w:cs="宋体" w:eastAsia="宋体" w:hint="default"/>
          <w:sz w:val="19"/>
          <w:szCs w:val="19"/>
        </w:rPr>
      </w:pPr>
    </w:p>
    <w:p>
      <w:pPr>
        <w:spacing w:line="544" w:lineRule="auto" w:before="36"/>
        <w:ind w:left="153" w:right="885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50</w:t>
      </w:r>
      <w:r>
        <w:rPr>
          <w:rFonts w:ascii="宋体" w:hAnsi="宋体" w:cs="宋体" w:eastAsia="宋体" w:hint="default"/>
          <w:b/>
          <w:bCs/>
          <w:sz w:val="21"/>
          <w:szCs w:val="21"/>
        </w:rPr>
        <w:t>、其他综合收益</w:t>
      </w:r>
      <w:r>
        <w:rPr>
          <w:rFonts w:ascii="宋体" w:hAnsi="宋体" w:cs="宋体" w:eastAsia="宋体" w:hint="default"/>
          <w:b/>
          <w:bCs/>
          <w:spacing w:val="-102"/>
          <w:sz w:val="21"/>
          <w:szCs w:val="21"/>
        </w:rPr>
        <w:t> </w:t>
      </w:r>
      <w:r>
        <w:rPr>
          <w:rFonts w:ascii="宋体" w:hAnsi="宋体" w:cs="宋体" w:eastAsia="宋体" w:hint="default"/>
          <w:sz w:val="18"/>
          <w:szCs w:val="18"/>
        </w:rPr>
        <w:t>详见附注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33</w:t>
      </w:r>
      <w:r>
        <w:rPr>
          <w:rFonts w:ascii="宋体" w:hAnsi="宋体" w:cs="宋体" w:eastAsia="宋体" w:hint="default"/>
          <w:sz w:val="18"/>
          <w:szCs w:val="18"/>
        </w:rPr>
        <w:t>。</w:t>
      </w:r>
      <w:r>
        <w:rPr>
          <w:rFonts w:ascii="宋体" w:hAnsi="宋体" w:cs="宋体" w:eastAsia="宋体" w:hint="default"/>
          <w:spacing w:val="-86"/>
          <w:sz w:val="18"/>
          <w:szCs w:val="18"/>
        </w:rPr>
        <w:t> </w:t>
      </w:r>
      <w:r>
        <w:rPr>
          <w:rFonts w:ascii="Times New Roman" w:hAnsi="Times New Roman" w:cs="Times New Roman" w:eastAsia="Times New Roman" w:hint="default"/>
          <w:b/>
          <w:bCs/>
          <w:sz w:val="21"/>
          <w:szCs w:val="21"/>
        </w:rPr>
        <w:t>51</w:t>
      </w:r>
      <w:r>
        <w:rPr>
          <w:rFonts w:ascii="宋体" w:hAnsi="宋体" w:cs="宋体" w:eastAsia="宋体" w:hint="default"/>
          <w:b/>
          <w:bCs/>
          <w:sz w:val="21"/>
          <w:szCs w:val="21"/>
        </w:rPr>
        <w:t>、现金流量表项目</w:t>
      </w:r>
      <w:r>
        <w:rPr>
          <w:rFonts w:ascii="宋体" w:hAnsi="宋体" w:cs="宋体" w:eastAsia="宋体" w:hint="default"/>
          <w:sz w:val="21"/>
          <w:szCs w:val="21"/>
        </w:rPr>
      </w:r>
    </w:p>
    <w:p>
      <w:pPr>
        <w:pStyle w:val="Heading4"/>
        <w:spacing w:line="240" w:lineRule="auto" w:before="29"/>
        <w:ind w:right="855"/>
        <w:jc w:val="left"/>
        <w:rPr>
          <w:b w:val="0"/>
          <w:bCs w:val="0"/>
        </w:rPr>
      </w:pP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1"/>
        <w:jc w:val="right"/>
      </w:pPr>
      <w:r>
        <w:rPr/>
        <w:t>单位：</w:t>
      </w:r>
      <w:r>
        <w:rPr>
          <w:spacing w:val="5"/>
        </w:rPr>
        <w:t> </w:t>
      </w:r>
      <w:r>
        <w:rPr/>
        <w:t>元</w:t>
      </w:r>
    </w:p>
    <w:p>
      <w:pPr>
        <w:spacing w:after="0" w:line="240" w:lineRule="auto"/>
        <w:jc w:val="right"/>
        <w:sectPr>
          <w:pgSz w:w="11910" w:h="16840"/>
          <w:pgMar w:header="746" w:footer="974"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3"/>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98"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房租</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12,632,951.16</w:t>
            </w:r>
          </w:p>
        </w:tc>
      </w:tr>
      <w:tr>
        <w:trPr>
          <w:trHeight w:val="40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收回使用受限资金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pacing w:val="-1"/>
                <w:sz w:val="18"/>
              </w:rPr>
              <w:t>10,450,162.55</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11,026,867.46</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收到政府补助</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18,901,023.83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13,561,403.21</w:t>
            </w:r>
          </w:p>
        </w:tc>
      </w:tr>
      <w:tr>
        <w:trPr>
          <w:trHeight w:val="398"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10,671,395.91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10,534,333.27</w:t>
            </w:r>
          </w:p>
        </w:tc>
      </w:tr>
      <w:tr>
        <w:trPr>
          <w:trHeight w:val="40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代收代垫及往来款</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5,767,336.98</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职工归还备用金</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71,960.61</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247,692.66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169,289.35</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40,270,274.95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53,764,142.04</w:t>
            </w:r>
          </w:p>
        </w:tc>
      </w:tr>
    </w:tbl>
    <w:p>
      <w:pPr>
        <w:spacing w:line="240" w:lineRule="auto" w:before="3"/>
        <w:rPr>
          <w:rFonts w:ascii="宋体" w:hAnsi="宋体" w:cs="宋体" w:eastAsia="宋体" w:hint="default"/>
          <w:sz w:val="19"/>
          <w:szCs w:val="19"/>
        </w:rPr>
      </w:pPr>
    </w:p>
    <w:p>
      <w:pPr>
        <w:pStyle w:val="Heading4"/>
        <w:spacing w:line="240" w:lineRule="auto" w:before="36"/>
        <w:ind w:right="855"/>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6"/>
        <w:ind w:left="0" w:right="1121"/>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3"/>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1,872,454.91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10,158,753.33</w:t>
            </w:r>
          </w:p>
        </w:tc>
      </w:tr>
      <w:tr>
        <w:trPr>
          <w:trHeight w:val="398"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研究开发费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15,985,624.55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25,858,452.77</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代收代垫及往来款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3,456,770.60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5,600,633.38</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支付使用受限的保证金</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26,455,948.21</w:t>
            </w:r>
          </w:p>
        </w:tc>
      </w:tr>
      <w:tr>
        <w:trPr>
          <w:trHeight w:val="40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差旅费、办公费、业务招待费等</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51,776,263.27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53,702,428.48</w:t>
            </w:r>
          </w:p>
        </w:tc>
      </w:tr>
      <w:tr>
        <w:trPr>
          <w:trHeight w:val="710"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3"/>
              <w:ind w:left="24" w:right="90"/>
              <w:jc w:val="left"/>
              <w:rPr>
                <w:rFonts w:ascii="宋体" w:hAnsi="宋体" w:cs="宋体" w:eastAsia="宋体" w:hint="default"/>
                <w:sz w:val="18"/>
                <w:szCs w:val="18"/>
              </w:rPr>
            </w:pPr>
            <w:r>
              <w:rPr>
                <w:rFonts w:ascii="宋体" w:hAnsi="宋体" w:cs="宋体" w:eastAsia="宋体" w:hint="default"/>
                <w:spacing w:val="-3"/>
                <w:sz w:val="18"/>
                <w:szCs w:val="18"/>
              </w:rPr>
              <w:t>运输费、物管费、咨询费、技术服务费</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等</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17,445,004.18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14,283,639.85</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租赁费、修理费等及其他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20,946,609.57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32,794,334.93</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111,482,727.08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168,854,190.95</w:t>
            </w:r>
          </w:p>
        </w:tc>
      </w:tr>
    </w:tbl>
    <w:p>
      <w:pPr>
        <w:spacing w:line="240" w:lineRule="auto" w:before="3"/>
        <w:rPr>
          <w:rFonts w:ascii="宋体" w:hAnsi="宋体" w:cs="宋体" w:eastAsia="宋体" w:hint="default"/>
          <w:sz w:val="19"/>
          <w:szCs w:val="19"/>
        </w:rPr>
      </w:pPr>
    </w:p>
    <w:p>
      <w:pPr>
        <w:pStyle w:val="Heading4"/>
        <w:spacing w:line="240" w:lineRule="auto" w:before="36"/>
        <w:ind w:right="855"/>
        <w:jc w:val="left"/>
        <w:rPr>
          <w:b w:val="0"/>
          <w:bCs w:val="0"/>
        </w:rPr>
      </w:pP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6"/>
        <w:ind w:left="0" w:right="1121"/>
        <w:jc w:val="right"/>
      </w:pPr>
      <w:r>
        <w:rPr/>
        <w:t>单位：</w:t>
      </w:r>
      <w:r>
        <w:rPr>
          <w:spacing w:val="5"/>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3"/>
      </w:tblGrid>
      <w:tr>
        <w:trPr>
          <w:trHeight w:val="398"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合并范围变更带入的货币资金</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12,056,756.35</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12,056,756.35</w:t>
            </w:r>
          </w:p>
        </w:tc>
      </w:tr>
    </w:tbl>
    <w:p>
      <w:pPr>
        <w:spacing w:after="0" w:line="240" w:lineRule="auto"/>
        <w:jc w:val="right"/>
        <w:rPr>
          <w:rFonts w:ascii="Times New Roman" w:hAnsi="Times New Roman" w:cs="Times New Roman" w:eastAsia="Times New Roman" w:hint="default"/>
          <w:sz w:val="18"/>
          <w:szCs w:val="18"/>
        </w:rPr>
        <w:sectPr>
          <w:pgSz w:w="11910" w:h="16840"/>
          <w:pgMar w:header="746" w:footer="974" w:top="1060" w:bottom="1160" w:left="980" w:right="0"/>
        </w:sectPr>
      </w:pPr>
    </w:p>
    <w:p>
      <w:pPr>
        <w:spacing w:line="240" w:lineRule="auto" w:before="12"/>
        <w:rPr>
          <w:rFonts w:ascii="宋体" w:hAnsi="宋体" w:cs="宋体" w:eastAsia="宋体" w:hint="default"/>
          <w:sz w:val="24"/>
          <w:szCs w:val="24"/>
        </w:rPr>
      </w:pPr>
      <w:r>
        <w:rPr/>
        <w:pict>
          <v:shape style="position:absolute;margin-left:263.625763pt;margin-top:576.409973pt;width:133.3pt;height:19.45pt;mso-position-horizontal-relative:page;mso-position-vertical-relative:page;z-index:-981808" type="#_x0000_t202" filled="false" stroked="false">
            <v:textbox inset="0,0,0,0">
              <w:txbxContent>
                <w:p>
                  <w:pPr>
                    <w:pStyle w:val="BodyText"/>
                    <w:spacing w:line="240" w:lineRule="auto" w:before="53"/>
                    <w:ind w:left="0" w:right="0"/>
                    <w:jc w:val="left"/>
                  </w:pPr>
                  <w:r>
                    <w:rPr>
                      <w:w w:val="101"/>
                    </w:rPr>
                    <w:t>）</w:t>
                  </w:r>
                  <w:r>
                    <w:rPr/>
                  </w:r>
                </w:p>
              </w:txbxContent>
            </v:textbox>
            <w10:wrap type="none"/>
          </v:shape>
        </w:pict>
      </w:r>
      <w:r>
        <w:rPr/>
        <w:pict>
          <v:shape style="position:absolute;margin-left:263.625763pt;margin-top:596.329956pt;width:133.3pt;height:19.7pt;mso-position-horizontal-relative:page;mso-position-vertical-relative:page;z-index:-981784" type="#_x0000_t202" filled="false" stroked="false">
            <v:textbox inset="0,0,0,0">
              <w:txbxContent>
                <w:p>
                  <w:pPr>
                    <w:pStyle w:val="BodyText"/>
                    <w:spacing w:line="240" w:lineRule="auto" w:before="53"/>
                    <w:ind w:left="0" w:right="0"/>
                    <w:jc w:val="left"/>
                  </w:pPr>
                  <w:r>
                    <w:rPr>
                      <w:w w:val="101"/>
                    </w:rPr>
                    <w:t>）</w:t>
                  </w:r>
                  <w:r>
                    <w:rPr/>
                  </w:r>
                </w:p>
              </w:txbxContent>
            </v:textbox>
            <w10:wrap type="none"/>
          </v:shape>
        </w:pict>
      </w:r>
    </w:p>
    <w:p>
      <w:pPr>
        <w:pStyle w:val="Heading4"/>
        <w:spacing w:line="240" w:lineRule="auto" w:before="36"/>
        <w:ind w:right="855"/>
        <w:jc w:val="left"/>
        <w:rPr>
          <w:b w:val="0"/>
          <w:bCs w:val="0"/>
        </w:rPr>
      </w:pP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5"/>
        <w:rPr>
          <w:rFonts w:ascii="宋体" w:hAnsi="宋体" w:cs="宋体" w:eastAsia="宋体" w:hint="default"/>
          <w:b/>
          <w:bCs/>
          <w:sz w:val="24"/>
          <w:szCs w:val="24"/>
        </w:rPr>
      </w:pPr>
    </w:p>
    <w:p>
      <w:pPr>
        <w:spacing w:before="0"/>
        <w:ind w:left="153" w:right="85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）收到的其他与筹资活动有关的现金</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3" w:right="85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）支付的其他与筹资活动有关的现金</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0"/>
        <w:ind w:left="153" w:right="85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52</w:t>
      </w:r>
      <w:r>
        <w:rPr>
          <w:rFonts w:ascii="宋体" w:hAnsi="宋体" w:cs="宋体" w:eastAsia="宋体" w:hint="default"/>
          <w:b/>
          <w:bCs/>
          <w:sz w:val="21"/>
          <w:szCs w:val="21"/>
        </w:rPr>
        <w:t>、现金流量表补充资料</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3" w:right="85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）现金流量表补充资料</w:t>
      </w:r>
      <w:r>
        <w:rPr>
          <w:rFonts w:ascii="宋体" w:hAnsi="宋体" w:cs="宋体" w:eastAsia="宋体" w:hint="default"/>
          <w:sz w:val="21"/>
          <w:szCs w:val="21"/>
        </w:rPr>
      </w:r>
    </w:p>
    <w:p>
      <w:pPr>
        <w:spacing w:line="240" w:lineRule="auto" w:before="2"/>
        <w:rPr>
          <w:rFonts w:ascii="宋体" w:hAnsi="宋体" w:cs="宋体" w:eastAsia="宋体" w:hint="default"/>
          <w:b/>
          <w:bCs/>
          <w:sz w:val="23"/>
          <w:szCs w:val="23"/>
        </w:rPr>
      </w:pPr>
    </w:p>
    <w:p>
      <w:pPr>
        <w:pStyle w:val="BodyText"/>
        <w:spacing w:line="240" w:lineRule="auto" w:before="46"/>
        <w:ind w:left="0" w:right="1121"/>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255"/>
        <w:gridCol w:w="703"/>
        <w:gridCol w:w="1851"/>
        <w:gridCol w:w="2761"/>
      </w:tblGrid>
      <w:tr>
        <w:trPr>
          <w:trHeight w:val="403" w:hRule="exact"/>
        </w:trPr>
        <w:tc>
          <w:tcPr>
            <w:tcW w:w="42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55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398" w:hRule="exact"/>
        </w:trPr>
        <w:tc>
          <w:tcPr>
            <w:tcW w:w="42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．将净利润调节为经营活动现金流量：</w:t>
            </w:r>
          </w:p>
        </w:tc>
        <w:tc>
          <w:tcPr>
            <w:tcW w:w="255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w:t>
            </w:r>
          </w:p>
        </w:tc>
        <w:tc>
          <w:tcPr>
            <w:tcW w:w="2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sz w:val="18"/>
              </w:rPr>
              <w:t>--</w:t>
            </w:r>
          </w:p>
        </w:tc>
      </w:tr>
      <w:tr>
        <w:trPr>
          <w:trHeight w:val="406" w:hRule="exact"/>
        </w:trPr>
        <w:tc>
          <w:tcPr>
            <w:tcW w:w="42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净利润</w:t>
            </w:r>
          </w:p>
        </w:tc>
        <w:tc>
          <w:tcPr>
            <w:tcW w:w="255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483" w:right="0"/>
              <w:jc w:val="left"/>
              <w:rPr>
                <w:rFonts w:ascii="Times New Roman" w:hAnsi="Times New Roman" w:cs="Times New Roman" w:eastAsia="Times New Roman" w:hint="default"/>
                <w:sz w:val="18"/>
                <w:szCs w:val="18"/>
              </w:rPr>
            </w:pPr>
            <w:r>
              <w:rPr>
                <w:rFonts w:ascii="Times New Roman"/>
                <w:sz w:val="18"/>
              </w:rPr>
              <w:t>83,478,172.86</w:t>
            </w:r>
          </w:p>
        </w:tc>
        <w:tc>
          <w:tcPr>
            <w:tcW w:w="2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pacing w:val="-1"/>
                <w:sz w:val="18"/>
              </w:rPr>
              <w:t>98,775,281.45</w:t>
            </w:r>
          </w:p>
        </w:tc>
      </w:tr>
      <w:tr>
        <w:trPr>
          <w:trHeight w:val="401" w:hRule="exact"/>
        </w:trPr>
        <w:tc>
          <w:tcPr>
            <w:tcW w:w="42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加：资产减值准备</w:t>
            </w:r>
          </w:p>
        </w:tc>
        <w:tc>
          <w:tcPr>
            <w:tcW w:w="255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1574" w:right="0"/>
              <w:jc w:val="left"/>
              <w:rPr>
                <w:rFonts w:ascii="Times New Roman" w:hAnsi="Times New Roman" w:cs="Times New Roman" w:eastAsia="Times New Roman" w:hint="default"/>
                <w:sz w:val="18"/>
                <w:szCs w:val="18"/>
              </w:rPr>
            </w:pPr>
            <w:r>
              <w:rPr>
                <w:rFonts w:ascii="Times New Roman"/>
                <w:sz w:val="18"/>
              </w:rPr>
              <w:t>1,544,505.61</w:t>
            </w:r>
          </w:p>
        </w:tc>
        <w:tc>
          <w:tcPr>
            <w:tcW w:w="2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2"/>
              <w:jc w:val="right"/>
              <w:rPr>
                <w:rFonts w:ascii="Times New Roman" w:hAnsi="Times New Roman" w:cs="Times New Roman" w:eastAsia="Times New Roman" w:hint="default"/>
                <w:sz w:val="18"/>
                <w:szCs w:val="18"/>
              </w:rPr>
            </w:pPr>
            <w:r>
              <w:rPr>
                <w:rFonts w:ascii="Times New Roman"/>
                <w:spacing w:val="-1"/>
                <w:sz w:val="18"/>
              </w:rPr>
              <w:t>7,037,935.81</w:t>
            </w:r>
          </w:p>
        </w:tc>
      </w:tr>
      <w:tr>
        <w:trPr>
          <w:trHeight w:val="403" w:hRule="exact"/>
        </w:trPr>
        <w:tc>
          <w:tcPr>
            <w:tcW w:w="42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信用减值损失</w:t>
            </w:r>
          </w:p>
        </w:tc>
        <w:tc>
          <w:tcPr>
            <w:tcW w:w="255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483" w:right="0"/>
              <w:jc w:val="left"/>
              <w:rPr>
                <w:rFonts w:ascii="Times New Roman" w:hAnsi="Times New Roman" w:cs="Times New Roman" w:eastAsia="Times New Roman" w:hint="default"/>
                <w:sz w:val="18"/>
                <w:szCs w:val="18"/>
              </w:rPr>
            </w:pPr>
            <w:r>
              <w:rPr>
                <w:rFonts w:ascii="Times New Roman"/>
                <w:sz w:val="18"/>
              </w:rPr>
              <w:t>24,608,131.31</w:t>
            </w:r>
          </w:p>
        </w:tc>
        <w:tc>
          <w:tcPr>
            <w:tcW w:w="2761"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42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75"/>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3"/>
                <w:sz w:val="18"/>
                <w:szCs w:val="18"/>
              </w:rPr>
              <w:t> </w:t>
            </w:r>
            <w:r>
              <w:rPr>
                <w:rFonts w:ascii="宋体" w:hAnsi="宋体" w:cs="宋体" w:eastAsia="宋体" w:hint="default"/>
                <w:spacing w:val="-3"/>
                <w:sz w:val="18"/>
                <w:szCs w:val="18"/>
              </w:rPr>
              <w:t>固定资产折旧、油气资产折耗、生产性生物</w:t>
            </w:r>
            <w:r>
              <w:rPr>
                <w:rFonts w:ascii="宋体" w:hAnsi="宋体" w:cs="宋体" w:eastAsia="宋体" w:hint="default"/>
                <w:w w:val="101"/>
                <w:sz w:val="18"/>
                <w:szCs w:val="18"/>
              </w:rPr>
              <w:t> </w:t>
            </w:r>
            <w:r>
              <w:rPr>
                <w:rFonts w:ascii="宋体" w:hAnsi="宋体" w:cs="宋体" w:eastAsia="宋体" w:hint="default"/>
                <w:sz w:val="18"/>
                <w:szCs w:val="18"/>
              </w:rPr>
              <w:t>资产折旧</w:t>
            </w:r>
          </w:p>
        </w:tc>
        <w:tc>
          <w:tcPr>
            <w:tcW w:w="2555"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476" w:right="0"/>
              <w:jc w:val="left"/>
              <w:rPr>
                <w:rFonts w:ascii="Times New Roman" w:hAnsi="Times New Roman" w:cs="Times New Roman" w:eastAsia="Times New Roman" w:hint="default"/>
                <w:sz w:val="18"/>
                <w:szCs w:val="18"/>
              </w:rPr>
            </w:pPr>
            <w:r>
              <w:rPr>
                <w:rFonts w:ascii="Times New Roman"/>
                <w:sz w:val="18"/>
              </w:rPr>
              <w:t>19,149,632.80</w:t>
            </w:r>
          </w:p>
        </w:tc>
        <w:tc>
          <w:tcPr>
            <w:tcW w:w="2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2"/>
                <w:sz w:val="18"/>
              </w:rPr>
              <w:t>18,218,011.55</w:t>
            </w:r>
          </w:p>
        </w:tc>
      </w:tr>
      <w:tr>
        <w:trPr>
          <w:trHeight w:val="401" w:hRule="exact"/>
        </w:trPr>
        <w:tc>
          <w:tcPr>
            <w:tcW w:w="42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3"/>
                <w:sz w:val="18"/>
                <w:szCs w:val="18"/>
              </w:rPr>
              <w:t> </w:t>
            </w:r>
            <w:r>
              <w:rPr>
                <w:rFonts w:ascii="宋体" w:hAnsi="宋体" w:cs="宋体" w:eastAsia="宋体" w:hint="default"/>
                <w:sz w:val="18"/>
                <w:szCs w:val="18"/>
              </w:rPr>
              <w:t>无形资产摊销</w:t>
            </w:r>
          </w:p>
        </w:tc>
        <w:tc>
          <w:tcPr>
            <w:tcW w:w="255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483" w:right="0"/>
              <w:jc w:val="left"/>
              <w:rPr>
                <w:rFonts w:ascii="Times New Roman" w:hAnsi="Times New Roman" w:cs="Times New Roman" w:eastAsia="Times New Roman" w:hint="default"/>
                <w:sz w:val="18"/>
                <w:szCs w:val="18"/>
              </w:rPr>
            </w:pPr>
            <w:r>
              <w:rPr>
                <w:rFonts w:ascii="Times New Roman"/>
                <w:sz w:val="18"/>
              </w:rPr>
              <w:t>23,457,748.42</w:t>
            </w:r>
          </w:p>
        </w:tc>
        <w:tc>
          <w:tcPr>
            <w:tcW w:w="2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13,447,304.90</w:t>
            </w:r>
          </w:p>
        </w:tc>
      </w:tr>
      <w:tr>
        <w:trPr>
          <w:trHeight w:val="401" w:hRule="exact"/>
        </w:trPr>
        <w:tc>
          <w:tcPr>
            <w:tcW w:w="42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3"/>
                <w:sz w:val="18"/>
                <w:szCs w:val="18"/>
              </w:rPr>
              <w:t> </w:t>
            </w:r>
            <w:r>
              <w:rPr>
                <w:rFonts w:ascii="宋体" w:hAnsi="宋体" w:cs="宋体" w:eastAsia="宋体" w:hint="default"/>
                <w:sz w:val="18"/>
                <w:szCs w:val="18"/>
              </w:rPr>
              <w:t>长期待摊费用摊销</w:t>
            </w:r>
          </w:p>
        </w:tc>
        <w:tc>
          <w:tcPr>
            <w:tcW w:w="255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1574" w:right="0"/>
              <w:jc w:val="left"/>
              <w:rPr>
                <w:rFonts w:ascii="Times New Roman" w:hAnsi="Times New Roman" w:cs="Times New Roman" w:eastAsia="Times New Roman" w:hint="default"/>
                <w:sz w:val="18"/>
                <w:szCs w:val="18"/>
              </w:rPr>
            </w:pPr>
            <w:r>
              <w:rPr>
                <w:rFonts w:ascii="Times New Roman"/>
                <w:sz w:val="18"/>
              </w:rPr>
              <w:t>1,728,803.49</w:t>
            </w:r>
          </w:p>
        </w:tc>
        <w:tc>
          <w:tcPr>
            <w:tcW w:w="2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2"/>
              <w:jc w:val="right"/>
              <w:rPr>
                <w:rFonts w:ascii="Times New Roman" w:hAnsi="Times New Roman" w:cs="Times New Roman" w:eastAsia="Times New Roman" w:hint="default"/>
                <w:sz w:val="18"/>
                <w:szCs w:val="18"/>
              </w:rPr>
            </w:pPr>
            <w:r>
              <w:rPr>
                <w:rFonts w:ascii="Times New Roman"/>
                <w:spacing w:val="-1"/>
                <w:sz w:val="18"/>
              </w:rPr>
              <w:t>1,810,270.22</w:t>
            </w:r>
          </w:p>
        </w:tc>
      </w:tr>
      <w:tr>
        <w:trPr>
          <w:trHeight w:val="716" w:hRule="exact"/>
        </w:trPr>
        <w:tc>
          <w:tcPr>
            <w:tcW w:w="42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75"/>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3"/>
                <w:sz w:val="18"/>
                <w:szCs w:val="18"/>
              </w:rPr>
              <w:t> </w:t>
            </w:r>
            <w:r>
              <w:rPr>
                <w:rFonts w:ascii="宋体" w:hAnsi="宋体" w:cs="宋体" w:eastAsia="宋体" w:hint="default"/>
                <w:spacing w:val="-3"/>
                <w:sz w:val="18"/>
                <w:szCs w:val="18"/>
              </w:rPr>
              <w:t>处置固定资产、无形资产和其他长期资产的</w:t>
            </w:r>
            <w:r>
              <w:rPr>
                <w:rFonts w:ascii="宋体" w:hAnsi="宋体" w:cs="宋体" w:eastAsia="宋体" w:hint="default"/>
                <w:w w:val="101"/>
                <w:sz w:val="18"/>
                <w:szCs w:val="18"/>
              </w:rPr>
              <w:t> </w:t>
            </w:r>
            <w:r>
              <w:rPr>
                <w:rFonts w:ascii="宋体" w:hAnsi="宋体" w:cs="宋体" w:eastAsia="宋体" w:hint="default"/>
                <w:sz w:val="18"/>
                <w:szCs w:val="18"/>
              </w:rPr>
              <w:t>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55"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161.98</w:t>
            </w:r>
          </w:p>
        </w:tc>
        <w:tc>
          <w:tcPr>
            <w:tcW w:w="2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58,270.61</w:t>
            </w:r>
          </w:p>
        </w:tc>
      </w:tr>
      <w:tr>
        <w:trPr>
          <w:trHeight w:val="403" w:hRule="exact"/>
        </w:trPr>
        <w:tc>
          <w:tcPr>
            <w:tcW w:w="42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3"/>
                <w:sz w:val="18"/>
                <w:szCs w:val="18"/>
              </w:rPr>
              <w:t> </w:t>
            </w:r>
            <w:r>
              <w:rPr>
                <w:rFonts w:ascii="宋体" w:hAnsi="宋体" w:cs="宋体" w:eastAsia="宋体" w:hint="default"/>
                <w:spacing w:val="-3"/>
                <w:sz w:val="18"/>
                <w:szCs w:val="18"/>
              </w:rPr>
              <w:t>固定资产报废损失（收益以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255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565,953.89</w:t>
            </w:r>
          </w:p>
        </w:tc>
        <w:tc>
          <w:tcPr>
            <w:tcW w:w="2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192,113.50</w:t>
            </w:r>
          </w:p>
        </w:tc>
      </w:tr>
      <w:tr>
        <w:trPr>
          <w:trHeight w:val="401" w:hRule="exact"/>
        </w:trPr>
        <w:tc>
          <w:tcPr>
            <w:tcW w:w="42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3"/>
                <w:sz w:val="18"/>
                <w:szCs w:val="18"/>
              </w:rPr>
              <w:t> </w:t>
            </w: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5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483" w:right="0"/>
              <w:jc w:val="left"/>
              <w:rPr>
                <w:rFonts w:ascii="Times New Roman" w:hAnsi="Times New Roman" w:cs="Times New Roman" w:eastAsia="Times New Roman" w:hint="default"/>
                <w:sz w:val="18"/>
                <w:szCs w:val="18"/>
              </w:rPr>
            </w:pPr>
            <w:r>
              <w:rPr>
                <w:rFonts w:ascii="Times New Roman"/>
                <w:sz w:val="18"/>
              </w:rPr>
              <w:t>28,054,783.10</w:t>
            </w:r>
          </w:p>
        </w:tc>
        <w:tc>
          <w:tcPr>
            <w:tcW w:w="2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26,321,040.12</w:t>
            </w:r>
          </w:p>
        </w:tc>
      </w:tr>
      <w:tr>
        <w:trPr>
          <w:trHeight w:val="401" w:hRule="exact"/>
        </w:trPr>
        <w:tc>
          <w:tcPr>
            <w:tcW w:w="42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3"/>
                <w:sz w:val="18"/>
                <w:szCs w:val="18"/>
              </w:rPr>
              <w:t> </w:t>
            </w: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5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1517" w:right="0"/>
              <w:jc w:val="left"/>
              <w:rPr>
                <w:rFonts w:ascii="Times New Roman" w:hAnsi="Times New Roman" w:cs="Times New Roman" w:eastAsia="Times New Roman" w:hint="default"/>
                <w:sz w:val="18"/>
                <w:szCs w:val="18"/>
              </w:rPr>
            </w:pPr>
            <w:r>
              <w:rPr>
                <w:rFonts w:ascii="Times New Roman"/>
                <w:sz w:val="18"/>
              </w:rPr>
              <w:t>-6,068,210.75</w:t>
            </w:r>
          </w:p>
        </w:tc>
        <w:tc>
          <w:tcPr>
            <w:tcW w:w="2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3"/>
              <w:jc w:val="right"/>
              <w:rPr>
                <w:rFonts w:ascii="Times New Roman" w:hAnsi="Times New Roman" w:cs="Times New Roman" w:eastAsia="Times New Roman" w:hint="default"/>
                <w:sz w:val="18"/>
                <w:szCs w:val="18"/>
              </w:rPr>
            </w:pPr>
            <w:r>
              <w:rPr>
                <w:rFonts w:ascii="Times New Roman"/>
                <w:spacing w:val="-1"/>
                <w:sz w:val="18"/>
              </w:rPr>
              <w:t>-86,784,908.01</w:t>
            </w:r>
          </w:p>
        </w:tc>
      </w:tr>
      <w:tr>
        <w:trPr>
          <w:trHeight w:val="403" w:hRule="exact"/>
        </w:trPr>
        <w:tc>
          <w:tcPr>
            <w:tcW w:w="42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3"/>
                <w:sz w:val="18"/>
                <w:szCs w:val="18"/>
              </w:rPr>
              <w:t> </w:t>
            </w: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255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517" w:right="0"/>
              <w:jc w:val="left"/>
              <w:rPr>
                <w:rFonts w:ascii="Times New Roman" w:hAnsi="Times New Roman" w:cs="Times New Roman" w:eastAsia="Times New Roman" w:hint="default"/>
                <w:sz w:val="18"/>
                <w:szCs w:val="18"/>
              </w:rPr>
            </w:pPr>
            <w:r>
              <w:rPr>
                <w:rFonts w:ascii="Times New Roman"/>
                <w:sz w:val="18"/>
              </w:rPr>
              <w:t>-3,014,741.93</w:t>
            </w:r>
          </w:p>
        </w:tc>
        <w:tc>
          <w:tcPr>
            <w:tcW w:w="2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-7,073,604.85</w:t>
            </w:r>
          </w:p>
        </w:tc>
      </w:tr>
      <w:tr>
        <w:trPr>
          <w:trHeight w:val="404" w:hRule="exact"/>
        </w:trPr>
        <w:tc>
          <w:tcPr>
            <w:tcW w:w="42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3"/>
                <w:sz w:val="18"/>
                <w:szCs w:val="18"/>
              </w:rPr>
              <w:t> </w:t>
            </w:r>
            <w:r>
              <w:rPr>
                <w:rFonts w:ascii="宋体" w:hAnsi="宋体" w:cs="宋体" w:eastAsia="宋体" w:hint="default"/>
                <w:spacing w:val="-3"/>
                <w:sz w:val="18"/>
                <w:szCs w:val="18"/>
              </w:rPr>
              <w:t>递延所得税负债增加（减少以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255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651" w:right="0"/>
              <w:jc w:val="left"/>
              <w:rPr>
                <w:rFonts w:ascii="Times New Roman" w:hAnsi="Times New Roman" w:cs="Times New Roman" w:eastAsia="Times New Roman" w:hint="default"/>
                <w:sz w:val="18"/>
                <w:szCs w:val="18"/>
              </w:rPr>
            </w:pPr>
            <w:r>
              <w:rPr>
                <w:rFonts w:ascii="Times New Roman"/>
                <w:sz w:val="18"/>
              </w:rPr>
              <w:t>-304,252.70</w:t>
            </w:r>
          </w:p>
        </w:tc>
        <w:tc>
          <w:tcPr>
            <w:tcW w:w="2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-107,990.30</w:t>
            </w:r>
          </w:p>
        </w:tc>
      </w:tr>
      <w:tr>
        <w:trPr>
          <w:trHeight w:val="401" w:hRule="exact"/>
        </w:trPr>
        <w:tc>
          <w:tcPr>
            <w:tcW w:w="42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3"/>
                <w:sz w:val="18"/>
                <w:szCs w:val="18"/>
              </w:rPr>
              <w:t> </w:t>
            </w:r>
            <w:r>
              <w:rPr>
                <w:rFonts w:ascii="宋体" w:hAnsi="宋体" w:cs="宋体" w:eastAsia="宋体" w:hint="default"/>
                <w:spacing w:val="-3"/>
                <w:sz w:val="18"/>
                <w:szCs w:val="18"/>
              </w:rPr>
              <w:t>存货的减少（增加以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255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334" w:right="0"/>
              <w:jc w:val="left"/>
              <w:rPr>
                <w:rFonts w:ascii="Times New Roman" w:hAnsi="Times New Roman" w:cs="Times New Roman" w:eastAsia="Times New Roman" w:hint="default"/>
                <w:sz w:val="18"/>
                <w:szCs w:val="18"/>
              </w:rPr>
            </w:pPr>
            <w:r>
              <w:rPr>
                <w:rFonts w:ascii="Times New Roman"/>
                <w:sz w:val="18"/>
              </w:rPr>
              <w:t>-695,723,370.03</w:t>
            </w:r>
          </w:p>
        </w:tc>
        <w:tc>
          <w:tcPr>
            <w:tcW w:w="2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-41,772,772.29</w:t>
            </w:r>
          </w:p>
        </w:tc>
      </w:tr>
      <w:tr>
        <w:trPr>
          <w:trHeight w:val="401" w:hRule="exact"/>
        </w:trPr>
        <w:tc>
          <w:tcPr>
            <w:tcW w:w="4255" w:type="dxa"/>
            <w:tcBorders>
              <w:top w:val="single" w:sz="4" w:space="0" w:color="000000"/>
              <w:left w:val="single" w:sz="4" w:space="0" w:color="000000"/>
              <w:bottom w:val="single" w:sz="4" w:space="0" w:color="000000"/>
              <w:right w:val="single" w:sz="10" w:space="0" w:color="FFFFFF"/>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3"/>
                <w:sz w:val="18"/>
                <w:szCs w:val="18"/>
              </w:rPr>
              <w:t> </w:t>
            </w:r>
            <w:r>
              <w:rPr>
                <w:rFonts w:ascii="宋体" w:hAnsi="宋体" w:cs="宋体" w:eastAsia="宋体" w:hint="default"/>
                <w:spacing w:val="-3"/>
                <w:sz w:val="18"/>
                <w:szCs w:val="18"/>
              </w:rPr>
              <w:t>经营性应收项目的减少（增加以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703" w:type="dxa"/>
            <w:tcBorders>
              <w:top w:val="single" w:sz="4" w:space="0" w:color="000000"/>
              <w:left w:val="single" w:sz="10" w:space="0" w:color="FFFFFF"/>
              <w:bottom w:val="single" w:sz="4" w:space="0" w:color="000000"/>
              <w:right w:val="nil" w:sz="6" w:space="0" w:color="auto"/>
            </w:tcBorders>
          </w:tcPr>
          <w:p>
            <w:pPr/>
          </w:p>
        </w:tc>
        <w:tc>
          <w:tcPr>
            <w:tcW w:w="1851" w:type="dxa"/>
            <w:tcBorders>
              <w:top w:val="single" w:sz="4" w:space="0" w:color="000000"/>
              <w:left w:val="nil" w:sz="6" w:space="0" w:color="auto"/>
              <w:bottom w:val="single" w:sz="4" w:space="0" w:color="000000"/>
              <w:right w:val="single" w:sz="13" w:space="0" w:color="FFFFFF"/>
            </w:tcBorders>
          </w:tcPr>
          <w:p>
            <w:pPr>
              <w:pStyle w:val="TableParagraph"/>
              <w:spacing w:line="240" w:lineRule="auto" w:before="98"/>
              <w:ind w:right="6"/>
              <w:jc w:val="right"/>
              <w:rPr>
                <w:rFonts w:ascii="Times New Roman" w:hAnsi="Times New Roman" w:cs="Times New Roman" w:eastAsia="Times New Roman" w:hint="default"/>
                <w:sz w:val="18"/>
                <w:szCs w:val="18"/>
              </w:rPr>
            </w:pPr>
            <w:r>
              <w:rPr>
                <w:rFonts w:ascii="Times New Roman"/>
                <w:spacing w:val="-1"/>
                <w:sz w:val="18"/>
              </w:rPr>
              <w:t>-165,147,899.68</w:t>
            </w:r>
          </w:p>
        </w:tc>
        <w:tc>
          <w:tcPr>
            <w:tcW w:w="2761"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98"/>
              <w:ind w:right="13"/>
              <w:jc w:val="right"/>
              <w:rPr>
                <w:rFonts w:ascii="Times New Roman" w:hAnsi="Times New Roman" w:cs="Times New Roman" w:eastAsia="Times New Roman" w:hint="default"/>
                <w:sz w:val="18"/>
                <w:szCs w:val="18"/>
              </w:rPr>
            </w:pPr>
            <w:r>
              <w:rPr>
                <w:rFonts w:ascii="Times New Roman"/>
                <w:spacing w:val="-1"/>
                <w:sz w:val="18"/>
              </w:rPr>
              <w:t>-44,610,598.42</w:t>
            </w:r>
          </w:p>
        </w:tc>
      </w:tr>
      <w:tr>
        <w:trPr>
          <w:trHeight w:val="403" w:hRule="exact"/>
        </w:trPr>
        <w:tc>
          <w:tcPr>
            <w:tcW w:w="4255" w:type="dxa"/>
            <w:tcBorders>
              <w:top w:val="single" w:sz="4" w:space="0" w:color="000000"/>
              <w:left w:val="single" w:sz="4" w:space="0" w:color="000000"/>
              <w:bottom w:val="single" w:sz="4" w:space="0" w:color="000000"/>
              <w:right w:val="single" w:sz="10" w:space="0" w:color="FFFFFF"/>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3"/>
                <w:sz w:val="18"/>
                <w:szCs w:val="18"/>
              </w:rPr>
              <w:t> </w:t>
            </w:r>
            <w:r>
              <w:rPr>
                <w:rFonts w:ascii="宋体" w:hAnsi="宋体" w:cs="宋体" w:eastAsia="宋体" w:hint="default"/>
                <w:spacing w:val="-3"/>
                <w:sz w:val="18"/>
                <w:szCs w:val="18"/>
              </w:rPr>
              <w:t>经营性应付项目的增加（减少以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703" w:type="dxa"/>
            <w:tcBorders>
              <w:top w:val="single" w:sz="4" w:space="0" w:color="000000"/>
              <w:left w:val="single" w:sz="10" w:space="0" w:color="FFFFFF"/>
              <w:bottom w:val="single" w:sz="4" w:space="0" w:color="000000"/>
              <w:right w:val="nil" w:sz="6" w:space="0" w:color="auto"/>
            </w:tcBorders>
          </w:tcPr>
          <w:p>
            <w:pPr/>
          </w:p>
        </w:tc>
        <w:tc>
          <w:tcPr>
            <w:tcW w:w="1851" w:type="dxa"/>
            <w:tcBorders>
              <w:top w:val="single" w:sz="4" w:space="0" w:color="000000"/>
              <w:left w:val="nil" w:sz="6" w:space="0" w:color="auto"/>
              <w:bottom w:val="single" w:sz="4" w:space="0" w:color="000000"/>
              <w:right w:val="single" w:sz="13" w:space="0" w:color="FFFFFF"/>
            </w:tcBorders>
          </w:tcPr>
          <w:p>
            <w:pPr>
              <w:pStyle w:val="TableParagraph"/>
              <w:spacing w:line="240" w:lineRule="auto" w:before="96"/>
              <w:ind w:right="6"/>
              <w:jc w:val="right"/>
              <w:rPr>
                <w:rFonts w:ascii="Times New Roman" w:hAnsi="Times New Roman" w:cs="Times New Roman" w:eastAsia="Times New Roman" w:hint="default"/>
                <w:sz w:val="18"/>
                <w:szCs w:val="18"/>
              </w:rPr>
            </w:pPr>
            <w:r>
              <w:rPr>
                <w:rFonts w:ascii="Times New Roman"/>
                <w:spacing w:val="-2"/>
                <w:sz w:val="18"/>
              </w:rPr>
              <w:t>538,811,726.82</w:t>
            </w:r>
          </w:p>
        </w:tc>
        <w:tc>
          <w:tcPr>
            <w:tcW w:w="2761"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83,532,072.64</w:t>
            </w:r>
          </w:p>
        </w:tc>
      </w:tr>
      <w:tr>
        <w:trPr>
          <w:trHeight w:val="404" w:hRule="exact"/>
        </w:trPr>
        <w:tc>
          <w:tcPr>
            <w:tcW w:w="42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3"/>
                <w:sz w:val="18"/>
                <w:szCs w:val="18"/>
              </w:rPr>
              <w:t> </w:t>
            </w:r>
            <w:r>
              <w:rPr>
                <w:rFonts w:ascii="宋体" w:hAnsi="宋体" w:cs="宋体" w:eastAsia="宋体" w:hint="default"/>
                <w:sz w:val="18"/>
                <w:szCs w:val="18"/>
              </w:rPr>
              <w:t>其他</w:t>
            </w:r>
          </w:p>
        </w:tc>
        <w:tc>
          <w:tcPr>
            <w:tcW w:w="255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483" w:right="0"/>
              <w:jc w:val="left"/>
              <w:rPr>
                <w:rFonts w:ascii="Times New Roman" w:hAnsi="Times New Roman" w:cs="Times New Roman" w:eastAsia="Times New Roman" w:hint="default"/>
                <w:sz w:val="18"/>
                <w:szCs w:val="18"/>
              </w:rPr>
            </w:pPr>
            <w:r>
              <w:rPr>
                <w:rFonts w:ascii="Times New Roman"/>
                <w:sz w:val="18"/>
              </w:rPr>
              <w:t>10,450,162.55</w:t>
            </w:r>
          </w:p>
        </w:tc>
        <w:tc>
          <w:tcPr>
            <w:tcW w:w="2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-16,021,857.59</w:t>
            </w:r>
          </w:p>
        </w:tc>
      </w:tr>
      <w:tr>
        <w:trPr>
          <w:trHeight w:val="408" w:hRule="exact"/>
        </w:trPr>
        <w:tc>
          <w:tcPr>
            <w:tcW w:w="42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3"/>
                <w:sz w:val="18"/>
                <w:szCs w:val="18"/>
              </w:rPr>
              <w:t> </w:t>
            </w:r>
            <w:r>
              <w:rPr>
                <w:rFonts w:ascii="宋体" w:hAnsi="宋体" w:cs="宋体" w:eastAsia="宋体" w:hint="default"/>
                <w:spacing w:val="-3"/>
                <w:sz w:val="18"/>
                <w:szCs w:val="18"/>
              </w:rPr>
              <w:t>经营活动产生的现金流量净额</w:t>
            </w:r>
          </w:p>
        </w:tc>
        <w:tc>
          <w:tcPr>
            <w:tcW w:w="255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334" w:right="0"/>
              <w:jc w:val="left"/>
              <w:rPr>
                <w:rFonts w:ascii="Times New Roman" w:hAnsi="Times New Roman" w:cs="Times New Roman" w:eastAsia="Times New Roman" w:hint="default"/>
                <w:sz w:val="18"/>
                <w:szCs w:val="18"/>
              </w:rPr>
            </w:pPr>
            <w:r>
              <w:rPr>
                <w:rFonts w:ascii="Times New Roman"/>
                <w:sz w:val="18"/>
              </w:rPr>
              <w:t>-138,408,692.26</w:t>
            </w:r>
          </w:p>
        </w:tc>
        <w:tc>
          <w:tcPr>
            <w:tcW w:w="2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53,020,569.34</w:t>
            </w:r>
          </w:p>
        </w:tc>
      </w:tr>
      <w:tr>
        <w:trPr>
          <w:trHeight w:val="394" w:hRule="exact"/>
        </w:trPr>
        <w:tc>
          <w:tcPr>
            <w:tcW w:w="42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．不涉及现金收支的重大投资和筹资活动：</w:t>
            </w:r>
          </w:p>
        </w:tc>
        <w:tc>
          <w:tcPr>
            <w:tcW w:w="255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r>
      <w:tr>
        <w:trPr>
          <w:trHeight w:val="398" w:hRule="exact"/>
        </w:trPr>
        <w:tc>
          <w:tcPr>
            <w:tcW w:w="42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．现金及现金等价物净变动情况：</w:t>
            </w:r>
          </w:p>
        </w:tc>
        <w:tc>
          <w:tcPr>
            <w:tcW w:w="255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w:t>
            </w:r>
          </w:p>
        </w:tc>
        <w:tc>
          <w:tcPr>
            <w:tcW w:w="2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sz w:val="18"/>
              </w:rPr>
              <w:t>--</w:t>
            </w:r>
          </w:p>
        </w:tc>
      </w:tr>
      <w:tr>
        <w:trPr>
          <w:trHeight w:val="409" w:hRule="exact"/>
        </w:trPr>
        <w:tc>
          <w:tcPr>
            <w:tcW w:w="42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现金的期末余额</w:t>
            </w:r>
          </w:p>
        </w:tc>
        <w:tc>
          <w:tcPr>
            <w:tcW w:w="255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262" w:right="0"/>
              <w:jc w:val="left"/>
              <w:rPr>
                <w:rFonts w:ascii="Times New Roman" w:hAnsi="Times New Roman" w:cs="Times New Roman" w:eastAsia="Times New Roman" w:hint="default"/>
                <w:sz w:val="18"/>
                <w:szCs w:val="18"/>
              </w:rPr>
            </w:pPr>
            <w:r>
              <w:rPr>
                <w:rFonts w:ascii="Times New Roman"/>
                <w:sz w:val="18"/>
              </w:rPr>
              <w:t>1,184,154,474.79</w:t>
            </w:r>
          </w:p>
        </w:tc>
        <w:tc>
          <w:tcPr>
            <w:tcW w:w="2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pacing w:val="-2"/>
                <w:sz w:val="18"/>
              </w:rPr>
              <w:t>1,082,867,837.39</w:t>
            </w:r>
          </w:p>
        </w:tc>
      </w:tr>
      <w:tr>
        <w:trPr>
          <w:trHeight w:val="401" w:hRule="exact"/>
        </w:trPr>
        <w:tc>
          <w:tcPr>
            <w:tcW w:w="42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减：现金的期初余额</w:t>
            </w:r>
          </w:p>
        </w:tc>
        <w:tc>
          <w:tcPr>
            <w:tcW w:w="255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262" w:right="0"/>
              <w:jc w:val="left"/>
              <w:rPr>
                <w:rFonts w:ascii="Times New Roman" w:hAnsi="Times New Roman" w:cs="Times New Roman" w:eastAsia="Times New Roman" w:hint="default"/>
                <w:sz w:val="18"/>
                <w:szCs w:val="18"/>
              </w:rPr>
            </w:pPr>
            <w:r>
              <w:rPr>
                <w:rFonts w:ascii="Times New Roman"/>
                <w:sz w:val="18"/>
              </w:rPr>
              <w:t>1,082,867,837.39</w:t>
            </w:r>
          </w:p>
        </w:tc>
        <w:tc>
          <w:tcPr>
            <w:tcW w:w="2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662,927,251.55</w:t>
            </w:r>
          </w:p>
        </w:tc>
      </w:tr>
      <w:tr>
        <w:trPr>
          <w:trHeight w:val="401" w:hRule="exact"/>
        </w:trPr>
        <w:tc>
          <w:tcPr>
            <w:tcW w:w="42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现金及现金等价物净增加额</w:t>
            </w:r>
          </w:p>
        </w:tc>
        <w:tc>
          <w:tcPr>
            <w:tcW w:w="255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1397" w:right="0"/>
              <w:jc w:val="left"/>
              <w:rPr>
                <w:rFonts w:ascii="Times New Roman" w:hAnsi="Times New Roman" w:cs="Times New Roman" w:eastAsia="Times New Roman" w:hint="default"/>
                <w:sz w:val="18"/>
                <w:szCs w:val="18"/>
              </w:rPr>
            </w:pPr>
            <w:r>
              <w:rPr>
                <w:rFonts w:ascii="Times New Roman"/>
                <w:sz w:val="18"/>
              </w:rPr>
              <w:t>101,286,637.40</w:t>
            </w:r>
          </w:p>
        </w:tc>
        <w:tc>
          <w:tcPr>
            <w:tcW w:w="2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3"/>
              <w:jc w:val="right"/>
              <w:rPr>
                <w:rFonts w:ascii="Times New Roman" w:hAnsi="Times New Roman" w:cs="Times New Roman" w:eastAsia="Times New Roman" w:hint="default"/>
                <w:sz w:val="18"/>
                <w:szCs w:val="18"/>
              </w:rPr>
            </w:pPr>
            <w:r>
              <w:rPr>
                <w:rFonts w:ascii="Times New Roman"/>
                <w:spacing w:val="-1"/>
                <w:sz w:val="18"/>
              </w:rPr>
              <w:t>419,940,585.84</w:t>
            </w:r>
          </w:p>
        </w:tc>
      </w:tr>
    </w:tbl>
    <w:p>
      <w:pPr>
        <w:spacing w:after="0" w:line="240" w:lineRule="auto"/>
        <w:jc w:val="right"/>
        <w:rPr>
          <w:rFonts w:ascii="Times New Roman" w:hAnsi="Times New Roman" w:cs="Times New Roman" w:eastAsia="Times New Roman" w:hint="default"/>
          <w:sz w:val="18"/>
          <w:szCs w:val="18"/>
        </w:rPr>
        <w:sectPr>
          <w:pgSz w:w="11910" w:h="16840"/>
          <w:pgMar w:header="746" w:footer="974" w:top="1060" w:bottom="1160" w:left="980" w:right="0"/>
        </w:sectPr>
      </w:pPr>
    </w:p>
    <w:p>
      <w:pPr>
        <w:spacing w:line="240" w:lineRule="auto" w:before="12"/>
        <w:rPr>
          <w:rFonts w:ascii="宋体" w:hAnsi="宋体" w:cs="宋体" w:eastAsia="宋体" w:hint="default"/>
          <w:sz w:val="24"/>
          <w:szCs w:val="24"/>
        </w:rPr>
      </w:pPr>
    </w:p>
    <w:p>
      <w:pPr>
        <w:pStyle w:val="Heading4"/>
        <w:spacing w:line="240" w:lineRule="auto" w:before="36"/>
        <w:ind w:right="855"/>
        <w:jc w:val="left"/>
        <w:rPr>
          <w:b w:val="0"/>
          <w:bCs w:val="0"/>
        </w:rPr>
      </w:pP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6"/>
        <w:ind w:left="0" w:right="1121"/>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989"/>
        <w:gridCol w:w="4581"/>
      </w:tblGrid>
      <w:tr>
        <w:trPr>
          <w:trHeight w:val="399"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13"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本期发生的企业合并于本期支付的现金或现金等价物</w:t>
            </w:r>
          </w:p>
        </w:tc>
        <w:tc>
          <w:tcPr>
            <w:tcW w:w="4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19,200,000.00</w:t>
            </w:r>
          </w:p>
        </w:tc>
      </w:tr>
      <w:tr>
        <w:trPr>
          <w:trHeight w:val="389"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13"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减：购买日子公司持有的现金及现金等价物</w:t>
            </w:r>
          </w:p>
        </w:tc>
        <w:tc>
          <w:tcPr>
            <w:tcW w:w="4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9,135,541.15</w:t>
            </w:r>
          </w:p>
        </w:tc>
      </w:tr>
      <w:tr>
        <w:trPr>
          <w:trHeight w:val="399"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398"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取得子公司支付的现金净额</w:t>
            </w:r>
          </w:p>
        </w:tc>
        <w:tc>
          <w:tcPr>
            <w:tcW w:w="4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10,064,458.85</w:t>
            </w:r>
          </w:p>
        </w:tc>
      </w:tr>
    </w:tbl>
    <w:p>
      <w:pPr>
        <w:spacing w:line="240" w:lineRule="auto" w:before="3"/>
        <w:rPr>
          <w:rFonts w:ascii="宋体" w:hAnsi="宋体" w:cs="宋体" w:eastAsia="宋体" w:hint="default"/>
          <w:sz w:val="19"/>
          <w:szCs w:val="19"/>
        </w:rPr>
      </w:pPr>
    </w:p>
    <w:p>
      <w:pPr>
        <w:pStyle w:val="Heading4"/>
        <w:spacing w:line="240" w:lineRule="auto" w:before="36"/>
        <w:ind w:right="855"/>
        <w:jc w:val="left"/>
        <w:rPr>
          <w:b w:val="0"/>
          <w:bCs w:val="0"/>
        </w:rPr>
      </w:pPr>
      <w:r>
        <w:rPr/>
        <w:t>（</w:t>
      </w:r>
      <w:r>
        <w:rPr>
          <w:rFonts w:ascii="Times New Roman" w:hAnsi="Times New Roman" w:cs="Times New Roman" w:eastAsia="Times New Roman" w:hint="default"/>
        </w:rPr>
        <w:t>3</w:t>
      </w:r>
      <w:r>
        <w:rPr/>
        <w:t>）现金和现金等价物的构成</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1"/>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328"/>
        <w:gridCol w:w="3059"/>
        <w:gridCol w:w="3183"/>
      </w:tblGrid>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1,184,154,474.79</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1,082,867,837.39</w:t>
            </w:r>
          </w:p>
        </w:tc>
      </w:tr>
      <w:tr>
        <w:trPr>
          <w:trHeight w:val="399"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其中：库存现金</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86,205.65</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244,346.68</w:t>
            </w: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spacing w:val="-3"/>
                <w:sz w:val="18"/>
                <w:szCs w:val="18"/>
              </w:rPr>
              <w:t>可随时用于支付的银行存款</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1,184,068,269.14</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1,082,623,490.71</w:t>
            </w: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三、期末现金及现金等价物余额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1,184,154,474.79</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1,082,867,837.39</w:t>
            </w:r>
          </w:p>
        </w:tc>
      </w:tr>
    </w:tbl>
    <w:p>
      <w:pPr>
        <w:spacing w:line="240" w:lineRule="auto" w:before="3"/>
        <w:rPr>
          <w:rFonts w:ascii="宋体" w:hAnsi="宋体" w:cs="宋体" w:eastAsia="宋体" w:hint="default"/>
          <w:sz w:val="19"/>
          <w:szCs w:val="19"/>
        </w:rPr>
      </w:pPr>
    </w:p>
    <w:p>
      <w:pPr>
        <w:pStyle w:val="Heading4"/>
        <w:spacing w:line="240" w:lineRule="auto" w:before="36"/>
        <w:ind w:right="855"/>
        <w:jc w:val="left"/>
        <w:rPr>
          <w:b w:val="0"/>
          <w:bCs w:val="0"/>
        </w:rPr>
      </w:pPr>
      <w:r>
        <w:rPr>
          <w:rFonts w:ascii="Times New Roman" w:hAnsi="Times New Roman" w:cs="Times New Roman" w:eastAsia="Times New Roman" w:hint="default"/>
        </w:rPr>
        <w:t>53</w:t>
      </w:r>
      <w:r>
        <w:rPr/>
        <w:t>、所有权或使用权受到限制的资产</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6"/>
        <w:ind w:left="0" w:right="1121"/>
        <w:jc w:val="right"/>
      </w:pPr>
      <w:r>
        <w:rPr/>
        <w:t>单位：</w:t>
      </w:r>
      <w:r>
        <w:rPr>
          <w:spacing w:val="5"/>
        </w:rPr>
        <w:t> </w:t>
      </w:r>
      <w:r>
        <w:rPr/>
        <w:t>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pStyle w:val="BodyText"/>
        <w:spacing w:line="240" w:lineRule="auto" w:before="46"/>
        <w:ind w:left="0" w:right="1131"/>
        <w:jc w:val="right"/>
      </w:pPr>
      <w:r>
        <w:rPr/>
        <w:pict>
          <v:shape style="position:absolute;margin-left:56.424pt;margin-top:-56.458252pt;width:479.25pt;height:112.15pt;mso-position-horizontal-relative:page;mso-position-vertical-relative:paragraph;z-index:21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00"/>
                    <w:gridCol w:w="1278"/>
                    <w:gridCol w:w="6593"/>
                  </w:tblGrid>
                  <w:tr>
                    <w:trPr>
                      <w:trHeight w:val="401" w:hRule="exact"/>
                    </w:trPr>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91"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6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3" w:hRule="exact"/>
                    </w:trPr>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71,641,545.35</w:t>
                        </w:r>
                      </w:p>
                    </w:tc>
                    <w:tc>
                      <w:tcPr>
                        <w:tcW w:w="6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保函保证金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43,063,469.08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元，和承兑汇票保证金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28,578,076.27 </w:t>
                        </w:r>
                        <w:r>
                          <w:rPr>
                            <w:rFonts w:ascii="宋体" w:hAnsi="宋体" w:cs="宋体" w:eastAsia="宋体" w:hint="default"/>
                            <w:sz w:val="18"/>
                            <w:szCs w:val="18"/>
                          </w:rPr>
                          <w:t>元。</w:t>
                        </w:r>
                      </w:p>
                    </w:tc>
                  </w:tr>
                  <w:tr>
                    <w:trPr>
                      <w:trHeight w:val="1028" w:hRule="exact"/>
                    </w:trPr>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3,812,670.61</w:t>
                        </w:r>
                      </w:p>
                    </w:tc>
                    <w:tc>
                      <w:tcPr>
                        <w:tcW w:w="6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公司总部，零部件车间，配电楼，综合车间用于意大利政府抵押借款</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1,290,768.74</w:t>
                        </w:r>
                      </w:p>
                      <w:p>
                        <w:pPr>
                          <w:pStyle w:val="TableParagraph"/>
                          <w:spacing w:line="300" w:lineRule="auto" w:before="58"/>
                          <w:ind w:left="23" w:right="104"/>
                          <w:jc w:val="left"/>
                          <w:rPr>
                            <w:rFonts w:ascii="宋体" w:hAnsi="宋体" w:cs="宋体" w:eastAsia="宋体" w:hint="default"/>
                            <w:sz w:val="18"/>
                            <w:szCs w:val="18"/>
                          </w:rPr>
                        </w:pPr>
                        <w:r>
                          <w:rPr>
                            <w:rFonts w:ascii="宋体" w:hAnsi="宋体" w:cs="宋体" w:eastAsia="宋体" w:hint="default"/>
                            <w:spacing w:val="-10"/>
                            <w:sz w:val="18"/>
                            <w:szCs w:val="18"/>
                          </w:rPr>
                          <w:t>元、广州南天，房产天河区建工路</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号</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1"/>
                            <w:sz w:val="18"/>
                            <w:szCs w:val="18"/>
                          </w:rPr>
                          <w:t> </w:t>
                        </w:r>
                        <w:r>
                          <w:rPr>
                            <w:rFonts w:ascii="宋体" w:hAnsi="宋体" w:cs="宋体" w:eastAsia="宋体" w:hint="default"/>
                            <w:spacing w:val="-3"/>
                            <w:sz w:val="18"/>
                            <w:szCs w:val="18"/>
                          </w:rPr>
                          <w:t>楼用于银行借款</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1,081,761.19</w:t>
                        </w:r>
                        <w:r>
                          <w:rPr>
                            <w:rFonts w:ascii="Times New Roman" w:hAnsi="Times New Roman" w:cs="Times New Roman" w:eastAsia="Times New Roman" w:hint="default"/>
                            <w:spacing w:val="11"/>
                            <w:sz w:val="18"/>
                            <w:szCs w:val="18"/>
                          </w:rPr>
                          <w:t> </w:t>
                        </w:r>
                        <w:r>
                          <w:rPr>
                            <w:rFonts w:ascii="宋体" w:hAnsi="宋体" w:cs="宋体" w:eastAsia="宋体" w:hint="default"/>
                            <w:spacing w:val="-12"/>
                            <w:sz w:val="18"/>
                            <w:szCs w:val="18"/>
                          </w:rPr>
                          <w:t>元、深圳东华</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房产天祥大厦</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7B2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用于银行借款</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1,440,140.68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tc>
                  </w:tr>
                  <w:tr>
                    <w:trPr>
                      <w:trHeight w:val="401" w:hRule="exact"/>
                    </w:trPr>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75,454,215.96</w:t>
                        </w:r>
                      </w:p>
                    </w:tc>
                    <w:tc>
                      <w:tcPr>
                        <w:tcW w:w="6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3" w:right="0"/>
                          <w:jc w:val="center"/>
                          <w:rPr>
                            <w:rFonts w:ascii="Times New Roman" w:hAnsi="Times New Roman" w:cs="Times New Roman" w:eastAsia="Times New Roman" w:hint="default"/>
                            <w:sz w:val="18"/>
                            <w:szCs w:val="18"/>
                          </w:rPr>
                        </w:pPr>
                        <w:r>
                          <w:rPr>
                            <w:rFonts w:ascii="Times New Roman"/>
                            <w:sz w:val="18"/>
                          </w:rPr>
                          <w:t>--</w:t>
                        </w:r>
                      </w:p>
                    </w:tc>
                  </w:tr>
                </w:tbl>
                <w:p>
                  <w:pPr/>
                </w:p>
              </w:txbxContent>
            </v:textbox>
            <w10:wrap type="none"/>
          </v:shape>
        </w:pict>
      </w:r>
      <w:r>
        <w:rPr>
          <w:w w:val="101"/>
        </w:rPr>
        <w:t>，</w:t>
      </w:r>
      <w:r>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4"/>
          <w:szCs w:val="24"/>
        </w:rPr>
      </w:pPr>
    </w:p>
    <w:p>
      <w:pPr>
        <w:pStyle w:val="BodyText"/>
        <w:spacing w:line="240" w:lineRule="auto" w:before="46"/>
        <w:ind w:right="855"/>
        <w:jc w:val="left"/>
      </w:pPr>
      <w:r>
        <w:rPr/>
        <w:t>其他说明：</w:t>
      </w:r>
    </w:p>
    <w:p>
      <w:pPr>
        <w:pStyle w:val="BodyText"/>
        <w:spacing w:line="432" w:lineRule="exact" w:before="56"/>
        <w:ind w:left="671" w:right="855"/>
        <w:jc w:val="left"/>
      </w:pPr>
      <w:r>
        <w:rPr>
          <w:spacing w:val="-3"/>
        </w:rPr>
        <w:t>注</w:t>
      </w:r>
      <w:r>
        <w:rPr>
          <w:rFonts w:ascii="宋体" w:hAnsi="宋体" w:cs="宋体" w:eastAsia="宋体" w:hint="default"/>
          <w:spacing w:val="-3"/>
        </w:rPr>
        <w:t>1</w:t>
      </w:r>
      <w:r>
        <w:rPr>
          <w:spacing w:val="-3"/>
        </w:rPr>
        <w:t>：本期本公司受限货币资金主要在“其他货币资金”中的期末未到期保函保证金及银行承兑汇票保证金。</w:t>
      </w:r>
      <w:r>
        <w:rPr>
          <w:spacing w:val="49"/>
        </w:rPr>
        <w:t> </w:t>
      </w:r>
      <w:r>
        <w:rPr>
          <w:rFonts w:ascii="宋体" w:hAnsi="宋体" w:cs="宋体" w:eastAsia="宋体" w:hint="default"/>
          <w:spacing w:val="49"/>
        </w:rPr>
      </w:r>
      <w:r>
        <w:rPr>
          <w:spacing w:val="-2"/>
        </w:rPr>
        <w:t>注</w:t>
      </w:r>
      <w:r>
        <w:rPr>
          <w:rFonts w:ascii="宋体" w:hAnsi="宋体" w:cs="宋体" w:eastAsia="宋体" w:hint="default"/>
          <w:spacing w:val="-2"/>
        </w:rPr>
        <w:t>2</w:t>
      </w:r>
      <w:r>
        <w:rPr>
          <w:spacing w:val="-2"/>
        </w:rPr>
        <w:t>：本公司以零部件车间、配电楼、综合车间为抵押物，向意大利政府通过中国银行云南省分行贷给本公司的委托</w:t>
      </w:r>
    </w:p>
    <w:p>
      <w:pPr>
        <w:pStyle w:val="BodyText"/>
        <w:spacing w:line="240" w:lineRule="auto" w:before="15"/>
        <w:ind w:right="855"/>
        <w:jc w:val="left"/>
      </w:pPr>
      <w:r>
        <w:rPr/>
        <w:t>贷款</w:t>
      </w:r>
      <w:r>
        <w:rPr>
          <w:rFonts w:ascii="宋体" w:hAnsi="宋体" w:cs="宋体" w:eastAsia="宋体" w:hint="default"/>
        </w:rPr>
        <w:t>2,498,200.00</w:t>
      </w:r>
      <w:r>
        <w:rPr/>
        <w:t>美元提供抵押担保，借款期限为</w:t>
      </w:r>
      <w:r>
        <w:rPr>
          <w:rFonts w:ascii="宋体" w:hAnsi="宋体" w:cs="宋体" w:eastAsia="宋体" w:hint="default"/>
        </w:rPr>
        <w:t>1999</w:t>
      </w:r>
      <w:r>
        <w:rPr/>
        <w:t>年</w:t>
      </w:r>
      <w:r>
        <w:rPr>
          <w:rFonts w:ascii="宋体" w:hAnsi="宋体" w:cs="宋体" w:eastAsia="宋体" w:hint="default"/>
        </w:rPr>
        <w:t>7</w:t>
      </w:r>
      <w:r>
        <w:rPr/>
        <w:t>月</w:t>
      </w:r>
      <w:r>
        <w:rPr>
          <w:rFonts w:ascii="宋体" w:hAnsi="宋体" w:cs="宋体" w:eastAsia="宋体" w:hint="default"/>
        </w:rPr>
        <w:t>14</w:t>
      </w:r>
      <w:r>
        <w:rPr/>
        <w:t>日至</w:t>
      </w:r>
      <w:r>
        <w:rPr>
          <w:rFonts w:ascii="宋体" w:hAnsi="宋体" w:cs="宋体" w:eastAsia="宋体" w:hint="default"/>
        </w:rPr>
        <w:t>2022</w:t>
      </w:r>
      <w:r>
        <w:rPr/>
        <w:t>年</w:t>
      </w:r>
      <w:r>
        <w:rPr>
          <w:rFonts w:ascii="宋体" w:hAnsi="宋体" w:cs="宋体" w:eastAsia="宋体" w:hint="default"/>
        </w:rPr>
        <w:t>6</w:t>
      </w:r>
      <w:r>
        <w:rPr/>
        <w:t>月</w:t>
      </w:r>
      <w:r>
        <w:rPr>
          <w:rFonts w:ascii="宋体" w:hAnsi="宋体" w:cs="宋体" w:eastAsia="宋体" w:hint="default"/>
        </w:rPr>
        <w:t>27</w:t>
      </w:r>
      <w:r>
        <w:rPr/>
        <w:t>日，借款利率固定为</w:t>
      </w:r>
      <w:r>
        <w:rPr>
          <w:rFonts w:ascii="宋体" w:hAnsi="宋体" w:cs="宋体" w:eastAsia="宋体" w:hint="default"/>
        </w:rPr>
        <w:t>1.00%</w:t>
      </w:r>
      <w:r>
        <w:rPr/>
        <w:t>，还款方式为在</w:t>
      </w:r>
    </w:p>
    <w:p>
      <w:pPr>
        <w:pStyle w:val="BodyText"/>
        <w:spacing w:line="240" w:lineRule="auto" w:before="76"/>
        <w:ind w:right="855"/>
        <w:jc w:val="left"/>
      </w:pPr>
      <w:r>
        <w:rPr>
          <w:rFonts w:ascii="宋体" w:hAnsi="宋体" w:cs="宋体" w:eastAsia="宋体" w:hint="default"/>
          <w:spacing w:val="3"/>
        </w:rPr>
        <w:t>2022</w:t>
      </w:r>
      <w:r>
        <w:rPr>
          <w:spacing w:val="3"/>
        </w:rPr>
        <w:t>年</w:t>
      </w:r>
      <w:r>
        <w:rPr>
          <w:rFonts w:ascii="宋体" w:hAnsi="宋体" w:cs="宋体" w:eastAsia="宋体" w:hint="default"/>
          <w:spacing w:val="3"/>
        </w:rPr>
        <w:t>6</w:t>
      </w:r>
      <w:r>
        <w:rPr>
          <w:spacing w:val="3"/>
        </w:rPr>
        <w:t>月</w:t>
      </w:r>
      <w:r>
        <w:rPr>
          <w:rFonts w:ascii="宋体" w:hAnsi="宋体" w:cs="宋体" w:eastAsia="宋体" w:hint="default"/>
          <w:spacing w:val="3"/>
        </w:rPr>
        <w:t>27</w:t>
      </w:r>
      <w:r>
        <w:rPr>
          <w:spacing w:val="3"/>
        </w:rPr>
        <w:t>日前逐年分期归还，尚未偿还的委托贷款期末余额为 </w:t>
      </w:r>
      <w:r>
        <w:rPr>
          <w:spacing w:val="9"/>
        </w:rPr>
        <w:t> </w:t>
      </w:r>
      <w:r>
        <w:rPr>
          <w:rFonts w:ascii="宋体" w:hAnsi="宋体" w:cs="宋体" w:eastAsia="宋体" w:hint="default"/>
          <w:spacing w:val="2"/>
        </w:rPr>
        <w:t>224,838.00</w:t>
      </w:r>
      <w:r>
        <w:rPr>
          <w:spacing w:val="2"/>
        </w:rPr>
        <w:t>美元，用于抵押的固定资产期末账面价值</w:t>
      </w:r>
    </w:p>
    <w:p>
      <w:pPr>
        <w:pStyle w:val="BodyText"/>
        <w:spacing w:line="240" w:lineRule="auto" w:before="77"/>
        <w:ind w:right="855"/>
        <w:jc w:val="left"/>
        <w:rPr>
          <w:rFonts w:ascii="宋体" w:hAnsi="宋体" w:cs="宋体" w:eastAsia="宋体" w:hint="default"/>
        </w:rPr>
      </w:pPr>
      <w:r>
        <w:rPr>
          <w:rFonts w:ascii="宋体" w:hAnsi="宋体" w:cs="宋体" w:eastAsia="宋体" w:hint="default"/>
          <w:spacing w:val="-3"/>
        </w:rPr>
        <w:t>1,290,768.74</w:t>
      </w:r>
      <w:r>
        <w:rPr>
          <w:spacing w:val="-3"/>
        </w:rPr>
        <w:t>元。上述借款额在“长期借款”及“一年到期的非流动负债”列报。</w:t>
      </w:r>
      <w:r>
        <w:rPr>
          <w:rFonts w:ascii="宋体" w:hAnsi="宋体" w:cs="宋体" w:eastAsia="宋体" w:hint="default"/>
        </w:rPr>
        <w:t> </w:t>
      </w:r>
    </w:p>
    <w:p>
      <w:pPr>
        <w:spacing w:line="240" w:lineRule="auto" w:before="0"/>
        <w:rPr>
          <w:rFonts w:ascii="宋体" w:hAnsi="宋体" w:cs="宋体" w:eastAsia="宋体" w:hint="default"/>
          <w:sz w:val="15"/>
          <w:szCs w:val="15"/>
        </w:rPr>
      </w:pPr>
    </w:p>
    <w:p>
      <w:pPr>
        <w:pStyle w:val="BodyText"/>
        <w:spacing w:line="316" w:lineRule="auto"/>
        <w:ind w:right="1124" w:firstLine="518"/>
        <w:jc w:val="both"/>
      </w:pPr>
      <w:r>
        <w:rPr/>
        <w:t>注</w:t>
      </w:r>
      <w:r>
        <w:rPr>
          <w:rFonts w:ascii="宋体" w:hAnsi="宋体" w:cs="宋体" w:eastAsia="宋体" w:hint="default"/>
        </w:rPr>
        <w:t>3</w:t>
      </w:r>
      <w:r>
        <w:rPr/>
        <w:t>：广州南天于</w:t>
      </w:r>
      <w:r>
        <w:rPr>
          <w:rFonts w:ascii="宋体" w:hAnsi="宋体" w:cs="宋体" w:eastAsia="宋体" w:hint="default"/>
        </w:rPr>
        <w:t>2019</w:t>
      </w:r>
      <w:r>
        <w:rPr/>
        <w:t>年</w:t>
      </w:r>
      <w:r>
        <w:rPr>
          <w:rFonts w:ascii="宋体" w:hAnsi="宋体" w:cs="宋体" w:eastAsia="宋体" w:hint="default"/>
        </w:rPr>
        <w:t>3</w:t>
      </w:r>
      <w:r>
        <w:rPr/>
        <w:t>月</w:t>
      </w:r>
      <w:r>
        <w:rPr>
          <w:rFonts w:ascii="宋体" w:hAnsi="宋体" w:cs="宋体" w:eastAsia="宋体" w:hint="default"/>
        </w:rPr>
        <w:t>22</w:t>
      </w:r>
      <w:r>
        <w:rPr/>
        <w:t>日同广东华兴银行股份有限公司广州分行签订最高额抵押担保合同，合同期限为</w:t>
      </w:r>
      <w:r>
        <w:rPr>
          <w:rFonts w:ascii="宋体" w:hAnsi="宋体" w:cs="宋体" w:eastAsia="宋体" w:hint="default"/>
        </w:rPr>
        <w:t>2019</w:t>
      </w:r>
      <w:r>
        <w:rPr>
          <w:rFonts w:ascii="宋体" w:hAnsi="宋体" w:cs="宋体" w:eastAsia="宋体" w:hint="default"/>
          <w:w w:val="101"/>
        </w:rPr>
        <w:t> </w:t>
      </w:r>
      <w:r>
        <w:rPr/>
        <w:t>年</w:t>
      </w:r>
      <w:r>
        <w:rPr>
          <w:rFonts w:ascii="宋体" w:hAnsi="宋体" w:cs="宋体" w:eastAsia="宋体" w:hint="default"/>
        </w:rPr>
        <w:t>3 </w:t>
      </w:r>
      <w:r>
        <w:rPr>
          <w:spacing w:val="-2"/>
        </w:rPr>
        <w:t>月</w:t>
      </w:r>
      <w:r>
        <w:rPr>
          <w:rFonts w:ascii="宋体" w:hAnsi="宋体" w:cs="宋体" w:eastAsia="宋体" w:hint="default"/>
          <w:spacing w:val="-2"/>
        </w:rPr>
        <w:t>22</w:t>
      </w:r>
      <w:r>
        <w:rPr>
          <w:spacing w:val="-2"/>
        </w:rPr>
        <w:t>日至</w:t>
      </w:r>
      <w:r>
        <w:rPr>
          <w:rFonts w:ascii="宋体" w:hAnsi="宋体" w:cs="宋体" w:eastAsia="宋体" w:hint="default"/>
          <w:spacing w:val="-2"/>
        </w:rPr>
        <w:t>2021</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29</w:t>
      </w:r>
      <w:r>
        <w:rPr>
          <w:spacing w:val="-2"/>
        </w:rPr>
        <w:t>日，抵押物为房产天河区建工路</w:t>
      </w:r>
      <w:r>
        <w:rPr>
          <w:rFonts w:ascii="宋体" w:hAnsi="宋体" w:cs="宋体" w:eastAsia="宋体" w:hint="default"/>
          <w:spacing w:val="-2"/>
        </w:rPr>
        <w:t>1</w:t>
      </w:r>
      <w:r>
        <w:rPr>
          <w:spacing w:val="-2"/>
        </w:rPr>
        <w:t>号</w:t>
      </w:r>
      <w:r>
        <w:rPr>
          <w:rFonts w:ascii="宋体" w:hAnsi="宋体" w:cs="宋体" w:eastAsia="宋体" w:hint="default"/>
          <w:spacing w:val="-2"/>
        </w:rPr>
        <w:t>4</w:t>
      </w:r>
      <w:r>
        <w:rPr>
          <w:spacing w:val="-2"/>
        </w:rPr>
        <w:t>楼（粤（</w:t>
      </w:r>
      <w:r>
        <w:rPr>
          <w:rFonts w:ascii="宋体" w:hAnsi="宋体" w:cs="宋体" w:eastAsia="宋体" w:hint="default"/>
          <w:spacing w:val="-2"/>
        </w:rPr>
        <w:t>2016</w:t>
      </w:r>
      <w:r>
        <w:rPr>
          <w:spacing w:val="-2"/>
        </w:rPr>
        <w:t>）广州市不动产权第</w:t>
      </w:r>
      <w:r>
        <w:rPr>
          <w:rFonts w:ascii="宋体" w:hAnsi="宋体" w:cs="宋体" w:eastAsia="宋体" w:hint="default"/>
          <w:spacing w:val="-2"/>
        </w:rPr>
        <w:t>02206007</w:t>
      </w:r>
      <w:r>
        <w:rPr>
          <w:spacing w:val="-2"/>
        </w:rPr>
        <w:t>号），抵押担保</w:t>
      </w:r>
      <w:r>
        <w:rPr>
          <w:spacing w:val="-51"/>
        </w:rPr>
        <w:t> </w:t>
      </w:r>
      <w:r>
        <w:rPr>
          <w:spacing w:val="-51"/>
        </w:rPr>
      </w:r>
      <w:r>
        <w:rPr>
          <w:spacing w:val="-4"/>
        </w:rPr>
        <w:t>的范围为该期间签订主合同项下的全部债务（包括或有债务）本金、利息、复利及罚息、实现债权的费用，上述债务本金的</w:t>
      </w:r>
    </w:p>
    <w:p>
      <w:pPr>
        <w:spacing w:after="0" w:line="316" w:lineRule="auto"/>
        <w:jc w:val="both"/>
        <w:sectPr>
          <w:pgSz w:w="11910" w:h="16840"/>
          <w:pgMar w:header="746" w:footer="974"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6"/>
        <w:ind w:right="855"/>
        <w:jc w:val="left"/>
        <w:rPr>
          <w:rFonts w:ascii="宋体" w:hAnsi="宋体" w:cs="宋体" w:eastAsia="宋体" w:hint="default"/>
        </w:rPr>
      </w:pPr>
      <w:r>
        <w:rPr/>
        <w:t>最高余额（折合）人民币</w:t>
      </w:r>
      <w:r>
        <w:rPr>
          <w:rFonts w:ascii="宋体" w:hAnsi="宋体" w:cs="宋体" w:eastAsia="宋体" w:hint="default"/>
        </w:rPr>
        <w:t>23,459,607</w:t>
      </w:r>
      <w:r>
        <w:rPr/>
        <w:t>元。用于抵押的房屋建筑物期末账面价值为</w:t>
      </w:r>
      <w:r>
        <w:rPr>
          <w:rFonts w:ascii="宋体" w:hAnsi="宋体" w:cs="宋体" w:eastAsia="宋体" w:hint="default"/>
        </w:rPr>
        <w:t>1,081,761.19</w:t>
      </w:r>
      <w:r>
        <w:rPr/>
        <w:t>元。</w:t>
      </w:r>
      <w:r>
        <w:rPr>
          <w:rFonts w:ascii="宋体" w:hAnsi="宋体" w:cs="宋体" w:eastAsia="宋体" w:hint="default"/>
          <w:spacing w:val="-5"/>
        </w:rPr>
        <w:t> </w:t>
      </w:r>
      <w:r>
        <w:rPr>
          <w:rFonts w:ascii="宋体" w:hAnsi="宋体" w:cs="宋体" w:eastAsia="宋体" w:hint="default"/>
        </w:rPr>
        <w:t> </w:t>
      </w:r>
    </w:p>
    <w:p>
      <w:pPr>
        <w:spacing w:line="240" w:lineRule="auto" w:before="0"/>
        <w:rPr>
          <w:rFonts w:ascii="宋体" w:hAnsi="宋体" w:cs="宋体" w:eastAsia="宋体" w:hint="default"/>
          <w:sz w:val="15"/>
          <w:szCs w:val="15"/>
        </w:rPr>
      </w:pPr>
    </w:p>
    <w:p>
      <w:pPr>
        <w:pStyle w:val="BodyText"/>
        <w:spacing w:line="319" w:lineRule="auto"/>
        <w:ind w:right="1128" w:firstLine="518"/>
        <w:jc w:val="left"/>
      </w:pPr>
      <w:r>
        <w:rPr>
          <w:spacing w:val="-3"/>
        </w:rPr>
        <w:t>注</w:t>
      </w:r>
      <w:r>
        <w:rPr>
          <w:rFonts w:ascii="宋体" w:hAnsi="宋体" w:cs="宋体" w:eastAsia="宋体" w:hint="default"/>
          <w:spacing w:val="-3"/>
        </w:rPr>
        <w:t>4</w:t>
      </w:r>
      <w:r>
        <w:rPr>
          <w:spacing w:val="-3"/>
        </w:rPr>
        <w:t>：深圳南天东华科技有限公司于</w:t>
      </w:r>
      <w:r>
        <w:rPr>
          <w:rFonts w:ascii="宋体" w:hAnsi="宋体" w:cs="宋体" w:eastAsia="宋体" w:hint="default"/>
          <w:spacing w:val="-3"/>
        </w:rPr>
        <w:t>2017</w:t>
      </w:r>
      <w:r>
        <w:rPr>
          <w:spacing w:val="-3"/>
        </w:rPr>
        <w:t>年</w:t>
      </w:r>
      <w:r>
        <w:rPr>
          <w:rFonts w:ascii="宋体" w:hAnsi="宋体" w:cs="宋体" w:eastAsia="宋体" w:hint="default"/>
          <w:spacing w:val="-3"/>
        </w:rPr>
        <w:t>8</w:t>
      </w:r>
      <w:r>
        <w:rPr>
          <w:spacing w:val="-3"/>
        </w:rPr>
        <w:t>月</w:t>
      </w:r>
      <w:r>
        <w:rPr>
          <w:rFonts w:ascii="宋体" w:hAnsi="宋体" w:cs="宋体" w:eastAsia="宋体" w:hint="default"/>
          <w:spacing w:val="-3"/>
        </w:rPr>
        <w:t>18</w:t>
      </w:r>
      <w:r>
        <w:rPr>
          <w:spacing w:val="-3"/>
        </w:rPr>
        <w:t>日同华夏银行股份有限公司深圳南头支行签订最高额抵押担保合同，</w:t>
      </w:r>
      <w:r>
        <w:rPr>
          <w:w w:val="101"/>
        </w:rPr>
        <w:t> </w:t>
      </w:r>
      <w:r>
        <w:rPr/>
        <w:t>未 </w:t>
      </w:r>
      <w:r>
        <w:rPr>
          <w:rFonts w:ascii="宋体" w:hAnsi="宋体" w:cs="宋体" w:eastAsia="宋体" w:hint="default"/>
        </w:rPr>
      </w:r>
      <w:r>
        <w:rPr/>
        <w:t>约定合同期限，主合同有效期为</w:t>
      </w:r>
      <w:r>
        <w:rPr>
          <w:rFonts w:ascii="宋体" w:hAnsi="宋体" w:cs="宋体" w:eastAsia="宋体" w:hint="default"/>
        </w:rPr>
        <w:t>2017</w:t>
      </w:r>
      <w:r>
        <w:rPr/>
        <w:t>年</w:t>
      </w:r>
      <w:r>
        <w:rPr>
          <w:rFonts w:ascii="宋体" w:hAnsi="宋体" w:cs="宋体" w:eastAsia="宋体" w:hint="default"/>
        </w:rPr>
        <w:t>8</w:t>
      </w:r>
      <w:r>
        <w:rPr/>
        <w:t>月</w:t>
      </w:r>
      <w:r>
        <w:rPr>
          <w:rFonts w:ascii="宋体" w:hAnsi="宋体" w:cs="宋体" w:eastAsia="宋体" w:hint="default"/>
        </w:rPr>
        <w:t>14</w:t>
      </w:r>
      <w:r>
        <w:rPr/>
        <w:t>日至</w:t>
      </w:r>
      <w:r>
        <w:rPr>
          <w:rFonts w:ascii="宋体" w:hAnsi="宋体" w:cs="宋体" w:eastAsia="宋体" w:hint="default"/>
        </w:rPr>
        <w:t>2020</w:t>
      </w:r>
      <w:r>
        <w:rPr/>
        <w:t>年</w:t>
      </w:r>
      <w:r>
        <w:rPr>
          <w:rFonts w:ascii="宋体" w:hAnsi="宋体" w:cs="宋体" w:eastAsia="宋体" w:hint="default"/>
        </w:rPr>
        <w:t>8</w:t>
      </w:r>
      <w:r>
        <w:rPr/>
        <w:t>月</w:t>
      </w:r>
      <w:r>
        <w:rPr>
          <w:rFonts w:ascii="宋体" w:hAnsi="宋体" w:cs="宋体" w:eastAsia="宋体" w:hint="default"/>
        </w:rPr>
        <w:t>14</w:t>
      </w:r>
      <w:r>
        <w:rPr/>
        <w:t>日，抵押物为房产天祥大厦</w:t>
      </w:r>
      <w:r>
        <w:rPr>
          <w:rFonts w:ascii="宋体" w:hAnsi="宋体" w:cs="宋体" w:eastAsia="宋体" w:hint="default"/>
        </w:rPr>
        <w:t>7B2</w:t>
      </w:r>
      <w:r>
        <w:rPr/>
        <w:t>（深房地字第</w:t>
      </w:r>
      <w:r>
        <w:rPr>
          <w:rFonts w:ascii="宋体" w:hAnsi="宋体" w:cs="宋体" w:eastAsia="宋体" w:hint="default"/>
        </w:rPr>
        <w:t>3000586781</w:t>
      </w:r>
      <w:r>
        <w:rPr>
          <w:rFonts w:ascii="宋体" w:hAnsi="宋体" w:cs="宋体" w:eastAsia="宋体" w:hint="default"/>
          <w:spacing w:val="12"/>
        </w:rPr>
        <w:t> </w:t>
      </w:r>
      <w:r>
        <w:rPr>
          <w:rFonts w:ascii="宋体" w:hAnsi="宋体" w:cs="宋体" w:eastAsia="宋体" w:hint="default"/>
          <w:spacing w:val="12"/>
        </w:rPr>
      </w:r>
      <w:r>
        <w:rPr/>
        <w:t>号）， </w:t>
      </w:r>
      <w:r>
        <w:rPr>
          <w:rFonts w:ascii="宋体" w:hAnsi="宋体" w:cs="宋体" w:eastAsia="宋体" w:hint="default"/>
        </w:rPr>
      </w:r>
      <w:r>
        <w:rPr>
          <w:spacing w:val="-3"/>
        </w:rPr>
        <w:t>抵押担保的范围为该期间签订主合同项下的全部债务，包括或有负债、本金、复利、罚息及实现债权的费用，债权</w:t>
      </w:r>
      <w:r>
        <w:rPr>
          <w:spacing w:val="-27"/>
        </w:rPr>
        <w:t> </w:t>
      </w:r>
      <w:r>
        <w:rPr>
          <w:spacing w:val="-27"/>
        </w:rPr>
      </w:r>
      <w:r>
        <w:rPr/>
        <w:t>本金的最高余额为</w:t>
      </w:r>
      <w:r>
        <w:rPr>
          <w:rFonts w:ascii="宋体" w:hAnsi="宋体" w:cs="宋体" w:eastAsia="宋体" w:hint="default"/>
        </w:rPr>
        <w:t>14,720,500</w:t>
      </w:r>
      <w:r>
        <w:rPr/>
        <w:t>元人民币。用于抵押的房屋建筑物期末账面价值为</w:t>
      </w:r>
      <w:r>
        <w:rPr>
          <w:rFonts w:ascii="宋体" w:hAnsi="宋体" w:cs="宋体" w:eastAsia="宋体" w:hint="default"/>
        </w:rPr>
        <w:t>1,440,140.68</w:t>
      </w:r>
      <w:r>
        <w:rPr/>
        <w:t>元。</w:t>
      </w:r>
    </w:p>
    <w:p>
      <w:pPr>
        <w:spacing w:line="240" w:lineRule="auto" w:before="6"/>
        <w:rPr>
          <w:rFonts w:ascii="宋体" w:hAnsi="宋体" w:cs="宋体" w:eastAsia="宋体" w:hint="default"/>
          <w:sz w:val="22"/>
          <w:szCs w:val="22"/>
        </w:rPr>
      </w:pPr>
    </w:p>
    <w:p>
      <w:pPr>
        <w:pStyle w:val="Heading4"/>
        <w:spacing w:line="240" w:lineRule="auto"/>
        <w:ind w:right="855"/>
        <w:jc w:val="left"/>
        <w:rPr>
          <w:b w:val="0"/>
          <w:bCs w:val="0"/>
        </w:rPr>
      </w:pPr>
      <w:r>
        <w:rPr>
          <w:rFonts w:ascii="Times New Roman" w:hAnsi="Times New Roman" w:cs="Times New Roman" w:eastAsia="Times New Roman" w:hint="default"/>
        </w:rPr>
        <w:t>54</w:t>
      </w:r>
      <w:r>
        <w:rPr/>
        <w:t>、外币货币性项目</w:t>
      </w:r>
      <w:r>
        <w:rPr>
          <w:b w:val="0"/>
          <w:bCs w:val="0"/>
        </w:rPr>
      </w:r>
    </w:p>
    <w:p>
      <w:pPr>
        <w:spacing w:line="240" w:lineRule="auto" w:before="5"/>
        <w:rPr>
          <w:rFonts w:ascii="宋体" w:hAnsi="宋体" w:cs="宋体" w:eastAsia="宋体" w:hint="default"/>
          <w:b/>
          <w:bCs/>
          <w:sz w:val="24"/>
          <w:szCs w:val="24"/>
        </w:rPr>
      </w:pPr>
    </w:p>
    <w:p>
      <w:pPr>
        <w:spacing w:before="0"/>
        <w:ind w:left="153" w:right="85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）外币货币性项目</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pStyle w:val="BodyText"/>
        <w:spacing w:line="240" w:lineRule="auto"/>
        <w:ind w:left="0" w:right="1121"/>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497"/>
        <w:gridCol w:w="2295"/>
        <w:gridCol w:w="2387"/>
        <w:gridCol w:w="2391"/>
      </w:tblGrid>
      <w:tr>
        <w:trPr>
          <w:trHeight w:val="403"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00"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9" w:right="0"/>
              <w:jc w:val="left"/>
              <w:rPr>
                <w:rFonts w:ascii="宋体" w:hAnsi="宋体" w:cs="宋体" w:eastAsia="宋体" w:hint="default"/>
                <w:sz w:val="18"/>
                <w:szCs w:val="18"/>
              </w:rPr>
            </w:pPr>
            <w:r>
              <w:rPr>
                <w:rFonts w:ascii="宋体" w:hAnsi="宋体" w:cs="宋体" w:eastAsia="宋体" w:hint="default"/>
                <w:spacing w:val="-3"/>
                <w:sz w:val="18"/>
                <w:szCs w:val="18"/>
              </w:rPr>
              <w:t>期末折算人民币余额</w:t>
            </w:r>
          </w:p>
        </w:tc>
      </w:tr>
      <w:tr>
        <w:trPr>
          <w:trHeight w:val="404"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w:t>
            </w:r>
          </w:p>
        </w:tc>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12,008,590.87</w:t>
            </w: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1,145,996.27</w:t>
            </w:r>
          </w:p>
        </w:tc>
        <w:tc>
          <w:tcPr>
            <w:tcW w:w="2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6.9762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7,994,699.18</w:t>
            </w:r>
          </w:p>
        </w:tc>
      </w:tr>
      <w:tr>
        <w:trPr>
          <w:trHeight w:val="398"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spacing w:val="-5"/>
                <w:sz w:val="18"/>
                <w:szCs w:val="18"/>
              </w:rPr>
              <w:t>欧元</w:t>
            </w:r>
            <w:r>
              <w:rPr>
                <w:rFonts w:ascii="宋体" w:hAnsi="宋体" w:cs="宋体" w:eastAsia="宋体" w:hint="default"/>
                <w:sz w:val="18"/>
                <w:szCs w:val="18"/>
              </w:rPr>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513,504.15</w:t>
            </w:r>
          </w:p>
        </w:tc>
        <w:tc>
          <w:tcPr>
            <w:tcW w:w="2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7.8155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4,013,291.69</w:t>
            </w: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spacing w:val="-5"/>
                <w:sz w:val="18"/>
                <w:szCs w:val="18"/>
              </w:rPr>
              <w:t>港币</w:t>
            </w:r>
            <w:r>
              <w:rPr>
                <w:rFonts w:ascii="宋体" w:hAnsi="宋体" w:cs="宋体" w:eastAsia="宋体" w:hint="default"/>
                <w:sz w:val="18"/>
                <w:szCs w:val="18"/>
              </w:rPr>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669.81</w:t>
            </w:r>
          </w:p>
        </w:tc>
        <w:tc>
          <w:tcPr>
            <w:tcW w:w="2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0.89578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600.00</w:t>
            </w: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w:t>
            </w:r>
          </w:p>
        </w:tc>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955,713.80</w:t>
            </w:r>
          </w:p>
        </w:tc>
      </w:tr>
      <w:tr>
        <w:trPr>
          <w:trHeight w:val="404"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136,996.33</w:t>
            </w:r>
          </w:p>
        </w:tc>
        <w:tc>
          <w:tcPr>
            <w:tcW w:w="2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6.9762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955,713.80</w:t>
            </w:r>
          </w:p>
        </w:tc>
      </w:tr>
      <w:tr>
        <w:trPr>
          <w:trHeight w:val="398"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spacing w:val="-5"/>
                <w:sz w:val="18"/>
                <w:szCs w:val="18"/>
              </w:rPr>
              <w:t>欧元</w:t>
            </w:r>
            <w:r>
              <w:rPr>
                <w:rFonts w:ascii="宋体" w:hAnsi="宋体" w:cs="宋体" w:eastAsia="宋体" w:hint="default"/>
                <w:sz w:val="18"/>
                <w:szCs w:val="18"/>
              </w:rPr>
            </w:r>
          </w:p>
        </w:tc>
        <w:tc>
          <w:tcPr>
            <w:tcW w:w="2295" w:type="dxa"/>
            <w:tcBorders>
              <w:top w:val="single" w:sz="4" w:space="0" w:color="000000"/>
              <w:left w:val="single" w:sz="4" w:space="0" w:color="000000"/>
              <w:bottom w:val="single" w:sz="4" w:space="0" w:color="000000"/>
              <w:right w:val="single" w:sz="4" w:space="0" w:color="000000"/>
            </w:tcBorders>
          </w:tcPr>
          <w:p>
            <w:pPr/>
          </w:p>
        </w:tc>
        <w:tc>
          <w:tcPr>
            <w:tcW w:w="238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spacing w:val="-5"/>
                <w:sz w:val="18"/>
                <w:szCs w:val="18"/>
              </w:rPr>
              <w:t>港币</w:t>
            </w:r>
            <w:r>
              <w:rPr>
                <w:rFonts w:ascii="宋体" w:hAnsi="宋体" w:cs="宋体" w:eastAsia="宋体" w:hint="default"/>
                <w:sz w:val="18"/>
                <w:szCs w:val="18"/>
              </w:rPr>
            </w:r>
          </w:p>
        </w:tc>
        <w:tc>
          <w:tcPr>
            <w:tcW w:w="2295" w:type="dxa"/>
            <w:tcBorders>
              <w:top w:val="single" w:sz="4" w:space="0" w:color="000000"/>
              <w:left w:val="single" w:sz="4" w:space="0" w:color="000000"/>
              <w:bottom w:val="single" w:sz="4" w:space="0" w:color="000000"/>
              <w:right w:val="single" w:sz="4" w:space="0" w:color="000000"/>
            </w:tcBorders>
          </w:tcPr>
          <w:p>
            <w:pPr/>
          </w:p>
        </w:tc>
        <w:tc>
          <w:tcPr>
            <w:tcW w:w="238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w:t>
            </w:r>
          </w:p>
        </w:tc>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941,108.92</w:t>
            </w:r>
          </w:p>
        </w:tc>
      </w:tr>
      <w:tr>
        <w:trPr>
          <w:trHeight w:val="404"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134,902.80</w:t>
            </w:r>
          </w:p>
        </w:tc>
        <w:tc>
          <w:tcPr>
            <w:tcW w:w="2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6.9762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941,108.92</w:t>
            </w:r>
          </w:p>
        </w:tc>
      </w:tr>
      <w:tr>
        <w:trPr>
          <w:trHeight w:val="398"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spacing w:val="-5"/>
                <w:sz w:val="18"/>
                <w:szCs w:val="18"/>
              </w:rPr>
              <w:t>欧元</w:t>
            </w:r>
            <w:r>
              <w:rPr>
                <w:rFonts w:ascii="宋体" w:hAnsi="宋体" w:cs="宋体" w:eastAsia="宋体" w:hint="default"/>
                <w:sz w:val="18"/>
                <w:szCs w:val="18"/>
              </w:rPr>
            </w:r>
          </w:p>
        </w:tc>
        <w:tc>
          <w:tcPr>
            <w:tcW w:w="2295" w:type="dxa"/>
            <w:tcBorders>
              <w:top w:val="single" w:sz="4" w:space="0" w:color="000000"/>
              <w:left w:val="single" w:sz="4" w:space="0" w:color="000000"/>
              <w:bottom w:val="single" w:sz="4" w:space="0" w:color="000000"/>
              <w:right w:val="single" w:sz="4" w:space="0" w:color="000000"/>
            </w:tcBorders>
          </w:tcPr>
          <w:p>
            <w:pPr/>
          </w:p>
        </w:tc>
        <w:tc>
          <w:tcPr>
            <w:tcW w:w="238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spacing w:val="-5"/>
                <w:sz w:val="18"/>
                <w:szCs w:val="18"/>
              </w:rPr>
              <w:t>港币</w:t>
            </w:r>
            <w:r>
              <w:rPr>
                <w:rFonts w:ascii="宋体" w:hAnsi="宋体" w:cs="宋体" w:eastAsia="宋体" w:hint="default"/>
                <w:sz w:val="18"/>
                <w:szCs w:val="18"/>
              </w:rPr>
            </w:r>
          </w:p>
        </w:tc>
        <w:tc>
          <w:tcPr>
            <w:tcW w:w="2295" w:type="dxa"/>
            <w:tcBorders>
              <w:top w:val="single" w:sz="4" w:space="0" w:color="000000"/>
              <w:left w:val="single" w:sz="4" w:space="0" w:color="000000"/>
              <w:bottom w:val="single" w:sz="4" w:space="0" w:color="000000"/>
              <w:right w:val="single" w:sz="4" w:space="0" w:color="000000"/>
            </w:tcBorders>
          </w:tcPr>
          <w:p>
            <w:pPr/>
          </w:p>
        </w:tc>
        <w:tc>
          <w:tcPr>
            <w:tcW w:w="238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一年内到期的长期借款</w:t>
            </w:r>
          </w:p>
        </w:tc>
        <w:tc>
          <w:tcPr>
            <w:tcW w:w="2295" w:type="dxa"/>
            <w:tcBorders>
              <w:top w:val="single" w:sz="4" w:space="0" w:color="000000"/>
              <w:left w:val="single" w:sz="4" w:space="0" w:color="000000"/>
              <w:bottom w:val="single" w:sz="4" w:space="0" w:color="000000"/>
              <w:right w:val="single" w:sz="4" w:space="0" w:color="000000"/>
            </w:tcBorders>
          </w:tcPr>
          <w:p>
            <w:pPr/>
          </w:p>
        </w:tc>
        <w:tc>
          <w:tcPr>
            <w:tcW w:w="238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627,405.94</w:t>
            </w:r>
          </w:p>
        </w:tc>
      </w:tr>
      <w:tr>
        <w:trPr>
          <w:trHeight w:val="404"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89,935.20</w:t>
            </w:r>
          </w:p>
        </w:tc>
        <w:tc>
          <w:tcPr>
            <w:tcW w:w="2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6.9762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627,405.94</w:t>
            </w:r>
          </w:p>
        </w:tc>
      </w:tr>
    </w:tbl>
    <w:p>
      <w:pPr>
        <w:spacing w:line="240" w:lineRule="auto" w:before="3"/>
        <w:rPr>
          <w:rFonts w:ascii="宋体" w:hAnsi="宋体" w:cs="宋体" w:eastAsia="宋体" w:hint="default"/>
          <w:sz w:val="19"/>
          <w:szCs w:val="19"/>
        </w:rPr>
      </w:pPr>
    </w:p>
    <w:p>
      <w:pPr>
        <w:pStyle w:val="Heading4"/>
        <w:spacing w:line="254" w:lineRule="auto" w:before="36"/>
        <w:ind w:right="855"/>
        <w:jc w:val="left"/>
        <w:rPr>
          <w:b w:val="0"/>
          <w:bCs w:val="0"/>
        </w:rPr>
      </w:pP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66"/>
        </w:rPr>
        <w:t> </w:t>
      </w:r>
      <w:r>
        <w:rPr>
          <w:spacing w:val="-66"/>
        </w:rPr>
      </w:r>
      <w:r>
        <w:rPr/>
        <w:t>依据，记账本位币发生变化的还应披露原因。</w:t>
      </w:r>
      <w:r>
        <w:rPr>
          <w:b w:val="0"/>
          <w:bCs w:val="0"/>
        </w:rPr>
      </w:r>
    </w:p>
    <w:p>
      <w:pPr>
        <w:spacing w:line="240" w:lineRule="auto" w:before="13"/>
        <w:rPr>
          <w:rFonts w:ascii="宋体" w:hAnsi="宋体" w:cs="宋体" w:eastAsia="宋体" w:hint="default"/>
          <w:b/>
          <w:bCs/>
          <w:sz w:val="26"/>
          <w:szCs w:val="26"/>
        </w:rPr>
      </w:pPr>
    </w:p>
    <w:p>
      <w:pPr>
        <w:pStyle w:val="BodyText"/>
        <w:spacing w:line="240" w:lineRule="auto"/>
        <w:ind w:right="855"/>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13"/>
        <w:rPr>
          <w:rFonts w:ascii="宋体" w:hAnsi="宋体" w:cs="宋体" w:eastAsia="宋体" w:hint="default"/>
          <w:sz w:val="25"/>
          <w:szCs w:val="25"/>
        </w:rPr>
      </w:pPr>
    </w:p>
    <w:p>
      <w:pPr>
        <w:pStyle w:val="Heading4"/>
        <w:spacing w:line="240" w:lineRule="auto"/>
        <w:ind w:right="855"/>
        <w:jc w:val="left"/>
        <w:rPr>
          <w:b w:val="0"/>
          <w:bCs w:val="0"/>
        </w:rPr>
      </w:pPr>
      <w:r>
        <w:rPr>
          <w:rFonts w:ascii="Times New Roman" w:hAnsi="Times New Roman" w:cs="Times New Roman" w:eastAsia="Times New Roman" w:hint="default"/>
        </w:rPr>
        <w:t>55</w:t>
      </w:r>
      <w:r>
        <w:rPr/>
        <w:t>、政府补助</w:t>
      </w:r>
      <w:r>
        <w:rPr>
          <w:b w:val="0"/>
          <w:bCs w:val="0"/>
        </w:rPr>
      </w:r>
    </w:p>
    <w:p>
      <w:pPr>
        <w:spacing w:line="240" w:lineRule="auto" w:before="10"/>
        <w:rPr>
          <w:rFonts w:ascii="宋体" w:hAnsi="宋体" w:cs="宋体" w:eastAsia="宋体" w:hint="default"/>
          <w:b/>
          <w:bCs/>
          <w:sz w:val="24"/>
          <w:szCs w:val="24"/>
        </w:rPr>
      </w:pPr>
    </w:p>
    <w:p>
      <w:pPr>
        <w:spacing w:before="0"/>
        <w:ind w:left="153" w:right="85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）政府补助基本情况</w:t>
      </w:r>
      <w:r>
        <w:rPr>
          <w:rFonts w:ascii="宋体" w:hAnsi="宋体" w:cs="宋体" w:eastAsia="宋体" w:hint="default"/>
          <w:sz w:val="21"/>
          <w:szCs w:val="21"/>
        </w:rPr>
      </w:r>
    </w:p>
    <w:p>
      <w:pPr>
        <w:spacing w:line="240" w:lineRule="auto" w:before="5"/>
        <w:rPr>
          <w:rFonts w:ascii="宋体" w:hAnsi="宋体" w:cs="宋体" w:eastAsia="宋体" w:hint="default"/>
          <w:b/>
          <w:bCs/>
          <w:sz w:val="26"/>
          <w:szCs w:val="26"/>
        </w:rPr>
      </w:pPr>
    </w:p>
    <w:p>
      <w:pPr>
        <w:pStyle w:val="BodyText"/>
        <w:spacing w:line="240" w:lineRule="auto"/>
        <w:ind w:left="0" w:right="1121"/>
        <w:jc w:val="right"/>
      </w:pPr>
      <w:r>
        <w:rPr/>
        <w:t>单位：</w:t>
      </w:r>
      <w:r>
        <w:rPr>
          <w:spacing w:val="5"/>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405"/>
        <w:gridCol w:w="1983"/>
        <w:gridCol w:w="1988"/>
        <w:gridCol w:w="2195"/>
      </w:tblGrid>
      <w:tr>
        <w:trPr>
          <w:trHeight w:val="398" w:hRule="exact"/>
        </w:trPr>
        <w:tc>
          <w:tcPr>
            <w:tcW w:w="3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28" w:right="0"/>
              <w:jc w:val="left"/>
              <w:rPr>
                <w:rFonts w:ascii="宋体" w:hAnsi="宋体" w:cs="宋体" w:eastAsia="宋体" w:hint="default"/>
                <w:sz w:val="18"/>
                <w:szCs w:val="18"/>
              </w:rPr>
            </w:pPr>
            <w:r>
              <w:rPr>
                <w:rFonts w:ascii="宋体" w:hAnsi="宋体" w:cs="宋体" w:eastAsia="宋体" w:hint="default"/>
                <w:sz w:val="18"/>
                <w:szCs w:val="18"/>
              </w:rPr>
              <w:t>列报项目</w:t>
            </w:r>
          </w:p>
        </w:tc>
        <w:tc>
          <w:tcPr>
            <w:tcW w:w="2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83" w:right="0"/>
              <w:jc w:val="left"/>
              <w:rPr>
                <w:rFonts w:ascii="宋体" w:hAnsi="宋体" w:cs="宋体" w:eastAsia="宋体" w:hint="default"/>
                <w:sz w:val="18"/>
                <w:szCs w:val="18"/>
              </w:rPr>
            </w:pPr>
            <w:r>
              <w:rPr>
                <w:rFonts w:ascii="宋体" w:hAnsi="宋体" w:cs="宋体" w:eastAsia="宋体" w:hint="default"/>
                <w:spacing w:val="-3"/>
                <w:sz w:val="18"/>
                <w:szCs w:val="18"/>
              </w:rPr>
              <w:t>计入当期损益的金额</w:t>
            </w:r>
          </w:p>
        </w:tc>
      </w:tr>
      <w:tr>
        <w:trPr>
          <w:trHeight w:val="403" w:hRule="exact"/>
        </w:trPr>
        <w:tc>
          <w:tcPr>
            <w:tcW w:w="3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金融行业业务管理与信息服务系统应用</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08" w:right="0"/>
              <w:jc w:val="left"/>
              <w:rPr>
                <w:rFonts w:ascii="Times New Roman" w:hAnsi="Times New Roman" w:cs="Times New Roman" w:eastAsia="Times New Roman" w:hint="default"/>
                <w:sz w:val="18"/>
                <w:szCs w:val="18"/>
              </w:rPr>
            </w:pPr>
            <w:r>
              <w:rPr>
                <w:rFonts w:ascii="Times New Roman"/>
                <w:sz w:val="18"/>
              </w:rPr>
              <w:t>2,389,064.46</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19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6"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405"/>
        <w:gridCol w:w="1983"/>
        <w:gridCol w:w="1988"/>
        <w:gridCol w:w="2195"/>
      </w:tblGrid>
      <w:tr>
        <w:trPr>
          <w:trHeight w:val="403" w:hRule="exact"/>
        </w:trPr>
        <w:tc>
          <w:tcPr>
            <w:tcW w:w="3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昆明市工业企业扩销促产补助</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400,000.00</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195"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南天职能运维管理平台项目</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1,060,000.00</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195"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405" w:type="dxa"/>
            <w:tcBorders>
              <w:top w:val="single" w:sz="4" w:space="0" w:color="000000"/>
              <w:left w:val="single" w:sz="4" w:space="0" w:color="000000"/>
              <w:bottom w:val="single" w:sz="4" w:space="0" w:color="000000"/>
              <w:right w:val="single" w:sz="4" w:space="0" w:color="000000"/>
            </w:tcBorders>
          </w:tcPr>
          <w:p>
            <w:pPr>
              <w:pStyle w:val="TableParagraph"/>
              <w:spacing w:line="295" w:lineRule="auto" w:before="59"/>
              <w:ind w:left="24" w:right="8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6"/>
                <w:sz w:val="18"/>
                <w:szCs w:val="18"/>
              </w:rPr>
              <w:t> </w:t>
            </w:r>
            <w:r>
              <w:rPr>
                <w:rFonts w:ascii="宋体" w:hAnsi="宋体" w:cs="宋体" w:eastAsia="宋体" w:hint="default"/>
                <w:spacing w:val="-3"/>
                <w:sz w:val="18"/>
                <w:szCs w:val="18"/>
              </w:rPr>
              <w:t>年盘龙区昆明市引导企业加大研究与</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试验发展经费投入</w:t>
            </w:r>
            <w:r>
              <w:rPr>
                <w:rFonts w:ascii="Times New Roman" w:hAnsi="Times New Roman" w:cs="Times New Roman" w:eastAsia="Times New Roman" w:hint="default"/>
                <w:sz w:val="18"/>
                <w:szCs w:val="18"/>
              </w:rPr>
              <w:t>“</w:t>
            </w:r>
            <w:r>
              <w:rPr>
                <w:rFonts w:ascii="宋体" w:hAnsi="宋体" w:cs="宋体" w:eastAsia="宋体" w:hint="default"/>
                <w:sz w:val="18"/>
                <w:szCs w:val="18"/>
              </w:rPr>
              <w:t>放管服</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pacing w:val="-3"/>
                <w:sz w:val="18"/>
                <w:szCs w:val="18"/>
              </w:rPr>
              <w:t>扶持资金</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221,900.00</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19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云岭产业技术领军人才项目</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400,000.00</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19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专利资助费</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25,000.00</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195"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3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南天行业大数据智慧平台项目</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2,400,000.00</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19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中小微企业云服务综合平台</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700,000.00</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19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40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24" w:right="8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6"/>
                <w:sz w:val="18"/>
                <w:szCs w:val="18"/>
              </w:rPr>
              <w:t> </w:t>
            </w:r>
            <w:r>
              <w:rPr>
                <w:rFonts w:ascii="宋体" w:hAnsi="宋体" w:cs="宋体" w:eastAsia="宋体" w:hint="default"/>
                <w:spacing w:val="-3"/>
                <w:sz w:val="18"/>
                <w:szCs w:val="18"/>
              </w:rPr>
              <w:t>创业园补助（昆明市人力资源和社会</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保障局）</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181,681.10</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7,920.00</w:t>
            </w:r>
          </w:p>
        </w:tc>
      </w:tr>
      <w:tr>
        <w:trPr>
          <w:trHeight w:val="716" w:hRule="exact"/>
        </w:trPr>
        <w:tc>
          <w:tcPr>
            <w:tcW w:w="340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123"/>
              <w:jc w:val="left"/>
              <w:rPr>
                <w:rFonts w:ascii="宋体" w:hAnsi="宋体" w:cs="宋体" w:eastAsia="宋体" w:hint="default"/>
                <w:sz w:val="18"/>
                <w:szCs w:val="18"/>
              </w:rPr>
            </w:pPr>
            <w:r>
              <w:rPr>
                <w:rFonts w:ascii="宋体" w:hAnsi="宋体" w:cs="宋体" w:eastAsia="宋体" w:hint="default"/>
                <w:spacing w:val="-3"/>
                <w:sz w:val="18"/>
                <w:szCs w:val="18"/>
              </w:rPr>
              <w:t>昆明经济技术开发区管理委员会（非公党</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建示范点建设）</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2"/>
                <w:sz w:val="18"/>
              </w:rPr>
              <w:t>74,115.28</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40,815.80</w:t>
            </w:r>
          </w:p>
        </w:tc>
      </w:tr>
      <w:tr>
        <w:trPr>
          <w:trHeight w:val="398" w:hRule="exact"/>
        </w:trPr>
        <w:tc>
          <w:tcPr>
            <w:tcW w:w="3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智慧党建平台</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200,000.00</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19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昆明市信息产业发展项目资金</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700,000.00</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195"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340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23"/>
              <w:jc w:val="both"/>
              <w:rPr>
                <w:rFonts w:ascii="宋体" w:hAnsi="宋体" w:cs="宋体" w:eastAsia="宋体" w:hint="default"/>
                <w:sz w:val="18"/>
                <w:szCs w:val="18"/>
              </w:rPr>
            </w:pPr>
            <w:r>
              <w:rPr>
                <w:rFonts w:ascii="宋体" w:hAnsi="宋体" w:cs="宋体" w:eastAsia="宋体" w:hint="default"/>
                <w:spacing w:val="-3"/>
                <w:sz w:val="18"/>
                <w:szCs w:val="18"/>
              </w:rPr>
              <w:t>基于安全可靠基础软硬件的邮储银行个人</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核心业务集中授权及交易查询系统的构建</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z w:val="18"/>
                <w:szCs w:val="18"/>
              </w:rPr>
              <w:t>项目款</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5,308,500.00</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19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43"/>
                <w:sz w:val="18"/>
                <w:szCs w:val="18"/>
              </w:rPr>
              <w:t> </w:t>
            </w:r>
            <w:r>
              <w:rPr>
                <w:rFonts w:ascii="宋体" w:hAnsi="宋体" w:cs="宋体" w:eastAsia="宋体" w:hint="default"/>
                <w:spacing w:val="-3"/>
                <w:sz w:val="18"/>
                <w:szCs w:val="18"/>
              </w:rPr>
              <w:t>年电子信息产业振兴和技术改造</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10,338,505.13</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325,000.00</w:t>
            </w:r>
          </w:p>
        </w:tc>
      </w:tr>
      <w:tr>
        <w:trPr>
          <w:trHeight w:val="398" w:hRule="exact"/>
        </w:trPr>
        <w:tc>
          <w:tcPr>
            <w:tcW w:w="3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经济开发区项目</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3,141,315.00</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98,750.00</w:t>
            </w:r>
          </w:p>
        </w:tc>
      </w:tr>
      <w:tr>
        <w:trPr>
          <w:trHeight w:val="716" w:hRule="exact"/>
        </w:trPr>
        <w:tc>
          <w:tcPr>
            <w:tcW w:w="340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8"/>
              <w:ind w:left="24" w:right="18"/>
              <w:jc w:val="left"/>
              <w:rPr>
                <w:rFonts w:ascii="宋体" w:hAnsi="宋体" w:cs="宋体" w:eastAsia="宋体" w:hint="default"/>
                <w:sz w:val="18"/>
                <w:szCs w:val="18"/>
              </w:rPr>
            </w:pPr>
            <w:r>
              <w:rPr>
                <w:rFonts w:ascii="宋体" w:hAnsi="宋体" w:cs="宋体" w:eastAsia="宋体" w:hint="default"/>
                <w:spacing w:val="-7"/>
                <w:sz w:val="18"/>
                <w:szCs w:val="18"/>
              </w:rPr>
              <w:t>减免税金、即征即退退税、进项税额加计抵</w:t>
            </w:r>
            <w:r>
              <w:rPr>
                <w:rFonts w:ascii="宋体" w:hAnsi="宋体" w:cs="宋体" w:eastAsia="宋体" w:hint="default"/>
                <w:spacing w:val="-30"/>
                <w:sz w:val="18"/>
                <w:szCs w:val="18"/>
              </w:rPr>
              <w:t> </w:t>
            </w:r>
            <w:r>
              <w:rPr>
                <w:rFonts w:ascii="宋体" w:hAnsi="宋体" w:cs="宋体" w:eastAsia="宋体" w:hint="default"/>
                <w:spacing w:val="-30"/>
                <w:sz w:val="18"/>
                <w:szCs w:val="18"/>
              </w:rPr>
            </w:r>
            <w:r>
              <w:rPr>
                <w:rFonts w:ascii="宋体" w:hAnsi="宋体" w:cs="宋体" w:eastAsia="宋体" w:hint="default"/>
                <w:sz w:val="18"/>
                <w:szCs w:val="18"/>
              </w:rPr>
              <w:t>减</w:t>
            </w:r>
          </w:p>
        </w:tc>
        <w:tc>
          <w:tcPr>
            <w:tcW w:w="1983" w:type="dxa"/>
            <w:tcBorders>
              <w:top w:val="single" w:sz="4" w:space="0" w:color="000000"/>
              <w:left w:val="single" w:sz="4" w:space="0" w:color="000000"/>
              <w:bottom w:val="single" w:sz="4" w:space="0" w:color="000000"/>
              <w:right w:val="single" w:sz="4" w:space="0" w:color="000000"/>
            </w:tcBorders>
          </w:tcPr>
          <w:p>
            <w:pP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2,602,013.44</w:t>
            </w:r>
          </w:p>
        </w:tc>
      </w:tr>
      <w:tr>
        <w:trPr>
          <w:trHeight w:val="403" w:hRule="exact"/>
        </w:trPr>
        <w:tc>
          <w:tcPr>
            <w:tcW w:w="3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智慧城市解决方案及应用软件开发项目</w:t>
            </w:r>
          </w:p>
        </w:tc>
        <w:tc>
          <w:tcPr>
            <w:tcW w:w="1983" w:type="dxa"/>
            <w:tcBorders>
              <w:top w:val="single" w:sz="4" w:space="0" w:color="000000"/>
              <w:left w:val="single" w:sz="4" w:space="0" w:color="000000"/>
              <w:bottom w:val="single" w:sz="4" w:space="0" w:color="000000"/>
              <w:right w:val="single" w:sz="4" w:space="0" w:color="000000"/>
            </w:tcBorders>
          </w:tcPr>
          <w:p>
            <w:pP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2,000,000.00</w:t>
            </w:r>
          </w:p>
        </w:tc>
      </w:tr>
      <w:tr>
        <w:trPr>
          <w:trHeight w:val="715" w:hRule="exact"/>
        </w:trPr>
        <w:tc>
          <w:tcPr>
            <w:tcW w:w="3405" w:type="dxa"/>
            <w:tcBorders>
              <w:top w:val="single" w:sz="4" w:space="0" w:color="000000"/>
              <w:left w:val="single" w:sz="4" w:space="0" w:color="000000"/>
              <w:bottom w:val="single" w:sz="4" w:space="0" w:color="000000"/>
              <w:right w:val="single" w:sz="4" w:space="0" w:color="000000"/>
            </w:tcBorders>
          </w:tcPr>
          <w:p>
            <w:pPr>
              <w:pStyle w:val="TableParagraph"/>
              <w:spacing w:line="295" w:lineRule="auto" w:before="53"/>
              <w:ind w:left="24" w:right="31"/>
              <w:jc w:val="left"/>
              <w:rPr>
                <w:rFonts w:ascii="宋体" w:hAnsi="宋体" w:cs="宋体" w:eastAsia="宋体" w:hint="default"/>
                <w:sz w:val="18"/>
                <w:szCs w:val="18"/>
              </w:rPr>
            </w:pPr>
            <w:r>
              <w:rPr>
                <w:rFonts w:ascii="宋体" w:hAnsi="宋体" w:cs="宋体" w:eastAsia="宋体" w:hint="default"/>
                <w:spacing w:val="-3"/>
                <w:sz w:val="18"/>
                <w:szCs w:val="18"/>
              </w:rPr>
              <w:t>上海市长宁区财政局零余额专户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年科</w:t>
            </w:r>
            <w:r>
              <w:rPr>
                <w:rFonts w:ascii="宋体" w:hAnsi="宋体" w:cs="宋体" w:eastAsia="宋体" w:hint="default"/>
                <w:spacing w:val="-85"/>
                <w:sz w:val="18"/>
                <w:szCs w:val="18"/>
              </w:rPr>
              <w:t> </w:t>
            </w:r>
            <w:r>
              <w:rPr>
                <w:rFonts w:ascii="宋体" w:hAnsi="宋体" w:cs="宋体" w:eastAsia="宋体" w:hint="default"/>
                <w:sz w:val="18"/>
                <w:szCs w:val="18"/>
              </w:rPr>
              <w:t>技扶持款</w:t>
            </w:r>
          </w:p>
        </w:tc>
        <w:tc>
          <w:tcPr>
            <w:tcW w:w="1983" w:type="dxa"/>
            <w:tcBorders>
              <w:top w:val="single" w:sz="4" w:space="0" w:color="000000"/>
              <w:left w:val="single" w:sz="4" w:space="0" w:color="000000"/>
              <w:bottom w:val="single" w:sz="4" w:space="0" w:color="000000"/>
              <w:right w:val="single" w:sz="4" w:space="0" w:color="000000"/>
            </w:tcBorders>
          </w:tcPr>
          <w:p>
            <w:pP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1,801,000.00</w:t>
            </w:r>
          </w:p>
        </w:tc>
      </w:tr>
      <w:tr>
        <w:trPr>
          <w:trHeight w:val="399" w:hRule="exact"/>
        </w:trPr>
        <w:tc>
          <w:tcPr>
            <w:tcW w:w="3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商业银行中间业务云平台改造项目</w:t>
            </w:r>
          </w:p>
        </w:tc>
        <w:tc>
          <w:tcPr>
            <w:tcW w:w="1983" w:type="dxa"/>
            <w:tcBorders>
              <w:top w:val="single" w:sz="4" w:space="0" w:color="000000"/>
              <w:left w:val="single" w:sz="4" w:space="0" w:color="000000"/>
              <w:bottom w:val="single" w:sz="4" w:space="0" w:color="000000"/>
              <w:right w:val="single" w:sz="4" w:space="0" w:color="000000"/>
            </w:tcBorders>
          </w:tcPr>
          <w:p>
            <w:pP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1,500,000.00</w:t>
            </w:r>
          </w:p>
        </w:tc>
      </w:tr>
      <w:tr>
        <w:trPr>
          <w:trHeight w:val="715" w:hRule="exact"/>
        </w:trPr>
        <w:tc>
          <w:tcPr>
            <w:tcW w:w="3405"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8"/>
              <w:ind w:left="24" w:right="123"/>
              <w:jc w:val="left"/>
              <w:rPr>
                <w:rFonts w:ascii="宋体" w:hAnsi="宋体" w:cs="宋体" w:eastAsia="宋体" w:hint="default"/>
                <w:sz w:val="18"/>
                <w:szCs w:val="18"/>
              </w:rPr>
            </w:pPr>
            <w:r>
              <w:rPr>
                <w:rFonts w:ascii="宋体" w:hAnsi="宋体" w:cs="宋体" w:eastAsia="宋体" w:hint="default"/>
                <w:spacing w:val="-3"/>
                <w:sz w:val="18"/>
                <w:szCs w:val="18"/>
              </w:rPr>
              <w:t>南天多功能实时制卡智能终端研发及产业</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z w:val="18"/>
                <w:szCs w:val="18"/>
              </w:rPr>
              <w:t>化项目</w:t>
            </w:r>
          </w:p>
        </w:tc>
        <w:tc>
          <w:tcPr>
            <w:tcW w:w="1983" w:type="dxa"/>
            <w:tcBorders>
              <w:top w:val="single" w:sz="4" w:space="0" w:color="000000"/>
              <w:left w:val="single" w:sz="4" w:space="0" w:color="000000"/>
              <w:bottom w:val="single" w:sz="4" w:space="0" w:color="000000"/>
              <w:right w:val="single" w:sz="4" w:space="0" w:color="000000"/>
            </w:tcBorders>
          </w:tcPr>
          <w:p>
            <w:pP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715" w:hRule="exact"/>
        </w:trPr>
        <w:tc>
          <w:tcPr>
            <w:tcW w:w="340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23"/>
              <w:jc w:val="left"/>
              <w:rPr>
                <w:rFonts w:ascii="宋体" w:hAnsi="宋体" w:cs="宋体" w:eastAsia="宋体" w:hint="default"/>
                <w:sz w:val="18"/>
                <w:szCs w:val="18"/>
              </w:rPr>
            </w:pPr>
            <w:r>
              <w:rPr>
                <w:rFonts w:ascii="宋体" w:hAnsi="宋体" w:cs="宋体" w:eastAsia="宋体" w:hint="default"/>
                <w:spacing w:val="-3"/>
                <w:sz w:val="18"/>
                <w:szCs w:val="18"/>
              </w:rPr>
              <w:t>南天移动互联网金融设备研发及产业化项</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z w:val="18"/>
                <w:szCs w:val="18"/>
              </w:rPr>
              <w:t>目</w:t>
            </w:r>
          </w:p>
        </w:tc>
        <w:tc>
          <w:tcPr>
            <w:tcW w:w="1983" w:type="dxa"/>
            <w:tcBorders>
              <w:top w:val="single" w:sz="4" w:space="0" w:color="000000"/>
              <w:left w:val="single" w:sz="4" w:space="0" w:color="000000"/>
              <w:bottom w:val="single" w:sz="4" w:space="0" w:color="000000"/>
              <w:right w:val="single" w:sz="4" w:space="0" w:color="000000"/>
            </w:tcBorders>
          </w:tcPr>
          <w:p>
            <w:pP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404" w:hRule="exact"/>
        </w:trPr>
        <w:tc>
          <w:tcPr>
            <w:tcW w:w="3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研发后补助项目</w:t>
            </w:r>
          </w:p>
        </w:tc>
        <w:tc>
          <w:tcPr>
            <w:tcW w:w="1983" w:type="dxa"/>
            <w:tcBorders>
              <w:top w:val="single" w:sz="4" w:space="0" w:color="000000"/>
              <w:left w:val="single" w:sz="4" w:space="0" w:color="000000"/>
              <w:bottom w:val="single" w:sz="4" w:space="0" w:color="000000"/>
              <w:right w:val="single" w:sz="4" w:space="0" w:color="000000"/>
            </w:tcBorders>
          </w:tcPr>
          <w:p>
            <w:pP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639,000.00</w:t>
            </w:r>
          </w:p>
        </w:tc>
      </w:tr>
      <w:tr>
        <w:trPr>
          <w:trHeight w:val="398" w:hRule="exact"/>
        </w:trPr>
        <w:tc>
          <w:tcPr>
            <w:tcW w:w="3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收昆明市科学技术局政府补助</w:t>
            </w:r>
          </w:p>
        </w:tc>
        <w:tc>
          <w:tcPr>
            <w:tcW w:w="1983" w:type="dxa"/>
            <w:tcBorders>
              <w:top w:val="single" w:sz="4" w:space="0" w:color="000000"/>
              <w:left w:val="single" w:sz="4" w:space="0" w:color="000000"/>
              <w:bottom w:val="single" w:sz="4" w:space="0" w:color="000000"/>
              <w:right w:val="single" w:sz="4" w:space="0" w:color="000000"/>
            </w:tcBorders>
          </w:tcPr>
          <w:p>
            <w:pP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609,000.00</w:t>
            </w:r>
          </w:p>
        </w:tc>
      </w:tr>
      <w:tr>
        <w:trPr>
          <w:trHeight w:val="403" w:hRule="exact"/>
        </w:trPr>
        <w:tc>
          <w:tcPr>
            <w:tcW w:w="3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7"/>
                <w:sz w:val="18"/>
                <w:szCs w:val="18"/>
              </w:rPr>
              <w:t> </w:t>
            </w:r>
            <w:r>
              <w:rPr>
                <w:rFonts w:ascii="宋体" w:hAnsi="宋体" w:cs="宋体" w:eastAsia="宋体" w:hint="default"/>
                <w:spacing w:val="-3"/>
                <w:sz w:val="18"/>
                <w:szCs w:val="18"/>
              </w:rPr>
              <w:t>年昆明市研发投入后补助</w:t>
            </w:r>
          </w:p>
        </w:tc>
        <w:tc>
          <w:tcPr>
            <w:tcW w:w="1983" w:type="dxa"/>
            <w:tcBorders>
              <w:top w:val="single" w:sz="4" w:space="0" w:color="000000"/>
              <w:left w:val="single" w:sz="4" w:space="0" w:color="000000"/>
              <w:bottom w:val="single" w:sz="4" w:space="0" w:color="000000"/>
              <w:right w:val="single" w:sz="4" w:space="0" w:color="000000"/>
            </w:tcBorders>
          </w:tcPr>
          <w:p>
            <w:pP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456,300.00</w:t>
            </w:r>
          </w:p>
        </w:tc>
      </w:tr>
      <w:tr>
        <w:trPr>
          <w:trHeight w:val="403" w:hRule="exact"/>
        </w:trPr>
        <w:tc>
          <w:tcPr>
            <w:tcW w:w="3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收深圳市福田区科技创新局补贴款</w:t>
            </w:r>
          </w:p>
        </w:tc>
        <w:tc>
          <w:tcPr>
            <w:tcW w:w="1983" w:type="dxa"/>
            <w:tcBorders>
              <w:top w:val="single" w:sz="4" w:space="0" w:color="000000"/>
              <w:left w:val="single" w:sz="4" w:space="0" w:color="000000"/>
              <w:bottom w:val="single" w:sz="4" w:space="0" w:color="000000"/>
              <w:right w:val="single" w:sz="4" w:space="0" w:color="000000"/>
            </w:tcBorders>
          </w:tcPr>
          <w:p>
            <w:pP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385,000.00</w:t>
            </w:r>
          </w:p>
        </w:tc>
      </w:tr>
      <w:tr>
        <w:trPr>
          <w:trHeight w:val="404" w:hRule="exact"/>
        </w:trPr>
        <w:tc>
          <w:tcPr>
            <w:tcW w:w="3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昆明市科学技术局研发补助</w:t>
            </w:r>
          </w:p>
        </w:tc>
        <w:tc>
          <w:tcPr>
            <w:tcW w:w="1983" w:type="dxa"/>
            <w:tcBorders>
              <w:top w:val="single" w:sz="4" w:space="0" w:color="000000"/>
              <w:left w:val="single" w:sz="4" w:space="0" w:color="000000"/>
              <w:bottom w:val="single" w:sz="4" w:space="0" w:color="000000"/>
              <w:right w:val="single" w:sz="4" w:space="0" w:color="000000"/>
            </w:tcBorders>
          </w:tcPr>
          <w:p>
            <w:pP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368,000.00</w:t>
            </w:r>
          </w:p>
        </w:tc>
      </w:tr>
      <w:tr>
        <w:trPr>
          <w:trHeight w:val="398" w:hRule="exact"/>
        </w:trPr>
        <w:tc>
          <w:tcPr>
            <w:tcW w:w="3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稳岗补贴</w:t>
            </w:r>
          </w:p>
        </w:tc>
        <w:tc>
          <w:tcPr>
            <w:tcW w:w="1983" w:type="dxa"/>
            <w:tcBorders>
              <w:top w:val="single" w:sz="4" w:space="0" w:color="000000"/>
              <w:left w:val="single" w:sz="4" w:space="0" w:color="000000"/>
              <w:bottom w:val="single" w:sz="4" w:space="0" w:color="000000"/>
              <w:right w:val="single" w:sz="4" w:space="0" w:color="000000"/>
            </w:tcBorders>
          </w:tcPr>
          <w:p>
            <w:pP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308,873.50</w:t>
            </w:r>
          </w:p>
        </w:tc>
      </w:tr>
      <w:tr>
        <w:trPr>
          <w:trHeight w:val="403" w:hRule="exact"/>
        </w:trPr>
        <w:tc>
          <w:tcPr>
            <w:tcW w:w="3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收深圳市福田区国库支付中心补贴款</w:t>
            </w:r>
          </w:p>
        </w:tc>
        <w:tc>
          <w:tcPr>
            <w:tcW w:w="1983" w:type="dxa"/>
            <w:tcBorders>
              <w:top w:val="single" w:sz="4" w:space="0" w:color="000000"/>
              <w:left w:val="single" w:sz="4" w:space="0" w:color="000000"/>
              <w:bottom w:val="single" w:sz="4" w:space="0" w:color="000000"/>
              <w:right w:val="single" w:sz="4" w:space="0" w:color="000000"/>
            </w:tcBorders>
          </w:tcPr>
          <w:p>
            <w:pP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200,000.00</w:t>
            </w:r>
          </w:p>
        </w:tc>
      </w:tr>
    </w:tbl>
    <w:p>
      <w:pPr>
        <w:spacing w:after="0" w:line="240" w:lineRule="auto"/>
        <w:jc w:val="right"/>
        <w:rPr>
          <w:rFonts w:ascii="Times New Roman" w:hAnsi="Times New Roman" w:cs="Times New Roman" w:eastAsia="Times New Roman" w:hint="default"/>
          <w:sz w:val="18"/>
          <w:szCs w:val="18"/>
        </w:rPr>
        <w:sectPr>
          <w:pgSz w:w="11910" w:h="16840"/>
          <w:pgMar w:header="746"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405"/>
        <w:gridCol w:w="1983"/>
        <w:gridCol w:w="1988"/>
        <w:gridCol w:w="2195"/>
      </w:tblGrid>
      <w:tr>
        <w:trPr>
          <w:trHeight w:val="403" w:hRule="exact"/>
        </w:trPr>
        <w:tc>
          <w:tcPr>
            <w:tcW w:w="3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收天河区财政局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4"/>
                <w:sz w:val="18"/>
                <w:szCs w:val="18"/>
              </w:rPr>
              <w:t> </w:t>
            </w:r>
            <w:r>
              <w:rPr>
                <w:rFonts w:ascii="宋体" w:hAnsi="宋体" w:cs="宋体" w:eastAsia="宋体" w:hint="default"/>
                <w:spacing w:val="-3"/>
                <w:sz w:val="18"/>
                <w:szCs w:val="18"/>
              </w:rPr>
              <w:t>年高新技术产品补贴</w:t>
            </w:r>
          </w:p>
        </w:tc>
        <w:tc>
          <w:tcPr>
            <w:tcW w:w="1983" w:type="dxa"/>
            <w:tcBorders>
              <w:top w:val="single" w:sz="4" w:space="0" w:color="000000"/>
              <w:left w:val="single" w:sz="4" w:space="0" w:color="000000"/>
              <w:bottom w:val="single" w:sz="4" w:space="0" w:color="000000"/>
              <w:right w:val="single" w:sz="4" w:space="0" w:color="000000"/>
            </w:tcBorders>
          </w:tcPr>
          <w:p>
            <w:pP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150,000.00</w:t>
            </w:r>
          </w:p>
        </w:tc>
      </w:tr>
      <w:tr>
        <w:trPr>
          <w:trHeight w:val="711" w:hRule="exact"/>
        </w:trPr>
        <w:tc>
          <w:tcPr>
            <w:tcW w:w="3405"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3"/>
              <w:ind w:left="24" w:right="123"/>
              <w:jc w:val="left"/>
              <w:rPr>
                <w:rFonts w:ascii="宋体" w:hAnsi="宋体" w:cs="宋体" w:eastAsia="宋体" w:hint="default"/>
                <w:sz w:val="18"/>
                <w:szCs w:val="18"/>
              </w:rPr>
            </w:pPr>
            <w:r>
              <w:rPr>
                <w:rFonts w:ascii="宋体" w:hAnsi="宋体" w:cs="宋体" w:eastAsia="宋体" w:hint="default"/>
                <w:spacing w:val="-3"/>
                <w:sz w:val="18"/>
                <w:szCs w:val="18"/>
              </w:rPr>
              <w:t>收昆明市盘龙区科学技术和信息化局政府</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z w:val="18"/>
                <w:szCs w:val="18"/>
              </w:rPr>
              <w:t>补助</w:t>
            </w:r>
          </w:p>
        </w:tc>
        <w:tc>
          <w:tcPr>
            <w:tcW w:w="1983" w:type="dxa"/>
            <w:tcBorders>
              <w:top w:val="single" w:sz="4" w:space="0" w:color="000000"/>
              <w:left w:val="single" w:sz="4" w:space="0" w:color="000000"/>
              <w:bottom w:val="single" w:sz="4" w:space="0" w:color="000000"/>
              <w:right w:val="single" w:sz="4" w:space="0" w:color="000000"/>
            </w:tcBorders>
          </w:tcPr>
          <w:p>
            <w:pP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141,000.00</w:t>
            </w:r>
          </w:p>
        </w:tc>
      </w:tr>
      <w:tr>
        <w:trPr>
          <w:trHeight w:val="403" w:hRule="exact"/>
        </w:trPr>
        <w:tc>
          <w:tcPr>
            <w:tcW w:w="3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自助服务网络智能监控及运营</w:t>
            </w:r>
          </w:p>
        </w:tc>
        <w:tc>
          <w:tcPr>
            <w:tcW w:w="1983" w:type="dxa"/>
            <w:tcBorders>
              <w:top w:val="single" w:sz="4" w:space="0" w:color="000000"/>
              <w:left w:val="single" w:sz="4" w:space="0" w:color="000000"/>
              <w:bottom w:val="single" w:sz="4" w:space="0" w:color="000000"/>
              <w:right w:val="single" w:sz="4" w:space="0" w:color="000000"/>
            </w:tcBorders>
          </w:tcPr>
          <w:p>
            <w:pP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130,000.00</w:t>
            </w:r>
          </w:p>
        </w:tc>
      </w:tr>
      <w:tr>
        <w:trPr>
          <w:trHeight w:val="715" w:hRule="exact"/>
        </w:trPr>
        <w:tc>
          <w:tcPr>
            <w:tcW w:w="340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24" w:right="31"/>
              <w:jc w:val="left"/>
              <w:rPr>
                <w:rFonts w:ascii="宋体" w:hAnsi="宋体" w:cs="宋体" w:eastAsia="宋体" w:hint="default"/>
                <w:sz w:val="18"/>
                <w:szCs w:val="18"/>
              </w:rPr>
            </w:pPr>
            <w:r>
              <w:rPr>
                <w:rFonts w:ascii="宋体" w:hAnsi="宋体" w:cs="宋体" w:eastAsia="宋体" w:hint="default"/>
                <w:sz w:val="18"/>
                <w:szCs w:val="18"/>
              </w:rPr>
              <w:t>收天河区财政局</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2"/>
                <w:sz w:val="18"/>
                <w:szCs w:val="18"/>
              </w:rPr>
              <w:t> </w:t>
            </w:r>
            <w:r>
              <w:rPr>
                <w:rFonts w:ascii="宋体" w:hAnsi="宋体" w:cs="宋体" w:eastAsia="宋体" w:hint="default"/>
                <w:spacing w:val="-3"/>
                <w:sz w:val="18"/>
                <w:szCs w:val="18"/>
              </w:rPr>
              <w:t>年度高新技术企业认</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定通过奖励</w:t>
            </w:r>
          </w:p>
        </w:tc>
        <w:tc>
          <w:tcPr>
            <w:tcW w:w="1983" w:type="dxa"/>
            <w:tcBorders>
              <w:top w:val="single" w:sz="4" w:space="0" w:color="000000"/>
              <w:left w:val="single" w:sz="4" w:space="0" w:color="000000"/>
              <w:bottom w:val="single" w:sz="4" w:space="0" w:color="000000"/>
              <w:right w:val="single" w:sz="4" w:space="0" w:color="000000"/>
            </w:tcBorders>
          </w:tcPr>
          <w:p>
            <w:pP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120,000.00</w:t>
            </w:r>
          </w:p>
        </w:tc>
      </w:tr>
      <w:tr>
        <w:trPr>
          <w:trHeight w:val="403" w:hRule="exact"/>
        </w:trPr>
        <w:tc>
          <w:tcPr>
            <w:tcW w:w="3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1"/>
                <w:sz w:val="18"/>
                <w:szCs w:val="18"/>
              </w:rPr>
              <w:t> </w:t>
            </w:r>
            <w:r>
              <w:rPr>
                <w:rFonts w:ascii="宋体" w:hAnsi="宋体" w:cs="宋体" w:eastAsia="宋体" w:hint="default"/>
                <w:spacing w:val="-3"/>
                <w:sz w:val="18"/>
                <w:szCs w:val="18"/>
              </w:rPr>
              <w:t>年扩促增长奖励资金</w:t>
            </w:r>
          </w:p>
        </w:tc>
        <w:tc>
          <w:tcPr>
            <w:tcW w:w="1983" w:type="dxa"/>
            <w:tcBorders>
              <w:top w:val="single" w:sz="4" w:space="0" w:color="000000"/>
              <w:left w:val="single" w:sz="4" w:space="0" w:color="000000"/>
              <w:bottom w:val="single" w:sz="4" w:space="0" w:color="000000"/>
              <w:right w:val="single" w:sz="4" w:space="0" w:color="000000"/>
            </w:tcBorders>
          </w:tcPr>
          <w:p>
            <w:pP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110,000.00</w:t>
            </w:r>
          </w:p>
        </w:tc>
      </w:tr>
      <w:tr>
        <w:trPr>
          <w:trHeight w:val="399" w:hRule="exact"/>
        </w:trPr>
        <w:tc>
          <w:tcPr>
            <w:tcW w:w="3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非公党建示范点建设经费补助</w:t>
            </w:r>
          </w:p>
        </w:tc>
        <w:tc>
          <w:tcPr>
            <w:tcW w:w="1983" w:type="dxa"/>
            <w:tcBorders>
              <w:top w:val="single" w:sz="4" w:space="0" w:color="000000"/>
              <w:left w:val="single" w:sz="4" w:space="0" w:color="000000"/>
              <w:bottom w:val="single" w:sz="4" w:space="0" w:color="000000"/>
              <w:right w:val="single" w:sz="4" w:space="0" w:color="000000"/>
            </w:tcBorders>
          </w:tcPr>
          <w:p>
            <w:pP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102,116.89</w:t>
            </w:r>
          </w:p>
        </w:tc>
      </w:tr>
      <w:tr>
        <w:trPr>
          <w:trHeight w:val="403" w:hRule="exact"/>
        </w:trPr>
        <w:tc>
          <w:tcPr>
            <w:tcW w:w="3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新三板创新层挂牌企业补贴</w:t>
            </w:r>
          </w:p>
        </w:tc>
        <w:tc>
          <w:tcPr>
            <w:tcW w:w="1983" w:type="dxa"/>
            <w:tcBorders>
              <w:top w:val="single" w:sz="4" w:space="0" w:color="000000"/>
              <w:left w:val="single" w:sz="4" w:space="0" w:color="000000"/>
              <w:bottom w:val="single" w:sz="4" w:space="0" w:color="000000"/>
              <w:right w:val="single" w:sz="4" w:space="0" w:color="000000"/>
            </w:tcBorders>
          </w:tcPr>
          <w:p>
            <w:pP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100,000.00</w:t>
            </w:r>
          </w:p>
        </w:tc>
      </w:tr>
      <w:tr>
        <w:trPr>
          <w:trHeight w:val="715" w:hRule="exact"/>
        </w:trPr>
        <w:tc>
          <w:tcPr>
            <w:tcW w:w="340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24" w:right="32"/>
              <w:jc w:val="left"/>
              <w:rPr>
                <w:rFonts w:ascii="宋体" w:hAnsi="宋体" w:cs="宋体" w:eastAsia="宋体" w:hint="default"/>
                <w:sz w:val="18"/>
                <w:szCs w:val="18"/>
              </w:rPr>
            </w:pPr>
            <w:r>
              <w:rPr>
                <w:rFonts w:ascii="宋体" w:hAnsi="宋体" w:cs="宋体" w:eastAsia="宋体" w:hint="default"/>
                <w:sz w:val="18"/>
                <w:szCs w:val="18"/>
              </w:rPr>
              <w:t>经开区</w:t>
            </w:r>
            <w:r>
              <w:rPr>
                <w:rFonts w:ascii="宋体" w:hAnsi="宋体" w:cs="宋体" w:eastAsia="宋体" w:hint="default"/>
                <w:spacing w:val="-27"/>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8"/>
                <w:sz w:val="18"/>
                <w:szCs w:val="18"/>
              </w:rPr>
              <w:t> </w:t>
            </w:r>
            <w:r>
              <w:rPr>
                <w:rFonts w:ascii="宋体" w:hAnsi="宋体" w:cs="宋体" w:eastAsia="宋体" w:hint="default"/>
                <w:spacing w:val="-3"/>
                <w:sz w:val="18"/>
                <w:szCs w:val="18"/>
              </w:rPr>
              <w:t>年四季度保存量促增量扶持资</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金</w:t>
            </w:r>
          </w:p>
        </w:tc>
        <w:tc>
          <w:tcPr>
            <w:tcW w:w="1983" w:type="dxa"/>
            <w:tcBorders>
              <w:top w:val="single" w:sz="4" w:space="0" w:color="000000"/>
              <w:left w:val="single" w:sz="4" w:space="0" w:color="000000"/>
              <w:bottom w:val="single" w:sz="4" w:space="0" w:color="000000"/>
              <w:right w:val="single" w:sz="4" w:space="0" w:color="000000"/>
            </w:tcBorders>
          </w:tcPr>
          <w:p>
            <w:pP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83,800.00</w:t>
            </w:r>
          </w:p>
        </w:tc>
      </w:tr>
      <w:tr>
        <w:trPr>
          <w:trHeight w:val="404" w:hRule="exact"/>
        </w:trPr>
        <w:tc>
          <w:tcPr>
            <w:tcW w:w="3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3"/>
                <w:sz w:val="18"/>
                <w:szCs w:val="18"/>
              </w:rPr>
              <w:t> </w:t>
            </w:r>
            <w:r>
              <w:rPr>
                <w:rFonts w:ascii="宋体" w:hAnsi="宋体" w:cs="宋体" w:eastAsia="宋体" w:hint="default"/>
                <w:spacing w:val="-3"/>
                <w:sz w:val="18"/>
                <w:szCs w:val="18"/>
              </w:rPr>
              <w:t>年度创业服务平台年度考评补助</w:t>
            </w:r>
          </w:p>
        </w:tc>
        <w:tc>
          <w:tcPr>
            <w:tcW w:w="1983" w:type="dxa"/>
            <w:tcBorders>
              <w:top w:val="single" w:sz="4" w:space="0" w:color="000000"/>
              <w:left w:val="single" w:sz="4" w:space="0" w:color="000000"/>
              <w:bottom w:val="single" w:sz="4" w:space="0" w:color="000000"/>
              <w:right w:val="single" w:sz="4" w:space="0" w:color="000000"/>
            </w:tcBorders>
          </w:tcPr>
          <w:p>
            <w:pP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80,000.00</w:t>
            </w:r>
          </w:p>
        </w:tc>
      </w:tr>
      <w:tr>
        <w:trPr>
          <w:trHeight w:val="710" w:hRule="exact"/>
        </w:trPr>
        <w:tc>
          <w:tcPr>
            <w:tcW w:w="3405" w:type="dxa"/>
            <w:tcBorders>
              <w:top w:val="single" w:sz="4" w:space="0" w:color="000000"/>
              <w:left w:val="single" w:sz="4" w:space="0" w:color="000000"/>
              <w:bottom w:val="single" w:sz="4" w:space="0" w:color="000000"/>
              <w:right w:val="single" w:sz="4" w:space="0" w:color="000000"/>
            </w:tcBorders>
          </w:tcPr>
          <w:p>
            <w:pPr>
              <w:pStyle w:val="TableParagraph"/>
              <w:spacing w:line="295" w:lineRule="auto" w:before="53"/>
              <w:ind w:left="24" w:right="31"/>
              <w:jc w:val="left"/>
              <w:rPr>
                <w:rFonts w:ascii="宋体" w:hAnsi="宋体" w:cs="宋体" w:eastAsia="宋体" w:hint="default"/>
                <w:sz w:val="18"/>
                <w:szCs w:val="18"/>
              </w:rPr>
            </w:pPr>
            <w:r>
              <w:rPr>
                <w:rFonts w:ascii="宋体" w:hAnsi="宋体" w:cs="宋体" w:eastAsia="宋体" w:hint="default"/>
                <w:sz w:val="18"/>
                <w:szCs w:val="18"/>
              </w:rPr>
              <w:t>收广州市财政局</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2"/>
                <w:sz w:val="18"/>
                <w:szCs w:val="18"/>
              </w:rPr>
              <w:t> </w:t>
            </w:r>
            <w:r>
              <w:rPr>
                <w:rFonts w:ascii="宋体" w:hAnsi="宋体" w:cs="宋体" w:eastAsia="宋体" w:hint="default"/>
                <w:spacing w:val="-3"/>
                <w:sz w:val="18"/>
                <w:szCs w:val="18"/>
              </w:rPr>
              <w:t>年高新技术企业认定</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通过奖励</w:t>
            </w:r>
          </w:p>
        </w:tc>
        <w:tc>
          <w:tcPr>
            <w:tcW w:w="1983" w:type="dxa"/>
            <w:tcBorders>
              <w:top w:val="single" w:sz="4" w:space="0" w:color="000000"/>
              <w:left w:val="single" w:sz="4" w:space="0" w:color="000000"/>
              <w:bottom w:val="single" w:sz="4" w:space="0" w:color="000000"/>
              <w:right w:val="single" w:sz="4" w:space="0" w:color="000000"/>
            </w:tcBorders>
          </w:tcPr>
          <w:p>
            <w:pP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80,000.00</w:t>
            </w:r>
          </w:p>
        </w:tc>
      </w:tr>
      <w:tr>
        <w:trPr>
          <w:trHeight w:val="403" w:hRule="exact"/>
        </w:trPr>
        <w:tc>
          <w:tcPr>
            <w:tcW w:w="3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企业房租补贴</w:t>
            </w:r>
          </w:p>
        </w:tc>
        <w:tc>
          <w:tcPr>
            <w:tcW w:w="1983" w:type="dxa"/>
            <w:tcBorders>
              <w:top w:val="single" w:sz="4" w:space="0" w:color="000000"/>
              <w:left w:val="single" w:sz="4" w:space="0" w:color="000000"/>
              <w:bottom w:val="single" w:sz="4" w:space="0" w:color="000000"/>
              <w:right w:val="single" w:sz="4" w:space="0" w:color="000000"/>
            </w:tcBorders>
          </w:tcPr>
          <w:p>
            <w:pP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79,920.00</w:t>
            </w:r>
          </w:p>
        </w:tc>
      </w:tr>
      <w:tr>
        <w:trPr>
          <w:trHeight w:val="404" w:hRule="exact"/>
        </w:trPr>
        <w:tc>
          <w:tcPr>
            <w:tcW w:w="3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3"/>
                <w:sz w:val="18"/>
                <w:szCs w:val="18"/>
              </w:rPr>
              <w:t> </w:t>
            </w:r>
            <w:r>
              <w:rPr>
                <w:rFonts w:ascii="宋体" w:hAnsi="宋体" w:cs="宋体" w:eastAsia="宋体" w:hint="default"/>
                <w:spacing w:val="-3"/>
                <w:sz w:val="18"/>
                <w:szCs w:val="18"/>
              </w:rPr>
              <w:t>年第三批企业生产力扶持资金</w:t>
            </w:r>
          </w:p>
        </w:tc>
        <w:tc>
          <w:tcPr>
            <w:tcW w:w="1983" w:type="dxa"/>
            <w:tcBorders>
              <w:top w:val="single" w:sz="4" w:space="0" w:color="000000"/>
              <w:left w:val="single" w:sz="4" w:space="0" w:color="000000"/>
              <w:bottom w:val="single" w:sz="4" w:space="0" w:color="000000"/>
              <w:right w:val="single" w:sz="4" w:space="0" w:color="000000"/>
            </w:tcBorders>
          </w:tcPr>
          <w:p>
            <w:pP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62,000.00</w:t>
            </w:r>
          </w:p>
        </w:tc>
      </w:tr>
      <w:tr>
        <w:trPr>
          <w:trHeight w:val="715" w:hRule="exact"/>
        </w:trPr>
        <w:tc>
          <w:tcPr>
            <w:tcW w:w="3405"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3"/>
              <w:ind w:left="24" w:right="123"/>
              <w:jc w:val="left"/>
              <w:rPr>
                <w:rFonts w:ascii="宋体" w:hAnsi="宋体" w:cs="宋体" w:eastAsia="宋体" w:hint="default"/>
                <w:sz w:val="18"/>
                <w:szCs w:val="18"/>
              </w:rPr>
            </w:pPr>
            <w:r>
              <w:rPr>
                <w:rFonts w:ascii="宋体" w:hAnsi="宋体" w:cs="宋体" w:eastAsia="宋体" w:hint="default"/>
                <w:spacing w:val="-3"/>
                <w:sz w:val="18"/>
                <w:szCs w:val="18"/>
              </w:rPr>
              <w:t>昆明市新型创业创新孵化服务园区一次性</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z w:val="18"/>
                <w:szCs w:val="18"/>
              </w:rPr>
              <w:t>资金补助</w:t>
            </w:r>
          </w:p>
        </w:tc>
        <w:tc>
          <w:tcPr>
            <w:tcW w:w="1983" w:type="dxa"/>
            <w:tcBorders>
              <w:top w:val="single" w:sz="4" w:space="0" w:color="000000"/>
              <w:left w:val="single" w:sz="4" w:space="0" w:color="000000"/>
              <w:bottom w:val="single" w:sz="4" w:space="0" w:color="000000"/>
              <w:right w:val="single" w:sz="4" w:space="0" w:color="000000"/>
            </w:tcBorders>
          </w:tcPr>
          <w:p>
            <w:pP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50,000.00</w:t>
            </w:r>
          </w:p>
        </w:tc>
      </w:tr>
      <w:tr>
        <w:trPr>
          <w:trHeight w:val="398" w:hRule="exact"/>
        </w:trPr>
        <w:tc>
          <w:tcPr>
            <w:tcW w:w="3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收科技厅创新项目经费</w:t>
            </w:r>
          </w:p>
        </w:tc>
        <w:tc>
          <w:tcPr>
            <w:tcW w:w="1983" w:type="dxa"/>
            <w:tcBorders>
              <w:top w:val="single" w:sz="4" w:space="0" w:color="000000"/>
              <w:left w:val="single" w:sz="4" w:space="0" w:color="000000"/>
              <w:bottom w:val="single" w:sz="4" w:space="0" w:color="000000"/>
              <w:right w:val="single" w:sz="4" w:space="0" w:color="000000"/>
            </w:tcBorders>
          </w:tcPr>
          <w:p>
            <w:pP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50,000.00</w:t>
            </w:r>
          </w:p>
        </w:tc>
      </w:tr>
      <w:tr>
        <w:trPr>
          <w:trHeight w:val="716" w:hRule="exact"/>
        </w:trPr>
        <w:tc>
          <w:tcPr>
            <w:tcW w:w="3405" w:type="dxa"/>
            <w:tcBorders>
              <w:top w:val="single" w:sz="4" w:space="0" w:color="000000"/>
              <w:left w:val="single" w:sz="4" w:space="0" w:color="000000"/>
              <w:bottom w:val="single" w:sz="4" w:space="0" w:color="000000"/>
              <w:right w:val="single" w:sz="4" w:space="0" w:color="000000"/>
            </w:tcBorders>
          </w:tcPr>
          <w:p>
            <w:pPr>
              <w:pStyle w:val="TableParagraph"/>
              <w:spacing w:line="295" w:lineRule="auto" w:before="58"/>
              <w:ind w:left="24" w:right="32"/>
              <w:jc w:val="left"/>
              <w:rPr>
                <w:rFonts w:ascii="宋体" w:hAnsi="宋体" w:cs="宋体" w:eastAsia="宋体" w:hint="default"/>
                <w:sz w:val="18"/>
                <w:szCs w:val="18"/>
              </w:rPr>
            </w:pPr>
            <w:r>
              <w:rPr>
                <w:rFonts w:ascii="宋体" w:hAnsi="宋体" w:cs="宋体" w:eastAsia="宋体" w:hint="default"/>
                <w:sz w:val="18"/>
                <w:szCs w:val="18"/>
              </w:rPr>
              <w:t>经开区</w:t>
            </w:r>
            <w:r>
              <w:rPr>
                <w:rFonts w:ascii="宋体" w:hAnsi="宋体" w:cs="宋体" w:eastAsia="宋体" w:hint="default"/>
                <w:spacing w:val="-27"/>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8"/>
                <w:sz w:val="18"/>
                <w:szCs w:val="18"/>
              </w:rPr>
              <w:t> </w:t>
            </w:r>
            <w:r>
              <w:rPr>
                <w:rFonts w:ascii="宋体" w:hAnsi="宋体" w:cs="宋体" w:eastAsia="宋体" w:hint="default"/>
                <w:spacing w:val="-3"/>
                <w:sz w:val="18"/>
                <w:szCs w:val="18"/>
              </w:rPr>
              <w:t>年三季度保存量促增量扶持资</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金</w:t>
            </w:r>
          </w:p>
        </w:tc>
        <w:tc>
          <w:tcPr>
            <w:tcW w:w="1983" w:type="dxa"/>
            <w:tcBorders>
              <w:top w:val="single" w:sz="4" w:space="0" w:color="000000"/>
              <w:left w:val="single" w:sz="4" w:space="0" w:color="000000"/>
              <w:bottom w:val="single" w:sz="4" w:space="0" w:color="000000"/>
              <w:right w:val="single" w:sz="4" w:space="0" w:color="000000"/>
            </w:tcBorders>
          </w:tcPr>
          <w:p>
            <w:pP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47,800.00</w:t>
            </w:r>
          </w:p>
        </w:tc>
      </w:tr>
      <w:tr>
        <w:trPr>
          <w:trHeight w:val="403" w:hRule="exact"/>
        </w:trPr>
        <w:tc>
          <w:tcPr>
            <w:tcW w:w="3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收天河区财政局软件著作权奖励</w:t>
            </w:r>
          </w:p>
        </w:tc>
        <w:tc>
          <w:tcPr>
            <w:tcW w:w="1983" w:type="dxa"/>
            <w:tcBorders>
              <w:top w:val="single" w:sz="4" w:space="0" w:color="000000"/>
              <w:left w:val="single" w:sz="4" w:space="0" w:color="000000"/>
              <w:bottom w:val="single" w:sz="4" w:space="0" w:color="000000"/>
              <w:right w:val="single" w:sz="4" w:space="0" w:color="000000"/>
            </w:tcBorders>
          </w:tcPr>
          <w:p>
            <w:pP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15,000.00</w:t>
            </w:r>
          </w:p>
        </w:tc>
      </w:tr>
      <w:tr>
        <w:trPr>
          <w:trHeight w:val="403" w:hRule="exact"/>
        </w:trPr>
        <w:tc>
          <w:tcPr>
            <w:tcW w:w="3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3"/>
                <w:sz w:val="18"/>
                <w:szCs w:val="18"/>
              </w:rPr>
              <w:t> </w:t>
            </w:r>
            <w:r>
              <w:rPr>
                <w:rFonts w:ascii="宋体" w:hAnsi="宋体" w:cs="宋体" w:eastAsia="宋体" w:hint="default"/>
                <w:spacing w:val="-3"/>
                <w:sz w:val="18"/>
                <w:szCs w:val="18"/>
              </w:rPr>
              <w:t>年度企业争取上级资金经费补助</w:t>
            </w:r>
          </w:p>
        </w:tc>
        <w:tc>
          <w:tcPr>
            <w:tcW w:w="1983" w:type="dxa"/>
            <w:tcBorders>
              <w:top w:val="single" w:sz="4" w:space="0" w:color="000000"/>
              <w:left w:val="single" w:sz="4" w:space="0" w:color="000000"/>
              <w:bottom w:val="single" w:sz="4" w:space="0" w:color="000000"/>
              <w:right w:val="single" w:sz="4" w:space="0" w:color="000000"/>
            </w:tcBorders>
          </w:tcPr>
          <w:p>
            <w:pP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10,000.00</w:t>
            </w:r>
          </w:p>
        </w:tc>
      </w:tr>
      <w:tr>
        <w:trPr>
          <w:trHeight w:val="398" w:hRule="exact"/>
        </w:trPr>
        <w:tc>
          <w:tcPr>
            <w:tcW w:w="3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收天河区财政局专利补贴</w:t>
            </w:r>
          </w:p>
        </w:tc>
        <w:tc>
          <w:tcPr>
            <w:tcW w:w="1983" w:type="dxa"/>
            <w:tcBorders>
              <w:top w:val="single" w:sz="4" w:space="0" w:color="000000"/>
              <w:left w:val="single" w:sz="4" w:space="0" w:color="000000"/>
              <w:bottom w:val="single" w:sz="4" w:space="0" w:color="000000"/>
              <w:right w:val="single" w:sz="4" w:space="0" w:color="000000"/>
            </w:tcBorders>
          </w:tcPr>
          <w:p>
            <w:pP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4,800.00</w:t>
            </w:r>
          </w:p>
        </w:tc>
      </w:tr>
      <w:tr>
        <w:trPr>
          <w:trHeight w:val="404" w:hRule="exact"/>
        </w:trPr>
        <w:tc>
          <w:tcPr>
            <w:tcW w:w="3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917" w:right="0"/>
              <w:jc w:val="left"/>
              <w:rPr>
                <w:rFonts w:ascii="Times New Roman" w:hAnsi="Times New Roman" w:cs="Times New Roman" w:eastAsia="Times New Roman" w:hint="default"/>
                <w:sz w:val="18"/>
                <w:szCs w:val="18"/>
              </w:rPr>
            </w:pPr>
            <w:r>
              <w:rPr>
                <w:rFonts w:ascii="Times New Roman"/>
                <w:sz w:val="18"/>
              </w:rPr>
              <w:t>27,540,080.97</w:t>
            </w:r>
          </w:p>
        </w:tc>
        <w:tc>
          <w:tcPr>
            <w:tcW w:w="1988" w:type="dxa"/>
            <w:tcBorders>
              <w:top w:val="single" w:sz="4" w:space="0" w:color="000000"/>
              <w:left w:val="single" w:sz="4" w:space="0" w:color="000000"/>
              <w:bottom w:val="single" w:sz="4" w:space="0" w:color="000000"/>
              <w:right w:val="single" w:sz="4" w:space="0" w:color="000000"/>
            </w:tcBorders>
          </w:tcPr>
          <w:p>
            <w:pPr/>
          </w:p>
        </w:tc>
        <w:tc>
          <w:tcPr>
            <w:tcW w:w="2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pacing w:val="-1"/>
                <w:sz w:val="18"/>
              </w:rPr>
              <w:t>14,758,109.63</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6"/>
        <w:ind w:right="855"/>
        <w:jc w:val="left"/>
        <w:rPr>
          <w:b w:val="0"/>
          <w:bCs w:val="0"/>
        </w:rPr>
      </w:pPr>
      <w:r>
        <w:rPr/>
        <w:t>（</w:t>
      </w:r>
      <w:r>
        <w:rPr>
          <w:rFonts w:ascii="Times New Roman" w:hAnsi="Times New Roman" w:cs="Times New Roman" w:eastAsia="Times New Roman" w:hint="default"/>
        </w:rPr>
        <w:t>2</w:t>
      </w:r>
      <w:r>
        <w:rPr/>
        <w:t>）政府补助退回情况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854"/>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2"/>
        </w:rPr>
        <w:t> </w:t>
      </w:r>
      <w:r>
        <w:rPr/>
        <w:t>不适用</w:t>
      </w:r>
      <w:r>
        <w:rPr>
          <w:w w:val="101"/>
        </w:rPr>
        <w:t> </w:t>
      </w:r>
      <w:r>
        <w:rPr/>
        <w:t>其他说明：</w:t>
      </w:r>
    </w:p>
    <w:p>
      <w:pPr>
        <w:spacing w:line="240" w:lineRule="auto" w:before="6"/>
        <w:rPr>
          <w:rFonts w:ascii="宋体" w:hAnsi="宋体" w:cs="宋体" w:eastAsia="宋体" w:hint="default"/>
          <w:sz w:val="19"/>
          <w:szCs w:val="19"/>
        </w:rPr>
      </w:pPr>
    </w:p>
    <w:p>
      <w:pPr>
        <w:pStyle w:val="Heading2"/>
        <w:spacing w:line="240" w:lineRule="auto"/>
        <w:ind w:right="855"/>
        <w:jc w:val="left"/>
        <w:rPr>
          <w:b w:val="0"/>
          <w:bCs w:val="0"/>
        </w:rPr>
      </w:pPr>
      <w:r>
        <w:rPr/>
        <w:t>八、合并范围的变更</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855"/>
        <w:jc w:val="left"/>
        <w:rPr>
          <w:b w:val="0"/>
          <w:bCs w:val="0"/>
        </w:rPr>
      </w:pPr>
      <w:r>
        <w:rPr>
          <w:rFonts w:ascii="Times New Roman" w:hAnsi="Times New Roman" w:cs="Times New Roman" w:eastAsia="Times New Roman" w:hint="default"/>
        </w:rPr>
        <w:t>1</w:t>
      </w:r>
      <w:r>
        <w:rPr/>
        <w:t>、非同一控制下企业合并</w:t>
      </w:r>
      <w:r>
        <w:rPr>
          <w:b w:val="0"/>
          <w:bCs w:val="0"/>
        </w:rPr>
      </w:r>
    </w:p>
    <w:p>
      <w:pPr>
        <w:spacing w:line="240" w:lineRule="auto" w:before="10"/>
        <w:rPr>
          <w:rFonts w:ascii="宋体" w:hAnsi="宋体" w:cs="宋体" w:eastAsia="宋体" w:hint="default"/>
          <w:b/>
          <w:bCs/>
          <w:sz w:val="24"/>
          <w:szCs w:val="24"/>
        </w:rPr>
      </w:pPr>
    </w:p>
    <w:p>
      <w:pPr>
        <w:spacing w:before="0"/>
        <w:ind w:left="153" w:right="85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）本期发生的非同一控制下企业合并</w:t>
      </w:r>
      <w:r>
        <w:rPr>
          <w:rFonts w:ascii="宋体" w:hAnsi="宋体" w:cs="宋体" w:eastAsia="宋体" w:hint="default"/>
          <w:sz w:val="21"/>
          <w:szCs w:val="21"/>
        </w:rPr>
      </w:r>
    </w:p>
    <w:p>
      <w:pPr>
        <w:spacing w:line="240" w:lineRule="auto" w:before="2"/>
        <w:rPr>
          <w:rFonts w:ascii="宋体" w:hAnsi="宋体" w:cs="宋体" w:eastAsia="宋体" w:hint="default"/>
          <w:b/>
          <w:bCs/>
          <w:sz w:val="23"/>
          <w:szCs w:val="23"/>
        </w:rPr>
      </w:pPr>
    </w:p>
    <w:p>
      <w:pPr>
        <w:pStyle w:val="BodyText"/>
        <w:spacing w:line="240" w:lineRule="auto" w:before="46"/>
        <w:ind w:left="0" w:right="1121"/>
        <w:jc w:val="right"/>
      </w:pPr>
      <w:r>
        <w:rPr/>
        <w:t>单位：</w:t>
      </w:r>
      <w:r>
        <w:rPr>
          <w:spacing w:val="5"/>
        </w:rPr>
        <w:t> </w:t>
      </w:r>
      <w:r>
        <w:rPr/>
        <w:t>元</w:t>
      </w:r>
    </w:p>
    <w:p>
      <w:pPr>
        <w:spacing w:after="0" w:line="240" w:lineRule="auto"/>
        <w:jc w:val="right"/>
        <w:sectPr>
          <w:pgSz w:w="11910" w:h="16840"/>
          <w:pgMar w:header="746" w:footer="974"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061"/>
        <w:gridCol w:w="783"/>
        <w:gridCol w:w="994"/>
        <w:gridCol w:w="850"/>
        <w:gridCol w:w="994"/>
        <w:gridCol w:w="706"/>
        <w:gridCol w:w="2060"/>
        <w:gridCol w:w="1061"/>
        <w:gridCol w:w="1066"/>
      </w:tblGrid>
      <w:tr>
        <w:trPr>
          <w:trHeight w:val="1027"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2" w:lineRule="auto"/>
              <w:ind w:left="436" w:right="70" w:hanging="360"/>
              <w:jc w:val="left"/>
              <w:rPr>
                <w:rFonts w:ascii="宋体" w:hAnsi="宋体" w:cs="宋体" w:eastAsia="宋体" w:hint="default"/>
                <w:sz w:val="18"/>
                <w:szCs w:val="18"/>
              </w:rPr>
            </w:pPr>
            <w:r>
              <w:rPr>
                <w:rFonts w:ascii="宋体" w:hAnsi="宋体" w:cs="宋体" w:eastAsia="宋体" w:hint="default"/>
                <w:spacing w:val="-2"/>
                <w:sz w:val="18"/>
                <w:szCs w:val="18"/>
              </w:rPr>
              <w:t>被购买方名</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称</w:t>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2" w:lineRule="auto"/>
              <w:ind w:left="211" w:right="17" w:hanging="183"/>
              <w:jc w:val="left"/>
              <w:rPr>
                <w:rFonts w:ascii="宋体" w:hAnsi="宋体" w:cs="宋体" w:eastAsia="宋体" w:hint="default"/>
                <w:sz w:val="18"/>
                <w:szCs w:val="18"/>
              </w:rPr>
            </w:pPr>
            <w:r>
              <w:rPr>
                <w:rFonts w:ascii="宋体" w:hAnsi="宋体" w:cs="宋体" w:eastAsia="宋体" w:hint="default"/>
                <w:sz w:val="18"/>
                <w:szCs w:val="18"/>
              </w:rPr>
              <w:t>股权取得</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时点</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2" w:lineRule="auto"/>
              <w:ind w:left="403" w:right="36" w:hanging="360"/>
              <w:jc w:val="left"/>
              <w:rPr>
                <w:rFonts w:ascii="宋体" w:hAnsi="宋体" w:cs="宋体" w:eastAsia="宋体" w:hint="default"/>
                <w:sz w:val="18"/>
                <w:szCs w:val="18"/>
              </w:rPr>
            </w:pPr>
            <w:r>
              <w:rPr>
                <w:rFonts w:ascii="宋体" w:hAnsi="宋体" w:cs="宋体" w:eastAsia="宋体" w:hint="default"/>
                <w:spacing w:val="-2"/>
                <w:sz w:val="18"/>
                <w:szCs w:val="18"/>
              </w:rPr>
              <w:t>股权取得成</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本</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2" w:lineRule="auto"/>
              <w:ind w:left="240" w:right="50" w:hanging="178"/>
              <w:jc w:val="left"/>
              <w:rPr>
                <w:rFonts w:ascii="宋体" w:hAnsi="宋体" w:cs="宋体" w:eastAsia="宋体" w:hint="default"/>
                <w:sz w:val="18"/>
                <w:szCs w:val="18"/>
              </w:rPr>
            </w:pPr>
            <w:r>
              <w:rPr>
                <w:rFonts w:ascii="宋体" w:hAnsi="宋体" w:cs="宋体" w:eastAsia="宋体" w:hint="default"/>
                <w:sz w:val="18"/>
                <w:szCs w:val="18"/>
              </w:rPr>
              <w:t>股权取得</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比例</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2" w:lineRule="auto"/>
              <w:ind w:left="403" w:right="36" w:hanging="361"/>
              <w:jc w:val="left"/>
              <w:rPr>
                <w:rFonts w:ascii="宋体" w:hAnsi="宋体" w:cs="宋体" w:eastAsia="宋体" w:hint="default"/>
                <w:sz w:val="18"/>
                <w:szCs w:val="18"/>
              </w:rPr>
            </w:pPr>
            <w:r>
              <w:rPr>
                <w:rFonts w:ascii="宋体" w:hAnsi="宋体" w:cs="宋体" w:eastAsia="宋体" w:hint="default"/>
                <w:spacing w:val="-2"/>
                <w:sz w:val="18"/>
                <w:szCs w:val="18"/>
              </w:rPr>
              <w:t>股权取得方</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式</w:t>
            </w:r>
          </w:p>
        </w:tc>
        <w:tc>
          <w:tcPr>
            <w:tcW w:w="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81"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2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302" w:right="0"/>
              <w:jc w:val="left"/>
              <w:rPr>
                <w:rFonts w:ascii="宋体" w:hAnsi="宋体" w:cs="宋体" w:eastAsia="宋体" w:hint="default"/>
                <w:sz w:val="18"/>
                <w:szCs w:val="18"/>
              </w:rPr>
            </w:pPr>
            <w:r>
              <w:rPr>
                <w:rFonts w:ascii="宋体" w:hAnsi="宋体" w:cs="宋体" w:eastAsia="宋体" w:hint="default"/>
                <w:sz w:val="18"/>
                <w:szCs w:val="18"/>
              </w:rPr>
              <w:t>购买日的确定依据</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76" w:right="69"/>
              <w:jc w:val="center"/>
              <w:rPr>
                <w:rFonts w:ascii="宋体" w:hAnsi="宋体" w:cs="宋体" w:eastAsia="宋体" w:hint="default"/>
                <w:sz w:val="18"/>
                <w:szCs w:val="18"/>
              </w:rPr>
            </w:pPr>
            <w:r>
              <w:rPr>
                <w:rFonts w:ascii="宋体" w:hAnsi="宋体" w:cs="宋体" w:eastAsia="宋体" w:hint="default"/>
                <w:spacing w:val="-2"/>
                <w:sz w:val="18"/>
                <w:szCs w:val="18"/>
              </w:rPr>
              <w:t>购买日至期</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末被购买方</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的收入</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77" w:right="74"/>
              <w:jc w:val="both"/>
              <w:rPr>
                <w:rFonts w:ascii="宋体" w:hAnsi="宋体" w:cs="宋体" w:eastAsia="宋体" w:hint="default"/>
                <w:sz w:val="18"/>
                <w:szCs w:val="18"/>
              </w:rPr>
            </w:pPr>
            <w:r>
              <w:rPr>
                <w:rFonts w:ascii="宋体" w:hAnsi="宋体" w:cs="宋体" w:eastAsia="宋体" w:hint="default"/>
                <w:spacing w:val="-2"/>
                <w:sz w:val="18"/>
                <w:szCs w:val="18"/>
              </w:rPr>
              <w:t>购买日至期</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末被购买方</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的净利润</w:t>
            </w:r>
          </w:p>
        </w:tc>
      </w:tr>
      <w:tr>
        <w:trPr>
          <w:trHeight w:val="1340"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4" w:right="123"/>
              <w:jc w:val="both"/>
              <w:rPr>
                <w:rFonts w:ascii="宋体" w:hAnsi="宋体" w:cs="宋体" w:eastAsia="宋体" w:hint="default"/>
                <w:sz w:val="18"/>
                <w:szCs w:val="18"/>
              </w:rPr>
            </w:pPr>
            <w:r>
              <w:rPr>
                <w:rFonts w:ascii="宋体" w:hAnsi="宋体" w:cs="宋体" w:eastAsia="宋体" w:hint="default"/>
                <w:spacing w:val="-2"/>
                <w:sz w:val="18"/>
                <w:szCs w:val="18"/>
              </w:rPr>
              <w:t>广州市海捷</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计算机科技</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有限公司</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19,200,000.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264" w:right="0"/>
              <w:jc w:val="left"/>
              <w:rPr>
                <w:rFonts w:ascii="Times New Roman" w:hAnsi="Times New Roman" w:cs="Times New Roman" w:eastAsia="Times New Roman" w:hint="default"/>
                <w:sz w:val="18"/>
                <w:szCs w:val="18"/>
              </w:rPr>
            </w:pPr>
            <w:r>
              <w:rPr>
                <w:rFonts w:ascii="Times New Roman"/>
                <w:sz w:val="18"/>
              </w:rPr>
              <w:t>60.00%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2" w:lineRule="auto" w:before="131"/>
              <w:ind w:left="23" w:right="55"/>
              <w:jc w:val="left"/>
              <w:rPr>
                <w:rFonts w:ascii="宋体" w:hAnsi="宋体" w:cs="宋体" w:eastAsia="宋体" w:hint="default"/>
                <w:sz w:val="18"/>
                <w:szCs w:val="18"/>
              </w:rPr>
            </w:pPr>
            <w:r>
              <w:rPr>
                <w:rFonts w:ascii="宋体" w:hAnsi="宋体" w:cs="宋体" w:eastAsia="宋体" w:hint="default"/>
                <w:spacing w:val="-2"/>
                <w:sz w:val="18"/>
                <w:szCs w:val="18"/>
              </w:rPr>
              <w:t>支付现金购</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买股份</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4"/>
              <w:ind w:left="23" w:right="41"/>
              <w:jc w:val="both"/>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月底，南天信</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3"/>
                <w:sz w:val="18"/>
                <w:szCs w:val="18"/>
              </w:rPr>
              <w:t>息向原股东支付全部收购</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pacing w:val="-3"/>
                <w:sz w:val="18"/>
                <w:szCs w:val="18"/>
              </w:rPr>
              <w:t>价款，且海捷科技完成工</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pacing w:val="-3"/>
                <w:sz w:val="18"/>
                <w:szCs w:val="18"/>
              </w:rPr>
              <w:t>商变更及公司章程变更。</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3"/>
        <w:rPr>
          <w:rFonts w:ascii="宋体" w:hAnsi="宋体" w:cs="宋体" w:eastAsia="宋体" w:hint="default"/>
          <w:sz w:val="19"/>
          <w:szCs w:val="19"/>
        </w:rPr>
      </w:pPr>
    </w:p>
    <w:p>
      <w:pPr>
        <w:pStyle w:val="Heading4"/>
        <w:spacing w:line="240" w:lineRule="auto" w:before="36"/>
        <w:ind w:right="855"/>
        <w:jc w:val="left"/>
        <w:rPr>
          <w:b w:val="0"/>
          <w:bCs w:val="0"/>
        </w:rPr>
      </w:pPr>
      <w:r>
        <w:rPr/>
        <w:t>（</w:t>
      </w:r>
      <w:r>
        <w:rPr>
          <w:rFonts w:ascii="Times New Roman" w:hAnsi="Times New Roman" w:cs="Times New Roman" w:eastAsia="Times New Roman" w:hint="default"/>
        </w:rPr>
        <w:t>2</w:t>
      </w:r>
      <w:r>
        <w:rPr/>
        <w:t>）合并成本及商誉</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6"/>
        <w:ind w:left="0" w:right="1121"/>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788"/>
        <w:gridCol w:w="4783"/>
      </w:tblGrid>
      <w:tr>
        <w:trPr>
          <w:trHeight w:val="398"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合并成本</w:t>
            </w:r>
          </w:p>
        </w:tc>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28" w:right="0"/>
              <w:jc w:val="left"/>
              <w:rPr>
                <w:rFonts w:ascii="宋体" w:hAnsi="宋体" w:cs="宋体" w:eastAsia="宋体" w:hint="default"/>
                <w:sz w:val="18"/>
                <w:szCs w:val="18"/>
              </w:rPr>
            </w:pPr>
            <w:r>
              <w:rPr>
                <w:rFonts w:ascii="宋体" w:hAnsi="宋体" w:cs="宋体" w:eastAsia="宋体" w:hint="default"/>
                <w:spacing w:val="-3"/>
                <w:sz w:val="18"/>
                <w:szCs w:val="18"/>
              </w:rPr>
              <w:t>广州市海捷计算机科技有限公司</w:t>
            </w:r>
          </w:p>
        </w:tc>
      </w:tr>
      <w:tr>
        <w:trPr>
          <w:trHeight w:val="409"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19,200,000.00</w:t>
            </w:r>
          </w:p>
        </w:tc>
      </w:tr>
      <w:tr>
        <w:trPr>
          <w:trHeight w:val="401"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合并成本合计</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19,200,000.00</w:t>
            </w:r>
          </w:p>
        </w:tc>
      </w:tr>
      <w:tr>
        <w:trPr>
          <w:trHeight w:val="401"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pacing w:val="-3"/>
                <w:sz w:val="18"/>
                <w:szCs w:val="18"/>
              </w:rPr>
              <w:t>减：取得的可辨认净资产公允价值份额</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3"/>
              <w:jc w:val="right"/>
              <w:rPr>
                <w:rFonts w:ascii="Times New Roman" w:hAnsi="Times New Roman" w:cs="Times New Roman" w:eastAsia="Times New Roman" w:hint="default"/>
                <w:sz w:val="18"/>
                <w:szCs w:val="18"/>
              </w:rPr>
            </w:pPr>
            <w:r>
              <w:rPr>
                <w:rFonts w:ascii="Times New Roman"/>
                <w:spacing w:val="-1"/>
                <w:sz w:val="18"/>
              </w:rPr>
              <w:t>10,884,327.20</w:t>
            </w:r>
          </w:p>
        </w:tc>
      </w:tr>
      <w:tr>
        <w:trPr>
          <w:trHeight w:val="715"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196"/>
              <w:jc w:val="left"/>
              <w:rPr>
                <w:rFonts w:ascii="宋体" w:hAnsi="宋体" w:cs="宋体" w:eastAsia="宋体" w:hint="default"/>
                <w:sz w:val="18"/>
                <w:szCs w:val="18"/>
              </w:rPr>
            </w:pPr>
            <w:r>
              <w:rPr>
                <w:rFonts w:ascii="宋体" w:hAnsi="宋体" w:cs="宋体" w:eastAsia="宋体" w:hint="default"/>
                <w:spacing w:val="-3"/>
                <w:sz w:val="18"/>
                <w:szCs w:val="18"/>
              </w:rPr>
              <w:t>商誉</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合并成本小于取得的可辨认净资产公允价值份额的金</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z w:val="18"/>
                <w:szCs w:val="18"/>
              </w:rPr>
              <w:t>额</w:t>
            </w:r>
          </w:p>
        </w:tc>
        <w:tc>
          <w:tcPr>
            <w:tcW w:w="478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8,315,672.80</w:t>
            </w:r>
          </w:p>
        </w:tc>
      </w:tr>
    </w:tbl>
    <w:p>
      <w:pPr>
        <w:spacing w:line="240" w:lineRule="auto" w:before="3"/>
        <w:rPr>
          <w:rFonts w:ascii="宋体" w:hAnsi="宋体" w:cs="宋体" w:eastAsia="宋体" w:hint="default"/>
          <w:sz w:val="19"/>
          <w:szCs w:val="19"/>
        </w:rPr>
      </w:pPr>
    </w:p>
    <w:p>
      <w:pPr>
        <w:pStyle w:val="Heading4"/>
        <w:spacing w:line="240" w:lineRule="auto" w:before="36"/>
        <w:ind w:right="855"/>
        <w:jc w:val="left"/>
        <w:rPr>
          <w:b w:val="0"/>
          <w:bCs w:val="0"/>
        </w:rPr>
      </w:pP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6"/>
        <w:ind w:left="0" w:right="1121"/>
        <w:jc w:val="right"/>
      </w:pPr>
      <w:r>
        <w:rPr/>
        <w:t>单位：</w:t>
      </w:r>
      <w:r>
        <w:rPr>
          <w:spacing w:val="5"/>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4"/>
        <w:gridCol w:w="3189"/>
        <w:gridCol w:w="3193"/>
      </w:tblGrid>
      <w:tr>
        <w:trPr>
          <w:trHeight w:val="399"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8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25" w:right="0"/>
              <w:jc w:val="left"/>
              <w:rPr>
                <w:rFonts w:ascii="宋体" w:hAnsi="宋体" w:cs="宋体" w:eastAsia="宋体" w:hint="default"/>
                <w:sz w:val="18"/>
                <w:szCs w:val="18"/>
              </w:rPr>
            </w:pPr>
            <w:r>
              <w:rPr>
                <w:rFonts w:ascii="宋体" w:hAnsi="宋体" w:cs="宋体" w:eastAsia="宋体" w:hint="default"/>
                <w:spacing w:val="-3"/>
                <w:sz w:val="18"/>
                <w:szCs w:val="18"/>
              </w:rPr>
              <w:t>广州市海捷计算机科技有限公司</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60" w:right="0"/>
              <w:jc w:val="left"/>
              <w:rPr>
                <w:rFonts w:ascii="宋体" w:hAnsi="宋体" w:cs="宋体" w:eastAsia="宋体" w:hint="default"/>
                <w:sz w:val="18"/>
                <w:szCs w:val="18"/>
              </w:rPr>
            </w:pPr>
            <w:r>
              <w:rPr>
                <w:rFonts w:ascii="宋体" w:hAnsi="宋体" w:cs="宋体" w:eastAsia="宋体" w:hint="default"/>
                <w:spacing w:val="-3"/>
                <w:sz w:val="18"/>
                <w:szCs w:val="18"/>
              </w:rPr>
              <w:t>购买日公允价值</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60" w:right="0"/>
              <w:jc w:val="left"/>
              <w:rPr>
                <w:rFonts w:ascii="宋体" w:hAnsi="宋体" w:cs="宋体" w:eastAsia="宋体" w:hint="default"/>
                <w:sz w:val="18"/>
                <w:szCs w:val="18"/>
              </w:rPr>
            </w:pPr>
            <w:r>
              <w:rPr>
                <w:rFonts w:ascii="宋体" w:hAnsi="宋体" w:cs="宋体" w:eastAsia="宋体" w:hint="default"/>
                <w:spacing w:val="-3"/>
                <w:sz w:val="18"/>
                <w:szCs w:val="18"/>
              </w:rPr>
              <w:t>购买日账面价值</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24,289,656.74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21,162,806.94</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9,135,541.15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9,135,541.15</w:t>
            </w:r>
          </w:p>
        </w:tc>
      </w:tr>
      <w:tr>
        <w:trPr>
          <w:trHeight w:val="398"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应收款项</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8,869,827.95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8,869,827.95</w:t>
            </w:r>
          </w:p>
        </w:tc>
      </w:tr>
      <w:tr>
        <w:trPr>
          <w:trHeight w:val="404"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285,514.94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285,514.94</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4,032,761.82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905,912.02</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77.04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77.04</w:t>
            </w:r>
          </w:p>
        </w:tc>
      </w:tr>
      <w:tr>
        <w:trPr>
          <w:trHeight w:val="398"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1,807,638.64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1,807,638.64</w:t>
            </w:r>
          </w:p>
        </w:tc>
      </w:tr>
      <w:tr>
        <w:trPr>
          <w:trHeight w:val="404"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158,295.20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158,295.20</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3"/>
                <w:sz w:val="18"/>
              </w:rPr>
              <w:t>6,149,111.40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5,680,083.93</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应付款项</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1,552,596.00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1,552,596.00</w:t>
            </w:r>
          </w:p>
        </w:tc>
      </w:tr>
      <w:tr>
        <w:trPr>
          <w:trHeight w:val="398"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469,027.47</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1,604,201.44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1,604,201.44</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1,226,264.57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1,226,264.57</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1,249,598.42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1,249,598.42</w:t>
            </w:r>
          </w:p>
        </w:tc>
      </w:tr>
    </w:tbl>
    <w:p>
      <w:pPr>
        <w:spacing w:after="0" w:line="240" w:lineRule="auto"/>
        <w:jc w:val="right"/>
        <w:rPr>
          <w:rFonts w:ascii="Times New Roman" w:hAnsi="Times New Roman" w:cs="Times New Roman" w:eastAsia="Times New Roman" w:hint="default"/>
          <w:sz w:val="18"/>
          <w:szCs w:val="18"/>
        </w:rPr>
        <w:sectPr>
          <w:pgSz w:w="11910" w:h="16840"/>
          <w:pgMar w:header="746" w:footer="974"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93"/>
        <w:gridCol w:w="3189"/>
        <w:gridCol w:w="3193"/>
      </w:tblGrid>
      <w:tr>
        <w:trPr>
          <w:trHeight w:val="403"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47,423.50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47,423.50</w:t>
            </w:r>
          </w:p>
        </w:tc>
      </w:tr>
      <w:tr>
        <w:trPr>
          <w:trHeight w:val="398"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18,140,545.34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15,482,723.01</w:t>
            </w:r>
          </w:p>
        </w:tc>
      </w:tr>
      <w:tr>
        <w:trPr>
          <w:trHeight w:val="404"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取得的净资产</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pacing w:val="-1"/>
                <w:sz w:val="18"/>
              </w:rPr>
              <w:t>18,140,545.34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8"/>
                <w:szCs w:val="18"/>
              </w:rPr>
            </w:pPr>
            <w:r>
              <w:rPr>
                <w:rFonts w:ascii="Times New Roman"/>
                <w:spacing w:val="-1"/>
                <w:sz w:val="18"/>
              </w:rPr>
              <w:t>15,482,723.01</w:t>
            </w:r>
          </w:p>
        </w:tc>
      </w:tr>
    </w:tbl>
    <w:p>
      <w:pPr>
        <w:pStyle w:val="BodyText"/>
        <w:spacing w:line="357" w:lineRule="auto" w:before="53"/>
        <w:ind w:left="513" w:right="855" w:hanging="360"/>
        <w:jc w:val="left"/>
      </w:pPr>
      <w:r>
        <w:rPr>
          <w:spacing w:val="-3"/>
        </w:rPr>
        <w:t>可辨认资产、负债公允价值的确定方法：</w:t>
      </w:r>
      <w:r>
        <w:rPr>
          <w:spacing w:val="-33"/>
        </w:rPr>
        <w:t> </w:t>
      </w:r>
      <w:r>
        <w:rPr>
          <w:spacing w:val="-33"/>
        </w:rPr>
      </w:r>
      <w:r>
        <w:rPr>
          <w:spacing w:val="-4"/>
        </w:rPr>
        <w:t>对广州市海捷计算机科技有限公司的全部有形资产，按照评估价值确认，对企业经营中形成的渠道价值和商标价值进行</w:t>
      </w:r>
    </w:p>
    <w:p>
      <w:pPr>
        <w:pStyle w:val="BodyText"/>
        <w:spacing w:line="224" w:lineRule="exact"/>
        <w:ind w:right="855"/>
        <w:jc w:val="left"/>
      </w:pPr>
      <w:r>
        <w:rPr>
          <w:spacing w:val="-3"/>
        </w:rPr>
        <w:t>了估值，并按照估值结论作为无形资产的公允价值。</w:t>
      </w:r>
    </w:p>
    <w:p>
      <w:pPr>
        <w:pStyle w:val="BodyText"/>
        <w:spacing w:line="357" w:lineRule="auto" w:before="119"/>
        <w:ind w:right="7425"/>
        <w:jc w:val="left"/>
      </w:pPr>
      <w:r>
        <w:rPr>
          <w:spacing w:val="-3"/>
        </w:rPr>
        <w:t>企业合并中承担的被购买方的或有负债：</w:t>
      </w:r>
      <w:r>
        <w:rPr>
          <w:spacing w:val="-33"/>
        </w:rPr>
        <w:t> </w:t>
      </w:r>
      <w:r>
        <w:rPr>
          <w:spacing w:val="-33"/>
        </w:rPr>
      </w:r>
      <w:r>
        <w:rPr/>
        <w:t>无</w:t>
      </w:r>
    </w:p>
    <w:p>
      <w:pPr>
        <w:pStyle w:val="BodyText"/>
        <w:spacing w:line="352" w:lineRule="auto" w:before="31"/>
        <w:ind w:right="9861"/>
        <w:jc w:val="left"/>
      </w:pPr>
      <w:r>
        <w:rPr>
          <w:spacing w:val="-2"/>
        </w:rPr>
        <w:t>其他说明：</w:t>
      </w:r>
      <w:r>
        <w:rPr>
          <w:spacing w:val="-78"/>
        </w:rPr>
        <w:t> </w:t>
      </w:r>
      <w:r>
        <w:rPr>
          <w:spacing w:val="-78"/>
        </w:rPr>
      </w:r>
      <w:r>
        <w:rPr/>
        <w:t>无</w:t>
      </w:r>
    </w:p>
    <w:p>
      <w:pPr>
        <w:spacing w:line="240" w:lineRule="auto" w:before="7"/>
        <w:rPr>
          <w:rFonts w:ascii="宋体" w:hAnsi="宋体" w:cs="宋体" w:eastAsia="宋体" w:hint="default"/>
          <w:sz w:val="20"/>
          <w:szCs w:val="20"/>
        </w:rPr>
      </w:pPr>
    </w:p>
    <w:p>
      <w:pPr>
        <w:pStyle w:val="Heading4"/>
        <w:spacing w:line="240" w:lineRule="auto"/>
        <w:ind w:right="855"/>
        <w:jc w:val="left"/>
        <w:rPr>
          <w:b w:val="0"/>
          <w:bCs w:val="0"/>
        </w:rPr>
      </w:pP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10"/>
        <w:rPr>
          <w:rFonts w:ascii="宋体" w:hAnsi="宋体" w:cs="宋体" w:eastAsia="宋体" w:hint="default"/>
          <w:b/>
          <w:bCs/>
          <w:sz w:val="26"/>
          <w:szCs w:val="26"/>
        </w:rPr>
      </w:pPr>
    </w:p>
    <w:p>
      <w:pPr>
        <w:pStyle w:val="BodyText"/>
        <w:spacing w:line="240" w:lineRule="auto"/>
        <w:ind w:right="855"/>
        <w:jc w:val="left"/>
      </w:pPr>
      <w:r>
        <w:rPr>
          <w:spacing w:val="-3"/>
        </w:rPr>
        <w:t>是否存在通过多次交易分步实现企业合并且在报告期内取得控制权的交易</w:t>
      </w:r>
    </w:p>
    <w:p>
      <w:pPr>
        <w:pStyle w:val="BodyText"/>
        <w:spacing w:line="240" w:lineRule="auto" w:before="115"/>
        <w:ind w:right="855"/>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8"/>
        <w:rPr>
          <w:rFonts w:ascii="宋体" w:hAnsi="宋体" w:cs="宋体" w:eastAsia="宋体" w:hint="default"/>
          <w:sz w:val="25"/>
          <w:szCs w:val="25"/>
        </w:rPr>
      </w:pPr>
    </w:p>
    <w:p>
      <w:pPr>
        <w:pStyle w:val="Heading4"/>
        <w:spacing w:line="240" w:lineRule="auto"/>
        <w:ind w:right="855"/>
        <w:jc w:val="left"/>
        <w:rPr>
          <w:b w:val="0"/>
          <w:bCs w:val="0"/>
        </w:rPr>
      </w:pPr>
      <w:r>
        <w:rPr/>
        <w:t>（</w:t>
      </w:r>
      <w:r>
        <w:rPr>
          <w:rFonts w:ascii="Times New Roman" w:hAnsi="Times New Roman" w:cs="Times New Roman" w:eastAsia="Times New Roman" w:hint="default"/>
        </w:rPr>
        <w:t>5</w:t>
      </w:r>
      <w:r>
        <w:rPr/>
        <w:t>）购买日或合并当期期末无法合理确定合并对价或被购买方可辨认资产、负债公允价值的相关说明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855"/>
        <w:jc w:val="left"/>
      </w:pPr>
      <w:r>
        <w:rPr>
          <w:w w:val="101"/>
        </w:rPr>
        <w:t>无</w:t>
      </w:r>
      <w:r>
        <w:rPr/>
      </w:r>
    </w:p>
    <w:p>
      <w:pPr>
        <w:spacing w:line="240" w:lineRule="auto" w:before="0"/>
        <w:rPr>
          <w:rFonts w:ascii="宋体" w:hAnsi="宋体" w:cs="宋体" w:eastAsia="宋体" w:hint="default"/>
          <w:sz w:val="18"/>
          <w:szCs w:val="18"/>
        </w:rPr>
      </w:pPr>
    </w:p>
    <w:p>
      <w:pPr>
        <w:spacing w:line="484" w:lineRule="auto" w:before="118"/>
        <w:ind w:left="153" w:right="810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）其他说明</w:t>
      </w:r>
      <w:r>
        <w:rPr>
          <w:rFonts w:ascii="宋体" w:hAnsi="宋体" w:cs="宋体" w:eastAsia="宋体" w:hint="default"/>
          <w:b/>
          <w:bCs/>
          <w:w w:val="100"/>
          <w:sz w:val="21"/>
          <w:szCs w:val="21"/>
        </w:rPr>
        <w:t> </w:t>
      </w:r>
      <w:r>
        <w:rPr>
          <w:rFonts w:ascii="宋体" w:hAnsi="宋体" w:cs="宋体" w:eastAsia="宋体" w:hint="default"/>
          <w:b/>
          <w:bCs/>
          <w:sz w:val="24"/>
          <w:szCs w:val="24"/>
        </w:rPr>
        <w:t>九、在其他主体中的权益</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、在子公司中的权益</w:t>
      </w:r>
      <w:r>
        <w:rPr>
          <w:rFonts w:ascii="宋体" w:hAnsi="宋体" w:cs="宋体" w:eastAsia="宋体" w:hint="default"/>
          <w:sz w:val="21"/>
          <w:szCs w:val="21"/>
        </w:rPr>
      </w:r>
    </w:p>
    <w:p>
      <w:pPr>
        <w:pStyle w:val="Heading4"/>
        <w:spacing w:line="240" w:lineRule="auto" w:before="86"/>
        <w:ind w:right="855"/>
        <w:jc w:val="left"/>
        <w:rPr>
          <w:b w:val="0"/>
          <w:bCs w:val="0"/>
        </w:rPr>
      </w:pPr>
      <w:r>
        <w:rPr/>
        <w:t>（</w:t>
      </w:r>
      <w:r>
        <w:rPr>
          <w:rFonts w:ascii="Times New Roman" w:hAnsi="Times New Roman" w:cs="Times New Roman" w:eastAsia="Times New Roman" w:hint="default"/>
        </w:rPr>
        <w:t>1</w:t>
      </w:r>
      <w:r>
        <w:rPr/>
        <w:t>）企业集团的构成</w:t>
      </w:r>
      <w:r>
        <w:rPr>
          <w:b w:val="0"/>
          <w:bCs w:val="0"/>
        </w:rPr>
      </w:r>
    </w:p>
    <w:p>
      <w:pPr>
        <w:spacing w:line="240" w:lineRule="auto" w:before="11"/>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405"/>
        <w:gridCol w:w="1416"/>
        <w:gridCol w:w="1133"/>
        <w:gridCol w:w="1138"/>
        <w:gridCol w:w="989"/>
        <w:gridCol w:w="567"/>
        <w:gridCol w:w="926"/>
      </w:tblGrid>
      <w:tr>
        <w:trPr>
          <w:trHeight w:val="404" w:hRule="exact"/>
        </w:trPr>
        <w:tc>
          <w:tcPr>
            <w:tcW w:w="34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14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left="254"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13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left="292"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1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5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13"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92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398" w:hRule="exact"/>
        </w:trPr>
        <w:tc>
          <w:tcPr>
            <w:tcW w:w="3405" w:type="dxa"/>
            <w:vMerge/>
            <w:tcBorders>
              <w:left w:val="single" w:sz="4" w:space="0" w:color="000000"/>
              <w:bottom w:val="single" w:sz="4" w:space="0" w:color="000000"/>
              <w:right w:val="single" w:sz="4" w:space="0" w:color="000000"/>
            </w:tcBorders>
            <w:shd w:val="clear" w:color="auto" w:fill="D2D2D2"/>
          </w:tcPr>
          <w:p>
            <w:pPr/>
          </w:p>
        </w:tc>
        <w:tc>
          <w:tcPr>
            <w:tcW w:w="1416" w:type="dxa"/>
            <w:vMerge/>
            <w:tcBorders>
              <w:left w:val="single" w:sz="4" w:space="0" w:color="000000"/>
              <w:bottom w:val="single" w:sz="4" w:space="0" w:color="000000"/>
              <w:right w:val="single" w:sz="4" w:space="0" w:color="000000"/>
            </w:tcBorders>
            <w:shd w:val="clear" w:color="auto" w:fill="D2D2D2"/>
          </w:tcPr>
          <w:p>
            <w:pPr/>
          </w:p>
        </w:tc>
        <w:tc>
          <w:tcPr>
            <w:tcW w:w="1133" w:type="dxa"/>
            <w:vMerge/>
            <w:tcBorders>
              <w:left w:val="single" w:sz="4" w:space="0" w:color="000000"/>
              <w:bottom w:val="single" w:sz="4" w:space="0" w:color="000000"/>
              <w:right w:val="single" w:sz="4" w:space="0" w:color="000000"/>
            </w:tcBorders>
            <w:shd w:val="clear" w:color="auto" w:fill="D2D2D2"/>
          </w:tcPr>
          <w:p>
            <w:pPr/>
          </w:p>
        </w:tc>
        <w:tc>
          <w:tcPr>
            <w:tcW w:w="1138" w:type="dxa"/>
            <w:vMerge/>
            <w:tcBorders>
              <w:left w:val="single" w:sz="4" w:space="0" w:color="000000"/>
              <w:bottom w:val="single" w:sz="4" w:space="0" w:color="000000"/>
              <w:right w:val="single" w:sz="4" w:space="0" w:color="000000"/>
            </w:tcBorders>
            <w:shd w:val="clear" w:color="auto" w:fill="D2D2D2"/>
          </w:tcPr>
          <w:p>
            <w:pPr/>
          </w:p>
        </w:tc>
        <w:tc>
          <w:tcPr>
            <w:tcW w:w="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2" w:right="0"/>
              <w:jc w:val="left"/>
              <w:rPr>
                <w:rFonts w:ascii="宋体" w:hAnsi="宋体" w:cs="宋体" w:eastAsia="宋体" w:hint="default"/>
                <w:sz w:val="18"/>
                <w:szCs w:val="18"/>
              </w:rPr>
            </w:pPr>
            <w:r>
              <w:rPr>
                <w:rFonts w:ascii="宋体" w:hAnsi="宋体" w:cs="宋体" w:eastAsia="宋体" w:hint="default"/>
                <w:sz w:val="18"/>
                <w:szCs w:val="18"/>
              </w:rPr>
              <w:t>直接</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间接</w:t>
            </w:r>
          </w:p>
        </w:tc>
        <w:tc>
          <w:tcPr>
            <w:tcW w:w="92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3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北京南天信息工程有限公司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信息产业</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100.00%</w:t>
            </w:r>
          </w:p>
        </w:tc>
        <w:tc>
          <w:tcPr>
            <w:tcW w:w="56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3" w:hRule="exact"/>
        </w:trPr>
        <w:tc>
          <w:tcPr>
            <w:tcW w:w="3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广州南天电脑系统有限公司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信息产业</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100.00%</w:t>
            </w:r>
          </w:p>
        </w:tc>
        <w:tc>
          <w:tcPr>
            <w:tcW w:w="56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4" w:hRule="exact"/>
        </w:trPr>
        <w:tc>
          <w:tcPr>
            <w:tcW w:w="3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上海南天电脑系统有限公司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信息产业</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100.00%</w:t>
            </w:r>
          </w:p>
        </w:tc>
        <w:tc>
          <w:tcPr>
            <w:tcW w:w="56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8"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398" w:hRule="exact"/>
        </w:trPr>
        <w:tc>
          <w:tcPr>
            <w:tcW w:w="3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武汉南天电脑系统有限公司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武汉</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武汉</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信息产业</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100.00%</w:t>
            </w:r>
          </w:p>
        </w:tc>
        <w:tc>
          <w:tcPr>
            <w:tcW w:w="56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3" w:hRule="exact"/>
        </w:trPr>
        <w:tc>
          <w:tcPr>
            <w:tcW w:w="3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西安南天电脑系统有限公司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西安</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西安</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信息产业</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70.00%</w:t>
            </w:r>
          </w:p>
        </w:tc>
        <w:tc>
          <w:tcPr>
            <w:tcW w:w="56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3" w:hRule="exact"/>
        </w:trPr>
        <w:tc>
          <w:tcPr>
            <w:tcW w:w="3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昆明南天电脑系统有限公司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昆明</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昆明</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信息产业</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100.00%</w:t>
            </w:r>
          </w:p>
        </w:tc>
        <w:tc>
          <w:tcPr>
            <w:tcW w:w="56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4" w:hRule="exact"/>
        </w:trPr>
        <w:tc>
          <w:tcPr>
            <w:tcW w:w="3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深圳南天东华科技有限公司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100.00%</w:t>
            </w:r>
          </w:p>
        </w:tc>
        <w:tc>
          <w:tcPr>
            <w:tcW w:w="56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8"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398" w:hRule="exact"/>
        </w:trPr>
        <w:tc>
          <w:tcPr>
            <w:tcW w:w="3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北京南天软件有限公司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信息产业</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100.00%</w:t>
            </w:r>
          </w:p>
        </w:tc>
        <w:tc>
          <w:tcPr>
            <w:tcW w:w="56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3" w:hRule="exact"/>
        </w:trPr>
        <w:tc>
          <w:tcPr>
            <w:tcW w:w="3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云南南天信息设备有限公司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昆明</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昆明</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100.00%</w:t>
            </w:r>
          </w:p>
        </w:tc>
        <w:tc>
          <w:tcPr>
            <w:tcW w:w="56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left"/>
        <w:rPr>
          <w:rFonts w:ascii="宋体" w:hAnsi="宋体" w:cs="宋体" w:eastAsia="宋体" w:hint="default"/>
          <w:sz w:val="18"/>
          <w:szCs w:val="18"/>
        </w:rPr>
        <w:sectPr>
          <w:pgSz w:w="11910" w:h="16840"/>
          <w:pgMar w:header="746" w:footer="974"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3405"/>
        <w:gridCol w:w="1416"/>
        <w:gridCol w:w="1133"/>
        <w:gridCol w:w="1138"/>
        <w:gridCol w:w="989"/>
        <w:gridCol w:w="567"/>
        <w:gridCol w:w="926"/>
      </w:tblGrid>
      <w:tr>
        <w:trPr>
          <w:trHeight w:val="403" w:hRule="exact"/>
        </w:trPr>
        <w:tc>
          <w:tcPr>
            <w:tcW w:w="3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成都南天佳信信息工程有限公司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成都</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成都</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信息产业</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61.00%</w:t>
            </w:r>
          </w:p>
        </w:tc>
        <w:tc>
          <w:tcPr>
            <w:tcW w:w="56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398" w:hRule="exact"/>
        </w:trPr>
        <w:tc>
          <w:tcPr>
            <w:tcW w:w="3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北京南天新智慧科技有限公司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信息产业</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65.00%</w:t>
            </w:r>
          </w:p>
        </w:tc>
        <w:tc>
          <w:tcPr>
            <w:tcW w:w="56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4" w:hRule="exact"/>
        </w:trPr>
        <w:tc>
          <w:tcPr>
            <w:tcW w:w="3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pacing w:val="-3"/>
                <w:sz w:val="18"/>
                <w:szCs w:val="18"/>
              </w:rPr>
              <w:t>北京南天智联信息有限公司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信息产业</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pacing w:val="-1"/>
                <w:sz w:val="18"/>
              </w:rPr>
              <w:t>51.00%</w:t>
            </w:r>
          </w:p>
        </w:tc>
        <w:tc>
          <w:tcPr>
            <w:tcW w:w="56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8"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3" w:hRule="exact"/>
        </w:trPr>
        <w:tc>
          <w:tcPr>
            <w:tcW w:w="3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云南红岭云科技股份有限公司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昆明</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昆明</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信息产业</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40.02%</w:t>
            </w:r>
          </w:p>
        </w:tc>
        <w:tc>
          <w:tcPr>
            <w:tcW w:w="56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403" w:hRule="exact"/>
        </w:trPr>
        <w:tc>
          <w:tcPr>
            <w:tcW w:w="3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北京星立方科技发展股份有限公司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信息产业</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28.54%</w:t>
            </w:r>
          </w:p>
        </w:tc>
        <w:tc>
          <w:tcPr>
            <w:tcW w:w="56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403" w:hRule="exact"/>
        </w:trPr>
        <w:tc>
          <w:tcPr>
            <w:tcW w:w="3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广州市海捷计算机科技有限公司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信息产业</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60.00%</w:t>
            </w:r>
          </w:p>
        </w:tc>
        <w:tc>
          <w:tcPr>
            <w:tcW w:w="56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收购</w:t>
            </w:r>
          </w:p>
        </w:tc>
      </w:tr>
    </w:tbl>
    <w:p>
      <w:pPr>
        <w:pStyle w:val="BodyText"/>
        <w:spacing w:line="240" w:lineRule="auto" w:before="53"/>
        <w:ind w:right="855"/>
        <w:jc w:val="left"/>
      </w:pPr>
      <w:r>
        <w:rPr>
          <w:spacing w:val="-3"/>
        </w:rPr>
        <w:t>在子公司的持股比例不同于表决权比例的说明：</w:t>
      </w:r>
    </w:p>
    <w:p>
      <w:pPr>
        <w:spacing w:line="240" w:lineRule="auto" w:before="9"/>
        <w:rPr>
          <w:rFonts w:ascii="宋体" w:hAnsi="宋体" w:cs="宋体" w:eastAsia="宋体" w:hint="default"/>
          <w:sz w:val="14"/>
          <w:szCs w:val="14"/>
        </w:rPr>
      </w:pPr>
    </w:p>
    <w:p>
      <w:pPr>
        <w:pStyle w:val="BodyText"/>
        <w:spacing w:line="316" w:lineRule="auto"/>
        <w:ind w:right="855" w:firstLine="441"/>
        <w:jc w:val="left"/>
        <w:rPr>
          <w:rFonts w:ascii="宋体" w:hAnsi="宋体" w:cs="宋体" w:eastAsia="宋体" w:hint="default"/>
        </w:rPr>
      </w:pPr>
      <w:r>
        <w:rPr>
          <w:spacing w:val="-4"/>
        </w:rPr>
        <w:t>注</w:t>
      </w:r>
      <w:r>
        <w:rPr>
          <w:rFonts w:ascii="宋体" w:hAnsi="宋体" w:cs="宋体" w:eastAsia="宋体" w:hint="default"/>
          <w:spacing w:val="-4"/>
        </w:rPr>
        <w:t>1</w:t>
      </w:r>
      <w:r>
        <w:rPr>
          <w:spacing w:val="-4"/>
        </w:rPr>
        <w:t>：南天信息对云南红岭云科技股份有限公司的持股比例是</w:t>
      </w:r>
      <w:r>
        <w:rPr>
          <w:rFonts w:ascii="宋体" w:hAnsi="宋体" w:cs="宋体" w:eastAsia="宋体" w:hint="default"/>
          <w:spacing w:val="-4"/>
        </w:rPr>
        <w:t>40.02%</w:t>
      </w:r>
      <w:r>
        <w:rPr>
          <w:spacing w:val="-4"/>
        </w:rPr>
        <w:t>，表决权比例是</w:t>
      </w:r>
      <w:r>
        <w:rPr>
          <w:rFonts w:ascii="宋体" w:hAnsi="宋体" w:cs="宋体" w:eastAsia="宋体" w:hint="default"/>
          <w:spacing w:val="-4"/>
        </w:rPr>
        <w:t>51.69%</w:t>
      </w:r>
      <w:r>
        <w:rPr>
          <w:spacing w:val="-4"/>
        </w:rPr>
        <w:t>，是由于南天信息与曾健昆</w:t>
      </w:r>
      <w:r>
        <w:rPr>
          <w:w w:val="101"/>
        </w:rPr>
        <w:t> </w:t>
      </w:r>
      <w:r>
        <w:rPr>
          <w:spacing w:val="-5"/>
          <w:w w:val="101"/>
        </w:rPr>
        <w:t>签订委托投票协议，南天信息取得曾健昆剩余股份</w:t>
      </w:r>
      <w:r>
        <w:rPr>
          <w:rFonts w:ascii="宋体" w:hAnsi="宋体" w:cs="宋体" w:eastAsia="宋体" w:hint="default"/>
          <w:spacing w:val="-5"/>
          <w:w w:val="101"/>
        </w:rPr>
        <w:t>1,144.000.00</w:t>
      </w:r>
      <w:r>
        <w:rPr>
          <w:spacing w:val="-5"/>
          <w:w w:val="101"/>
        </w:rPr>
        <w:t>股股份的投票权即</w:t>
      </w:r>
      <w:r>
        <w:rPr>
          <w:rFonts w:ascii="宋体" w:hAnsi="宋体" w:cs="宋体" w:eastAsia="宋体" w:hint="default"/>
          <w:spacing w:val="-5"/>
          <w:w w:val="101"/>
        </w:rPr>
        <w:t>11.67%</w:t>
      </w:r>
      <w:r>
        <w:rPr>
          <w:spacing w:val="-5"/>
          <w:w w:val="101"/>
        </w:rPr>
        <w:t>的表决权，签订该委托投票协议后，</w:t>
      </w:r>
      <w:r>
        <w:rPr>
          <w:spacing w:val="-80"/>
          <w:w w:val="101"/>
        </w:rPr>
        <w:t> </w:t>
      </w:r>
      <w:r>
        <w:rPr>
          <w:spacing w:val="-80"/>
          <w:w w:val="101"/>
        </w:rPr>
      </w:r>
      <w:r>
        <w:rPr>
          <w:spacing w:val="-3"/>
        </w:rPr>
        <w:t>南天信息合计持有红岭云</w:t>
      </w:r>
      <w:r>
        <w:rPr>
          <w:rFonts w:ascii="宋体" w:hAnsi="宋体" w:cs="宋体" w:eastAsia="宋体" w:hint="default"/>
          <w:spacing w:val="-3"/>
        </w:rPr>
        <w:t>51.69%</w:t>
      </w:r>
      <w:r>
        <w:rPr>
          <w:spacing w:val="-3"/>
        </w:rPr>
        <w:t>的表決权，并占有红岭云董事会中的多数席位。</w:t>
      </w:r>
      <w:r>
        <w:rPr>
          <w:rFonts w:ascii="宋体" w:hAnsi="宋体" w:cs="宋体" w:eastAsia="宋体" w:hint="default"/>
        </w:rPr>
        <w:t> </w:t>
      </w:r>
    </w:p>
    <w:p>
      <w:pPr>
        <w:pStyle w:val="BodyText"/>
        <w:spacing w:line="319" w:lineRule="auto" w:before="139"/>
        <w:ind w:right="1035" w:firstLine="441"/>
        <w:jc w:val="both"/>
        <w:rPr>
          <w:rFonts w:ascii="宋体" w:hAnsi="宋体" w:cs="宋体" w:eastAsia="宋体" w:hint="default"/>
        </w:rPr>
      </w:pPr>
      <w:r>
        <w:rPr>
          <w:spacing w:val="-4"/>
        </w:rPr>
        <w:t>注</w:t>
      </w:r>
      <w:r>
        <w:rPr>
          <w:rFonts w:ascii="宋体" w:hAnsi="宋体" w:cs="宋体" w:eastAsia="宋体" w:hint="default"/>
          <w:spacing w:val="-4"/>
        </w:rPr>
        <w:t>2</w:t>
      </w:r>
      <w:r>
        <w:rPr>
          <w:spacing w:val="-4"/>
        </w:rPr>
        <w:t>：南天信息对北京星立方科技发展股份有限公司的持股比例是</w:t>
      </w:r>
      <w:r>
        <w:rPr>
          <w:rFonts w:ascii="宋体" w:hAnsi="宋体" w:cs="宋体" w:eastAsia="宋体" w:hint="default"/>
          <w:spacing w:val="-4"/>
        </w:rPr>
        <w:t>28.5362%</w:t>
      </w:r>
      <w:r>
        <w:rPr>
          <w:spacing w:val="-4"/>
        </w:rPr>
        <w:t>，表决权比例是</w:t>
      </w:r>
      <w:r>
        <w:rPr>
          <w:rFonts w:ascii="宋体" w:hAnsi="宋体" w:cs="宋体" w:eastAsia="宋体" w:hint="default"/>
          <w:spacing w:val="-4"/>
        </w:rPr>
        <w:t>72.7162%</w:t>
      </w:r>
      <w:r>
        <w:rPr>
          <w:spacing w:val="-4"/>
        </w:rPr>
        <w:t>，是由于南天信息</w:t>
      </w:r>
      <w:r>
        <w:rPr>
          <w:w w:val="101"/>
        </w:rPr>
        <w:t> </w:t>
      </w:r>
      <w:r>
        <w:rPr>
          <w:spacing w:val="-4"/>
        </w:rPr>
        <w:t>与刘宇明、李晓军等签署的一致行动协议，双方约定，在一致行动期限内，星立方与该一致行动协议相关的股东将与南天信</w:t>
      </w:r>
      <w:r>
        <w:rPr>
          <w:spacing w:val="40"/>
        </w:rPr>
        <w:t> </w:t>
      </w:r>
      <w:r>
        <w:rPr>
          <w:spacing w:val="40"/>
        </w:rPr>
      </w:r>
      <w:r>
        <w:rPr>
          <w:spacing w:val="-4"/>
        </w:rPr>
        <w:t>息保持一致意见，确保南天信息在星立方的控制权，且在一致行动期限内未经南天信息书面同意，不得将其股权质押、抵押</w:t>
      </w:r>
      <w:r>
        <w:rPr>
          <w:spacing w:val="40"/>
        </w:rPr>
        <w:t> </w:t>
      </w:r>
      <w:r>
        <w:rPr>
          <w:spacing w:val="40"/>
        </w:rPr>
      </w:r>
      <w:r>
        <w:rPr>
          <w:spacing w:val="-4"/>
          <w:w w:val="101"/>
        </w:rPr>
        <w:t>等，签订该一致行动协议后，南天信息合计持有及控制星立方</w:t>
      </w:r>
      <w:r>
        <w:rPr>
          <w:rFonts w:ascii="宋体" w:hAnsi="宋体" w:cs="宋体" w:eastAsia="宋体" w:hint="default"/>
          <w:spacing w:val="-4"/>
          <w:w w:val="101"/>
        </w:rPr>
        <w:t>72.7162%</w:t>
      </w:r>
      <w:r>
        <w:rPr>
          <w:spacing w:val="-4"/>
          <w:w w:val="101"/>
        </w:rPr>
        <w:t>股份的表决权，并占有星立方董事会中的多数席位。</w:t>
      </w:r>
      <w:r>
        <w:rPr>
          <w:rFonts w:ascii="宋体" w:hAnsi="宋体" w:cs="宋体" w:eastAsia="宋体" w:hint="default"/>
          <w:w w:val="101"/>
        </w:rPr>
        <w:t> </w:t>
      </w:r>
      <w:r>
        <w:rPr>
          <w:rFonts w:ascii="宋体" w:hAnsi="宋体" w:cs="宋体" w:eastAsia="宋体" w:hint="default"/>
        </w:rPr>
      </w:r>
    </w:p>
    <w:p>
      <w:pPr>
        <w:spacing w:line="240" w:lineRule="auto" w:before="6"/>
        <w:rPr>
          <w:rFonts w:ascii="宋体" w:hAnsi="宋体" w:cs="宋体" w:eastAsia="宋体" w:hint="default"/>
          <w:sz w:val="22"/>
          <w:szCs w:val="22"/>
        </w:rPr>
      </w:pPr>
    </w:p>
    <w:p>
      <w:pPr>
        <w:pStyle w:val="Heading4"/>
        <w:spacing w:line="240" w:lineRule="auto"/>
        <w:ind w:right="855"/>
        <w:jc w:val="left"/>
        <w:rPr>
          <w:b w:val="0"/>
          <w:bCs w:val="0"/>
        </w:rPr>
      </w:pPr>
      <w:r>
        <w:rPr/>
        <w:t>（</w:t>
      </w:r>
      <w:r>
        <w:rPr>
          <w:rFonts w:ascii="Times New Roman" w:hAnsi="Times New Roman" w:cs="Times New Roman" w:eastAsia="Times New Roman" w:hint="default"/>
        </w:rPr>
        <w:t>2</w:t>
      </w:r>
      <w:r>
        <w:rPr/>
        <w:t>）重要的非全资子公司</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0" w:right="1121"/>
        <w:jc w:val="right"/>
      </w:pPr>
      <w:r>
        <w:rPr/>
        <w:t>单位：</w:t>
      </w:r>
      <w:r>
        <w:rPr>
          <w:spacing w:val="5"/>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838"/>
        <w:gridCol w:w="1133"/>
        <w:gridCol w:w="1844"/>
        <w:gridCol w:w="1844"/>
        <w:gridCol w:w="1916"/>
      </w:tblGrid>
      <w:tr>
        <w:trPr>
          <w:trHeight w:val="763" w:hRule="exact"/>
        </w:trPr>
        <w:tc>
          <w:tcPr>
            <w:tcW w:w="2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77"/>
              <w:ind w:left="293" w:right="108" w:hanging="178"/>
              <w:jc w:val="left"/>
              <w:rPr>
                <w:rFonts w:ascii="宋体" w:hAnsi="宋体" w:cs="宋体" w:eastAsia="宋体" w:hint="default"/>
                <w:sz w:val="18"/>
                <w:szCs w:val="18"/>
              </w:rPr>
            </w:pPr>
            <w:r>
              <w:rPr>
                <w:rFonts w:ascii="宋体" w:hAnsi="宋体" w:cs="宋体" w:eastAsia="宋体" w:hint="default"/>
                <w:spacing w:val="-4"/>
                <w:sz w:val="18"/>
                <w:szCs w:val="18"/>
              </w:rPr>
              <w:t>少数股东持</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股比例</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77"/>
              <w:ind w:left="648" w:right="103" w:hanging="543"/>
              <w:jc w:val="left"/>
              <w:rPr>
                <w:rFonts w:ascii="宋体" w:hAnsi="宋体" w:cs="宋体" w:eastAsia="宋体" w:hint="default"/>
                <w:sz w:val="18"/>
                <w:szCs w:val="18"/>
              </w:rPr>
            </w:pPr>
            <w:r>
              <w:rPr>
                <w:rFonts w:ascii="宋体" w:hAnsi="宋体" w:cs="宋体" w:eastAsia="宋体" w:hint="default"/>
                <w:spacing w:val="-3"/>
                <w:sz w:val="18"/>
                <w:szCs w:val="18"/>
              </w:rPr>
              <w:t>本期归属于少数股东</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的损益</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77"/>
              <w:ind w:left="470" w:right="99" w:hanging="361"/>
              <w:jc w:val="left"/>
              <w:rPr>
                <w:rFonts w:ascii="宋体" w:hAnsi="宋体" w:cs="宋体" w:eastAsia="宋体" w:hint="default"/>
                <w:sz w:val="18"/>
                <w:szCs w:val="18"/>
              </w:rPr>
            </w:pPr>
            <w:r>
              <w:rPr>
                <w:rFonts w:ascii="宋体" w:hAnsi="宋体" w:cs="宋体" w:eastAsia="宋体" w:hint="default"/>
                <w:spacing w:val="-3"/>
                <w:sz w:val="18"/>
                <w:szCs w:val="18"/>
              </w:rPr>
              <w:t>本期向少数股东宣告</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分派的股利</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46"/>
              <w:jc w:val="right"/>
              <w:rPr>
                <w:rFonts w:ascii="宋体" w:hAnsi="宋体" w:cs="宋体" w:eastAsia="宋体" w:hint="default"/>
                <w:sz w:val="18"/>
                <w:szCs w:val="18"/>
              </w:rPr>
            </w:pPr>
            <w:r>
              <w:rPr>
                <w:rFonts w:ascii="宋体" w:hAnsi="宋体" w:cs="宋体" w:eastAsia="宋体" w:hint="default"/>
                <w:spacing w:val="-2"/>
                <w:sz w:val="18"/>
                <w:szCs w:val="18"/>
              </w:rPr>
              <w:t>期末少数股东权益余额</w:t>
            </w:r>
          </w:p>
        </w:tc>
      </w:tr>
      <w:tr>
        <w:trPr>
          <w:trHeight w:val="398" w:hRule="exact"/>
        </w:trPr>
        <w:tc>
          <w:tcPr>
            <w:tcW w:w="2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北京南天智联信息有限公司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49.00%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3,832,263.55</w:t>
            </w:r>
          </w:p>
        </w:tc>
        <w:tc>
          <w:tcPr>
            <w:tcW w:w="1844"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6,271,616.61</w:t>
            </w:r>
          </w:p>
        </w:tc>
      </w:tr>
      <w:tr>
        <w:trPr>
          <w:trHeight w:val="404" w:hRule="exact"/>
        </w:trPr>
        <w:tc>
          <w:tcPr>
            <w:tcW w:w="2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pacing w:val="-3"/>
                <w:sz w:val="18"/>
                <w:szCs w:val="18"/>
              </w:rPr>
              <w:t>云南红岭云科技股份有限公司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pacing w:val="-1"/>
                <w:sz w:val="18"/>
              </w:rPr>
              <w:t>59.98%</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8,590,943.81</w:t>
            </w:r>
          </w:p>
        </w:tc>
        <w:tc>
          <w:tcPr>
            <w:tcW w:w="1844"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8"/>
                <w:szCs w:val="18"/>
              </w:rPr>
            </w:pPr>
            <w:r>
              <w:rPr>
                <w:rFonts w:ascii="Times New Roman"/>
                <w:spacing w:val="-1"/>
                <w:sz w:val="18"/>
              </w:rPr>
              <w:t>53,140,581.75</w:t>
            </w:r>
          </w:p>
        </w:tc>
      </w:tr>
      <w:tr>
        <w:trPr>
          <w:trHeight w:val="403" w:hRule="exact"/>
        </w:trPr>
        <w:tc>
          <w:tcPr>
            <w:tcW w:w="2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北京星立方科技发展股份有限公司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71.46%</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12,067,979.15</w:t>
            </w:r>
          </w:p>
        </w:tc>
        <w:tc>
          <w:tcPr>
            <w:tcW w:w="1844"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218,704,645.33</w:t>
            </w:r>
          </w:p>
        </w:tc>
      </w:tr>
      <w:tr>
        <w:trPr>
          <w:trHeight w:val="403" w:hRule="exact"/>
        </w:trPr>
        <w:tc>
          <w:tcPr>
            <w:tcW w:w="2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广州市海捷计算机科技有限公司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40.00%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106,008.98</w:t>
            </w:r>
          </w:p>
        </w:tc>
        <w:tc>
          <w:tcPr>
            <w:tcW w:w="1844"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7,362,227.12</w:t>
            </w:r>
          </w:p>
        </w:tc>
      </w:tr>
    </w:tbl>
    <w:p>
      <w:pPr>
        <w:spacing w:line="240" w:lineRule="auto" w:before="3"/>
        <w:rPr>
          <w:rFonts w:ascii="宋体" w:hAnsi="宋体" w:cs="宋体" w:eastAsia="宋体" w:hint="default"/>
          <w:sz w:val="19"/>
          <w:szCs w:val="19"/>
        </w:rPr>
      </w:pPr>
    </w:p>
    <w:p>
      <w:pPr>
        <w:pStyle w:val="Heading4"/>
        <w:spacing w:line="240" w:lineRule="auto" w:before="36"/>
        <w:ind w:right="855"/>
        <w:jc w:val="left"/>
        <w:rPr>
          <w:b w:val="0"/>
          <w:bCs w:val="0"/>
        </w:rPr>
      </w:pP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6"/>
        <w:ind w:left="0" w:right="1121"/>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850"/>
        <w:gridCol w:w="710"/>
        <w:gridCol w:w="648"/>
        <w:gridCol w:w="735"/>
        <w:gridCol w:w="739"/>
        <w:gridCol w:w="735"/>
        <w:gridCol w:w="735"/>
        <w:gridCol w:w="734"/>
        <w:gridCol w:w="735"/>
        <w:gridCol w:w="734"/>
        <w:gridCol w:w="740"/>
        <w:gridCol w:w="735"/>
        <w:gridCol w:w="739"/>
      </w:tblGrid>
      <w:tr>
        <w:trPr>
          <w:trHeight w:val="403" w:hRule="exact"/>
        </w:trPr>
        <w:tc>
          <w:tcPr>
            <w:tcW w:w="8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316" w:lineRule="auto"/>
              <w:ind w:left="331" w:right="51" w:hanging="269"/>
              <w:jc w:val="left"/>
              <w:rPr>
                <w:rFonts w:ascii="宋体" w:hAnsi="宋体" w:cs="宋体" w:eastAsia="宋体" w:hint="default"/>
                <w:sz w:val="18"/>
                <w:szCs w:val="18"/>
              </w:rPr>
            </w:pPr>
            <w:r>
              <w:rPr>
                <w:rFonts w:ascii="宋体" w:hAnsi="宋体" w:cs="宋体" w:eastAsia="宋体" w:hint="default"/>
                <w:sz w:val="18"/>
                <w:szCs w:val="18"/>
              </w:rPr>
              <w:t>子公司名</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称</w:t>
            </w:r>
          </w:p>
        </w:tc>
        <w:tc>
          <w:tcPr>
            <w:tcW w:w="4303"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6" w:hRule="exact"/>
        </w:trPr>
        <w:tc>
          <w:tcPr>
            <w:tcW w:w="850" w:type="dxa"/>
            <w:vMerge/>
            <w:tcBorders>
              <w:left w:val="single" w:sz="4" w:space="0" w:color="000000"/>
              <w:bottom w:val="single" w:sz="4" w:space="0" w:color="000000"/>
              <w:right w:val="single" w:sz="4" w:space="0" w:color="000000"/>
            </w:tcBorders>
            <w:shd w:val="clear" w:color="auto" w:fill="D2D2D2"/>
          </w:tcPr>
          <w:p>
            <w:pP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59" w:right="74" w:hanging="178"/>
              <w:jc w:val="left"/>
              <w:rPr>
                <w:rFonts w:ascii="宋体" w:hAnsi="宋体" w:cs="宋体" w:eastAsia="宋体" w:hint="default"/>
                <w:sz w:val="18"/>
                <w:szCs w:val="18"/>
              </w:rPr>
            </w:pPr>
            <w:r>
              <w:rPr>
                <w:rFonts w:ascii="宋体" w:hAnsi="宋体" w:cs="宋体" w:eastAsia="宋体" w:hint="default"/>
                <w:sz w:val="18"/>
                <w:szCs w:val="18"/>
              </w:rPr>
              <w:t>流动资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产</w:t>
            </w:r>
          </w:p>
        </w:tc>
        <w:tc>
          <w:tcPr>
            <w:tcW w:w="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39" w:right="46" w:hanging="92"/>
              <w:jc w:val="left"/>
              <w:rPr>
                <w:rFonts w:ascii="宋体" w:hAnsi="宋体" w:cs="宋体" w:eastAsia="宋体" w:hint="default"/>
                <w:sz w:val="18"/>
                <w:szCs w:val="18"/>
              </w:rPr>
            </w:pPr>
            <w:r>
              <w:rPr>
                <w:rFonts w:ascii="宋体" w:hAnsi="宋体" w:cs="宋体" w:eastAsia="宋体" w:hint="default"/>
                <w:sz w:val="18"/>
                <w:szCs w:val="18"/>
              </w:rPr>
              <w:t>非流动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资产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73" w:right="84" w:hanging="178"/>
              <w:jc w:val="left"/>
              <w:rPr>
                <w:rFonts w:ascii="宋体" w:hAnsi="宋体" w:cs="宋体" w:eastAsia="宋体" w:hint="default"/>
                <w:sz w:val="18"/>
                <w:szCs w:val="18"/>
              </w:rPr>
            </w:pPr>
            <w:r>
              <w:rPr>
                <w:rFonts w:ascii="宋体" w:hAnsi="宋体" w:cs="宋体" w:eastAsia="宋体" w:hint="default"/>
                <w:sz w:val="18"/>
                <w:szCs w:val="18"/>
              </w:rPr>
              <w:t>资产合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计</w:t>
            </w:r>
          </w:p>
        </w:tc>
        <w:tc>
          <w:tcPr>
            <w:tcW w:w="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73" w:right="89" w:hanging="178"/>
              <w:jc w:val="left"/>
              <w:rPr>
                <w:rFonts w:ascii="宋体" w:hAnsi="宋体" w:cs="宋体" w:eastAsia="宋体" w:hint="default"/>
                <w:sz w:val="18"/>
                <w:szCs w:val="18"/>
              </w:rPr>
            </w:pPr>
            <w:r>
              <w:rPr>
                <w:rFonts w:ascii="宋体" w:hAnsi="宋体" w:cs="宋体" w:eastAsia="宋体" w:hint="default"/>
                <w:sz w:val="18"/>
                <w:szCs w:val="18"/>
              </w:rPr>
              <w:t>流动负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82" w:right="89" w:hanging="92"/>
              <w:jc w:val="left"/>
              <w:rPr>
                <w:rFonts w:ascii="宋体" w:hAnsi="宋体" w:cs="宋体" w:eastAsia="宋体" w:hint="default"/>
                <w:sz w:val="18"/>
                <w:szCs w:val="18"/>
              </w:rPr>
            </w:pPr>
            <w:r>
              <w:rPr>
                <w:rFonts w:ascii="宋体" w:hAnsi="宋体" w:cs="宋体" w:eastAsia="宋体" w:hint="default"/>
                <w:sz w:val="18"/>
                <w:szCs w:val="18"/>
              </w:rPr>
              <w:t>非流动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负债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73" w:right="89" w:hanging="183"/>
              <w:jc w:val="left"/>
              <w:rPr>
                <w:rFonts w:ascii="宋体" w:hAnsi="宋体" w:cs="宋体" w:eastAsia="宋体" w:hint="default"/>
                <w:sz w:val="18"/>
                <w:szCs w:val="18"/>
              </w:rPr>
            </w:pPr>
            <w:r>
              <w:rPr>
                <w:rFonts w:ascii="宋体" w:hAnsi="宋体" w:cs="宋体" w:eastAsia="宋体" w:hint="default"/>
                <w:sz w:val="18"/>
                <w:szCs w:val="18"/>
              </w:rPr>
              <w:t>负债合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73" w:right="89" w:hanging="183"/>
              <w:jc w:val="left"/>
              <w:rPr>
                <w:rFonts w:ascii="宋体" w:hAnsi="宋体" w:cs="宋体" w:eastAsia="宋体" w:hint="default"/>
                <w:sz w:val="18"/>
                <w:szCs w:val="18"/>
              </w:rPr>
            </w:pPr>
            <w:r>
              <w:rPr>
                <w:rFonts w:ascii="宋体" w:hAnsi="宋体" w:cs="宋体" w:eastAsia="宋体" w:hint="default"/>
                <w:sz w:val="18"/>
                <w:szCs w:val="18"/>
              </w:rPr>
              <w:t>流动资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82" w:right="89" w:hanging="92"/>
              <w:jc w:val="left"/>
              <w:rPr>
                <w:rFonts w:ascii="宋体" w:hAnsi="宋体" w:cs="宋体" w:eastAsia="宋体" w:hint="default"/>
                <w:sz w:val="18"/>
                <w:szCs w:val="18"/>
              </w:rPr>
            </w:pPr>
            <w:r>
              <w:rPr>
                <w:rFonts w:ascii="宋体" w:hAnsi="宋体" w:cs="宋体" w:eastAsia="宋体" w:hint="default"/>
                <w:sz w:val="18"/>
                <w:szCs w:val="18"/>
              </w:rPr>
              <w:t>非流动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资产</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73" w:right="89" w:hanging="183"/>
              <w:jc w:val="left"/>
              <w:rPr>
                <w:rFonts w:ascii="宋体" w:hAnsi="宋体" w:cs="宋体" w:eastAsia="宋体" w:hint="default"/>
                <w:sz w:val="18"/>
                <w:szCs w:val="18"/>
              </w:rPr>
            </w:pPr>
            <w:r>
              <w:rPr>
                <w:rFonts w:ascii="宋体" w:hAnsi="宋体" w:cs="宋体" w:eastAsia="宋体" w:hint="default"/>
                <w:sz w:val="18"/>
                <w:szCs w:val="18"/>
              </w:rPr>
              <w:t>资产合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计</w:t>
            </w:r>
          </w:p>
        </w:tc>
        <w:tc>
          <w:tcPr>
            <w:tcW w:w="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74" w:right="89" w:hanging="178"/>
              <w:jc w:val="left"/>
              <w:rPr>
                <w:rFonts w:ascii="宋体" w:hAnsi="宋体" w:cs="宋体" w:eastAsia="宋体" w:hint="default"/>
                <w:sz w:val="18"/>
                <w:szCs w:val="18"/>
              </w:rPr>
            </w:pPr>
            <w:r>
              <w:rPr>
                <w:rFonts w:ascii="宋体" w:hAnsi="宋体" w:cs="宋体" w:eastAsia="宋体" w:hint="default"/>
                <w:sz w:val="18"/>
                <w:szCs w:val="18"/>
              </w:rPr>
              <w:t>流动负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82" w:right="84" w:hanging="87"/>
              <w:jc w:val="left"/>
              <w:rPr>
                <w:rFonts w:ascii="宋体" w:hAnsi="宋体" w:cs="宋体" w:eastAsia="宋体" w:hint="default"/>
                <w:sz w:val="18"/>
                <w:szCs w:val="18"/>
              </w:rPr>
            </w:pPr>
            <w:r>
              <w:rPr>
                <w:rFonts w:ascii="宋体" w:hAnsi="宋体" w:cs="宋体" w:eastAsia="宋体" w:hint="default"/>
                <w:sz w:val="18"/>
                <w:szCs w:val="18"/>
              </w:rPr>
              <w:t>非流动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负债</w:t>
            </w:r>
          </w:p>
        </w:tc>
        <w:tc>
          <w:tcPr>
            <w:tcW w:w="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73" w:right="89" w:hanging="178"/>
              <w:jc w:val="left"/>
              <w:rPr>
                <w:rFonts w:ascii="宋体" w:hAnsi="宋体" w:cs="宋体" w:eastAsia="宋体" w:hint="default"/>
                <w:sz w:val="18"/>
                <w:szCs w:val="18"/>
              </w:rPr>
            </w:pPr>
            <w:r>
              <w:rPr>
                <w:rFonts w:ascii="宋体" w:hAnsi="宋体" w:cs="宋体" w:eastAsia="宋体" w:hint="default"/>
                <w:sz w:val="18"/>
                <w:szCs w:val="18"/>
              </w:rPr>
              <w:t>负债合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计</w:t>
            </w:r>
          </w:p>
        </w:tc>
      </w:tr>
      <w:tr>
        <w:trPr>
          <w:trHeight w:val="1027"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89"/>
              <w:jc w:val="both"/>
              <w:rPr>
                <w:rFonts w:ascii="宋体" w:hAnsi="宋体" w:cs="宋体" w:eastAsia="宋体" w:hint="default"/>
                <w:sz w:val="18"/>
                <w:szCs w:val="18"/>
              </w:rPr>
            </w:pPr>
            <w:r>
              <w:rPr>
                <w:rFonts w:ascii="宋体" w:hAnsi="宋体" w:cs="宋体" w:eastAsia="宋体" w:hint="default"/>
                <w:sz w:val="18"/>
                <w:szCs w:val="18"/>
              </w:rPr>
              <w:t>北京南天</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智联信息</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有限公司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69,882,3</w:t>
            </w:r>
          </w:p>
          <w:p>
            <w:pPr>
              <w:pStyle w:val="TableParagraph"/>
              <w:spacing w:line="240" w:lineRule="auto" w:before="110"/>
              <w:ind w:left="273" w:right="0"/>
              <w:jc w:val="left"/>
              <w:rPr>
                <w:rFonts w:ascii="Times New Roman" w:hAnsi="Times New Roman" w:cs="Times New Roman" w:eastAsia="Times New Roman" w:hint="default"/>
                <w:sz w:val="18"/>
                <w:szCs w:val="18"/>
              </w:rPr>
            </w:pPr>
            <w:r>
              <w:rPr>
                <w:rFonts w:ascii="Times New Roman"/>
                <w:sz w:val="18"/>
              </w:rPr>
              <w:t>84.33</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38,382.</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22</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69,920,7</w:t>
            </w:r>
          </w:p>
          <w:p>
            <w:pPr>
              <w:pStyle w:val="TableParagraph"/>
              <w:spacing w:line="240" w:lineRule="auto" w:before="110"/>
              <w:ind w:left="302" w:right="0"/>
              <w:jc w:val="left"/>
              <w:rPr>
                <w:rFonts w:ascii="Times New Roman" w:hAnsi="Times New Roman" w:cs="Times New Roman" w:eastAsia="Times New Roman" w:hint="default"/>
                <w:sz w:val="18"/>
                <w:szCs w:val="18"/>
              </w:rPr>
            </w:pPr>
            <w:r>
              <w:rPr>
                <w:rFonts w:ascii="Times New Roman"/>
                <w:sz w:val="18"/>
              </w:rPr>
              <w:t>66.55</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57,121,5</w:t>
            </w:r>
          </w:p>
          <w:p>
            <w:pPr>
              <w:pStyle w:val="TableParagraph"/>
              <w:spacing w:line="240" w:lineRule="auto" w:before="110"/>
              <w:ind w:left="302" w:right="0"/>
              <w:jc w:val="left"/>
              <w:rPr>
                <w:rFonts w:ascii="Times New Roman" w:hAnsi="Times New Roman" w:cs="Times New Roman" w:eastAsia="Times New Roman" w:hint="default"/>
                <w:sz w:val="18"/>
                <w:szCs w:val="18"/>
              </w:rPr>
            </w:pPr>
            <w:r>
              <w:rPr>
                <w:rFonts w:ascii="Times New Roman"/>
                <w:sz w:val="18"/>
              </w:rPr>
              <w:t>48.97</w:t>
            </w:r>
          </w:p>
        </w:tc>
        <w:tc>
          <w:tcPr>
            <w:tcW w:w="735"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57,121,5</w:t>
            </w:r>
          </w:p>
          <w:p>
            <w:pPr>
              <w:pStyle w:val="TableParagraph"/>
              <w:spacing w:line="240" w:lineRule="auto" w:before="110"/>
              <w:ind w:left="297" w:right="0"/>
              <w:jc w:val="left"/>
              <w:rPr>
                <w:rFonts w:ascii="Times New Roman" w:hAnsi="Times New Roman" w:cs="Times New Roman" w:eastAsia="Times New Roman" w:hint="default"/>
                <w:sz w:val="18"/>
                <w:szCs w:val="18"/>
              </w:rPr>
            </w:pPr>
            <w:r>
              <w:rPr>
                <w:rFonts w:ascii="Times New Roman"/>
                <w:sz w:val="18"/>
              </w:rPr>
              <w:t>48.97</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6,876,72</w:t>
            </w:r>
          </w:p>
          <w:p>
            <w:pPr>
              <w:pStyle w:val="TableParagraph"/>
              <w:spacing w:line="240" w:lineRule="auto" w:before="110"/>
              <w:ind w:left="383" w:right="0"/>
              <w:jc w:val="left"/>
              <w:rPr>
                <w:rFonts w:ascii="Times New Roman" w:hAnsi="Times New Roman" w:cs="Times New Roman" w:eastAsia="Times New Roman" w:hint="default"/>
                <w:sz w:val="18"/>
                <w:szCs w:val="18"/>
              </w:rPr>
            </w:pPr>
            <w:r>
              <w:rPr>
                <w:rFonts w:ascii="Times New Roman"/>
                <w:sz w:val="18"/>
              </w:rPr>
              <w:t>8.87</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801.72</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6,877,53</w:t>
            </w:r>
          </w:p>
          <w:p>
            <w:pPr>
              <w:pStyle w:val="TableParagraph"/>
              <w:spacing w:line="240" w:lineRule="auto" w:before="110"/>
              <w:ind w:left="384" w:right="0"/>
              <w:jc w:val="left"/>
              <w:rPr>
                <w:rFonts w:ascii="Times New Roman" w:hAnsi="Times New Roman" w:cs="Times New Roman" w:eastAsia="Times New Roman" w:hint="default"/>
                <w:sz w:val="18"/>
                <w:szCs w:val="18"/>
              </w:rPr>
            </w:pPr>
            <w:r>
              <w:rPr>
                <w:rFonts w:ascii="Times New Roman"/>
                <w:sz w:val="18"/>
              </w:rPr>
              <w:t>0.59</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7" w:right="0"/>
              <w:jc w:val="left"/>
              <w:rPr>
                <w:rFonts w:ascii="Times New Roman" w:hAnsi="Times New Roman" w:cs="Times New Roman" w:eastAsia="Times New Roman" w:hint="default"/>
                <w:sz w:val="18"/>
                <w:szCs w:val="18"/>
              </w:rPr>
            </w:pPr>
            <w:r>
              <w:rPr>
                <w:rFonts w:ascii="Times New Roman"/>
                <w:sz w:val="18"/>
              </w:rPr>
              <w:t>1,899,25</w:t>
            </w:r>
          </w:p>
          <w:p>
            <w:pPr>
              <w:pStyle w:val="TableParagraph"/>
              <w:spacing w:line="240" w:lineRule="auto" w:before="110"/>
              <w:ind w:left="389" w:right="0"/>
              <w:jc w:val="left"/>
              <w:rPr>
                <w:rFonts w:ascii="Times New Roman" w:hAnsi="Times New Roman" w:cs="Times New Roman" w:eastAsia="Times New Roman" w:hint="default"/>
                <w:sz w:val="18"/>
                <w:szCs w:val="18"/>
              </w:rPr>
            </w:pPr>
            <w:r>
              <w:rPr>
                <w:rFonts w:ascii="Times New Roman"/>
                <w:sz w:val="18"/>
              </w:rPr>
              <w:t>9.04</w:t>
            </w:r>
          </w:p>
        </w:tc>
        <w:tc>
          <w:tcPr>
            <w:tcW w:w="735"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1,899,25</w:t>
            </w:r>
          </w:p>
          <w:p>
            <w:pPr>
              <w:pStyle w:val="TableParagraph"/>
              <w:spacing w:line="240" w:lineRule="auto" w:before="110"/>
              <w:ind w:left="388" w:right="0"/>
              <w:jc w:val="left"/>
              <w:rPr>
                <w:rFonts w:ascii="Times New Roman" w:hAnsi="Times New Roman" w:cs="Times New Roman" w:eastAsia="Times New Roman" w:hint="default"/>
                <w:sz w:val="18"/>
                <w:szCs w:val="18"/>
              </w:rPr>
            </w:pPr>
            <w:r>
              <w:rPr>
                <w:rFonts w:ascii="Times New Roman"/>
                <w:sz w:val="18"/>
              </w:rPr>
              <w:t>9.04</w:t>
            </w:r>
          </w:p>
        </w:tc>
      </w:tr>
      <w:tr>
        <w:trPr>
          <w:trHeight w:val="1335"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89"/>
              <w:jc w:val="both"/>
              <w:rPr>
                <w:rFonts w:ascii="宋体" w:hAnsi="宋体" w:cs="宋体" w:eastAsia="宋体" w:hint="default"/>
                <w:sz w:val="18"/>
                <w:szCs w:val="18"/>
              </w:rPr>
            </w:pPr>
            <w:r>
              <w:rPr>
                <w:rFonts w:ascii="宋体" w:hAnsi="宋体" w:cs="宋体" w:eastAsia="宋体" w:hint="default"/>
                <w:sz w:val="18"/>
                <w:szCs w:val="18"/>
              </w:rPr>
              <w:t>云南红岭</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云科技股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份有限公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83,594,5</w:t>
            </w:r>
          </w:p>
          <w:p>
            <w:pPr>
              <w:pStyle w:val="TableParagraph"/>
              <w:spacing w:line="240" w:lineRule="auto" w:before="105"/>
              <w:ind w:left="273" w:right="0"/>
              <w:jc w:val="left"/>
              <w:rPr>
                <w:rFonts w:ascii="Times New Roman" w:hAnsi="Times New Roman" w:cs="Times New Roman" w:eastAsia="Times New Roman" w:hint="default"/>
                <w:sz w:val="18"/>
                <w:szCs w:val="18"/>
              </w:rPr>
            </w:pPr>
            <w:r>
              <w:rPr>
                <w:rFonts w:ascii="Times New Roman"/>
                <w:sz w:val="18"/>
              </w:rPr>
              <w:t>43.02</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18,166,</w:t>
            </w:r>
          </w:p>
          <w:p>
            <w:pPr>
              <w:pStyle w:val="TableParagraph"/>
              <w:spacing w:line="240" w:lineRule="auto" w:before="105"/>
              <w:ind w:left="120" w:right="0"/>
              <w:jc w:val="left"/>
              <w:rPr>
                <w:rFonts w:ascii="Times New Roman" w:hAnsi="Times New Roman" w:cs="Times New Roman" w:eastAsia="Times New Roman" w:hint="default"/>
                <w:sz w:val="18"/>
                <w:szCs w:val="18"/>
              </w:rPr>
            </w:pPr>
            <w:r>
              <w:rPr>
                <w:rFonts w:ascii="Times New Roman"/>
                <w:sz w:val="18"/>
              </w:rPr>
              <w:t>179.16</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101,760,</w:t>
            </w:r>
          </w:p>
          <w:p>
            <w:pPr>
              <w:pStyle w:val="TableParagraph"/>
              <w:spacing w:line="240" w:lineRule="auto" w:before="105"/>
              <w:ind w:left="196" w:right="0"/>
              <w:jc w:val="center"/>
              <w:rPr>
                <w:rFonts w:ascii="Times New Roman" w:hAnsi="Times New Roman" w:cs="Times New Roman" w:eastAsia="Times New Roman" w:hint="default"/>
                <w:sz w:val="18"/>
                <w:szCs w:val="18"/>
              </w:rPr>
            </w:pPr>
            <w:r>
              <w:rPr>
                <w:rFonts w:ascii="Times New Roman"/>
                <w:sz w:val="18"/>
              </w:rPr>
              <w:t>722.18</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9,677,97</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2.51</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2,322,19</w:t>
            </w:r>
          </w:p>
          <w:p>
            <w:pPr>
              <w:pStyle w:val="TableParagraph"/>
              <w:spacing w:line="240" w:lineRule="auto" w:before="105"/>
              <w:ind w:left="384" w:right="0"/>
              <w:jc w:val="left"/>
              <w:rPr>
                <w:rFonts w:ascii="Times New Roman" w:hAnsi="Times New Roman" w:cs="Times New Roman" w:eastAsia="Times New Roman" w:hint="default"/>
                <w:sz w:val="18"/>
                <w:szCs w:val="18"/>
              </w:rPr>
            </w:pPr>
            <w:r>
              <w:rPr>
                <w:rFonts w:ascii="Times New Roman"/>
                <w:sz w:val="18"/>
              </w:rPr>
              <w:t>6.49</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12,000,1</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69.00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68,944,5</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60.85</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27,542,9</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78.21</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96,487,5</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39.06</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7" w:right="0"/>
              <w:jc w:val="left"/>
              <w:rPr>
                <w:rFonts w:ascii="Times New Roman" w:hAnsi="Times New Roman" w:cs="Times New Roman" w:eastAsia="Times New Roman" w:hint="default"/>
                <w:sz w:val="18"/>
                <w:szCs w:val="18"/>
              </w:rPr>
            </w:pPr>
            <w:r>
              <w:rPr>
                <w:rFonts w:ascii="Times New Roman"/>
                <w:sz w:val="18"/>
              </w:rPr>
              <w:t>10,396,6</w:t>
            </w:r>
          </w:p>
          <w:p>
            <w:pPr>
              <w:pStyle w:val="TableParagraph"/>
              <w:spacing w:line="240" w:lineRule="auto" w:before="105"/>
              <w:ind w:left="302" w:right="0"/>
              <w:jc w:val="left"/>
              <w:rPr>
                <w:rFonts w:ascii="Times New Roman" w:hAnsi="Times New Roman" w:cs="Times New Roman" w:eastAsia="Times New Roman" w:hint="default"/>
                <w:sz w:val="18"/>
                <w:szCs w:val="18"/>
              </w:rPr>
            </w:pPr>
            <w:r>
              <w:rPr>
                <w:rFonts w:ascii="Times New Roman"/>
                <w:sz w:val="18"/>
              </w:rPr>
              <w:t>20.25</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3,160,95</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2.10</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13,557,5</w:t>
            </w:r>
          </w:p>
          <w:p>
            <w:pPr>
              <w:pStyle w:val="TableParagraph"/>
              <w:spacing w:line="240" w:lineRule="auto" w:before="105"/>
              <w:ind w:left="302" w:right="0"/>
              <w:jc w:val="left"/>
              <w:rPr>
                <w:rFonts w:ascii="Times New Roman" w:hAnsi="Times New Roman" w:cs="Times New Roman" w:eastAsia="Times New Roman" w:hint="default"/>
                <w:sz w:val="18"/>
                <w:szCs w:val="18"/>
              </w:rPr>
            </w:pPr>
            <w:r>
              <w:rPr>
                <w:rFonts w:ascii="Times New Roman"/>
                <w:sz w:val="18"/>
              </w:rPr>
              <w:t>72.35</w:t>
            </w:r>
          </w:p>
        </w:tc>
      </w:tr>
    </w:tbl>
    <w:p>
      <w:pPr>
        <w:spacing w:after="0" w:line="240" w:lineRule="auto"/>
        <w:jc w:val="left"/>
        <w:rPr>
          <w:rFonts w:ascii="Times New Roman" w:hAnsi="Times New Roman" w:cs="Times New Roman" w:eastAsia="Times New Roman" w:hint="default"/>
          <w:sz w:val="18"/>
          <w:szCs w:val="18"/>
        </w:rPr>
        <w:sectPr>
          <w:pgSz w:w="11910" w:h="16840"/>
          <w:pgMar w:header="746" w:footer="974"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850"/>
        <w:gridCol w:w="710"/>
        <w:gridCol w:w="648"/>
        <w:gridCol w:w="735"/>
        <w:gridCol w:w="739"/>
        <w:gridCol w:w="735"/>
        <w:gridCol w:w="735"/>
        <w:gridCol w:w="734"/>
        <w:gridCol w:w="735"/>
        <w:gridCol w:w="734"/>
        <w:gridCol w:w="740"/>
        <w:gridCol w:w="735"/>
        <w:gridCol w:w="739"/>
      </w:tblGrid>
      <w:tr>
        <w:trPr>
          <w:trHeight w:val="1340"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89"/>
              <w:jc w:val="both"/>
              <w:rPr>
                <w:rFonts w:ascii="宋体" w:hAnsi="宋体" w:cs="宋体" w:eastAsia="宋体" w:hint="default"/>
                <w:sz w:val="18"/>
                <w:szCs w:val="18"/>
              </w:rPr>
            </w:pPr>
            <w:r>
              <w:rPr>
                <w:rFonts w:ascii="宋体" w:hAnsi="宋体" w:cs="宋体" w:eastAsia="宋体" w:hint="default"/>
                <w:sz w:val="18"/>
                <w:szCs w:val="18"/>
              </w:rPr>
              <w:t>北京星立</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方科技发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展股份有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限公司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 w:right="0"/>
              <w:jc w:val="center"/>
              <w:rPr>
                <w:rFonts w:ascii="Times New Roman" w:hAnsi="Times New Roman" w:cs="Times New Roman" w:eastAsia="Times New Roman" w:hint="default"/>
                <w:sz w:val="18"/>
                <w:szCs w:val="18"/>
              </w:rPr>
            </w:pPr>
            <w:r>
              <w:rPr>
                <w:rFonts w:ascii="Times New Roman"/>
                <w:sz w:val="18"/>
              </w:rPr>
              <w:t>244,924,</w:t>
            </w:r>
          </w:p>
          <w:p>
            <w:pPr>
              <w:pStyle w:val="TableParagraph"/>
              <w:spacing w:line="240" w:lineRule="auto" w:before="105"/>
              <w:ind w:left="163" w:right="0"/>
              <w:jc w:val="center"/>
              <w:rPr>
                <w:rFonts w:ascii="Times New Roman" w:hAnsi="Times New Roman" w:cs="Times New Roman" w:eastAsia="Times New Roman" w:hint="default"/>
                <w:sz w:val="18"/>
                <w:szCs w:val="18"/>
              </w:rPr>
            </w:pPr>
            <w:r>
              <w:rPr>
                <w:rFonts w:ascii="Times New Roman"/>
                <w:sz w:val="18"/>
              </w:rPr>
              <w:t>452.18</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91,240,</w:t>
            </w:r>
          </w:p>
          <w:p>
            <w:pPr>
              <w:pStyle w:val="TableParagraph"/>
              <w:spacing w:line="240" w:lineRule="auto" w:before="105"/>
              <w:ind w:left="120" w:right="0"/>
              <w:jc w:val="left"/>
              <w:rPr>
                <w:rFonts w:ascii="Times New Roman" w:hAnsi="Times New Roman" w:cs="Times New Roman" w:eastAsia="Times New Roman" w:hint="default"/>
                <w:sz w:val="18"/>
                <w:szCs w:val="18"/>
              </w:rPr>
            </w:pPr>
            <w:r>
              <w:rPr>
                <w:rFonts w:ascii="Times New Roman"/>
                <w:sz w:val="18"/>
              </w:rPr>
              <w:t>897.61</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336,165,</w:t>
            </w:r>
          </w:p>
          <w:p>
            <w:pPr>
              <w:pStyle w:val="TableParagraph"/>
              <w:spacing w:line="240" w:lineRule="auto" w:before="105"/>
              <w:ind w:left="196" w:right="0"/>
              <w:jc w:val="center"/>
              <w:rPr>
                <w:rFonts w:ascii="Times New Roman" w:hAnsi="Times New Roman" w:cs="Times New Roman" w:eastAsia="Times New Roman" w:hint="default"/>
                <w:sz w:val="18"/>
                <w:szCs w:val="18"/>
              </w:rPr>
            </w:pPr>
            <w:r>
              <w:rPr>
                <w:rFonts w:ascii="Times New Roman"/>
                <w:sz w:val="18"/>
              </w:rPr>
              <w:t>349.79</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24,896,7</w:t>
            </w:r>
          </w:p>
          <w:p>
            <w:pPr>
              <w:pStyle w:val="TableParagraph"/>
              <w:spacing w:line="240" w:lineRule="auto" w:before="105"/>
              <w:ind w:left="302" w:right="0"/>
              <w:jc w:val="left"/>
              <w:rPr>
                <w:rFonts w:ascii="Times New Roman" w:hAnsi="Times New Roman" w:cs="Times New Roman" w:eastAsia="Times New Roman" w:hint="default"/>
                <w:sz w:val="18"/>
                <w:szCs w:val="18"/>
              </w:rPr>
            </w:pPr>
            <w:r>
              <w:rPr>
                <w:rFonts w:ascii="Times New Roman"/>
                <w:sz w:val="18"/>
              </w:rPr>
              <w:t>03.50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5,541,70</w:t>
            </w:r>
          </w:p>
          <w:p>
            <w:pPr>
              <w:pStyle w:val="TableParagraph"/>
              <w:spacing w:line="240" w:lineRule="auto" w:before="105"/>
              <w:ind w:left="384" w:right="0"/>
              <w:jc w:val="left"/>
              <w:rPr>
                <w:rFonts w:ascii="Times New Roman" w:hAnsi="Times New Roman" w:cs="Times New Roman" w:eastAsia="Times New Roman" w:hint="default"/>
                <w:sz w:val="18"/>
                <w:szCs w:val="18"/>
              </w:rPr>
            </w:pPr>
            <w:r>
              <w:rPr>
                <w:rFonts w:ascii="Times New Roman"/>
                <w:sz w:val="18"/>
              </w:rPr>
              <w:t>2.47</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30,438,4</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05.97</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230,285,</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206.51</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77,975,8</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41.43</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308,261,</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047.94</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7" w:right="0"/>
              <w:jc w:val="left"/>
              <w:rPr>
                <w:rFonts w:ascii="Times New Roman" w:hAnsi="Times New Roman" w:cs="Times New Roman" w:eastAsia="Times New Roman" w:hint="default"/>
                <w:sz w:val="18"/>
                <w:szCs w:val="18"/>
              </w:rPr>
            </w:pPr>
            <w:r>
              <w:rPr>
                <w:rFonts w:ascii="Times New Roman"/>
                <w:sz w:val="18"/>
              </w:rPr>
              <w:t>13,501,6</w:t>
            </w:r>
          </w:p>
          <w:p>
            <w:pPr>
              <w:pStyle w:val="TableParagraph"/>
              <w:spacing w:line="240" w:lineRule="auto" w:before="105"/>
              <w:ind w:left="302" w:right="0"/>
              <w:jc w:val="left"/>
              <w:rPr>
                <w:rFonts w:ascii="Times New Roman" w:hAnsi="Times New Roman" w:cs="Times New Roman" w:eastAsia="Times New Roman" w:hint="default"/>
                <w:sz w:val="18"/>
                <w:szCs w:val="18"/>
              </w:rPr>
            </w:pPr>
            <w:r>
              <w:rPr>
                <w:rFonts w:ascii="Times New Roman"/>
                <w:sz w:val="18"/>
              </w:rPr>
              <w:t>02.74</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6,180,81</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6.15</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19,682,4</w:t>
            </w:r>
          </w:p>
          <w:p>
            <w:pPr>
              <w:pStyle w:val="TableParagraph"/>
              <w:spacing w:line="240" w:lineRule="auto" w:before="105"/>
              <w:ind w:left="302" w:right="0"/>
              <w:jc w:val="left"/>
              <w:rPr>
                <w:rFonts w:ascii="Times New Roman" w:hAnsi="Times New Roman" w:cs="Times New Roman" w:eastAsia="Times New Roman" w:hint="default"/>
                <w:sz w:val="18"/>
                <w:szCs w:val="18"/>
              </w:rPr>
            </w:pPr>
            <w:r>
              <w:rPr>
                <w:rFonts w:ascii="Times New Roman"/>
                <w:sz w:val="18"/>
              </w:rPr>
              <w:t>18.89</w:t>
            </w:r>
          </w:p>
        </w:tc>
      </w:tr>
      <w:tr>
        <w:trPr>
          <w:trHeight w:val="1339"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89"/>
              <w:jc w:val="both"/>
              <w:rPr>
                <w:rFonts w:ascii="宋体" w:hAnsi="宋体" w:cs="宋体" w:eastAsia="宋体" w:hint="default"/>
                <w:sz w:val="18"/>
                <w:szCs w:val="18"/>
              </w:rPr>
            </w:pPr>
            <w:r>
              <w:rPr>
                <w:rFonts w:ascii="宋体" w:hAnsi="宋体" w:cs="宋体" w:eastAsia="宋体" w:hint="default"/>
                <w:sz w:val="18"/>
                <w:szCs w:val="18"/>
              </w:rPr>
              <w:t>广州市海</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捷计算机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科技有限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20,124,8</w:t>
            </w:r>
          </w:p>
          <w:p>
            <w:pPr>
              <w:pStyle w:val="TableParagraph"/>
              <w:spacing w:line="240" w:lineRule="auto" w:before="105"/>
              <w:ind w:left="273" w:right="0"/>
              <w:jc w:val="left"/>
              <w:rPr>
                <w:rFonts w:ascii="Times New Roman" w:hAnsi="Times New Roman" w:cs="Times New Roman" w:eastAsia="Times New Roman" w:hint="default"/>
                <w:sz w:val="18"/>
                <w:szCs w:val="18"/>
              </w:rPr>
            </w:pPr>
            <w:r>
              <w:rPr>
                <w:rFonts w:ascii="Times New Roman"/>
                <w:sz w:val="18"/>
              </w:rPr>
              <w:t>75.91</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4,429,8</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03.29</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24,554,6</w:t>
            </w:r>
          </w:p>
          <w:p>
            <w:pPr>
              <w:pStyle w:val="TableParagraph"/>
              <w:spacing w:line="240" w:lineRule="auto" w:before="105"/>
              <w:ind w:left="302" w:right="0"/>
              <w:jc w:val="left"/>
              <w:rPr>
                <w:rFonts w:ascii="Times New Roman" w:hAnsi="Times New Roman" w:cs="Times New Roman" w:eastAsia="Times New Roman" w:hint="default"/>
                <w:sz w:val="18"/>
                <w:szCs w:val="18"/>
              </w:rPr>
            </w:pPr>
            <w:r>
              <w:rPr>
                <w:rFonts w:ascii="Times New Roman"/>
                <w:sz w:val="18"/>
              </w:rPr>
              <w:t>79.20</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5,680,08</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3.93</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469,027.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47</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pacing w:val="-3"/>
                <w:sz w:val="18"/>
              </w:rPr>
              <w:t>6,149,11</w:t>
            </w:r>
          </w:p>
          <w:p>
            <w:pPr>
              <w:pStyle w:val="TableParagraph"/>
              <w:spacing w:line="240" w:lineRule="auto" w:before="105"/>
              <w:ind w:left="384" w:right="0"/>
              <w:jc w:val="left"/>
              <w:rPr>
                <w:rFonts w:ascii="Times New Roman" w:hAnsi="Times New Roman" w:cs="Times New Roman" w:eastAsia="Times New Roman" w:hint="default"/>
                <w:sz w:val="18"/>
                <w:szCs w:val="18"/>
              </w:rPr>
            </w:pPr>
            <w:r>
              <w:rPr>
                <w:rFonts w:ascii="Times New Roman"/>
                <w:sz w:val="18"/>
              </w:rPr>
              <w:t>1.40</w:t>
            </w:r>
          </w:p>
        </w:tc>
        <w:tc>
          <w:tcPr>
            <w:tcW w:w="734"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4"/>
        <w:ind w:left="0" w:right="1121"/>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061"/>
        <w:gridCol w:w="1061"/>
        <w:gridCol w:w="1061"/>
        <w:gridCol w:w="1066"/>
        <w:gridCol w:w="1066"/>
        <w:gridCol w:w="1066"/>
        <w:gridCol w:w="1061"/>
        <w:gridCol w:w="1061"/>
        <w:gridCol w:w="1071"/>
      </w:tblGrid>
      <w:tr>
        <w:trPr>
          <w:trHeight w:val="403"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5"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436" w:right="75" w:hanging="360"/>
              <w:jc w:val="left"/>
              <w:rPr>
                <w:rFonts w:ascii="宋体" w:hAnsi="宋体" w:cs="宋体" w:eastAsia="宋体" w:hint="default"/>
                <w:sz w:val="18"/>
                <w:szCs w:val="18"/>
              </w:rPr>
            </w:pPr>
            <w:r>
              <w:rPr>
                <w:rFonts w:ascii="宋体" w:hAnsi="宋体" w:cs="宋体" w:eastAsia="宋体" w:hint="default"/>
                <w:spacing w:val="-2"/>
                <w:sz w:val="18"/>
                <w:szCs w:val="18"/>
              </w:rPr>
              <w:t>综合收益总</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259" w:right="75" w:hanging="183"/>
              <w:jc w:val="left"/>
              <w:rPr>
                <w:rFonts w:ascii="宋体" w:hAnsi="宋体" w:cs="宋体" w:eastAsia="宋体" w:hint="default"/>
                <w:sz w:val="18"/>
                <w:szCs w:val="18"/>
              </w:rPr>
            </w:pPr>
            <w:r>
              <w:rPr>
                <w:rFonts w:ascii="宋体" w:hAnsi="宋体" w:cs="宋体" w:eastAsia="宋体" w:hint="default"/>
                <w:spacing w:val="-2"/>
                <w:sz w:val="18"/>
                <w:szCs w:val="18"/>
              </w:rPr>
              <w:t>经营活动现</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金流量</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59"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436" w:right="69" w:hanging="360"/>
              <w:jc w:val="left"/>
              <w:rPr>
                <w:rFonts w:ascii="宋体" w:hAnsi="宋体" w:cs="宋体" w:eastAsia="宋体" w:hint="default"/>
                <w:sz w:val="18"/>
                <w:szCs w:val="18"/>
              </w:rPr>
            </w:pPr>
            <w:r>
              <w:rPr>
                <w:rFonts w:ascii="宋体" w:hAnsi="宋体" w:cs="宋体" w:eastAsia="宋体" w:hint="default"/>
                <w:spacing w:val="-2"/>
                <w:sz w:val="18"/>
                <w:szCs w:val="18"/>
              </w:rPr>
              <w:t>综合收益总</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额</w:t>
            </w:r>
          </w:p>
        </w:tc>
        <w:tc>
          <w:tcPr>
            <w:tcW w:w="1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264" w:right="74" w:hanging="183"/>
              <w:jc w:val="left"/>
              <w:rPr>
                <w:rFonts w:ascii="宋体" w:hAnsi="宋体" w:cs="宋体" w:eastAsia="宋体" w:hint="default"/>
                <w:sz w:val="18"/>
                <w:szCs w:val="18"/>
              </w:rPr>
            </w:pPr>
            <w:r>
              <w:rPr>
                <w:rFonts w:ascii="宋体" w:hAnsi="宋体" w:cs="宋体" w:eastAsia="宋体" w:hint="default"/>
                <w:spacing w:val="-2"/>
                <w:sz w:val="18"/>
                <w:szCs w:val="18"/>
              </w:rPr>
              <w:t>经营活动现</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金流量</w:t>
            </w:r>
          </w:p>
        </w:tc>
      </w:tr>
      <w:tr>
        <w:trPr>
          <w:trHeight w:val="1023"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4"/>
              <w:ind w:left="24" w:right="123"/>
              <w:jc w:val="both"/>
              <w:rPr>
                <w:rFonts w:ascii="宋体" w:hAnsi="宋体" w:cs="宋体" w:eastAsia="宋体" w:hint="default"/>
                <w:sz w:val="18"/>
                <w:szCs w:val="18"/>
              </w:rPr>
            </w:pPr>
            <w:r>
              <w:rPr>
                <w:rFonts w:ascii="宋体" w:hAnsi="宋体" w:cs="宋体" w:eastAsia="宋体" w:hint="default"/>
                <w:spacing w:val="-2"/>
                <w:sz w:val="18"/>
                <w:szCs w:val="18"/>
              </w:rPr>
              <w:t>北京南天智</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联信息有限</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86,898,691.7</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71" w:right="0"/>
              <w:jc w:val="center"/>
              <w:rPr>
                <w:rFonts w:ascii="Times New Roman" w:hAnsi="Times New Roman" w:cs="Times New Roman" w:eastAsia="Times New Roman" w:hint="default"/>
                <w:sz w:val="18"/>
                <w:szCs w:val="18"/>
              </w:rPr>
            </w:pPr>
            <w:r>
              <w:rPr>
                <w:rFonts w:ascii="Times New Roman"/>
                <w:sz w:val="18"/>
              </w:rPr>
              <w:t>7,820,946.03</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7,820,946.03</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66" w:right="0"/>
              <w:jc w:val="center"/>
              <w:rPr>
                <w:rFonts w:ascii="Times New Roman" w:hAnsi="Times New Roman" w:cs="Times New Roman" w:eastAsia="Times New Roman" w:hint="default"/>
                <w:sz w:val="18"/>
                <w:szCs w:val="18"/>
              </w:rPr>
            </w:pPr>
            <w:r>
              <w:rPr>
                <w:rFonts w:ascii="Times New Roman"/>
                <w:sz w:val="18"/>
              </w:rPr>
              <w:t>2,567,496.31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66" w:right="0"/>
              <w:jc w:val="center"/>
              <w:rPr>
                <w:rFonts w:ascii="Times New Roman" w:hAnsi="Times New Roman" w:cs="Times New Roman" w:eastAsia="Times New Roman" w:hint="default"/>
                <w:sz w:val="18"/>
                <w:szCs w:val="18"/>
              </w:rPr>
            </w:pPr>
            <w:r>
              <w:rPr>
                <w:rFonts w:ascii="Times New Roman"/>
                <w:sz w:val="18"/>
              </w:rPr>
              <w:t>3,544,981.70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15,631.23</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12" w:right="0"/>
              <w:jc w:val="left"/>
              <w:rPr>
                <w:rFonts w:ascii="Times New Roman" w:hAnsi="Times New Roman" w:cs="Times New Roman" w:eastAsia="Times New Roman" w:hint="default"/>
                <w:sz w:val="18"/>
                <w:szCs w:val="18"/>
              </w:rPr>
            </w:pPr>
            <w:r>
              <w:rPr>
                <w:rFonts w:ascii="Times New Roman"/>
                <w:sz w:val="18"/>
              </w:rPr>
              <w:t>15,631.23</w:t>
            </w:r>
          </w:p>
        </w:tc>
        <w:tc>
          <w:tcPr>
            <w:tcW w:w="1071"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4" w:right="123"/>
              <w:jc w:val="both"/>
              <w:rPr>
                <w:rFonts w:ascii="宋体" w:hAnsi="宋体" w:cs="宋体" w:eastAsia="宋体" w:hint="default"/>
                <w:sz w:val="18"/>
                <w:szCs w:val="18"/>
              </w:rPr>
            </w:pPr>
            <w:r>
              <w:rPr>
                <w:rFonts w:ascii="宋体" w:hAnsi="宋体" w:cs="宋体" w:eastAsia="宋体" w:hint="default"/>
                <w:spacing w:val="-2"/>
                <w:sz w:val="18"/>
                <w:szCs w:val="18"/>
              </w:rPr>
              <w:t>云南红岭云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科技股份有</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72,730,777.0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14,403,880.4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14,200,463.8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66" w:right="0"/>
              <w:jc w:val="center"/>
              <w:rPr>
                <w:rFonts w:ascii="Times New Roman" w:hAnsi="Times New Roman" w:cs="Times New Roman" w:eastAsia="Times New Roman" w:hint="default"/>
                <w:sz w:val="18"/>
                <w:szCs w:val="18"/>
              </w:rPr>
            </w:pPr>
            <w:r>
              <w:rPr>
                <w:rFonts w:ascii="Times New Roman"/>
                <w:sz w:val="18"/>
              </w:rPr>
              <w:t>3,017,031.13</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50,606,443.2</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12,324,652.1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12,324,652.1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-15,189,721.1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r>
      <w:tr>
        <w:trPr>
          <w:trHeight w:val="1027"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23"/>
              <w:jc w:val="both"/>
              <w:rPr>
                <w:rFonts w:ascii="宋体" w:hAnsi="宋体" w:cs="宋体" w:eastAsia="宋体" w:hint="default"/>
                <w:sz w:val="18"/>
                <w:szCs w:val="18"/>
              </w:rPr>
            </w:pPr>
            <w:r>
              <w:rPr>
                <w:rFonts w:ascii="宋体" w:hAnsi="宋体" w:cs="宋体" w:eastAsia="宋体" w:hint="default"/>
                <w:spacing w:val="-2"/>
                <w:sz w:val="18"/>
                <w:szCs w:val="18"/>
              </w:rPr>
              <w:t>北京星立方</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科技发展股</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份有限公司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85,129,313.3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16,878,185.9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17,148,314.7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-37,429,310.1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62,679,052.4</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9,795,305.08</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10,004,493.8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-4,067,140.47</w:t>
            </w:r>
          </w:p>
        </w:tc>
      </w:tr>
      <w:tr>
        <w:trPr>
          <w:trHeight w:val="1028"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23"/>
              <w:jc w:val="both"/>
              <w:rPr>
                <w:rFonts w:ascii="宋体" w:hAnsi="宋体" w:cs="宋体" w:eastAsia="宋体" w:hint="default"/>
                <w:sz w:val="18"/>
                <w:szCs w:val="18"/>
              </w:rPr>
            </w:pPr>
            <w:r>
              <w:rPr>
                <w:rFonts w:ascii="宋体" w:hAnsi="宋体" w:cs="宋体" w:eastAsia="宋体" w:hint="default"/>
                <w:spacing w:val="-2"/>
                <w:sz w:val="18"/>
                <w:szCs w:val="18"/>
              </w:rPr>
              <w:t>广州市海捷</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计算机科技</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26,500,924.6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71" w:right="0"/>
              <w:jc w:val="center"/>
              <w:rPr>
                <w:rFonts w:ascii="Times New Roman" w:hAnsi="Times New Roman" w:cs="Times New Roman" w:eastAsia="Times New Roman" w:hint="default"/>
                <w:sz w:val="18"/>
                <w:szCs w:val="18"/>
              </w:rPr>
            </w:pPr>
            <w:r>
              <w:rPr>
                <w:rFonts w:ascii="Times New Roman"/>
                <w:sz w:val="18"/>
              </w:rPr>
              <w:t>5,777,972.58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5,777,972.58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66" w:right="0"/>
              <w:jc w:val="center"/>
              <w:rPr>
                <w:rFonts w:ascii="Times New Roman" w:hAnsi="Times New Roman" w:cs="Times New Roman" w:eastAsia="Times New Roman" w:hint="default"/>
                <w:sz w:val="18"/>
                <w:szCs w:val="18"/>
              </w:rPr>
            </w:pPr>
            <w:r>
              <w:rPr>
                <w:rFonts w:ascii="Times New Roman"/>
                <w:sz w:val="18"/>
              </w:rPr>
              <w:t>5,734,696.53</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7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855"/>
        <w:jc w:val="left"/>
        <w:rPr>
          <w:b w:val="0"/>
          <w:bCs w:val="0"/>
        </w:rPr>
      </w:pP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855"/>
        <w:jc w:val="left"/>
      </w:pPr>
      <w:r>
        <w:rPr>
          <w:w w:val="101"/>
        </w:rPr>
        <w:t>无</w:t>
      </w:r>
      <w:r>
        <w:rPr/>
      </w:r>
    </w:p>
    <w:p>
      <w:pPr>
        <w:spacing w:line="240" w:lineRule="auto" w:before="0"/>
        <w:rPr>
          <w:rFonts w:ascii="宋体" w:hAnsi="宋体" w:cs="宋体" w:eastAsia="宋体" w:hint="default"/>
          <w:sz w:val="18"/>
          <w:szCs w:val="18"/>
        </w:rPr>
      </w:pPr>
    </w:p>
    <w:p>
      <w:pPr>
        <w:pStyle w:val="Heading4"/>
        <w:spacing w:line="240" w:lineRule="auto" w:before="118"/>
        <w:ind w:right="855"/>
        <w:jc w:val="left"/>
        <w:rPr>
          <w:b w:val="0"/>
          <w:bCs w:val="0"/>
        </w:rPr>
      </w:pP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855"/>
        <w:jc w:val="left"/>
      </w:pPr>
      <w:r>
        <w:rPr>
          <w:w w:val="101"/>
        </w:rPr>
        <w:t>无</w:t>
      </w:r>
      <w:r>
        <w:rPr/>
      </w:r>
    </w:p>
    <w:p>
      <w:pPr>
        <w:spacing w:line="240" w:lineRule="auto" w:before="0"/>
        <w:rPr>
          <w:rFonts w:ascii="宋体" w:hAnsi="宋体" w:cs="宋体" w:eastAsia="宋体" w:hint="default"/>
          <w:sz w:val="18"/>
          <w:szCs w:val="18"/>
        </w:rPr>
      </w:pPr>
    </w:p>
    <w:p>
      <w:pPr>
        <w:pStyle w:val="Heading4"/>
        <w:spacing w:line="240" w:lineRule="auto" w:before="118"/>
        <w:ind w:right="855"/>
        <w:jc w:val="left"/>
        <w:rPr>
          <w:b w:val="0"/>
          <w:bCs w:val="0"/>
        </w:rPr>
      </w:pPr>
      <w:r>
        <w:rPr>
          <w:rFonts w:ascii="Times New Roman" w:hAnsi="Times New Roman" w:cs="Times New Roman" w:eastAsia="Times New Roman" w:hint="default"/>
        </w:rPr>
        <w:t>2</w:t>
      </w:r>
      <w:r>
        <w:rPr/>
        <w:t>、在合营安排或联营企业中的权益</w:t>
      </w:r>
      <w:r>
        <w:rPr>
          <w:b w:val="0"/>
          <w:bCs w:val="0"/>
        </w:rPr>
      </w:r>
    </w:p>
    <w:p>
      <w:pPr>
        <w:spacing w:line="240" w:lineRule="auto" w:before="10"/>
        <w:rPr>
          <w:rFonts w:ascii="宋体" w:hAnsi="宋体" w:cs="宋体" w:eastAsia="宋体" w:hint="default"/>
          <w:b/>
          <w:bCs/>
          <w:sz w:val="24"/>
          <w:szCs w:val="24"/>
        </w:rPr>
      </w:pPr>
    </w:p>
    <w:p>
      <w:pPr>
        <w:spacing w:before="0"/>
        <w:ind w:left="153" w:right="85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）重要的合营企业或联营企业</w:t>
      </w:r>
      <w:r>
        <w:rPr>
          <w:rFonts w:ascii="宋体" w:hAnsi="宋体" w:cs="宋体" w:eastAsia="宋体" w:hint="default"/>
          <w:sz w:val="21"/>
          <w:szCs w:val="21"/>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2694"/>
        <w:gridCol w:w="1138"/>
        <w:gridCol w:w="850"/>
        <w:gridCol w:w="792"/>
        <w:gridCol w:w="1369"/>
        <w:gridCol w:w="1364"/>
        <w:gridCol w:w="1369"/>
      </w:tblGrid>
      <w:tr>
        <w:trPr>
          <w:trHeight w:val="404" w:hRule="exact"/>
        </w:trPr>
        <w:tc>
          <w:tcPr>
            <w:tcW w:w="26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355" w:right="0"/>
              <w:jc w:val="left"/>
              <w:rPr>
                <w:rFonts w:ascii="宋体" w:hAnsi="宋体" w:cs="宋体" w:eastAsia="宋体" w:hint="default"/>
                <w:sz w:val="18"/>
                <w:szCs w:val="18"/>
              </w:rPr>
            </w:pPr>
            <w:r>
              <w:rPr>
                <w:rFonts w:ascii="宋体" w:hAnsi="宋体" w:cs="宋体" w:eastAsia="宋体" w:hint="default"/>
                <w:spacing w:val="-3"/>
                <w:sz w:val="18"/>
                <w:szCs w:val="18"/>
              </w:rPr>
              <w:t>合营企业或联营企业名称</w:t>
            </w:r>
          </w:p>
        </w:tc>
        <w:tc>
          <w:tcPr>
            <w:tcW w:w="11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115" w:right="0"/>
              <w:jc w:val="left"/>
              <w:rPr>
                <w:rFonts w:ascii="宋体" w:hAnsi="宋体" w:cs="宋体" w:eastAsia="宋体" w:hint="default"/>
                <w:sz w:val="18"/>
                <w:szCs w:val="18"/>
              </w:rPr>
            </w:pPr>
            <w:r>
              <w:rPr>
                <w:rFonts w:ascii="宋体" w:hAnsi="宋体" w:cs="宋体" w:eastAsia="宋体" w:hint="default"/>
                <w:spacing w:val="-3"/>
                <w:sz w:val="18"/>
                <w:szCs w:val="18"/>
              </w:rPr>
              <w:t>主要经营地</w:t>
            </w:r>
            <w:r>
              <w:rPr>
                <w:rFonts w:ascii="宋体" w:hAnsi="宋体" w:cs="宋体" w:eastAsia="宋体" w:hint="default"/>
                <w:sz w:val="18"/>
                <w:szCs w:val="18"/>
              </w:rPr>
            </w:r>
          </w:p>
        </w:tc>
        <w:tc>
          <w:tcPr>
            <w:tcW w:w="8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14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7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33"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3"/>
              <w:ind w:left="48" w:right="46"/>
              <w:jc w:val="center"/>
              <w:rPr>
                <w:rFonts w:ascii="宋体" w:hAnsi="宋体" w:cs="宋体" w:eastAsia="宋体" w:hint="default"/>
                <w:sz w:val="18"/>
                <w:szCs w:val="18"/>
              </w:rPr>
            </w:pPr>
            <w:r>
              <w:rPr>
                <w:rFonts w:ascii="宋体" w:hAnsi="宋体" w:cs="宋体" w:eastAsia="宋体" w:hint="default"/>
                <w:spacing w:val="-3"/>
                <w:sz w:val="18"/>
                <w:szCs w:val="18"/>
              </w:rPr>
              <w:t>对合营企业或联</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3"/>
                <w:sz w:val="18"/>
                <w:szCs w:val="18"/>
              </w:rPr>
              <w:t>营企业投资的会</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计处理方法</w:t>
            </w:r>
          </w:p>
        </w:tc>
      </w:tr>
      <w:tr>
        <w:trPr>
          <w:trHeight w:val="624" w:hRule="exact"/>
        </w:trPr>
        <w:tc>
          <w:tcPr>
            <w:tcW w:w="2694" w:type="dxa"/>
            <w:vMerge/>
            <w:tcBorders>
              <w:left w:val="single" w:sz="4" w:space="0" w:color="000000"/>
              <w:bottom w:val="single" w:sz="4" w:space="0" w:color="000000"/>
              <w:right w:val="single" w:sz="4" w:space="0" w:color="000000"/>
            </w:tcBorders>
            <w:shd w:val="clear" w:color="auto" w:fill="D2D2D2"/>
          </w:tcPr>
          <w:p>
            <w:pPr/>
          </w:p>
        </w:tc>
        <w:tc>
          <w:tcPr>
            <w:tcW w:w="1138" w:type="dxa"/>
            <w:vMerge/>
            <w:tcBorders>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792"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9"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云南东盟公共物流信息有限公司</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昆明</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昆明</w:t>
            </w:r>
          </w:p>
        </w:tc>
        <w:tc>
          <w:tcPr>
            <w:tcW w:w="792"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77" w:right="0"/>
              <w:jc w:val="left"/>
              <w:rPr>
                <w:rFonts w:ascii="Times New Roman" w:hAnsi="Times New Roman" w:cs="Times New Roman" w:eastAsia="Times New Roman" w:hint="default"/>
                <w:sz w:val="18"/>
                <w:szCs w:val="18"/>
              </w:rPr>
            </w:pPr>
            <w:r>
              <w:rPr>
                <w:rFonts w:ascii="Times New Roman"/>
                <w:sz w:val="18"/>
              </w:rPr>
              <w:t>42.00%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权益法核算</w:t>
            </w:r>
          </w:p>
        </w:tc>
      </w:tr>
    </w:tbl>
    <w:p>
      <w:pPr>
        <w:spacing w:after="0" w:line="240" w:lineRule="auto"/>
        <w:jc w:val="left"/>
        <w:rPr>
          <w:rFonts w:ascii="宋体" w:hAnsi="宋体" w:cs="宋体" w:eastAsia="宋体" w:hint="default"/>
          <w:sz w:val="18"/>
          <w:szCs w:val="18"/>
        </w:rPr>
        <w:sectPr>
          <w:pgSz w:w="11910" w:h="16840"/>
          <w:pgMar w:header="746" w:footer="974"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2694"/>
        <w:gridCol w:w="1138"/>
        <w:gridCol w:w="850"/>
        <w:gridCol w:w="792"/>
        <w:gridCol w:w="1369"/>
        <w:gridCol w:w="1364"/>
        <w:gridCol w:w="1369"/>
      </w:tblGrid>
      <w:tr>
        <w:trPr>
          <w:trHeight w:val="403"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北京新医力科技有限公司</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792"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22.10%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权益法核算</w:t>
            </w:r>
          </w:p>
        </w:tc>
      </w:tr>
      <w:tr>
        <w:trPr>
          <w:trHeight w:val="398"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上海致同信息技术有限公司</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792"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40.00%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权益法核算</w:t>
            </w:r>
          </w:p>
        </w:tc>
      </w:tr>
      <w:tr>
        <w:trPr>
          <w:trHeight w:val="404"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pacing w:val="-3"/>
                <w:sz w:val="18"/>
                <w:szCs w:val="18"/>
              </w:rPr>
              <w:t>北京芝麻邦天云科技有限公司</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792"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777" w:right="0"/>
              <w:jc w:val="left"/>
              <w:rPr>
                <w:rFonts w:ascii="Times New Roman" w:hAnsi="Times New Roman" w:cs="Times New Roman" w:eastAsia="Times New Roman" w:hint="default"/>
                <w:sz w:val="18"/>
                <w:szCs w:val="18"/>
              </w:rPr>
            </w:pPr>
            <w:r>
              <w:rPr>
                <w:rFonts w:ascii="Times New Roman"/>
                <w:sz w:val="18"/>
              </w:rPr>
              <w:t>34.00%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权益法核算</w:t>
            </w:r>
          </w:p>
        </w:tc>
      </w:tr>
      <w:tr>
        <w:trPr>
          <w:trHeight w:val="403"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北京青豆文化发展有限公司</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792"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40.48%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权益法核算</w:t>
            </w:r>
          </w:p>
        </w:tc>
      </w:tr>
    </w:tbl>
    <w:p>
      <w:pPr>
        <w:pStyle w:val="BodyText"/>
        <w:spacing w:line="240" w:lineRule="auto" w:before="53"/>
        <w:ind w:right="855"/>
        <w:jc w:val="left"/>
      </w:pPr>
      <w:r>
        <w:rPr>
          <w:spacing w:val="-3"/>
        </w:rPr>
        <w:t>在合营企业或联营企业的持股比例不同于表决权比例的说明：</w:t>
      </w:r>
    </w:p>
    <w:p>
      <w:pPr>
        <w:pStyle w:val="BodyText"/>
        <w:spacing w:line="240" w:lineRule="auto" w:before="115"/>
        <w:ind w:right="855"/>
        <w:jc w:val="left"/>
      </w:pPr>
      <w:r>
        <w:rPr/>
        <w:t>持有 </w:t>
      </w:r>
      <w:r>
        <w:rPr>
          <w:rFonts w:ascii="Times New Roman" w:hAnsi="Times New Roman" w:cs="Times New Roman" w:eastAsia="Times New Roman" w:hint="default"/>
          <w:spacing w:val="-3"/>
        </w:rPr>
        <w:t>20%</w:t>
      </w:r>
      <w:r>
        <w:rPr>
          <w:spacing w:val="-3"/>
        </w:rPr>
        <w:t>以下表决权但具有重大影响，或者持有</w:t>
      </w:r>
      <w:r>
        <w:rPr>
          <w:spacing w:val="35"/>
        </w:rPr>
        <w:t> </w:t>
      </w:r>
      <w:r>
        <w:rPr>
          <w:rFonts w:ascii="Times New Roman" w:hAnsi="Times New Roman" w:cs="Times New Roman" w:eastAsia="Times New Roman" w:hint="default"/>
          <w:spacing w:val="-3"/>
        </w:rPr>
        <w:t>20%</w:t>
      </w:r>
      <w:r>
        <w:rPr>
          <w:spacing w:val="-3"/>
        </w:rPr>
        <w:t>或以上表决权但不具有重大影响的依据：</w:t>
      </w:r>
    </w:p>
    <w:p>
      <w:pPr>
        <w:spacing w:line="240" w:lineRule="auto" w:before="8"/>
        <w:rPr>
          <w:rFonts w:ascii="宋体" w:hAnsi="宋体" w:cs="宋体" w:eastAsia="宋体" w:hint="default"/>
          <w:sz w:val="25"/>
          <w:szCs w:val="25"/>
        </w:rPr>
      </w:pPr>
    </w:p>
    <w:p>
      <w:pPr>
        <w:pStyle w:val="Heading4"/>
        <w:spacing w:line="240" w:lineRule="auto"/>
        <w:ind w:right="855"/>
        <w:jc w:val="left"/>
        <w:rPr>
          <w:b w:val="0"/>
          <w:bCs w:val="0"/>
        </w:rPr>
      </w:pPr>
      <w:r>
        <w:rPr/>
        <w:t>（</w:t>
      </w:r>
      <w:r>
        <w:rPr>
          <w:rFonts w:ascii="Times New Roman" w:hAnsi="Times New Roman" w:cs="Times New Roman" w:eastAsia="Times New Roman" w:hint="default"/>
        </w:rPr>
        <w:t>2</w:t>
      </w:r>
      <w:r>
        <w:rPr/>
        <w:t>）重要联营企业的主要财务信息</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1"/>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869"/>
        <w:gridCol w:w="869"/>
        <w:gridCol w:w="869"/>
        <w:gridCol w:w="869"/>
        <w:gridCol w:w="869"/>
        <w:gridCol w:w="869"/>
        <w:gridCol w:w="869"/>
        <w:gridCol w:w="869"/>
        <w:gridCol w:w="869"/>
        <w:gridCol w:w="869"/>
        <w:gridCol w:w="869"/>
      </w:tblGrid>
      <w:tr>
        <w:trPr>
          <w:trHeight w:val="403" w:hRule="exact"/>
        </w:trPr>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346"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334"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4346"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334"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1340" w:hRule="exact"/>
        </w:trPr>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67" w:right="65"/>
              <w:jc w:val="center"/>
              <w:rPr>
                <w:rFonts w:ascii="宋体" w:hAnsi="宋体" w:cs="宋体" w:eastAsia="宋体" w:hint="default"/>
                <w:sz w:val="18"/>
                <w:szCs w:val="18"/>
              </w:rPr>
            </w:pPr>
            <w:r>
              <w:rPr>
                <w:rFonts w:ascii="宋体" w:hAnsi="宋体" w:cs="宋体" w:eastAsia="宋体" w:hint="default"/>
                <w:spacing w:val="-2"/>
                <w:sz w:val="18"/>
                <w:szCs w:val="18"/>
              </w:rPr>
              <w:t>云南东盟</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公共物流</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信息有限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4" w:lineRule="auto"/>
              <w:ind w:left="67" w:right="65"/>
              <w:jc w:val="both"/>
              <w:rPr>
                <w:rFonts w:ascii="宋体" w:hAnsi="宋体" w:cs="宋体" w:eastAsia="宋体" w:hint="default"/>
                <w:sz w:val="18"/>
                <w:szCs w:val="18"/>
              </w:rPr>
            </w:pPr>
            <w:r>
              <w:rPr>
                <w:rFonts w:ascii="宋体" w:hAnsi="宋体" w:cs="宋体" w:eastAsia="宋体" w:hint="default"/>
                <w:sz w:val="18"/>
                <w:szCs w:val="18"/>
              </w:rPr>
              <w:t>北京新医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力科技有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限公司</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4" w:lineRule="auto"/>
              <w:ind w:left="67" w:right="65"/>
              <w:jc w:val="center"/>
              <w:rPr>
                <w:rFonts w:ascii="宋体" w:hAnsi="宋体" w:cs="宋体" w:eastAsia="宋体" w:hint="default"/>
                <w:sz w:val="18"/>
                <w:szCs w:val="18"/>
              </w:rPr>
            </w:pPr>
            <w:r>
              <w:rPr>
                <w:rFonts w:ascii="宋体" w:hAnsi="宋体" w:cs="宋体" w:eastAsia="宋体" w:hint="default"/>
                <w:spacing w:val="-2"/>
                <w:sz w:val="18"/>
                <w:szCs w:val="18"/>
              </w:rPr>
              <w:t>上海致同</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信息有限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67" w:right="65"/>
              <w:jc w:val="center"/>
              <w:rPr>
                <w:rFonts w:ascii="宋体" w:hAnsi="宋体" w:cs="宋体" w:eastAsia="宋体" w:hint="default"/>
                <w:sz w:val="18"/>
                <w:szCs w:val="18"/>
              </w:rPr>
            </w:pPr>
            <w:r>
              <w:rPr>
                <w:rFonts w:ascii="宋体" w:hAnsi="宋体" w:cs="宋体" w:eastAsia="宋体" w:hint="default"/>
                <w:spacing w:val="-2"/>
                <w:sz w:val="18"/>
                <w:szCs w:val="18"/>
              </w:rPr>
              <w:t>北京芝麻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邦天云科</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技有限公</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司</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4" w:lineRule="auto"/>
              <w:ind w:left="67" w:right="65"/>
              <w:jc w:val="both"/>
              <w:rPr>
                <w:rFonts w:ascii="宋体" w:hAnsi="宋体" w:cs="宋体" w:eastAsia="宋体" w:hint="default"/>
                <w:sz w:val="18"/>
                <w:szCs w:val="18"/>
              </w:rPr>
            </w:pPr>
            <w:r>
              <w:rPr>
                <w:rFonts w:ascii="宋体" w:hAnsi="宋体" w:cs="宋体" w:eastAsia="宋体" w:hint="default"/>
                <w:sz w:val="18"/>
                <w:szCs w:val="18"/>
              </w:rPr>
              <w:t>北京青豆</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文化发展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有限公司</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67" w:right="65"/>
              <w:jc w:val="center"/>
              <w:rPr>
                <w:rFonts w:ascii="宋体" w:hAnsi="宋体" w:cs="宋体" w:eastAsia="宋体" w:hint="default"/>
                <w:sz w:val="18"/>
                <w:szCs w:val="18"/>
              </w:rPr>
            </w:pPr>
            <w:r>
              <w:rPr>
                <w:rFonts w:ascii="宋体" w:hAnsi="宋体" w:cs="宋体" w:eastAsia="宋体" w:hint="default"/>
                <w:spacing w:val="-2"/>
                <w:sz w:val="18"/>
                <w:szCs w:val="18"/>
              </w:rPr>
              <w:t>云南东盟</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公共物流</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信息有限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4" w:lineRule="auto"/>
              <w:ind w:left="67" w:right="65"/>
              <w:jc w:val="both"/>
              <w:rPr>
                <w:rFonts w:ascii="宋体" w:hAnsi="宋体" w:cs="宋体" w:eastAsia="宋体" w:hint="default"/>
                <w:sz w:val="18"/>
                <w:szCs w:val="18"/>
              </w:rPr>
            </w:pPr>
            <w:r>
              <w:rPr>
                <w:rFonts w:ascii="宋体" w:hAnsi="宋体" w:cs="宋体" w:eastAsia="宋体" w:hint="default"/>
                <w:sz w:val="18"/>
                <w:szCs w:val="18"/>
              </w:rPr>
              <w:t>北京新医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力科技有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限公司</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4" w:lineRule="auto"/>
              <w:ind w:left="67" w:right="65"/>
              <w:jc w:val="center"/>
              <w:rPr>
                <w:rFonts w:ascii="宋体" w:hAnsi="宋体" w:cs="宋体" w:eastAsia="宋体" w:hint="default"/>
                <w:sz w:val="18"/>
                <w:szCs w:val="18"/>
              </w:rPr>
            </w:pPr>
            <w:r>
              <w:rPr>
                <w:rFonts w:ascii="宋体" w:hAnsi="宋体" w:cs="宋体" w:eastAsia="宋体" w:hint="default"/>
                <w:spacing w:val="-2"/>
                <w:sz w:val="18"/>
                <w:szCs w:val="18"/>
              </w:rPr>
              <w:t>上海致同</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信息有限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67" w:right="65"/>
              <w:jc w:val="center"/>
              <w:rPr>
                <w:rFonts w:ascii="宋体" w:hAnsi="宋体" w:cs="宋体" w:eastAsia="宋体" w:hint="default"/>
                <w:sz w:val="18"/>
                <w:szCs w:val="18"/>
              </w:rPr>
            </w:pPr>
            <w:r>
              <w:rPr>
                <w:rFonts w:ascii="宋体" w:hAnsi="宋体" w:cs="宋体" w:eastAsia="宋体" w:hint="default"/>
                <w:spacing w:val="-2"/>
                <w:sz w:val="18"/>
                <w:szCs w:val="18"/>
              </w:rPr>
              <w:t>北京芝麻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邦天云科</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技有限公</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司</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4" w:lineRule="auto"/>
              <w:ind w:left="67" w:right="65"/>
              <w:jc w:val="both"/>
              <w:rPr>
                <w:rFonts w:ascii="宋体" w:hAnsi="宋体" w:cs="宋体" w:eastAsia="宋体" w:hint="default"/>
                <w:sz w:val="18"/>
                <w:szCs w:val="18"/>
              </w:rPr>
            </w:pPr>
            <w:r>
              <w:rPr>
                <w:rFonts w:ascii="宋体" w:hAnsi="宋体" w:cs="宋体" w:eastAsia="宋体" w:hint="default"/>
                <w:sz w:val="18"/>
                <w:szCs w:val="18"/>
              </w:rPr>
              <w:t>北京青豆</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文化发展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有限公司</w:t>
            </w:r>
          </w:p>
        </w:tc>
      </w:tr>
      <w:tr>
        <w:trPr>
          <w:trHeight w:val="716" w:hRule="exact"/>
        </w:trPr>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84"/>
              <w:jc w:val="center"/>
              <w:rPr>
                <w:rFonts w:ascii="宋体" w:hAnsi="宋体" w:cs="宋体" w:eastAsia="宋体" w:hint="default"/>
                <w:sz w:val="18"/>
                <w:szCs w:val="18"/>
              </w:rPr>
            </w:pPr>
            <w:r>
              <w:rPr>
                <w:rFonts w:ascii="宋体" w:hAnsi="宋体" w:cs="宋体" w:eastAsia="宋体" w:hint="default"/>
                <w:sz w:val="18"/>
                <w:szCs w:val="18"/>
              </w:rPr>
              <w:t>流动资产</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18,295,858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606,948.98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1,175,813.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133,805.88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1,022,501.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18,634,468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441,222.43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1,135,138.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133,805.88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1,204,333.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34</w:t>
            </w:r>
          </w:p>
        </w:tc>
      </w:tr>
      <w:tr>
        <w:trPr>
          <w:trHeight w:val="710" w:hRule="exact"/>
        </w:trPr>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24" w:right="108"/>
              <w:jc w:val="left"/>
              <w:rPr>
                <w:rFonts w:ascii="宋体" w:hAnsi="宋体" w:cs="宋体" w:eastAsia="宋体" w:hint="default"/>
                <w:sz w:val="18"/>
                <w:szCs w:val="18"/>
              </w:rPr>
            </w:pPr>
            <w:r>
              <w:rPr>
                <w:rFonts w:ascii="宋体" w:hAnsi="宋体" w:cs="宋体" w:eastAsia="宋体" w:hint="default"/>
                <w:sz w:val="18"/>
                <w:szCs w:val="18"/>
              </w:rPr>
              <w:t>非流动资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产</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35,565,740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23,687,522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5,778.23</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10,216.36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39,141,743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21,680,622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8,606.86</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10,216.36</w:t>
            </w:r>
          </w:p>
        </w:tc>
      </w:tr>
      <w:tr>
        <w:trPr>
          <w:trHeight w:val="715" w:hRule="exact"/>
        </w:trPr>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84"/>
              <w:jc w:val="center"/>
              <w:rPr>
                <w:rFonts w:ascii="宋体" w:hAnsi="宋体" w:cs="宋体" w:eastAsia="宋体" w:hint="default"/>
                <w:sz w:val="18"/>
                <w:szCs w:val="18"/>
              </w:rPr>
            </w:pPr>
            <w:r>
              <w:rPr>
                <w:rFonts w:ascii="宋体" w:hAnsi="宋体" w:cs="宋体" w:eastAsia="宋体" w:hint="default"/>
                <w:sz w:val="18"/>
                <w:szCs w:val="18"/>
              </w:rPr>
              <w:t>资产合计</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53,861,598</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.86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24,294,471</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.97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1,181,591.</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24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133,805.88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1,032,717.</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60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2"/>
                <w:sz w:val="18"/>
              </w:rPr>
              <w:t>57,776,211</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.36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22,121,844</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.79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1,143,745.</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56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133,805.88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1,214,549.</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70</w:t>
            </w:r>
          </w:p>
        </w:tc>
      </w:tr>
      <w:tr>
        <w:trPr>
          <w:trHeight w:val="716" w:hRule="exact"/>
        </w:trPr>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84"/>
              <w:jc w:val="center"/>
              <w:rPr>
                <w:rFonts w:ascii="宋体" w:hAnsi="宋体" w:cs="宋体" w:eastAsia="宋体" w:hint="default"/>
                <w:sz w:val="18"/>
                <w:szCs w:val="18"/>
              </w:rPr>
            </w:pPr>
            <w:r>
              <w:rPr>
                <w:rFonts w:ascii="宋体" w:hAnsi="宋体" w:cs="宋体" w:eastAsia="宋体" w:hint="default"/>
                <w:sz w:val="18"/>
                <w:szCs w:val="18"/>
              </w:rPr>
              <w:t>流动负债</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13,760,189</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.72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4,816,589.</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73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901,528.72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95" w:right="0"/>
              <w:jc w:val="center"/>
              <w:rPr>
                <w:rFonts w:ascii="Times New Roman" w:hAnsi="Times New Roman" w:cs="Times New Roman" w:eastAsia="Times New Roman" w:hint="default"/>
                <w:sz w:val="18"/>
                <w:szCs w:val="18"/>
              </w:rPr>
            </w:pPr>
            <w:r>
              <w:rPr>
                <w:rFonts w:ascii="Times New Roman"/>
                <w:sz w:val="18"/>
              </w:rPr>
              <w:t>15,526.06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245,508.92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12,693,889</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.81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416,729.45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728,102.00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95" w:right="0"/>
              <w:jc w:val="center"/>
              <w:rPr>
                <w:rFonts w:ascii="Times New Roman" w:hAnsi="Times New Roman" w:cs="Times New Roman" w:eastAsia="Times New Roman" w:hint="default"/>
                <w:sz w:val="18"/>
                <w:szCs w:val="18"/>
              </w:rPr>
            </w:pPr>
            <w:r>
              <w:rPr>
                <w:rFonts w:ascii="Times New Roman"/>
                <w:sz w:val="18"/>
              </w:rPr>
              <w:t>15,526.06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448,457.64</w:t>
            </w:r>
          </w:p>
        </w:tc>
      </w:tr>
      <w:tr>
        <w:trPr>
          <w:trHeight w:val="715" w:hRule="exact"/>
        </w:trPr>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84"/>
              <w:jc w:val="center"/>
              <w:rPr>
                <w:rFonts w:ascii="宋体" w:hAnsi="宋体" w:cs="宋体" w:eastAsia="宋体" w:hint="default"/>
                <w:sz w:val="18"/>
                <w:szCs w:val="18"/>
              </w:rPr>
            </w:pPr>
            <w:r>
              <w:rPr>
                <w:rFonts w:ascii="宋体" w:hAnsi="宋体" w:cs="宋体" w:eastAsia="宋体" w:hint="default"/>
                <w:sz w:val="18"/>
                <w:szCs w:val="18"/>
              </w:rPr>
              <w:t>负债合计</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13,760,189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4,816,589.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901,528.72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5" w:right="0"/>
              <w:jc w:val="center"/>
              <w:rPr>
                <w:rFonts w:ascii="Times New Roman" w:hAnsi="Times New Roman" w:cs="Times New Roman" w:eastAsia="Times New Roman" w:hint="default"/>
                <w:sz w:val="18"/>
                <w:szCs w:val="18"/>
              </w:rPr>
            </w:pPr>
            <w:r>
              <w:rPr>
                <w:rFonts w:ascii="Times New Roman"/>
                <w:sz w:val="18"/>
              </w:rPr>
              <w:t>15,526.06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245,508.92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12,693,889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416,729.45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728,102.00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5" w:right="0"/>
              <w:jc w:val="center"/>
              <w:rPr>
                <w:rFonts w:ascii="Times New Roman" w:hAnsi="Times New Roman" w:cs="Times New Roman" w:eastAsia="Times New Roman" w:hint="default"/>
                <w:sz w:val="18"/>
                <w:szCs w:val="18"/>
              </w:rPr>
            </w:pPr>
            <w:r>
              <w:rPr>
                <w:rFonts w:ascii="Times New Roman"/>
                <w:sz w:val="18"/>
              </w:rPr>
              <w:t>15,526.06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448,457.64</w:t>
            </w:r>
          </w:p>
        </w:tc>
      </w:tr>
    </w:tbl>
    <w:p>
      <w:pPr>
        <w:spacing w:line="240" w:lineRule="auto" w:before="1"/>
        <w:rPr>
          <w:rFonts w:ascii="宋体" w:hAnsi="宋体" w:cs="宋体" w:eastAsia="宋体" w:hint="default"/>
          <w:sz w:val="18"/>
          <w:szCs w:val="18"/>
        </w:rPr>
      </w:pPr>
    </w:p>
    <w:p>
      <w:pPr>
        <w:pStyle w:val="Heading2"/>
        <w:spacing w:line="240" w:lineRule="auto" w:before="26"/>
        <w:ind w:right="855"/>
        <w:jc w:val="left"/>
        <w:rPr>
          <w:b w:val="0"/>
          <w:bCs w:val="0"/>
        </w:rPr>
      </w:pPr>
      <w:r>
        <w:rPr/>
        <w:t>十、与金融工具相关的风险</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124" w:firstLine="441"/>
        <w:jc w:val="both"/>
        <w:rPr>
          <w:rFonts w:ascii="宋体" w:hAnsi="宋体" w:cs="宋体" w:eastAsia="宋体" w:hint="default"/>
        </w:rPr>
      </w:pPr>
      <w:r>
        <w:rPr>
          <w:spacing w:val="-3"/>
        </w:rPr>
        <w:t>本公司在日常活动中面临金融工具的主要风险是信用风险（主要为利率风险）、流动风险和市场风险。本公司的主要</w:t>
      </w:r>
      <w:r>
        <w:rPr>
          <w:w w:val="101"/>
        </w:rPr>
        <w:t> </w:t>
      </w:r>
      <w:r>
        <w:rPr>
          <w:spacing w:val="-4"/>
        </w:rPr>
        <w:t>金融工具包括货币资金、应收票据、应收及其他应收款、权益投资、借款、应付票据、应付及其他应付款等。本公司管理层</w:t>
      </w:r>
      <w:r>
        <w:rPr>
          <w:spacing w:val="40"/>
        </w:rPr>
        <w:t> </w:t>
      </w:r>
      <w:r>
        <w:rPr>
          <w:spacing w:val="40"/>
        </w:rPr>
      </w:r>
      <w:r>
        <w:rPr>
          <w:spacing w:val="-3"/>
        </w:rPr>
        <w:t>管理及监控这些风险，力求减少对财务业绩的潜在不利影响。</w:t>
      </w:r>
      <w:r>
        <w:rPr>
          <w:rFonts w:ascii="宋体" w:hAnsi="宋体" w:cs="宋体" w:eastAsia="宋体" w:hint="default"/>
        </w:rPr>
        <w:t> </w:t>
      </w:r>
    </w:p>
    <w:p>
      <w:pPr>
        <w:pStyle w:val="BodyText"/>
        <w:spacing w:line="432" w:lineRule="exact" w:before="4"/>
        <w:ind w:left="594" w:right="855"/>
        <w:jc w:val="left"/>
      </w:pPr>
      <w:r>
        <w:rPr>
          <w:rFonts w:ascii="宋体" w:hAnsi="宋体" w:cs="宋体" w:eastAsia="宋体" w:hint="default"/>
          <w:b/>
          <w:bCs/>
        </w:rPr>
        <w:t>1</w:t>
      </w:r>
      <w:r>
        <w:rPr>
          <w:rFonts w:ascii="宋体" w:hAnsi="宋体" w:cs="宋体" w:eastAsia="宋体" w:hint="default"/>
          <w:b/>
          <w:bCs/>
        </w:rPr>
        <w:t>、信用风险</w:t>
      </w:r>
      <w:r>
        <w:rPr>
          <w:rFonts w:ascii="宋体" w:hAnsi="宋体" w:cs="宋体" w:eastAsia="宋体" w:hint="default"/>
          <w:b/>
          <w:bCs/>
          <w:w w:val="100"/>
        </w:rPr>
        <w:t> </w:t>
      </w:r>
      <w:r>
        <w:rPr>
          <w:spacing w:val="-3"/>
        </w:rPr>
        <w:t>本公司对信用风险按组合分类进行管理。信用风险主要产生于银行存款、应收票据、应收账款、其他应收款等。</w:t>
      </w:r>
      <w:r>
        <w:rPr>
          <w:spacing w:val="51"/>
        </w:rPr>
        <w:t> </w:t>
      </w:r>
      <w:r>
        <w:rPr>
          <w:rFonts w:ascii="宋体" w:hAnsi="宋体" w:cs="宋体" w:eastAsia="宋体" w:hint="default"/>
          <w:spacing w:val="51"/>
        </w:rPr>
      </w:r>
      <w:r>
        <w:rPr>
          <w:spacing w:val="-3"/>
        </w:rPr>
        <w:t>本公司银行存款主要存放于信用评级较高的银行，本公司认为其不存在重大的信用风险，不会产生因对方单位违约而</w:t>
      </w:r>
    </w:p>
    <w:p>
      <w:pPr>
        <w:pStyle w:val="BodyText"/>
        <w:spacing w:line="240" w:lineRule="auto" w:before="15"/>
        <w:ind w:right="855"/>
        <w:jc w:val="left"/>
        <w:rPr>
          <w:rFonts w:ascii="宋体" w:hAnsi="宋体" w:cs="宋体" w:eastAsia="宋体" w:hint="default"/>
        </w:rPr>
      </w:pPr>
      <w:r>
        <w:rPr>
          <w:spacing w:val="-3"/>
        </w:rPr>
        <w:t>导致的任何重大损失。</w:t>
      </w:r>
      <w:r>
        <w:rPr>
          <w:rFonts w:ascii="宋体" w:hAnsi="宋体" w:cs="宋体" w:eastAsia="宋体" w:hint="default"/>
        </w:rPr>
        <w:t> </w:t>
      </w:r>
    </w:p>
    <w:p>
      <w:pPr>
        <w:spacing w:line="240" w:lineRule="auto" w:before="1"/>
        <w:rPr>
          <w:rFonts w:ascii="宋体" w:hAnsi="宋体" w:cs="宋体" w:eastAsia="宋体" w:hint="default"/>
          <w:sz w:val="15"/>
          <w:szCs w:val="15"/>
        </w:rPr>
      </w:pPr>
    </w:p>
    <w:p>
      <w:pPr>
        <w:pStyle w:val="BodyText"/>
        <w:spacing w:line="316" w:lineRule="auto"/>
        <w:ind w:right="1124" w:firstLine="441"/>
        <w:jc w:val="both"/>
        <w:rPr>
          <w:rFonts w:ascii="宋体" w:hAnsi="宋体" w:cs="宋体" w:eastAsia="宋体" w:hint="default"/>
        </w:rPr>
      </w:pPr>
      <w:r>
        <w:rPr>
          <w:spacing w:val="-3"/>
        </w:rPr>
        <w:t>本公司应收票据、应收账款主要为应收货款，商品销售根据顾客信用情况设定信用政策。其他应收款主要为公司运营</w:t>
      </w:r>
      <w:r>
        <w:rPr>
          <w:w w:val="101"/>
        </w:rPr>
        <w:t> </w:t>
      </w:r>
      <w:r>
        <w:rPr>
          <w:spacing w:val="-4"/>
        </w:rPr>
        <w:t>过程中的各类保证金，本公司在形成债权前评价信用风险，后续定期对主要债务各方信用状况进行监控，对信用记录不良的</w:t>
      </w:r>
      <w:r>
        <w:rPr>
          <w:spacing w:val="43"/>
        </w:rPr>
        <w:t> </w:t>
      </w:r>
      <w:r>
        <w:rPr>
          <w:spacing w:val="43"/>
        </w:rPr>
      </w:r>
      <w:r>
        <w:rPr>
          <w:spacing w:val="-3"/>
        </w:rPr>
        <w:t>债务方采取书面催收、提供担保等方式，使本公司整体信用风险在可控范围内。</w:t>
      </w:r>
      <w:r>
        <w:rPr>
          <w:rFonts w:ascii="宋体" w:hAnsi="宋体" w:cs="宋体" w:eastAsia="宋体" w:hint="default"/>
        </w:rPr>
        <w:t> </w:t>
      </w:r>
    </w:p>
    <w:p>
      <w:pPr>
        <w:pStyle w:val="BodyText"/>
        <w:spacing w:line="240" w:lineRule="auto" w:before="138"/>
        <w:ind w:left="594" w:right="855"/>
        <w:jc w:val="left"/>
        <w:rPr>
          <w:rFonts w:ascii="宋体" w:hAnsi="宋体" w:cs="宋体" w:eastAsia="宋体" w:hint="default"/>
        </w:rPr>
      </w:pPr>
      <w:r>
        <w:rPr>
          <w:spacing w:val="-3"/>
        </w:rPr>
        <w:t>本公司应收票据、应收账款和其他应收款等产生的信用风险敞口的量化数据，详见各相关附注披露。</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746" w:footer="974" w:top="1060" w:bottom="1160" w:left="980" w:right="0"/>
        </w:sectPr>
      </w:pPr>
    </w:p>
    <w:p>
      <w:pPr>
        <w:spacing w:line="240" w:lineRule="auto" w:before="9"/>
        <w:rPr>
          <w:rFonts w:ascii="宋体" w:hAnsi="宋体" w:cs="宋体" w:eastAsia="宋体" w:hint="default"/>
          <w:sz w:val="25"/>
          <w:szCs w:val="25"/>
        </w:rPr>
      </w:pPr>
    </w:p>
    <w:p>
      <w:pPr>
        <w:pStyle w:val="Heading6"/>
        <w:spacing w:line="240" w:lineRule="auto" w:before="46"/>
        <w:ind w:left="594" w:right="855"/>
        <w:jc w:val="left"/>
        <w:rPr>
          <w:rFonts w:ascii="宋体" w:hAnsi="宋体" w:cs="宋体" w:eastAsia="宋体" w:hint="default"/>
          <w:b w:val="0"/>
          <w:bCs w:val="0"/>
        </w:rPr>
      </w:pPr>
      <w:r>
        <w:rPr>
          <w:rFonts w:ascii="宋体" w:hAnsi="宋体" w:cs="宋体" w:eastAsia="宋体" w:hint="default"/>
        </w:rPr>
        <w:t>2</w:t>
      </w:r>
      <w:r>
        <w:rPr/>
        <w:t>、流动性风险</w:t>
      </w:r>
      <w:r>
        <w:rPr>
          <w:rFonts w:ascii="宋体" w:hAnsi="宋体" w:cs="宋体" w:eastAsia="宋体" w:hint="default"/>
          <w:w w:val="100"/>
        </w:rPr>
        <w:t> </w:t>
      </w:r>
      <w:r>
        <w:rPr>
          <w:rFonts w:ascii="宋体" w:hAnsi="宋体" w:cs="宋体" w:eastAsia="宋体" w:hint="default"/>
          <w:b w:val="0"/>
          <w:bCs w:val="0"/>
          <w:w w:val="100"/>
        </w:rPr>
      </w:r>
    </w:p>
    <w:p>
      <w:pPr>
        <w:spacing w:line="240" w:lineRule="auto" w:before="0"/>
        <w:rPr>
          <w:rFonts w:ascii="宋体" w:hAnsi="宋体" w:cs="宋体" w:eastAsia="宋体" w:hint="default"/>
          <w:b/>
          <w:bCs/>
          <w:sz w:val="15"/>
          <w:szCs w:val="15"/>
        </w:rPr>
      </w:pPr>
    </w:p>
    <w:p>
      <w:pPr>
        <w:pStyle w:val="BodyText"/>
        <w:spacing w:line="319" w:lineRule="auto"/>
        <w:ind w:right="1124" w:firstLine="441"/>
        <w:jc w:val="both"/>
        <w:rPr>
          <w:rFonts w:ascii="宋体" w:hAnsi="宋体" w:cs="宋体" w:eastAsia="宋体" w:hint="default"/>
        </w:rPr>
      </w:pPr>
      <w:r>
        <w:rPr>
          <w:spacing w:val="-3"/>
        </w:rPr>
        <w:t>本公司负责监控各子公司的现金流量预测，在汇总各子公司现金流量预测的基础上，在公司层面持续监控短期和长期</w:t>
      </w:r>
      <w:r>
        <w:rPr>
          <w:w w:val="101"/>
        </w:rPr>
        <w:t> </w:t>
      </w:r>
      <w:r>
        <w:rPr>
          <w:spacing w:val="-4"/>
        </w:rPr>
        <w:t>的资金需求，以确保维持充裕的现金储备；同时持续监控是否符合借款协议的规定，从主要金融机构获得提供足够备用资金</w:t>
      </w:r>
      <w:r>
        <w:rPr>
          <w:spacing w:val="43"/>
        </w:rPr>
        <w:t> </w:t>
      </w:r>
      <w:r>
        <w:rPr>
          <w:spacing w:val="43"/>
        </w:rPr>
      </w:r>
      <w:r>
        <w:rPr>
          <w:spacing w:val="-3"/>
        </w:rPr>
        <w:t>的承诺，以满足短期和长期的资金需求。</w:t>
      </w:r>
      <w:r>
        <w:rPr>
          <w:rFonts w:ascii="宋体" w:hAnsi="宋体" w:cs="宋体" w:eastAsia="宋体" w:hint="default"/>
        </w:rPr>
        <w:t> </w:t>
      </w:r>
    </w:p>
    <w:p>
      <w:pPr>
        <w:pStyle w:val="BodyText"/>
        <w:spacing w:line="240" w:lineRule="auto" w:before="137"/>
        <w:ind w:left="594" w:right="855"/>
        <w:jc w:val="left"/>
        <w:rPr>
          <w:rFonts w:ascii="宋体" w:hAnsi="宋体" w:cs="宋体" w:eastAsia="宋体" w:hint="default"/>
        </w:rPr>
      </w:pPr>
      <w:r>
        <w:rPr>
          <w:spacing w:val="-3"/>
        </w:rPr>
        <w:t>本公司各项金融负债按未折现的合同现金流量所作的到期期限分析如下：</w:t>
      </w:r>
      <w:r>
        <w:rPr>
          <w:rFonts w:ascii="宋体" w:hAnsi="宋体" w:cs="宋体" w:eastAsia="宋体" w:hint="default"/>
        </w:rPr>
        <w:t> </w:t>
      </w:r>
    </w:p>
    <w:p>
      <w:pPr>
        <w:spacing w:line="240" w:lineRule="auto" w:before="0"/>
        <w:rPr>
          <w:rFonts w:ascii="宋体" w:hAnsi="宋体" w:cs="宋体" w:eastAsia="宋体" w:hint="default"/>
          <w:sz w:val="15"/>
          <w:szCs w:val="15"/>
        </w:rPr>
      </w:pPr>
    </w:p>
    <w:p>
      <w:pPr>
        <w:pStyle w:val="BodyText"/>
        <w:spacing w:line="240" w:lineRule="auto"/>
        <w:ind w:left="594" w:right="855"/>
        <w:jc w:val="left"/>
        <w:rPr>
          <w:rFonts w:ascii="宋体" w:hAnsi="宋体" w:cs="宋体" w:eastAsia="宋体" w:hint="default"/>
        </w:rPr>
      </w:pPr>
      <w:r>
        <w:rPr>
          <w:spacing w:val="-3"/>
        </w:rPr>
        <w:t>（</w:t>
      </w:r>
      <w:r>
        <w:rPr>
          <w:rFonts w:ascii="宋体" w:hAnsi="宋体" w:cs="宋体" w:eastAsia="宋体" w:hint="default"/>
          <w:spacing w:val="-3"/>
        </w:rPr>
        <w:t>1</w:t>
      </w:r>
      <w:r>
        <w:rPr>
          <w:spacing w:val="-3"/>
        </w:rPr>
        <w:t>）本公司流动负债包括短期借款、应付票据、应付账款、应付利息、其他应付款均预计在</w:t>
      </w:r>
      <w:r>
        <w:rPr>
          <w:rFonts w:ascii="宋体" w:hAnsi="宋体" w:cs="宋体" w:eastAsia="宋体" w:hint="default"/>
          <w:spacing w:val="-3"/>
        </w:rPr>
        <w:t>1</w:t>
      </w:r>
      <w:r>
        <w:rPr>
          <w:spacing w:val="-3"/>
        </w:rPr>
        <w:t>年内到期偿付。</w:t>
      </w:r>
      <w:r>
        <w:rPr>
          <w:rFonts w:ascii="宋体" w:hAnsi="宋体" w:cs="宋体" w:eastAsia="宋体" w:hint="default"/>
        </w:rPr>
        <w:t> </w:t>
      </w:r>
    </w:p>
    <w:p>
      <w:pPr>
        <w:spacing w:line="240" w:lineRule="auto" w:before="0"/>
        <w:rPr>
          <w:rFonts w:ascii="宋体" w:hAnsi="宋体" w:cs="宋体" w:eastAsia="宋体" w:hint="default"/>
          <w:sz w:val="15"/>
          <w:szCs w:val="15"/>
        </w:rPr>
      </w:pPr>
    </w:p>
    <w:p>
      <w:pPr>
        <w:pStyle w:val="BodyText"/>
        <w:spacing w:line="240" w:lineRule="auto"/>
        <w:ind w:left="594" w:right="855"/>
        <w:jc w:val="left"/>
      </w:pPr>
      <w:r>
        <w:rPr>
          <w:spacing w:val="-3"/>
        </w:rPr>
        <w:t>（</w:t>
      </w:r>
      <w:r>
        <w:rPr>
          <w:rFonts w:ascii="宋体" w:hAnsi="宋体" w:cs="宋体" w:eastAsia="宋体" w:hint="default"/>
          <w:spacing w:val="-3"/>
        </w:rPr>
        <w:t>2</w:t>
      </w:r>
      <w:r>
        <w:rPr>
          <w:spacing w:val="-3"/>
        </w:rPr>
        <w:t>）本公司非流动负债（含一年内到期的非流动负债）按未折现的合同现金流量所作的到期期限分析如下：</w:t>
      </w:r>
    </w:p>
    <w:p>
      <w:pPr>
        <w:spacing w:line="240" w:lineRule="auto" w:before="13"/>
        <w:rPr>
          <w:rFonts w:ascii="宋体" w:hAnsi="宋体" w:cs="宋体" w:eastAsia="宋体" w:hint="default"/>
          <w:sz w:val="13"/>
          <w:szCs w:val="13"/>
        </w:rPr>
      </w:pPr>
    </w:p>
    <w:p>
      <w:pPr>
        <w:spacing w:before="0"/>
        <w:ind w:left="0" w:right="1121" w:firstLine="0"/>
        <w:jc w:val="right"/>
        <w:rPr>
          <w:rFonts w:ascii="宋体" w:hAnsi="宋体" w:cs="宋体" w:eastAsia="宋体" w:hint="default"/>
          <w:sz w:val="20"/>
          <w:szCs w:val="20"/>
        </w:rPr>
      </w:pPr>
      <w:r>
        <w:rPr>
          <w:rFonts w:ascii="宋体" w:hAnsi="宋体" w:cs="宋体" w:eastAsia="宋体" w:hint="default"/>
          <w:sz w:val="20"/>
          <w:szCs w:val="20"/>
        </w:rPr>
        <w:t>单位：元</w:t>
      </w:r>
    </w:p>
    <w:p>
      <w:pPr>
        <w:spacing w:line="240" w:lineRule="auto" w:before="1"/>
        <w:rPr>
          <w:rFonts w:ascii="宋体" w:hAnsi="宋体" w:cs="宋体" w:eastAsia="宋体" w:hint="default"/>
          <w:sz w:val="4"/>
          <w:szCs w:val="4"/>
        </w:rPr>
      </w:pPr>
    </w:p>
    <w:tbl>
      <w:tblPr>
        <w:tblW w:w="0" w:type="auto"/>
        <w:jc w:val="left"/>
        <w:tblInd w:w="148" w:type="dxa"/>
        <w:tblLayout w:type="fixed"/>
        <w:tblCellMar>
          <w:top w:w="0" w:type="dxa"/>
          <w:left w:w="0" w:type="dxa"/>
          <w:bottom w:w="0" w:type="dxa"/>
          <w:right w:w="0" w:type="dxa"/>
        </w:tblCellMar>
        <w:tblLook w:val="01E0"/>
      </w:tblPr>
      <w:tblGrid>
        <w:gridCol w:w="1249"/>
        <w:gridCol w:w="1392"/>
        <w:gridCol w:w="1383"/>
        <w:gridCol w:w="1431"/>
        <w:gridCol w:w="1436"/>
        <w:gridCol w:w="1368"/>
        <w:gridCol w:w="1393"/>
      </w:tblGrid>
      <w:tr>
        <w:trPr>
          <w:trHeight w:val="370" w:hRule="exact"/>
        </w:trPr>
        <w:tc>
          <w:tcPr>
            <w:tcW w:w="1249" w:type="dxa"/>
            <w:vMerge w:val="restart"/>
            <w:tcBorders>
              <w:top w:val="single" w:sz="4" w:space="0" w:color="000000"/>
              <w:left w:val="single" w:sz="4" w:space="0" w:color="000000"/>
              <w:right w:val="single" w:sz="4" w:space="0" w:color="000000"/>
            </w:tcBorders>
          </w:tcPr>
          <w:p>
            <w:pPr>
              <w:pStyle w:val="TableParagraph"/>
              <w:spacing w:line="240" w:lineRule="auto" w:before="20"/>
              <w:ind w:left="436" w:right="0"/>
              <w:jc w:val="left"/>
              <w:rPr>
                <w:rFonts w:ascii="宋体" w:hAnsi="宋体" w:cs="宋体" w:eastAsia="宋体" w:hint="default"/>
                <w:sz w:val="18"/>
                <w:szCs w:val="18"/>
              </w:rPr>
            </w:pPr>
            <w:r>
              <w:rPr>
                <w:rFonts w:ascii="宋体" w:hAnsi="宋体" w:cs="宋体" w:eastAsia="宋体" w:hint="default"/>
                <w:b/>
                <w:bCs/>
                <w:spacing w:val="-3"/>
                <w:sz w:val="18"/>
                <w:szCs w:val="18"/>
              </w:rPr>
              <w:t>项目</w:t>
            </w:r>
            <w:r>
              <w:rPr>
                <w:rFonts w:ascii="宋体" w:hAnsi="宋体" w:cs="宋体" w:eastAsia="宋体" w:hint="default"/>
                <w:b/>
                <w:bCs/>
                <w:w w:val="100"/>
                <w:sz w:val="18"/>
                <w:szCs w:val="18"/>
              </w:rPr>
              <w:t> </w:t>
            </w:r>
            <w:r>
              <w:rPr>
                <w:rFonts w:ascii="宋体" w:hAnsi="宋体" w:cs="宋体" w:eastAsia="宋体" w:hint="default"/>
                <w:w w:val="100"/>
                <w:sz w:val="18"/>
                <w:szCs w:val="18"/>
              </w:rPr>
            </w:r>
          </w:p>
        </w:tc>
        <w:tc>
          <w:tcPr>
            <w:tcW w:w="840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91" w:right="0"/>
              <w:jc w:val="center"/>
              <w:rPr>
                <w:rFonts w:ascii="宋体" w:hAnsi="宋体" w:cs="宋体" w:eastAsia="宋体" w:hint="default"/>
                <w:sz w:val="18"/>
                <w:szCs w:val="18"/>
              </w:rPr>
            </w:pPr>
            <w:r>
              <w:rPr>
                <w:rFonts w:ascii="宋体" w:hAnsi="宋体" w:cs="宋体" w:eastAsia="宋体" w:hint="default"/>
                <w:b/>
                <w:bCs/>
                <w:sz w:val="18"/>
                <w:szCs w:val="18"/>
              </w:rPr>
              <w:t>2019</w:t>
            </w:r>
            <w:r>
              <w:rPr>
                <w:rFonts w:ascii="宋体" w:hAnsi="宋体" w:cs="宋体" w:eastAsia="宋体" w:hint="default"/>
                <w:b/>
                <w:bCs/>
                <w:sz w:val="18"/>
                <w:szCs w:val="18"/>
              </w:rPr>
              <w:t>年</w:t>
            </w:r>
            <w:r>
              <w:rPr>
                <w:rFonts w:ascii="宋体" w:hAnsi="宋体" w:cs="宋体" w:eastAsia="宋体" w:hint="default"/>
                <w:b/>
                <w:bCs/>
                <w:sz w:val="18"/>
                <w:szCs w:val="18"/>
              </w:rPr>
              <w:t>12</w:t>
            </w:r>
            <w:r>
              <w:rPr>
                <w:rFonts w:ascii="宋体" w:hAnsi="宋体" w:cs="宋体" w:eastAsia="宋体" w:hint="default"/>
                <w:b/>
                <w:bCs/>
                <w:sz w:val="18"/>
                <w:szCs w:val="18"/>
              </w:rPr>
              <w:t>月</w:t>
            </w:r>
            <w:r>
              <w:rPr>
                <w:rFonts w:ascii="宋体" w:hAnsi="宋体" w:cs="宋体" w:eastAsia="宋体" w:hint="default"/>
                <w:b/>
                <w:bCs/>
                <w:sz w:val="18"/>
                <w:szCs w:val="18"/>
              </w:rPr>
              <w:t>31</w:t>
            </w:r>
            <w:r>
              <w:rPr>
                <w:rFonts w:ascii="宋体" w:hAnsi="宋体" w:cs="宋体" w:eastAsia="宋体" w:hint="default"/>
                <w:b/>
                <w:bCs/>
                <w:sz w:val="18"/>
                <w:szCs w:val="18"/>
              </w:rPr>
              <w:t>日</w:t>
            </w:r>
            <w:r>
              <w:rPr>
                <w:rFonts w:ascii="宋体" w:hAnsi="宋体" w:cs="宋体" w:eastAsia="宋体" w:hint="default"/>
                <w:b/>
                <w:bCs/>
                <w:w w:val="100"/>
                <w:sz w:val="18"/>
                <w:szCs w:val="18"/>
              </w:rPr>
              <w:t> </w:t>
            </w:r>
            <w:r>
              <w:rPr>
                <w:rFonts w:ascii="宋体" w:hAnsi="宋体" w:cs="宋体" w:eastAsia="宋体" w:hint="default"/>
                <w:w w:val="100"/>
                <w:sz w:val="18"/>
                <w:szCs w:val="18"/>
              </w:rPr>
            </w:r>
          </w:p>
        </w:tc>
      </w:tr>
      <w:tr>
        <w:trPr>
          <w:trHeight w:val="374" w:hRule="exact"/>
        </w:trPr>
        <w:tc>
          <w:tcPr>
            <w:tcW w:w="1249" w:type="dxa"/>
            <w:vMerge/>
            <w:tcBorders>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31" w:right="0"/>
              <w:jc w:val="left"/>
              <w:rPr>
                <w:rFonts w:ascii="宋体" w:hAnsi="宋体" w:cs="宋体" w:eastAsia="宋体" w:hint="default"/>
                <w:sz w:val="18"/>
                <w:szCs w:val="18"/>
              </w:rPr>
            </w:pPr>
            <w:r>
              <w:rPr>
                <w:rFonts w:ascii="宋体" w:hAnsi="宋体" w:cs="宋体" w:eastAsia="宋体" w:hint="default"/>
                <w:b/>
                <w:bCs/>
                <w:sz w:val="18"/>
                <w:szCs w:val="18"/>
              </w:rPr>
              <w:t>一年以内</w:t>
            </w:r>
            <w:r>
              <w:rPr>
                <w:rFonts w:ascii="宋体" w:hAnsi="宋体" w:cs="宋体" w:eastAsia="宋体" w:hint="default"/>
                <w:b/>
                <w:bCs/>
                <w:w w:val="100"/>
                <w:sz w:val="18"/>
                <w:szCs w:val="18"/>
              </w:rPr>
              <w:t> </w:t>
            </w:r>
            <w:r>
              <w:rPr>
                <w:rFonts w:ascii="宋体" w:hAnsi="宋体" w:cs="宋体" w:eastAsia="宋体" w:hint="default"/>
                <w:w w:val="100"/>
                <w:sz w:val="18"/>
                <w:szCs w:val="18"/>
              </w:rPr>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27" w:right="0"/>
              <w:jc w:val="left"/>
              <w:rPr>
                <w:rFonts w:ascii="宋体" w:hAnsi="宋体" w:cs="宋体" w:eastAsia="宋体" w:hint="default"/>
                <w:sz w:val="18"/>
                <w:szCs w:val="18"/>
              </w:rPr>
            </w:pPr>
            <w:r>
              <w:rPr>
                <w:rFonts w:ascii="宋体" w:hAnsi="宋体" w:cs="宋体" w:eastAsia="宋体" w:hint="default"/>
                <w:b/>
                <w:bCs/>
                <w:sz w:val="18"/>
                <w:szCs w:val="18"/>
              </w:rPr>
              <w:t>一至二年</w:t>
            </w:r>
            <w:r>
              <w:rPr>
                <w:rFonts w:ascii="宋体" w:hAnsi="宋体" w:cs="宋体" w:eastAsia="宋体" w:hint="default"/>
                <w:b/>
                <w:bCs/>
                <w:w w:val="100"/>
                <w:sz w:val="18"/>
                <w:szCs w:val="18"/>
              </w:rPr>
              <w:t> </w:t>
            </w:r>
            <w:r>
              <w:rPr>
                <w:rFonts w:ascii="宋体" w:hAnsi="宋体" w:cs="宋体" w:eastAsia="宋体" w:hint="default"/>
                <w:w w:val="100"/>
                <w:sz w:val="18"/>
                <w:szCs w:val="18"/>
              </w:rPr>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45" w:right="0"/>
              <w:jc w:val="left"/>
              <w:rPr>
                <w:rFonts w:ascii="宋体" w:hAnsi="宋体" w:cs="宋体" w:eastAsia="宋体" w:hint="default"/>
                <w:sz w:val="18"/>
                <w:szCs w:val="18"/>
              </w:rPr>
            </w:pPr>
            <w:r>
              <w:rPr>
                <w:rFonts w:ascii="宋体" w:hAnsi="宋体" w:cs="宋体" w:eastAsia="宋体" w:hint="default"/>
                <w:b/>
                <w:bCs/>
                <w:sz w:val="18"/>
                <w:szCs w:val="18"/>
              </w:rPr>
              <w:t>二至三年</w:t>
            </w:r>
            <w:r>
              <w:rPr>
                <w:rFonts w:ascii="宋体" w:hAnsi="宋体" w:cs="宋体" w:eastAsia="宋体" w:hint="default"/>
                <w:b/>
                <w:bCs/>
                <w:w w:val="100"/>
                <w:sz w:val="18"/>
                <w:szCs w:val="18"/>
              </w:rPr>
              <w:t> </w:t>
            </w:r>
            <w:r>
              <w:rPr>
                <w:rFonts w:ascii="宋体" w:hAnsi="宋体" w:cs="宋体" w:eastAsia="宋体" w:hint="default"/>
                <w:w w:val="100"/>
                <w:sz w:val="18"/>
                <w:szCs w:val="18"/>
              </w:rPr>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50" w:right="0"/>
              <w:jc w:val="left"/>
              <w:rPr>
                <w:rFonts w:ascii="宋体" w:hAnsi="宋体" w:cs="宋体" w:eastAsia="宋体" w:hint="default"/>
                <w:sz w:val="18"/>
                <w:szCs w:val="18"/>
              </w:rPr>
            </w:pPr>
            <w:r>
              <w:rPr>
                <w:rFonts w:ascii="宋体" w:hAnsi="宋体" w:cs="宋体" w:eastAsia="宋体" w:hint="default"/>
                <w:b/>
                <w:bCs/>
                <w:sz w:val="18"/>
                <w:szCs w:val="18"/>
              </w:rPr>
              <w:t>三至四年</w:t>
            </w:r>
            <w:r>
              <w:rPr>
                <w:rFonts w:ascii="宋体" w:hAnsi="宋体" w:cs="宋体" w:eastAsia="宋体" w:hint="default"/>
                <w:b/>
                <w:bCs/>
                <w:w w:val="100"/>
                <w:sz w:val="18"/>
                <w:szCs w:val="18"/>
              </w:rPr>
              <w:t> </w:t>
            </w:r>
            <w:r>
              <w:rPr>
                <w:rFonts w:ascii="宋体" w:hAnsi="宋体" w:cs="宋体" w:eastAsia="宋体" w:hint="default"/>
                <w:w w:val="100"/>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16" w:right="0"/>
              <w:jc w:val="left"/>
              <w:rPr>
                <w:rFonts w:ascii="宋体" w:hAnsi="宋体" w:cs="宋体" w:eastAsia="宋体" w:hint="default"/>
                <w:sz w:val="18"/>
                <w:szCs w:val="18"/>
              </w:rPr>
            </w:pPr>
            <w:r>
              <w:rPr>
                <w:rFonts w:ascii="宋体" w:hAnsi="宋体" w:cs="宋体" w:eastAsia="宋体" w:hint="default"/>
                <w:b/>
                <w:bCs/>
                <w:sz w:val="18"/>
                <w:szCs w:val="18"/>
              </w:rPr>
              <w:t>四至五年</w:t>
            </w:r>
            <w:r>
              <w:rPr>
                <w:rFonts w:ascii="宋体" w:hAnsi="宋体" w:cs="宋体" w:eastAsia="宋体" w:hint="default"/>
                <w:b/>
                <w:bCs/>
                <w:w w:val="100"/>
                <w:sz w:val="18"/>
                <w:szCs w:val="18"/>
              </w:rPr>
              <w:t> </w:t>
            </w:r>
            <w:r>
              <w:rPr>
                <w:rFonts w:ascii="宋体" w:hAnsi="宋体" w:cs="宋体" w:eastAsia="宋体" w:hint="default"/>
                <w:w w:val="100"/>
                <w:sz w:val="18"/>
                <w:szCs w:val="18"/>
              </w:rPr>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31" w:right="0"/>
              <w:jc w:val="left"/>
              <w:rPr>
                <w:rFonts w:ascii="宋体" w:hAnsi="宋体" w:cs="宋体" w:eastAsia="宋体" w:hint="default"/>
                <w:sz w:val="18"/>
                <w:szCs w:val="18"/>
              </w:rPr>
            </w:pPr>
            <w:r>
              <w:rPr>
                <w:rFonts w:ascii="宋体" w:hAnsi="宋体" w:cs="宋体" w:eastAsia="宋体" w:hint="default"/>
                <w:b/>
                <w:bCs/>
                <w:sz w:val="18"/>
                <w:szCs w:val="18"/>
              </w:rPr>
              <w:t>五年以上</w:t>
            </w:r>
            <w:r>
              <w:rPr>
                <w:rFonts w:ascii="宋体" w:hAnsi="宋体" w:cs="宋体" w:eastAsia="宋体" w:hint="default"/>
                <w:b/>
                <w:bCs/>
                <w:w w:val="100"/>
                <w:sz w:val="18"/>
                <w:szCs w:val="18"/>
              </w:rPr>
              <w:t> </w:t>
            </w:r>
            <w:r>
              <w:rPr>
                <w:rFonts w:ascii="宋体" w:hAnsi="宋体" w:cs="宋体" w:eastAsia="宋体" w:hint="default"/>
                <w:w w:val="100"/>
                <w:sz w:val="18"/>
                <w:szCs w:val="18"/>
              </w:rPr>
            </w:r>
          </w:p>
        </w:tc>
      </w:tr>
      <w:tr>
        <w:trPr>
          <w:trHeight w:val="374" w:hRule="exact"/>
        </w:trPr>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长期借款</w:t>
            </w:r>
            <w:r>
              <w:rPr>
                <w:rFonts w:ascii="宋体" w:hAnsi="宋体" w:cs="宋体" w:eastAsia="宋体" w:hint="default"/>
                <w:sz w:val="18"/>
                <w:szCs w:val="18"/>
              </w:rPr>
              <w:t> </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85" w:right="-5"/>
              <w:jc w:val="left"/>
              <w:rPr>
                <w:rFonts w:ascii="宋体" w:hAnsi="宋体" w:cs="宋体" w:eastAsia="宋体" w:hint="default"/>
                <w:sz w:val="18"/>
                <w:szCs w:val="18"/>
              </w:rPr>
            </w:pPr>
            <w:r>
              <w:rPr>
                <w:rFonts w:ascii="宋体"/>
                <w:spacing w:val="-1"/>
                <w:sz w:val="18"/>
              </w:rPr>
              <w:t>627,405.94</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71" w:right="0"/>
              <w:jc w:val="left"/>
              <w:rPr>
                <w:rFonts w:ascii="宋体" w:hAnsi="宋体" w:cs="宋体" w:eastAsia="宋体" w:hint="default"/>
                <w:sz w:val="18"/>
                <w:szCs w:val="18"/>
              </w:rPr>
            </w:pPr>
            <w:r>
              <w:rPr>
                <w:rFonts w:ascii="宋体"/>
                <w:spacing w:val="-1"/>
                <w:sz w:val="18"/>
              </w:rPr>
              <w:t>627,405.94</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18" w:right="0"/>
              <w:jc w:val="left"/>
              <w:rPr>
                <w:rFonts w:ascii="宋体" w:hAnsi="宋体" w:cs="宋体" w:eastAsia="宋体" w:hint="default"/>
                <w:sz w:val="18"/>
                <w:szCs w:val="18"/>
              </w:rPr>
            </w:pPr>
            <w:r>
              <w:rPr>
                <w:rFonts w:ascii="宋体"/>
                <w:spacing w:val="-1"/>
                <w:sz w:val="18"/>
              </w:rPr>
              <w:t>313,702.98</w:t>
            </w:r>
          </w:p>
        </w:tc>
        <w:tc>
          <w:tcPr>
            <w:tcW w:w="143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6"/>
          <w:szCs w:val="6"/>
        </w:rPr>
      </w:pPr>
    </w:p>
    <w:p>
      <w:pPr>
        <w:pStyle w:val="BodyText"/>
        <w:spacing w:line="240" w:lineRule="auto" w:before="46"/>
        <w:ind w:right="855"/>
        <w:jc w:val="left"/>
        <w:rPr>
          <w:rFonts w:ascii="Times New Roman" w:hAnsi="Times New Roman" w:cs="Times New Roman" w:eastAsia="Times New Roman" w:hint="default"/>
        </w:rPr>
      </w:pPr>
      <w:r>
        <w:rPr>
          <w:rFonts w:ascii="Times New Roman" w:hAnsi="Times New Roman" w:cs="Times New Roman" w:eastAsia="Times New Roman" w:hint="default"/>
        </w:rPr>
        <w:t>(</w:t>
      </w:r>
      <w:r>
        <w:rPr/>
        <w:t>续</w:t>
      </w:r>
      <w:r>
        <w:rPr>
          <w:rFonts w:ascii="Times New Roman" w:hAnsi="Times New Roman" w:cs="Times New Roman" w:eastAsia="Times New Roman" w:hint="default"/>
        </w:rPr>
        <w:t>)</w:t>
      </w:r>
    </w:p>
    <w:p>
      <w:pPr>
        <w:spacing w:line="240" w:lineRule="auto" w:before="11"/>
        <w:rPr>
          <w:rFonts w:ascii="Times New Roman" w:hAnsi="Times New Roman" w:cs="Times New Roman" w:eastAsia="Times New Roman" w:hint="default"/>
          <w:sz w:val="14"/>
          <w:szCs w:val="14"/>
        </w:rPr>
      </w:pPr>
    </w:p>
    <w:tbl>
      <w:tblPr>
        <w:tblW w:w="0" w:type="auto"/>
        <w:jc w:val="left"/>
        <w:tblInd w:w="148" w:type="dxa"/>
        <w:tblLayout w:type="fixed"/>
        <w:tblCellMar>
          <w:top w:w="0" w:type="dxa"/>
          <w:left w:w="0" w:type="dxa"/>
          <w:bottom w:w="0" w:type="dxa"/>
          <w:right w:w="0" w:type="dxa"/>
        </w:tblCellMar>
        <w:tblLook w:val="01E0"/>
      </w:tblPr>
      <w:tblGrid>
        <w:gridCol w:w="1205"/>
        <w:gridCol w:w="1503"/>
        <w:gridCol w:w="1503"/>
        <w:gridCol w:w="1503"/>
        <w:gridCol w:w="1503"/>
        <w:gridCol w:w="1210"/>
        <w:gridCol w:w="1215"/>
      </w:tblGrid>
      <w:tr>
        <w:trPr>
          <w:trHeight w:val="341" w:hRule="exact"/>
        </w:trPr>
        <w:tc>
          <w:tcPr>
            <w:tcW w:w="1205" w:type="dxa"/>
            <w:vMerge w:val="restart"/>
            <w:tcBorders>
              <w:top w:val="single" w:sz="4" w:space="0" w:color="000000"/>
              <w:left w:val="single" w:sz="4" w:space="0" w:color="000000"/>
              <w:right w:val="single" w:sz="4" w:space="0" w:color="000000"/>
            </w:tcBorders>
          </w:tcPr>
          <w:p>
            <w:pPr>
              <w:pStyle w:val="TableParagraph"/>
              <w:spacing w:line="240" w:lineRule="auto" w:before="20"/>
              <w:ind w:left="417" w:right="0"/>
              <w:jc w:val="left"/>
              <w:rPr>
                <w:rFonts w:ascii="宋体" w:hAnsi="宋体" w:cs="宋体" w:eastAsia="宋体" w:hint="default"/>
                <w:sz w:val="18"/>
                <w:szCs w:val="18"/>
              </w:rPr>
            </w:pPr>
            <w:r>
              <w:rPr>
                <w:rFonts w:ascii="宋体" w:hAnsi="宋体" w:cs="宋体" w:eastAsia="宋体" w:hint="default"/>
                <w:b/>
                <w:bCs/>
                <w:spacing w:val="-3"/>
                <w:sz w:val="18"/>
                <w:szCs w:val="18"/>
              </w:rPr>
              <w:t>项目</w:t>
            </w:r>
            <w:r>
              <w:rPr>
                <w:rFonts w:ascii="宋体" w:hAnsi="宋体" w:cs="宋体" w:eastAsia="宋体" w:hint="default"/>
                <w:b/>
                <w:bCs/>
                <w:w w:val="100"/>
                <w:sz w:val="18"/>
                <w:szCs w:val="18"/>
              </w:rPr>
              <w:t> </w:t>
            </w:r>
            <w:r>
              <w:rPr>
                <w:rFonts w:ascii="宋体" w:hAnsi="宋体" w:cs="宋体" w:eastAsia="宋体" w:hint="default"/>
                <w:w w:val="100"/>
                <w:sz w:val="18"/>
                <w:szCs w:val="18"/>
              </w:rPr>
            </w:r>
          </w:p>
        </w:tc>
        <w:tc>
          <w:tcPr>
            <w:tcW w:w="8437"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86" w:right="0"/>
              <w:jc w:val="center"/>
              <w:rPr>
                <w:rFonts w:ascii="宋体" w:hAnsi="宋体" w:cs="宋体" w:eastAsia="宋体" w:hint="default"/>
                <w:sz w:val="18"/>
                <w:szCs w:val="18"/>
              </w:rPr>
            </w:pPr>
            <w:r>
              <w:rPr>
                <w:rFonts w:ascii="宋体" w:hAnsi="宋体" w:cs="宋体" w:eastAsia="宋体" w:hint="default"/>
                <w:b/>
                <w:bCs/>
                <w:sz w:val="18"/>
                <w:szCs w:val="18"/>
              </w:rPr>
              <w:t>2018</w:t>
            </w:r>
            <w:r>
              <w:rPr>
                <w:rFonts w:ascii="宋体" w:hAnsi="宋体" w:cs="宋体" w:eastAsia="宋体" w:hint="default"/>
                <w:b/>
                <w:bCs/>
                <w:sz w:val="18"/>
                <w:szCs w:val="18"/>
              </w:rPr>
              <w:t>年</w:t>
            </w:r>
            <w:r>
              <w:rPr>
                <w:rFonts w:ascii="宋体" w:hAnsi="宋体" w:cs="宋体" w:eastAsia="宋体" w:hint="default"/>
                <w:b/>
                <w:bCs/>
                <w:sz w:val="18"/>
                <w:szCs w:val="18"/>
              </w:rPr>
              <w:t>12</w:t>
            </w:r>
            <w:r>
              <w:rPr>
                <w:rFonts w:ascii="宋体" w:hAnsi="宋体" w:cs="宋体" w:eastAsia="宋体" w:hint="default"/>
                <w:b/>
                <w:bCs/>
                <w:sz w:val="18"/>
                <w:szCs w:val="18"/>
              </w:rPr>
              <w:t>月</w:t>
            </w:r>
            <w:r>
              <w:rPr>
                <w:rFonts w:ascii="宋体" w:hAnsi="宋体" w:cs="宋体" w:eastAsia="宋体" w:hint="default"/>
                <w:b/>
                <w:bCs/>
                <w:sz w:val="18"/>
                <w:szCs w:val="18"/>
              </w:rPr>
              <w:t>31</w:t>
            </w:r>
            <w:r>
              <w:rPr>
                <w:rFonts w:ascii="宋体" w:hAnsi="宋体" w:cs="宋体" w:eastAsia="宋体" w:hint="default"/>
                <w:b/>
                <w:bCs/>
                <w:sz w:val="18"/>
                <w:szCs w:val="18"/>
              </w:rPr>
              <w:t>日</w:t>
            </w:r>
            <w:r>
              <w:rPr>
                <w:rFonts w:ascii="宋体" w:hAnsi="宋体" w:cs="宋体" w:eastAsia="宋体" w:hint="default"/>
                <w:b/>
                <w:bCs/>
                <w:w w:val="100"/>
                <w:sz w:val="18"/>
                <w:szCs w:val="18"/>
              </w:rPr>
              <w:t> </w:t>
            </w:r>
            <w:r>
              <w:rPr>
                <w:rFonts w:ascii="宋体" w:hAnsi="宋体" w:cs="宋体" w:eastAsia="宋体" w:hint="default"/>
                <w:w w:val="100"/>
                <w:sz w:val="18"/>
                <w:szCs w:val="18"/>
              </w:rPr>
            </w:r>
          </w:p>
        </w:tc>
      </w:tr>
      <w:tr>
        <w:trPr>
          <w:trHeight w:val="341" w:hRule="exact"/>
        </w:trPr>
        <w:tc>
          <w:tcPr>
            <w:tcW w:w="1205" w:type="dxa"/>
            <w:vMerge/>
            <w:tcBorders>
              <w:left w:val="single" w:sz="4" w:space="0" w:color="000000"/>
              <w:bottom w:val="single" w:sz="4" w:space="0" w:color="000000"/>
              <w:right w:val="single" w:sz="4" w:space="0" w:color="000000"/>
            </w:tcBorders>
          </w:tcPr>
          <w:p>
            <w:pP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83" w:right="0"/>
              <w:jc w:val="left"/>
              <w:rPr>
                <w:rFonts w:ascii="宋体" w:hAnsi="宋体" w:cs="宋体" w:eastAsia="宋体" w:hint="default"/>
                <w:sz w:val="18"/>
                <w:szCs w:val="18"/>
              </w:rPr>
            </w:pPr>
            <w:r>
              <w:rPr>
                <w:rFonts w:ascii="宋体" w:hAnsi="宋体" w:cs="宋体" w:eastAsia="宋体" w:hint="default"/>
                <w:b/>
                <w:bCs/>
                <w:sz w:val="18"/>
                <w:szCs w:val="18"/>
              </w:rPr>
              <w:t>一年以内</w:t>
            </w:r>
            <w:r>
              <w:rPr>
                <w:rFonts w:ascii="宋体" w:hAnsi="宋体" w:cs="宋体" w:eastAsia="宋体" w:hint="default"/>
                <w:b/>
                <w:bCs/>
                <w:w w:val="100"/>
                <w:sz w:val="18"/>
                <w:szCs w:val="18"/>
              </w:rPr>
              <w:t> </w:t>
            </w:r>
            <w:r>
              <w:rPr>
                <w:rFonts w:ascii="宋体" w:hAnsi="宋体" w:cs="宋体" w:eastAsia="宋体" w:hint="default"/>
                <w:w w:val="100"/>
                <w:sz w:val="18"/>
                <w:szCs w:val="18"/>
              </w:rPr>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84" w:right="0"/>
              <w:jc w:val="left"/>
              <w:rPr>
                <w:rFonts w:ascii="宋体" w:hAnsi="宋体" w:cs="宋体" w:eastAsia="宋体" w:hint="default"/>
                <w:sz w:val="18"/>
                <w:szCs w:val="18"/>
              </w:rPr>
            </w:pPr>
            <w:r>
              <w:rPr>
                <w:rFonts w:ascii="宋体" w:hAnsi="宋体" w:cs="宋体" w:eastAsia="宋体" w:hint="default"/>
                <w:b/>
                <w:bCs/>
                <w:sz w:val="18"/>
                <w:szCs w:val="18"/>
              </w:rPr>
              <w:t>一至二年</w:t>
            </w:r>
            <w:r>
              <w:rPr>
                <w:rFonts w:ascii="宋体" w:hAnsi="宋体" w:cs="宋体" w:eastAsia="宋体" w:hint="default"/>
                <w:b/>
                <w:bCs/>
                <w:w w:val="100"/>
                <w:sz w:val="18"/>
                <w:szCs w:val="18"/>
              </w:rPr>
              <w:t> </w:t>
            </w:r>
            <w:r>
              <w:rPr>
                <w:rFonts w:ascii="宋体" w:hAnsi="宋体" w:cs="宋体" w:eastAsia="宋体" w:hint="default"/>
                <w:w w:val="100"/>
                <w:sz w:val="18"/>
                <w:szCs w:val="18"/>
              </w:rPr>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83" w:right="0"/>
              <w:jc w:val="left"/>
              <w:rPr>
                <w:rFonts w:ascii="宋体" w:hAnsi="宋体" w:cs="宋体" w:eastAsia="宋体" w:hint="default"/>
                <w:sz w:val="18"/>
                <w:szCs w:val="18"/>
              </w:rPr>
            </w:pPr>
            <w:r>
              <w:rPr>
                <w:rFonts w:ascii="宋体" w:hAnsi="宋体" w:cs="宋体" w:eastAsia="宋体" w:hint="default"/>
                <w:b/>
                <w:bCs/>
                <w:sz w:val="18"/>
                <w:szCs w:val="18"/>
              </w:rPr>
              <w:t>二至三年</w:t>
            </w:r>
            <w:r>
              <w:rPr>
                <w:rFonts w:ascii="宋体" w:hAnsi="宋体" w:cs="宋体" w:eastAsia="宋体" w:hint="default"/>
                <w:b/>
                <w:bCs/>
                <w:w w:val="100"/>
                <w:sz w:val="18"/>
                <w:szCs w:val="18"/>
              </w:rPr>
              <w:t> </w:t>
            </w:r>
            <w:r>
              <w:rPr>
                <w:rFonts w:ascii="宋体" w:hAnsi="宋体" w:cs="宋体" w:eastAsia="宋体" w:hint="default"/>
                <w:w w:val="100"/>
                <w:sz w:val="18"/>
                <w:szCs w:val="18"/>
              </w:rPr>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84" w:right="0"/>
              <w:jc w:val="left"/>
              <w:rPr>
                <w:rFonts w:ascii="宋体" w:hAnsi="宋体" w:cs="宋体" w:eastAsia="宋体" w:hint="default"/>
                <w:sz w:val="18"/>
                <w:szCs w:val="18"/>
              </w:rPr>
            </w:pPr>
            <w:r>
              <w:rPr>
                <w:rFonts w:ascii="宋体" w:hAnsi="宋体" w:cs="宋体" w:eastAsia="宋体" w:hint="default"/>
                <w:b/>
                <w:bCs/>
                <w:sz w:val="18"/>
                <w:szCs w:val="18"/>
              </w:rPr>
              <w:t>三至四年</w:t>
            </w:r>
            <w:r>
              <w:rPr>
                <w:rFonts w:ascii="宋体" w:hAnsi="宋体" w:cs="宋体" w:eastAsia="宋体" w:hint="default"/>
                <w:b/>
                <w:bCs/>
                <w:w w:val="100"/>
                <w:sz w:val="18"/>
                <w:szCs w:val="18"/>
              </w:rPr>
              <w:t> </w:t>
            </w:r>
            <w:r>
              <w:rPr>
                <w:rFonts w:ascii="宋体" w:hAnsi="宋体" w:cs="宋体" w:eastAsia="宋体" w:hint="default"/>
                <w:w w:val="100"/>
                <w:sz w:val="18"/>
                <w:szCs w:val="18"/>
              </w:rPr>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96" w:right="0"/>
              <w:jc w:val="center"/>
              <w:rPr>
                <w:rFonts w:ascii="宋体" w:hAnsi="宋体" w:cs="宋体" w:eastAsia="宋体" w:hint="default"/>
                <w:sz w:val="18"/>
                <w:szCs w:val="18"/>
              </w:rPr>
            </w:pPr>
            <w:r>
              <w:rPr>
                <w:rFonts w:ascii="宋体" w:hAnsi="宋体" w:cs="宋体" w:eastAsia="宋体" w:hint="default"/>
                <w:b/>
                <w:bCs/>
                <w:sz w:val="18"/>
                <w:szCs w:val="18"/>
              </w:rPr>
              <w:t>四至五年</w:t>
            </w:r>
            <w:r>
              <w:rPr>
                <w:rFonts w:ascii="宋体" w:hAnsi="宋体" w:cs="宋体" w:eastAsia="宋体" w:hint="default"/>
                <w:b/>
                <w:bCs/>
                <w:w w:val="100"/>
                <w:sz w:val="18"/>
                <w:szCs w:val="18"/>
              </w:rPr>
              <w:t> </w:t>
            </w:r>
            <w:r>
              <w:rPr>
                <w:rFonts w:ascii="宋体" w:hAnsi="宋体" w:cs="宋体" w:eastAsia="宋体" w:hint="default"/>
                <w:w w:val="100"/>
                <w:sz w:val="18"/>
                <w:szCs w:val="18"/>
              </w:rPr>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1" w:right="0"/>
              <w:jc w:val="center"/>
              <w:rPr>
                <w:rFonts w:ascii="宋体" w:hAnsi="宋体" w:cs="宋体" w:eastAsia="宋体" w:hint="default"/>
                <w:sz w:val="18"/>
                <w:szCs w:val="18"/>
              </w:rPr>
            </w:pPr>
            <w:r>
              <w:rPr>
                <w:rFonts w:ascii="宋体" w:hAnsi="宋体" w:cs="宋体" w:eastAsia="宋体" w:hint="default"/>
                <w:b/>
                <w:bCs/>
                <w:sz w:val="18"/>
                <w:szCs w:val="18"/>
              </w:rPr>
              <w:t>五年以上</w:t>
            </w:r>
            <w:r>
              <w:rPr>
                <w:rFonts w:ascii="宋体" w:hAnsi="宋体" w:cs="宋体" w:eastAsia="宋体" w:hint="default"/>
                <w:b/>
                <w:bCs/>
                <w:w w:val="100"/>
                <w:sz w:val="18"/>
                <w:szCs w:val="18"/>
              </w:rPr>
              <w:t> </w:t>
            </w:r>
            <w:r>
              <w:rPr>
                <w:rFonts w:ascii="宋体" w:hAnsi="宋体" w:cs="宋体" w:eastAsia="宋体" w:hint="default"/>
                <w:w w:val="100"/>
                <w:sz w:val="18"/>
                <w:szCs w:val="18"/>
              </w:rPr>
            </w:r>
          </w:p>
        </w:tc>
      </w:tr>
      <w:tr>
        <w:trPr>
          <w:trHeight w:val="341" w:hRule="exact"/>
        </w:trPr>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长期借款</w:t>
            </w:r>
            <w:r>
              <w:rPr>
                <w:rFonts w:ascii="宋体" w:hAnsi="宋体" w:cs="宋体" w:eastAsia="宋体" w:hint="default"/>
                <w:sz w:val="18"/>
                <w:szCs w:val="18"/>
              </w:rPr>
              <w:t> </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90" w:right="-1"/>
              <w:jc w:val="left"/>
              <w:rPr>
                <w:rFonts w:ascii="宋体" w:hAnsi="宋体" w:cs="宋体" w:eastAsia="宋体" w:hint="default"/>
                <w:sz w:val="18"/>
                <w:szCs w:val="18"/>
              </w:rPr>
            </w:pPr>
            <w:r>
              <w:rPr>
                <w:rFonts w:ascii="宋体"/>
                <w:spacing w:val="-1"/>
                <w:sz w:val="18"/>
              </w:rPr>
              <w:t>617,243.26</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91" w:right="0"/>
              <w:jc w:val="left"/>
              <w:rPr>
                <w:rFonts w:ascii="宋体" w:hAnsi="宋体" w:cs="宋体" w:eastAsia="宋体" w:hint="default"/>
                <w:sz w:val="18"/>
                <w:szCs w:val="18"/>
              </w:rPr>
            </w:pPr>
            <w:r>
              <w:rPr>
                <w:rFonts w:ascii="宋体"/>
                <w:spacing w:val="-1"/>
                <w:sz w:val="18"/>
              </w:rPr>
              <w:t>617,243.26</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90" w:right="0"/>
              <w:jc w:val="left"/>
              <w:rPr>
                <w:rFonts w:ascii="宋体" w:hAnsi="宋体" w:cs="宋体" w:eastAsia="宋体" w:hint="default"/>
                <w:sz w:val="18"/>
                <w:szCs w:val="18"/>
              </w:rPr>
            </w:pPr>
            <w:r>
              <w:rPr>
                <w:rFonts w:ascii="宋体"/>
                <w:spacing w:val="-1"/>
                <w:sz w:val="18"/>
              </w:rPr>
              <w:t>617,243.26</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91" w:right="-1"/>
              <w:jc w:val="left"/>
              <w:rPr>
                <w:rFonts w:ascii="宋体" w:hAnsi="宋体" w:cs="宋体" w:eastAsia="宋体" w:hint="default"/>
                <w:sz w:val="18"/>
                <w:szCs w:val="18"/>
              </w:rPr>
            </w:pPr>
            <w:r>
              <w:rPr>
                <w:rFonts w:ascii="宋体"/>
                <w:spacing w:val="-1"/>
                <w:sz w:val="18"/>
              </w:rPr>
              <w:t>308,621.65</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91" w:right="0"/>
              <w:jc w:val="center"/>
              <w:rPr>
                <w:rFonts w:ascii="宋体" w:hAnsi="宋体" w:cs="宋体" w:eastAsia="宋体" w:hint="default"/>
                <w:sz w:val="18"/>
                <w:szCs w:val="18"/>
              </w:rPr>
            </w:pPr>
            <w:r>
              <w:rPr>
                <w:rFonts w:ascii="宋体"/>
                <w:w w:val="101"/>
                <w:sz w:val="18"/>
              </w:rPr>
              <w:t> </w:t>
            </w:r>
            <w:r>
              <w:rPr>
                <w:rFonts w:ascii="宋体"/>
                <w:sz w:val="18"/>
              </w:rPr>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96" w:right="0"/>
              <w:jc w:val="center"/>
              <w:rPr>
                <w:rFonts w:ascii="宋体" w:hAnsi="宋体" w:cs="宋体" w:eastAsia="宋体" w:hint="default"/>
                <w:sz w:val="18"/>
                <w:szCs w:val="18"/>
              </w:rPr>
            </w:pPr>
            <w:r>
              <w:rPr>
                <w:rFonts w:ascii="宋体"/>
                <w:w w:val="101"/>
                <w:sz w:val="18"/>
              </w:rPr>
              <w:t> </w:t>
            </w:r>
            <w:r>
              <w:rPr>
                <w:rFonts w:ascii="宋体"/>
                <w:sz w:val="18"/>
              </w:rPr>
            </w:r>
          </w:p>
        </w:tc>
      </w:tr>
    </w:tbl>
    <w:p>
      <w:pPr>
        <w:spacing w:line="240" w:lineRule="auto" w:before="4"/>
        <w:rPr>
          <w:rFonts w:ascii="Times New Roman" w:hAnsi="Times New Roman" w:cs="Times New Roman" w:eastAsia="Times New Roman" w:hint="default"/>
          <w:sz w:val="7"/>
          <w:szCs w:val="7"/>
        </w:rPr>
      </w:pPr>
    </w:p>
    <w:p>
      <w:pPr>
        <w:pStyle w:val="Heading6"/>
        <w:spacing w:line="240" w:lineRule="auto" w:before="46"/>
        <w:ind w:left="575" w:right="855"/>
        <w:jc w:val="left"/>
        <w:rPr>
          <w:rFonts w:ascii="宋体" w:hAnsi="宋体" w:cs="宋体" w:eastAsia="宋体" w:hint="default"/>
          <w:b w:val="0"/>
          <w:bCs w:val="0"/>
        </w:rPr>
      </w:pPr>
      <w:r>
        <w:rPr>
          <w:rFonts w:ascii="宋体" w:hAnsi="宋体" w:cs="宋体" w:eastAsia="宋体" w:hint="default"/>
        </w:rPr>
        <w:t>3</w:t>
      </w:r>
      <w:r>
        <w:rPr/>
        <w:t>、市场风险</w:t>
      </w:r>
      <w:r>
        <w:rPr>
          <w:rFonts w:ascii="宋体" w:hAnsi="宋体" w:cs="宋体" w:eastAsia="宋体" w:hint="default"/>
          <w:w w:val="100"/>
        </w:rPr>
        <w:t> </w:t>
      </w:r>
      <w:r>
        <w:rPr>
          <w:rFonts w:ascii="宋体" w:hAnsi="宋体" w:cs="宋体" w:eastAsia="宋体" w:hint="default"/>
          <w:b w:val="0"/>
          <w:bCs w:val="0"/>
          <w:w w:val="100"/>
        </w:rPr>
      </w:r>
    </w:p>
    <w:p>
      <w:pPr>
        <w:pStyle w:val="BodyText"/>
        <w:spacing w:line="430" w:lineRule="atLeast" w:before="2"/>
        <w:ind w:left="575" w:right="855"/>
        <w:jc w:val="left"/>
      </w:pPr>
      <w:r>
        <w:rPr>
          <w:spacing w:val="-3"/>
        </w:rPr>
        <w:t>（</w:t>
      </w:r>
      <w:r>
        <w:rPr>
          <w:rFonts w:ascii="宋体" w:hAnsi="宋体" w:cs="宋体" w:eastAsia="宋体" w:hint="default"/>
          <w:spacing w:val="-3"/>
        </w:rPr>
        <w:t>1</w:t>
      </w:r>
      <w:r>
        <w:rPr>
          <w:spacing w:val="-3"/>
        </w:rPr>
        <w:t>）利率风险</w:t>
      </w:r>
      <w:r>
        <w:rPr>
          <w:spacing w:val="-69"/>
        </w:rPr>
        <w:t> </w:t>
      </w:r>
      <w:r>
        <w:rPr>
          <w:rFonts w:ascii="宋体" w:hAnsi="宋体" w:cs="宋体" w:eastAsia="宋体" w:hint="default"/>
          <w:spacing w:val="-69"/>
        </w:rPr>
      </w:r>
      <w:r>
        <w:rPr>
          <w:spacing w:val="-3"/>
        </w:rPr>
        <w:t>本公司的利率风险产生于银行借款及长期应付款等带息债务。浮动利率的金融负债使本公司面临现金流量利率风险，</w:t>
      </w:r>
    </w:p>
    <w:p>
      <w:pPr>
        <w:pStyle w:val="BodyText"/>
        <w:spacing w:line="240" w:lineRule="auto" w:before="76"/>
        <w:ind w:right="855"/>
        <w:jc w:val="left"/>
        <w:rPr>
          <w:rFonts w:ascii="宋体" w:hAnsi="宋体" w:cs="宋体" w:eastAsia="宋体" w:hint="default"/>
        </w:rPr>
      </w:pPr>
      <w:r>
        <w:rPr>
          <w:spacing w:val="-3"/>
        </w:rPr>
        <w:t>固定利率的金融负债使本公司面临公允价值利率风险。本公司带息债务情况如下：</w:t>
      </w:r>
      <w:r>
        <w:rPr>
          <w:rFonts w:ascii="宋体" w:hAnsi="宋体" w:cs="宋体" w:eastAsia="宋体" w:hint="default"/>
        </w:rPr>
        <w:t> </w:t>
      </w:r>
    </w:p>
    <w:p>
      <w:pPr>
        <w:spacing w:line="240" w:lineRule="auto" w:before="13"/>
        <w:rPr>
          <w:rFonts w:ascii="宋体" w:hAnsi="宋体" w:cs="宋体" w:eastAsia="宋体" w:hint="default"/>
          <w:sz w:val="13"/>
          <w:szCs w:val="13"/>
        </w:rPr>
      </w:pPr>
    </w:p>
    <w:p>
      <w:pPr>
        <w:pStyle w:val="Heading5"/>
        <w:spacing w:line="240" w:lineRule="auto"/>
        <w:ind w:right="1121"/>
        <w:jc w:val="right"/>
      </w:pPr>
      <w:r>
        <w:rPr/>
        <w:t>单位：元</w:t>
      </w:r>
    </w:p>
    <w:p>
      <w:pPr>
        <w:spacing w:line="240" w:lineRule="auto" w:before="1"/>
        <w:rPr>
          <w:rFonts w:ascii="宋体" w:hAnsi="宋体" w:cs="宋体" w:eastAsia="宋体" w:hint="default"/>
          <w:sz w:val="4"/>
          <w:szCs w:val="4"/>
        </w:rPr>
      </w:pPr>
    </w:p>
    <w:tbl>
      <w:tblPr>
        <w:tblW w:w="0" w:type="auto"/>
        <w:jc w:val="left"/>
        <w:tblInd w:w="148" w:type="dxa"/>
        <w:tblLayout w:type="fixed"/>
        <w:tblCellMar>
          <w:top w:w="0" w:type="dxa"/>
          <w:left w:w="0" w:type="dxa"/>
          <w:bottom w:w="0" w:type="dxa"/>
          <w:right w:w="0" w:type="dxa"/>
        </w:tblCellMar>
        <w:tblLook w:val="01E0"/>
      </w:tblPr>
      <w:tblGrid>
        <w:gridCol w:w="4212"/>
        <w:gridCol w:w="3232"/>
        <w:gridCol w:w="2257"/>
      </w:tblGrid>
      <w:tr>
        <w:trPr>
          <w:trHeight w:val="346" w:hRule="exact"/>
        </w:trPr>
        <w:tc>
          <w:tcPr>
            <w:tcW w:w="4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85" w:right="0"/>
              <w:jc w:val="center"/>
              <w:rPr>
                <w:rFonts w:ascii="宋体" w:hAnsi="宋体" w:cs="宋体" w:eastAsia="宋体" w:hint="default"/>
                <w:sz w:val="18"/>
                <w:szCs w:val="18"/>
              </w:rPr>
            </w:pPr>
            <w:r>
              <w:rPr>
                <w:rFonts w:ascii="宋体" w:hAnsi="宋体" w:cs="宋体" w:eastAsia="宋体" w:hint="default"/>
                <w:b/>
                <w:bCs/>
                <w:sz w:val="18"/>
                <w:szCs w:val="18"/>
              </w:rPr>
              <w:t>带息债务类型</w:t>
            </w:r>
            <w:r>
              <w:rPr>
                <w:rFonts w:ascii="宋体" w:hAnsi="宋体" w:cs="宋体" w:eastAsia="宋体" w:hint="default"/>
                <w:b/>
                <w:bCs/>
                <w:w w:val="100"/>
                <w:sz w:val="18"/>
                <w:szCs w:val="18"/>
              </w:rPr>
              <w:t> </w:t>
            </w:r>
            <w:r>
              <w:rPr>
                <w:rFonts w:ascii="宋体" w:hAnsi="宋体" w:cs="宋体" w:eastAsia="宋体" w:hint="default"/>
                <w:w w:val="100"/>
                <w:sz w:val="18"/>
                <w:szCs w:val="18"/>
              </w:rPr>
            </w:r>
          </w:p>
        </w:tc>
        <w:tc>
          <w:tcPr>
            <w:tcW w:w="3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90" w:right="0"/>
              <w:jc w:val="center"/>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b/>
                <w:bCs/>
                <w:w w:val="100"/>
                <w:sz w:val="18"/>
                <w:szCs w:val="18"/>
              </w:rPr>
              <w:t> </w:t>
            </w:r>
            <w:r>
              <w:rPr>
                <w:rFonts w:ascii="宋体" w:hAnsi="宋体" w:cs="宋体" w:eastAsia="宋体" w:hint="default"/>
                <w:w w:val="100"/>
                <w:sz w:val="18"/>
                <w:szCs w:val="18"/>
              </w:rPr>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763"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b/>
                <w:bCs/>
                <w:w w:val="100"/>
                <w:sz w:val="18"/>
                <w:szCs w:val="18"/>
              </w:rPr>
              <w:t> </w:t>
            </w:r>
            <w:r>
              <w:rPr>
                <w:rFonts w:ascii="宋体" w:hAnsi="宋体" w:cs="宋体" w:eastAsia="宋体" w:hint="default"/>
                <w:w w:val="100"/>
                <w:sz w:val="18"/>
                <w:szCs w:val="18"/>
              </w:rPr>
            </w:r>
          </w:p>
        </w:tc>
      </w:tr>
      <w:tr>
        <w:trPr>
          <w:trHeight w:val="341" w:hRule="exact"/>
        </w:trPr>
        <w:tc>
          <w:tcPr>
            <w:tcW w:w="4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短期借款</w:t>
            </w:r>
            <w:r>
              <w:rPr>
                <w:rFonts w:ascii="宋体" w:hAnsi="宋体" w:cs="宋体" w:eastAsia="宋体" w:hint="default"/>
                <w:sz w:val="18"/>
                <w:szCs w:val="18"/>
              </w:rPr>
              <w:t> </w:t>
            </w:r>
          </w:p>
        </w:tc>
        <w:tc>
          <w:tcPr>
            <w:tcW w:w="3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2"/>
                <w:sz w:val="18"/>
              </w:rPr>
              <w:t>690,360,000.00</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4"/>
              <w:jc w:val="right"/>
              <w:rPr>
                <w:rFonts w:ascii="宋体" w:hAnsi="宋体" w:cs="宋体" w:eastAsia="宋体" w:hint="default"/>
                <w:sz w:val="18"/>
                <w:szCs w:val="18"/>
              </w:rPr>
            </w:pPr>
            <w:r>
              <w:rPr>
                <w:rFonts w:ascii="宋体"/>
                <w:spacing w:val="-2"/>
                <w:sz w:val="18"/>
              </w:rPr>
              <w:t>405,000,000.00</w:t>
            </w:r>
          </w:p>
        </w:tc>
      </w:tr>
      <w:tr>
        <w:trPr>
          <w:trHeight w:val="341" w:hRule="exact"/>
        </w:trPr>
        <w:tc>
          <w:tcPr>
            <w:tcW w:w="4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一年内到期的非流动负债</w:t>
            </w:r>
            <w:r>
              <w:rPr>
                <w:rFonts w:ascii="宋体" w:hAnsi="宋体" w:cs="宋体" w:eastAsia="宋体" w:hint="default"/>
                <w:sz w:val="18"/>
                <w:szCs w:val="18"/>
              </w:rPr>
              <w:t> </w:t>
            </w:r>
          </w:p>
        </w:tc>
        <w:tc>
          <w:tcPr>
            <w:tcW w:w="3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627,405.94</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5"/>
              <w:jc w:val="right"/>
              <w:rPr>
                <w:rFonts w:ascii="宋体" w:hAnsi="宋体" w:cs="宋体" w:eastAsia="宋体" w:hint="default"/>
                <w:sz w:val="18"/>
                <w:szCs w:val="18"/>
              </w:rPr>
            </w:pPr>
            <w:r>
              <w:rPr>
                <w:rFonts w:ascii="宋体"/>
                <w:spacing w:val="-1"/>
                <w:sz w:val="18"/>
              </w:rPr>
              <w:t>617,243.26</w:t>
            </w:r>
          </w:p>
        </w:tc>
      </w:tr>
      <w:tr>
        <w:trPr>
          <w:trHeight w:val="341" w:hRule="exact"/>
        </w:trPr>
        <w:tc>
          <w:tcPr>
            <w:tcW w:w="4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长期借款</w:t>
            </w:r>
            <w:r>
              <w:rPr>
                <w:rFonts w:ascii="宋体" w:hAnsi="宋体" w:cs="宋体" w:eastAsia="宋体" w:hint="default"/>
                <w:sz w:val="18"/>
                <w:szCs w:val="18"/>
              </w:rPr>
              <w:t> </w:t>
            </w:r>
          </w:p>
        </w:tc>
        <w:tc>
          <w:tcPr>
            <w:tcW w:w="3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941,108.92</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5"/>
              <w:jc w:val="right"/>
              <w:rPr>
                <w:rFonts w:ascii="宋体" w:hAnsi="宋体" w:cs="宋体" w:eastAsia="宋体" w:hint="default"/>
                <w:sz w:val="18"/>
                <w:szCs w:val="18"/>
              </w:rPr>
            </w:pPr>
            <w:r>
              <w:rPr>
                <w:rFonts w:ascii="宋体"/>
                <w:spacing w:val="-1"/>
                <w:sz w:val="18"/>
              </w:rPr>
              <w:t>1,543,108.17</w:t>
            </w:r>
          </w:p>
        </w:tc>
      </w:tr>
    </w:tbl>
    <w:p>
      <w:pPr>
        <w:spacing w:line="240" w:lineRule="auto" w:before="6"/>
        <w:rPr>
          <w:rFonts w:ascii="宋体" w:hAnsi="宋体" w:cs="宋体" w:eastAsia="宋体" w:hint="default"/>
          <w:sz w:val="6"/>
          <w:szCs w:val="6"/>
        </w:rPr>
      </w:pPr>
    </w:p>
    <w:p>
      <w:pPr>
        <w:pStyle w:val="BodyText"/>
        <w:spacing w:line="316" w:lineRule="auto" w:before="46"/>
        <w:ind w:right="855" w:firstLine="422"/>
        <w:jc w:val="left"/>
        <w:rPr>
          <w:rFonts w:ascii="宋体" w:hAnsi="宋体" w:cs="宋体" w:eastAsia="宋体" w:hint="default"/>
        </w:rPr>
      </w:pPr>
      <w:r>
        <w:rPr>
          <w:spacing w:val="-3"/>
        </w:rPr>
        <w:t>于</w:t>
      </w:r>
      <w:r>
        <w:rPr>
          <w:rFonts w:ascii="宋体" w:hAnsi="宋体" w:cs="宋体" w:eastAsia="宋体" w:hint="default"/>
          <w:spacing w:val="-3"/>
        </w:rPr>
        <w:t>2019</w:t>
      </w:r>
      <w:r>
        <w:rPr>
          <w:spacing w:val="-3"/>
        </w:rPr>
        <w:t>年</w:t>
      </w:r>
      <w:r>
        <w:rPr>
          <w:rFonts w:ascii="宋体" w:hAnsi="宋体" w:cs="宋体" w:eastAsia="宋体" w:hint="default"/>
          <w:spacing w:val="-3"/>
        </w:rPr>
        <w:t>12</w:t>
      </w:r>
      <w:r>
        <w:rPr>
          <w:spacing w:val="-3"/>
        </w:rPr>
        <w:t>月</w:t>
      </w:r>
      <w:r>
        <w:rPr>
          <w:rFonts w:ascii="宋体" w:hAnsi="宋体" w:cs="宋体" w:eastAsia="宋体" w:hint="default"/>
          <w:spacing w:val="-3"/>
        </w:rPr>
        <w:t>31</w:t>
      </w:r>
      <w:r>
        <w:rPr>
          <w:spacing w:val="-3"/>
        </w:rPr>
        <w:t>日，如果以上述带息负债计算的借款利率上升或下降</w:t>
      </w:r>
      <w:r>
        <w:rPr>
          <w:rFonts w:ascii="宋体" w:hAnsi="宋体" w:cs="宋体" w:eastAsia="宋体" w:hint="default"/>
          <w:spacing w:val="-3"/>
        </w:rPr>
        <w:t>25</w:t>
      </w:r>
      <w:r>
        <w:rPr>
          <w:spacing w:val="-3"/>
        </w:rPr>
        <w:t>个基准点，而其他因素保持不变，对税前利润</w:t>
      </w:r>
      <w:r>
        <w:rPr>
          <w:w w:val="101"/>
        </w:rPr>
        <w:t> </w:t>
      </w:r>
      <w:r>
        <w:rPr>
          <w:spacing w:val="-3"/>
        </w:rPr>
        <w:t>的影响如下：</w:t>
      </w:r>
      <w:r>
        <w:rPr>
          <w:rFonts w:ascii="宋体" w:hAnsi="宋体" w:cs="宋体" w:eastAsia="宋体" w:hint="default"/>
        </w:rPr>
        <w:t> </w:t>
      </w:r>
    </w:p>
    <w:p>
      <w:pPr>
        <w:pStyle w:val="BodyText"/>
        <w:spacing w:line="240" w:lineRule="auto" w:before="139"/>
        <w:ind w:left="0" w:right="1035"/>
        <w:jc w:val="right"/>
        <w:rPr>
          <w:rFonts w:ascii="宋体" w:hAnsi="宋体" w:cs="宋体" w:eastAsia="宋体" w:hint="default"/>
        </w:rPr>
      </w:pPr>
      <w:r>
        <w:rPr>
          <w:spacing w:val="-3"/>
        </w:rPr>
        <w:t>单位：元</w:t>
      </w:r>
      <w:r>
        <w:rPr>
          <w:rFonts w:ascii="宋体" w:hAnsi="宋体" w:cs="宋体" w:eastAsia="宋体" w:hint="default"/>
        </w:rPr>
        <w:t> </w:t>
      </w:r>
    </w:p>
    <w:p>
      <w:pPr>
        <w:spacing w:line="240" w:lineRule="auto" w:before="0"/>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4212"/>
        <w:gridCol w:w="5440"/>
      </w:tblGrid>
      <w:tr>
        <w:trPr>
          <w:trHeight w:val="365" w:hRule="exact"/>
        </w:trPr>
        <w:tc>
          <w:tcPr>
            <w:tcW w:w="4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91" w:right="0"/>
              <w:jc w:val="center"/>
              <w:rPr>
                <w:rFonts w:ascii="宋体" w:hAnsi="宋体" w:cs="宋体" w:eastAsia="宋体" w:hint="default"/>
                <w:sz w:val="18"/>
                <w:szCs w:val="18"/>
              </w:rPr>
            </w:pPr>
            <w:r>
              <w:rPr>
                <w:rFonts w:ascii="宋体" w:hAnsi="宋体" w:cs="宋体" w:eastAsia="宋体" w:hint="default"/>
                <w:b/>
                <w:bCs/>
                <w:spacing w:val="-3"/>
                <w:sz w:val="18"/>
                <w:szCs w:val="18"/>
              </w:rPr>
              <w:t>项目</w:t>
            </w:r>
            <w:r>
              <w:rPr>
                <w:rFonts w:ascii="宋体" w:hAnsi="宋体" w:cs="宋体" w:eastAsia="宋体" w:hint="default"/>
                <w:b/>
                <w:bCs/>
                <w:w w:val="100"/>
                <w:sz w:val="18"/>
                <w:szCs w:val="18"/>
              </w:rPr>
              <w:t> </w:t>
            </w:r>
            <w:r>
              <w:rPr>
                <w:rFonts w:ascii="宋体" w:hAnsi="宋体" w:cs="宋体" w:eastAsia="宋体" w:hint="default"/>
                <w:w w:val="100"/>
                <w:sz w:val="18"/>
                <w:szCs w:val="18"/>
              </w:rPr>
            </w:r>
          </w:p>
        </w:tc>
        <w:tc>
          <w:tcPr>
            <w:tcW w:w="5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91" w:right="0"/>
              <w:jc w:val="center"/>
              <w:rPr>
                <w:rFonts w:ascii="宋体" w:hAnsi="宋体" w:cs="宋体" w:eastAsia="宋体" w:hint="default"/>
                <w:sz w:val="18"/>
                <w:szCs w:val="18"/>
              </w:rPr>
            </w:pPr>
            <w:r>
              <w:rPr>
                <w:rFonts w:ascii="宋体" w:hAnsi="宋体" w:cs="宋体" w:eastAsia="宋体" w:hint="default"/>
                <w:b/>
                <w:bCs/>
                <w:spacing w:val="-3"/>
                <w:sz w:val="18"/>
                <w:szCs w:val="18"/>
              </w:rPr>
              <w:t>对税前利润影响</w:t>
            </w:r>
            <w:r>
              <w:rPr>
                <w:rFonts w:ascii="宋体" w:hAnsi="宋体" w:cs="宋体" w:eastAsia="宋体" w:hint="default"/>
                <w:b/>
                <w:bCs/>
                <w:w w:val="100"/>
                <w:sz w:val="18"/>
                <w:szCs w:val="18"/>
              </w:rPr>
              <w:t> </w:t>
            </w:r>
            <w:r>
              <w:rPr>
                <w:rFonts w:ascii="宋体" w:hAnsi="宋体" w:cs="宋体" w:eastAsia="宋体" w:hint="default"/>
                <w:w w:val="100"/>
                <w:sz w:val="18"/>
                <w:szCs w:val="18"/>
              </w:rPr>
            </w:r>
          </w:p>
        </w:tc>
      </w:tr>
      <w:tr>
        <w:trPr>
          <w:trHeight w:val="365" w:hRule="exact"/>
        </w:trPr>
        <w:tc>
          <w:tcPr>
            <w:tcW w:w="4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91" w:right="0"/>
              <w:jc w:val="center"/>
              <w:rPr>
                <w:rFonts w:ascii="宋体" w:hAnsi="宋体" w:cs="宋体" w:eastAsia="宋体" w:hint="default"/>
                <w:sz w:val="18"/>
                <w:szCs w:val="18"/>
              </w:rPr>
            </w:pPr>
            <w:r>
              <w:rPr>
                <w:rFonts w:ascii="宋体" w:hAnsi="宋体" w:cs="宋体" w:eastAsia="宋体" w:hint="default"/>
                <w:spacing w:val="-3"/>
                <w:sz w:val="18"/>
                <w:szCs w:val="18"/>
              </w:rPr>
              <w:t>人民币基准利率增加</w:t>
            </w:r>
            <w:r>
              <w:rPr>
                <w:rFonts w:ascii="宋体" w:hAnsi="宋体" w:cs="宋体" w:eastAsia="宋体" w:hint="default"/>
                <w:spacing w:val="-3"/>
                <w:sz w:val="18"/>
                <w:szCs w:val="18"/>
              </w:rPr>
              <w:t>25</w:t>
            </w:r>
            <w:r>
              <w:rPr>
                <w:rFonts w:ascii="宋体" w:hAnsi="宋体" w:cs="宋体" w:eastAsia="宋体" w:hint="default"/>
                <w:spacing w:val="-3"/>
                <w:sz w:val="18"/>
                <w:szCs w:val="18"/>
              </w:rPr>
              <w:t>个基准点</w:t>
            </w:r>
            <w:r>
              <w:rPr>
                <w:rFonts w:ascii="宋体" w:hAnsi="宋体" w:cs="宋体" w:eastAsia="宋体" w:hint="default"/>
                <w:sz w:val="18"/>
                <w:szCs w:val="18"/>
              </w:rPr>
              <w:t> </w:t>
            </w:r>
          </w:p>
        </w:tc>
        <w:tc>
          <w:tcPr>
            <w:tcW w:w="5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91" w:right="0"/>
              <w:jc w:val="center"/>
              <w:rPr>
                <w:rFonts w:ascii="宋体" w:hAnsi="宋体" w:cs="宋体" w:eastAsia="宋体" w:hint="default"/>
                <w:sz w:val="18"/>
                <w:szCs w:val="18"/>
              </w:rPr>
            </w:pPr>
            <w:r>
              <w:rPr>
                <w:rFonts w:ascii="宋体"/>
                <w:sz w:val="18"/>
              </w:rPr>
              <w:t>531,896.94 </w:t>
            </w:r>
          </w:p>
        </w:tc>
      </w:tr>
      <w:tr>
        <w:trPr>
          <w:trHeight w:val="374" w:hRule="exact"/>
        </w:trPr>
        <w:tc>
          <w:tcPr>
            <w:tcW w:w="4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91" w:right="0"/>
              <w:jc w:val="center"/>
              <w:rPr>
                <w:rFonts w:ascii="宋体" w:hAnsi="宋体" w:cs="宋体" w:eastAsia="宋体" w:hint="default"/>
                <w:sz w:val="18"/>
                <w:szCs w:val="18"/>
              </w:rPr>
            </w:pPr>
            <w:r>
              <w:rPr>
                <w:rFonts w:ascii="宋体" w:hAnsi="宋体" w:cs="宋体" w:eastAsia="宋体" w:hint="default"/>
                <w:spacing w:val="-3"/>
                <w:sz w:val="18"/>
                <w:szCs w:val="18"/>
              </w:rPr>
              <w:t>人民币基准利率下降</w:t>
            </w:r>
            <w:r>
              <w:rPr>
                <w:rFonts w:ascii="宋体" w:hAnsi="宋体" w:cs="宋体" w:eastAsia="宋体" w:hint="default"/>
                <w:spacing w:val="-3"/>
                <w:sz w:val="18"/>
                <w:szCs w:val="18"/>
              </w:rPr>
              <w:t>25</w:t>
            </w:r>
            <w:r>
              <w:rPr>
                <w:rFonts w:ascii="宋体" w:hAnsi="宋体" w:cs="宋体" w:eastAsia="宋体" w:hint="default"/>
                <w:spacing w:val="-3"/>
                <w:sz w:val="18"/>
                <w:szCs w:val="18"/>
              </w:rPr>
              <w:t>个基准点</w:t>
            </w:r>
            <w:r>
              <w:rPr>
                <w:rFonts w:ascii="宋体" w:hAnsi="宋体" w:cs="宋体" w:eastAsia="宋体" w:hint="default"/>
                <w:sz w:val="18"/>
                <w:szCs w:val="18"/>
              </w:rPr>
              <w:t> </w:t>
            </w:r>
          </w:p>
        </w:tc>
        <w:tc>
          <w:tcPr>
            <w:tcW w:w="5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86" w:right="0"/>
              <w:jc w:val="center"/>
              <w:rPr>
                <w:rFonts w:ascii="宋体" w:hAnsi="宋体" w:cs="宋体" w:eastAsia="宋体" w:hint="default"/>
                <w:sz w:val="18"/>
                <w:szCs w:val="18"/>
              </w:rPr>
            </w:pPr>
            <w:r>
              <w:rPr>
                <w:rFonts w:ascii="宋体"/>
                <w:sz w:val="18"/>
              </w:rPr>
              <w:t>-531,896.94 </w:t>
            </w:r>
          </w:p>
        </w:tc>
      </w:tr>
    </w:tbl>
    <w:p>
      <w:pPr>
        <w:spacing w:line="240" w:lineRule="auto" w:before="6"/>
        <w:rPr>
          <w:rFonts w:ascii="宋体" w:hAnsi="宋体" w:cs="宋体" w:eastAsia="宋体" w:hint="default"/>
          <w:sz w:val="6"/>
          <w:szCs w:val="6"/>
        </w:rPr>
      </w:pPr>
    </w:p>
    <w:p>
      <w:pPr>
        <w:pStyle w:val="BodyText"/>
        <w:spacing w:line="240" w:lineRule="auto" w:before="46"/>
        <w:ind w:left="575" w:right="855"/>
        <w:jc w:val="left"/>
        <w:rPr>
          <w:rFonts w:ascii="宋体" w:hAnsi="宋体" w:cs="宋体" w:eastAsia="宋体" w:hint="default"/>
        </w:rPr>
      </w:pPr>
      <w:r>
        <w:rPr>
          <w:spacing w:val="-3"/>
        </w:rPr>
        <w:t>（</w:t>
      </w:r>
      <w:r>
        <w:rPr>
          <w:rFonts w:ascii="宋体" w:hAnsi="宋体" w:cs="宋体" w:eastAsia="宋体" w:hint="default"/>
          <w:spacing w:val="-3"/>
        </w:rPr>
        <w:t>2</w:t>
      </w:r>
      <w:r>
        <w:rPr>
          <w:spacing w:val="-3"/>
        </w:rPr>
        <w:t>）汇率风险</w:t>
      </w:r>
      <w:r>
        <w:rPr>
          <w:rFonts w:ascii="宋体" w:hAnsi="宋体" w:cs="宋体" w:eastAsia="宋体" w:hint="default"/>
        </w:rPr>
        <w:t> </w:t>
      </w:r>
    </w:p>
    <w:p>
      <w:pPr>
        <w:spacing w:line="240" w:lineRule="auto" w:before="0"/>
        <w:rPr>
          <w:rFonts w:ascii="宋体" w:hAnsi="宋体" w:cs="宋体" w:eastAsia="宋体" w:hint="default"/>
          <w:sz w:val="15"/>
          <w:szCs w:val="15"/>
        </w:rPr>
      </w:pPr>
    </w:p>
    <w:p>
      <w:pPr>
        <w:pStyle w:val="BodyText"/>
        <w:spacing w:line="319" w:lineRule="auto"/>
        <w:ind w:right="1122" w:firstLine="422"/>
        <w:jc w:val="both"/>
        <w:rPr>
          <w:rFonts w:ascii="宋体" w:hAnsi="宋体" w:cs="宋体" w:eastAsia="宋体" w:hint="default"/>
        </w:rPr>
      </w:pPr>
      <w:r>
        <w:rPr>
          <w:spacing w:val="-3"/>
        </w:rPr>
        <w:t>汇率风险，是指金融工具的公允价值或未来现金流量因外汇汇率变动而发生波动的风险。本公司尽可能将外币收入与</w:t>
      </w:r>
      <w:r>
        <w:rPr>
          <w:w w:val="101"/>
        </w:rPr>
        <w:t> </w:t>
      </w:r>
      <w:r>
        <w:rPr>
          <w:spacing w:val="-4"/>
        </w:rPr>
        <w:t>外币支出相匹配以降低汇率风险。本公司面临的汇率风险主要来源于以美元港币及欧元计价的金融资产和金融负债，本公司</w:t>
      </w:r>
      <w:r>
        <w:rPr>
          <w:spacing w:val="45"/>
        </w:rPr>
        <w:t> </w:t>
      </w:r>
      <w:r>
        <w:rPr>
          <w:spacing w:val="45"/>
        </w:rPr>
      </w:r>
      <w:r>
        <w:rPr>
          <w:spacing w:val="-3"/>
        </w:rPr>
        <w:t>本期外币金融资产和外币金融负债折算成人民币的金额列示如下：</w:t>
      </w:r>
      <w:r>
        <w:rPr>
          <w:rFonts w:ascii="宋体" w:hAnsi="宋体" w:cs="宋体" w:eastAsia="宋体" w:hint="default"/>
        </w:rPr>
        <w:t> </w:t>
      </w:r>
    </w:p>
    <w:p>
      <w:pPr>
        <w:pStyle w:val="BodyText"/>
        <w:spacing w:line="240" w:lineRule="auto" w:before="137"/>
        <w:ind w:left="0" w:right="1035"/>
        <w:jc w:val="right"/>
        <w:rPr>
          <w:rFonts w:ascii="宋体" w:hAnsi="宋体" w:cs="宋体" w:eastAsia="宋体" w:hint="default"/>
        </w:rPr>
      </w:pPr>
      <w:r>
        <w:rPr>
          <w:spacing w:val="-3"/>
        </w:rPr>
        <w:t>单位：元</w:t>
      </w:r>
      <w:r>
        <w:rPr>
          <w:rFonts w:ascii="宋体" w:hAnsi="宋体" w:cs="宋体" w:eastAsia="宋体" w:hint="default"/>
        </w:rPr>
        <w:t> </w:t>
      </w:r>
    </w:p>
    <w:p>
      <w:pPr>
        <w:spacing w:line="240" w:lineRule="auto" w:before="0"/>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4399"/>
        <w:gridCol w:w="2876"/>
        <w:gridCol w:w="2416"/>
      </w:tblGrid>
      <w:tr>
        <w:trPr>
          <w:trHeight w:val="341" w:hRule="exact"/>
        </w:trPr>
        <w:tc>
          <w:tcPr>
            <w:tcW w:w="4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86" w:right="0"/>
              <w:jc w:val="center"/>
              <w:rPr>
                <w:rFonts w:ascii="宋体" w:hAnsi="宋体" w:cs="宋体" w:eastAsia="宋体" w:hint="default"/>
                <w:sz w:val="18"/>
                <w:szCs w:val="18"/>
              </w:rPr>
            </w:pPr>
            <w:r>
              <w:rPr>
                <w:rFonts w:ascii="宋体" w:hAnsi="宋体" w:cs="宋体" w:eastAsia="宋体" w:hint="default"/>
                <w:b/>
                <w:bCs/>
                <w:spacing w:val="-3"/>
                <w:sz w:val="18"/>
                <w:szCs w:val="18"/>
              </w:rPr>
              <w:t>项目</w:t>
            </w:r>
            <w:r>
              <w:rPr>
                <w:rFonts w:ascii="宋体" w:hAnsi="宋体" w:cs="宋体" w:eastAsia="宋体" w:hint="default"/>
                <w:b/>
                <w:bCs/>
                <w:w w:val="100"/>
                <w:sz w:val="18"/>
                <w:szCs w:val="18"/>
              </w:rPr>
              <w:t> </w:t>
            </w:r>
            <w:r>
              <w:rPr>
                <w:rFonts w:ascii="宋体" w:hAnsi="宋体" w:cs="宋体" w:eastAsia="宋体" w:hint="default"/>
                <w:w w:val="100"/>
                <w:sz w:val="18"/>
                <w:szCs w:val="18"/>
              </w:rPr>
            </w:r>
          </w:p>
        </w:tc>
        <w:tc>
          <w:tcPr>
            <w:tcW w:w="2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91" w:right="0"/>
              <w:jc w:val="center"/>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b/>
                <w:bCs/>
                <w:w w:val="100"/>
                <w:sz w:val="18"/>
                <w:szCs w:val="18"/>
              </w:rPr>
              <w:t> </w:t>
            </w:r>
            <w:r>
              <w:rPr>
                <w:rFonts w:ascii="宋体" w:hAnsi="宋体" w:cs="宋体" w:eastAsia="宋体" w:hint="default"/>
                <w:w w:val="100"/>
                <w:sz w:val="18"/>
                <w:szCs w:val="18"/>
              </w:rPr>
            </w:r>
          </w:p>
        </w:tc>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840"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b/>
                <w:bCs/>
                <w:w w:val="100"/>
                <w:sz w:val="18"/>
                <w:szCs w:val="18"/>
              </w:rPr>
              <w:t> </w:t>
            </w:r>
            <w:r>
              <w:rPr>
                <w:rFonts w:ascii="宋体" w:hAnsi="宋体" w:cs="宋体" w:eastAsia="宋体" w:hint="default"/>
                <w:w w:val="100"/>
                <w:sz w:val="18"/>
                <w:szCs w:val="18"/>
              </w:rPr>
            </w:r>
          </w:p>
        </w:tc>
      </w:tr>
    </w:tbl>
    <w:p>
      <w:pPr>
        <w:spacing w:after="0" w:line="240" w:lineRule="auto"/>
        <w:jc w:val="left"/>
        <w:rPr>
          <w:rFonts w:ascii="宋体" w:hAnsi="宋体" w:cs="宋体" w:eastAsia="宋体" w:hint="default"/>
          <w:sz w:val="18"/>
          <w:szCs w:val="18"/>
        </w:rPr>
        <w:sectPr>
          <w:pgSz w:w="11910" w:h="16840"/>
          <w:pgMar w:header="746" w:footer="974"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4399"/>
        <w:gridCol w:w="2876"/>
        <w:gridCol w:w="2416"/>
      </w:tblGrid>
      <w:tr>
        <w:trPr>
          <w:trHeight w:val="341" w:hRule="exact"/>
        </w:trPr>
        <w:tc>
          <w:tcPr>
            <w:tcW w:w="4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b/>
                <w:bCs/>
                <w:sz w:val="18"/>
                <w:szCs w:val="18"/>
              </w:rPr>
              <w:t>资产项：</w:t>
            </w:r>
            <w:r>
              <w:rPr>
                <w:rFonts w:ascii="宋体" w:hAnsi="宋体" w:cs="宋体" w:eastAsia="宋体" w:hint="default"/>
                <w:b/>
                <w:bCs/>
                <w:w w:val="100"/>
                <w:sz w:val="18"/>
                <w:szCs w:val="18"/>
              </w:rPr>
              <w:t> </w:t>
            </w:r>
            <w:r>
              <w:rPr>
                <w:rFonts w:ascii="宋体" w:hAnsi="宋体" w:cs="宋体" w:eastAsia="宋体" w:hint="default"/>
                <w:w w:val="100"/>
                <w:sz w:val="18"/>
                <w:szCs w:val="18"/>
              </w:rPr>
            </w:r>
          </w:p>
        </w:tc>
        <w:tc>
          <w:tcPr>
            <w:tcW w:w="2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3"/>
              <w:jc w:val="right"/>
              <w:rPr>
                <w:rFonts w:ascii="宋体" w:hAnsi="宋体" w:cs="宋体" w:eastAsia="宋体" w:hint="default"/>
                <w:sz w:val="18"/>
                <w:szCs w:val="18"/>
              </w:rPr>
            </w:pPr>
            <w:r>
              <w:rPr>
                <w:rFonts w:ascii="宋体"/>
                <w:w w:val="101"/>
                <w:sz w:val="18"/>
              </w:rPr>
              <w:t>  </w:t>
            </w:r>
            <w:r>
              <w:rPr>
                <w:rFonts w:ascii="宋体"/>
                <w:spacing w:val="-2"/>
                <w:sz w:val="18"/>
              </w:rPr>
              <w:t>12,964,304.67</w:t>
            </w:r>
          </w:p>
        </w:tc>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4"/>
              <w:jc w:val="right"/>
              <w:rPr>
                <w:rFonts w:ascii="宋体" w:hAnsi="宋体" w:cs="宋体" w:eastAsia="宋体" w:hint="default"/>
                <w:sz w:val="18"/>
                <w:szCs w:val="18"/>
              </w:rPr>
            </w:pPr>
            <w:r>
              <w:rPr>
                <w:rFonts w:ascii="宋体"/>
                <w:spacing w:val="-1"/>
                <w:sz w:val="18"/>
              </w:rPr>
              <w:t>12,532,866.43</w:t>
            </w:r>
          </w:p>
        </w:tc>
      </w:tr>
      <w:tr>
        <w:trPr>
          <w:trHeight w:val="341" w:hRule="exact"/>
        </w:trPr>
        <w:tc>
          <w:tcPr>
            <w:tcW w:w="4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其中：美元</w:t>
            </w:r>
            <w:r>
              <w:rPr>
                <w:rFonts w:ascii="宋体" w:hAnsi="宋体" w:cs="宋体" w:eastAsia="宋体" w:hint="default"/>
                <w:sz w:val="18"/>
                <w:szCs w:val="18"/>
              </w:rPr>
              <w:t> </w:t>
            </w:r>
          </w:p>
        </w:tc>
        <w:tc>
          <w:tcPr>
            <w:tcW w:w="2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3"/>
              <w:jc w:val="right"/>
              <w:rPr>
                <w:rFonts w:ascii="宋体" w:hAnsi="宋体" w:cs="宋体" w:eastAsia="宋体" w:hint="default"/>
                <w:sz w:val="18"/>
                <w:szCs w:val="18"/>
              </w:rPr>
            </w:pPr>
            <w:r>
              <w:rPr>
                <w:rFonts w:ascii="宋体"/>
                <w:w w:val="101"/>
                <w:sz w:val="18"/>
              </w:rPr>
              <w:t>   </w:t>
            </w:r>
            <w:r>
              <w:rPr>
                <w:rFonts w:ascii="宋体"/>
                <w:spacing w:val="-2"/>
                <w:sz w:val="18"/>
              </w:rPr>
              <w:t>8,950,412.98</w:t>
            </w:r>
          </w:p>
        </w:tc>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5"/>
              <w:jc w:val="right"/>
              <w:rPr>
                <w:rFonts w:ascii="宋体" w:hAnsi="宋体" w:cs="宋体" w:eastAsia="宋体" w:hint="default"/>
                <w:sz w:val="18"/>
                <w:szCs w:val="18"/>
              </w:rPr>
            </w:pPr>
            <w:r>
              <w:rPr>
                <w:rFonts w:ascii="宋体"/>
                <w:spacing w:val="-1"/>
                <w:sz w:val="18"/>
              </w:rPr>
              <w:t>9,768,990.82</w:t>
            </w:r>
          </w:p>
        </w:tc>
      </w:tr>
      <w:tr>
        <w:trPr>
          <w:trHeight w:val="346" w:hRule="exact"/>
        </w:trPr>
        <w:tc>
          <w:tcPr>
            <w:tcW w:w="4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388"/>
              <w:jc w:val="right"/>
              <w:rPr>
                <w:rFonts w:ascii="宋体" w:hAnsi="宋体" w:cs="宋体" w:eastAsia="宋体" w:hint="default"/>
                <w:sz w:val="18"/>
                <w:szCs w:val="18"/>
              </w:rPr>
            </w:pPr>
            <w:r>
              <w:rPr>
                <w:rFonts w:ascii="宋体" w:hAnsi="宋体" w:cs="宋体" w:eastAsia="宋体" w:hint="default"/>
                <w:spacing w:val="-3"/>
                <w:sz w:val="18"/>
                <w:szCs w:val="18"/>
              </w:rPr>
              <w:t>欧元</w:t>
            </w:r>
            <w:r>
              <w:rPr>
                <w:rFonts w:ascii="宋体" w:hAnsi="宋体" w:cs="宋体" w:eastAsia="宋体" w:hint="default"/>
                <w:sz w:val="18"/>
                <w:szCs w:val="18"/>
              </w:rPr>
              <w:t> </w:t>
            </w:r>
          </w:p>
        </w:tc>
        <w:tc>
          <w:tcPr>
            <w:tcW w:w="2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
              <w:jc w:val="right"/>
              <w:rPr>
                <w:rFonts w:ascii="宋体" w:hAnsi="宋体" w:cs="宋体" w:eastAsia="宋体" w:hint="default"/>
                <w:sz w:val="18"/>
                <w:szCs w:val="18"/>
              </w:rPr>
            </w:pPr>
            <w:r>
              <w:rPr>
                <w:rFonts w:ascii="宋体"/>
                <w:w w:val="101"/>
                <w:sz w:val="18"/>
              </w:rPr>
              <w:t>   </w:t>
            </w:r>
            <w:r>
              <w:rPr>
                <w:rFonts w:ascii="宋体"/>
                <w:spacing w:val="-2"/>
                <w:sz w:val="18"/>
              </w:rPr>
              <w:t>4,013,291.69</w:t>
            </w:r>
          </w:p>
        </w:tc>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5"/>
              <w:jc w:val="right"/>
              <w:rPr>
                <w:rFonts w:ascii="宋体" w:hAnsi="宋体" w:cs="宋体" w:eastAsia="宋体" w:hint="default"/>
                <w:sz w:val="18"/>
                <w:szCs w:val="18"/>
              </w:rPr>
            </w:pPr>
            <w:r>
              <w:rPr>
                <w:rFonts w:ascii="宋体"/>
                <w:spacing w:val="-1"/>
                <w:sz w:val="18"/>
              </w:rPr>
              <w:t>2,763,293.45</w:t>
            </w:r>
          </w:p>
        </w:tc>
      </w:tr>
      <w:tr>
        <w:trPr>
          <w:trHeight w:val="341" w:hRule="exact"/>
        </w:trPr>
        <w:tc>
          <w:tcPr>
            <w:tcW w:w="4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3388"/>
              <w:jc w:val="right"/>
              <w:rPr>
                <w:rFonts w:ascii="宋体" w:hAnsi="宋体" w:cs="宋体" w:eastAsia="宋体" w:hint="default"/>
                <w:sz w:val="18"/>
                <w:szCs w:val="18"/>
              </w:rPr>
            </w:pPr>
            <w:r>
              <w:rPr>
                <w:rFonts w:ascii="宋体" w:hAnsi="宋体" w:cs="宋体" w:eastAsia="宋体" w:hint="default"/>
                <w:spacing w:val="-3"/>
                <w:sz w:val="18"/>
                <w:szCs w:val="18"/>
              </w:rPr>
              <w:t>港币</w:t>
            </w:r>
            <w:r>
              <w:rPr>
                <w:rFonts w:ascii="宋体" w:hAnsi="宋体" w:cs="宋体" w:eastAsia="宋体" w:hint="default"/>
                <w:sz w:val="18"/>
                <w:szCs w:val="18"/>
              </w:rPr>
              <w:t> </w:t>
            </w:r>
          </w:p>
        </w:tc>
        <w:tc>
          <w:tcPr>
            <w:tcW w:w="2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w w:val="101"/>
                <w:sz w:val="18"/>
              </w:rPr>
              <w:t>    </w:t>
            </w:r>
            <w:r>
              <w:rPr>
                <w:rFonts w:ascii="宋体"/>
                <w:spacing w:val="-5"/>
                <w:w w:val="101"/>
                <w:sz w:val="18"/>
              </w:rPr>
              <w:t> </w:t>
            </w:r>
            <w:r>
              <w:rPr>
                <w:rFonts w:ascii="宋体"/>
                <w:w w:val="101"/>
                <w:sz w:val="18"/>
              </w:rPr>
              <w:t>   </w:t>
            </w:r>
            <w:r>
              <w:rPr>
                <w:rFonts w:ascii="宋体"/>
                <w:spacing w:val="-5"/>
                <w:w w:val="101"/>
                <w:sz w:val="18"/>
              </w:rPr>
              <w:t> </w:t>
            </w:r>
            <w:r>
              <w:rPr>
                <w:rFonts w:ascii="宋体"/>
                <w:spacing w:val="-1"/>
                <w:sz w:val="18"/>
              </w:rPr>
              <w:t>600.00</w:t>
            </w:r>
          </w:p>
        </w:tc>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5"/>
              <w:jc w:val="right"/>
              <w:rPr>
                <w:rFonts w:ascii="宋体" w:hAnsi="宋体" w:cs="宋体" w:eastAsia="宋体" w:hint="default"/>
                <w:sz w:val="18"/>
                <w:szCs w:val="18"/>
              </w:rPr>
            </w:pPr>
            <w:r>
              <w:rPr>
                <w:rFonts w:ascii="宋体"/>
                <w:spacing w:val="-1"/>
                <w:sz w:val="18"/>
              </w:rPr>
              <w:t>582.16</w:t>
            </w:r>
          </w:p>
        </w:tc>
      </w:tr>
      <w:tr>
        <w:trPr>
          <w:trHeight w:val="341" w:hRule="exact"/>
        </w:trPr>
        <w:tc>
          <w:tcPr>
            <w:tcW w:w="4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b/>
                <w:bCs/>
                <w:sz w:val="18"/>
                <w:szCs w:val="18"/>
              </w:rPr>
              <w:t>负债项：</w:t>
            </w:r>
            <w:r>
              <w:rPr>
                <w:rFonts w:ascii="宋体" w:hAnsi="宋体" w:cs="宋体" w:eastAsia="宋体" w:hint="default"/>
                <w:b/>
                <w:bCs/>
                <w:w w:val="100"/>
                <w:sz w:val="18"/>
                <w:szCs w:val="18"/>
              </w:rPr>
              <w:t> </w:t>
            </w:r>
            <w:r>
              <w:rPr>
                <w:rFonts w:ascii="宋体" w:hAnsi="宋体" w:cs="宋体" w:eastAsia="宋体" w:hint="default"/>
                <w:w w:val="100"/>
                <w:sz w:val="18"/>
                <w:szCs w:val="18"/>
              </w:rPr>
            </w:r>
          </w:p>
        </w:tc>
        <w:tc>
          <w:tcPr>
            <w:tcW w:w="2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1,568,514.86</w:t>
            </w:r>
          </w:p>
        </w:tc>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5"/>
              <w:jc w:val="right"/>
              <w:rPr>
                <w:rFonts w:ascii="宋体" w:hAnsi="宋体" w:cs="宋体" w:eastAsia="宋体" w:hint="default"/>
                <w:sz w:val="18"/>
                <w:szCs w:val="18"/>
              </w:rPr>
            </w:pPr>
            <w:r>
              <w:rPr>
                <w:rFonts w:ascii="宋体"/>
                <w:spacing w:val="-1"/>
                <w:sz w:val="18"/>
              </w:rPr>
              <w:t>2,160,351.43</w:t>
            </w:r>
          </w:p>
        </w:tc>
      </w:tr>
      <w:tr>
        <w:trPr>
          <w:trHeight w:val="346" w:hRule="exact"/>
        </w:trPr>
        <w:tc>
          <w:tcPr>
            <w:tcW w:w="4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其中：美元</w:t>
            </w:r>
            <w:r>
              <w:rPr>
                <w:rFonts w:ascii="宋体" w:hAnsi="宋体" w:cs="宋体" w:eastAsia="宋体" w:hint="default"/>
                <w:sz w:val="18"/>
                <w:szCs w:val="18"/>
              </w:rPr>
              <w:t> </w:t>
            </w:r>
          </w:p>
        </w:tc>
        <w:tc>
          <w:tcPr>
            <w:tcW w:w="2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1,568,514.86</w:t>
            </w:r>
          </w:p>
        </w:tc>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5"/>
              <w:jc w:val="right"/>
              <w:rPr>
                <w:rFonts w:ascii="宋体" w:hAnsi="宋体" w:cs="宋体" w:eastAsia="宋体" w:hint="default"/>
                <w:sz w:val="18"/>
                <w:szCs w:val="18"/>
              </w:rPr>
            </w:pPr>
            <w:r>
              <w:rPr>
                <w:rFonts w:ascii="宋体"/>
                <w:spacing w:val="-1"/>
                <w:sz w:val="18"/>
              </w:rPr>
              <w:t>2,160,351.43</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71"/>
        <w:ind w:right="855"/>
        <w:jc w:val="left"/>
        <w:rPr>
          <w:b w:val="0"/>
          <w:bCs w:val="0"/>
        </w:rPr>
      </w:pPr>
      <w:r>
        <w:rPr/>
        <w:t>十一、公允价值的披露</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855"/>
        <w:jc w:val="left"/>
        <w:rPr>
          <w:b w:val="0"/>
          <w:bCs w:val="0"/>
        </w:rPr>
      </w:pP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1"/>
        <w:jc w:val="right"/>
      </w:pPr>
      <w:r>
        <w:rPr/>
        <w:t>单位：</w:t>
      </w:r>
      <w:r>
        <w:rPr>
          <w:spacing w:val="5"/>
        </w:rPr>
        <w:t> </w:t>
      </w:r>
      <w:r>
        <w:rPr/>
        <w:t>元</w:t>
      </w:r>
    </w:p>
    <w:p>
      <w:pPr>
        <w:spacing w:line="240" w:lineRule="auto" w:before="0"/>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93"/>
        <w:gridCol w:w="1839"/>
        <w:gridCol w:w="1916"/>
        <w:gridCol w:w="1911"/>
        <w:gridCol w:w="1916"/>
      </w:tblGrid>
      <w:tr>
        <w:trPr>
          <w:trHeight w:val="403" w:hRule="exact"/>
        </w:trPr>
        <w:tc>
          <w:tcPr>
            <w:tcW w:w="19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58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713" w:hRule="exact"/>
        </w:trPr>
        <w:tc>
          <w:tcPr>
            <w:tcW w:w="1993" w:type="dxa"/>
            <w:vMerge/>
            <w:tcBorders>
              <w:left w:val="single" w:sz="4" w:space="0" w:color="000000"/>
              <w:bottom w:val="single" w:sz="4" w:space="0" w:color="000000"/>
              <w:right w:val="single" w:sz="4" w:space="0" w:color="000000"/>
            </w:tcBorders>
            <w:shd w:val="clear" w:color="auto" w:fill="D2D2D2"/>
          </w:tcPr>
          <w:p>
            <w:pPr/>
          </w:p>
        </w:tc>
        <w:tc>
          <w:tcPr>
            <w:tcW w:w="18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825" w:right="99" w:hanging="720"/>
              <w:jc w:val="left"/>
              <w:rPr>
                <w:rFonts w:ascii="宋体" w:hAnsi="宋体" w:cs="宋体" w:eastAsia="宋体" w:hint="default"/>
                <w:sz w:val="18"/>
                <w:szCs w:val="18"/>
              </w:rPr>
            </w:pPr>
            <w:r>
              <w:rPr>
                <w:rFonts w:ascii="宋体" w:hAnsi="宋体" w:cs="宋体" w:eastAsia="宋体" w:hint="default"/>
                <w:spacing w:val="-3"/>
                <w:sz w:val="18"/>
                <w:szCs w:val="18"/>
              </w:rPr>
              <w:t>第一层次公允价值计</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量</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1"/>
              <w:jc w:val="right"/>
              <w:rPr>
                <w:rFonts w:ascii="宋体" w:hAnsi="宋体" w:cs="宋体" w:eastAsia="宋体" w:hint="default"/>
                <w:sz w:val="18"/>
                <w:szCs w:val="18"/>
              </w:rPr>
            </w:pPr>
            <w:r>
              <w:rPr>
                <w:rFonts w:ascii="宋体" w:hAnsi="宋体" w:cs="宋体" w:eastAsia="宋体" w:hint="default"/>
                <w:spacing w:val="-2"/>
                <w:sz w:val="18"/>
                <w:szCs w:val="18"/>
              </w:rPr>
              <w:t>第三层次公允价值计量</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1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pacing w:val="-6"/>
                <w:sz w:val="18"/>
                <w:szCs w:val="18"/>
              </w:rPr>
              <w:t>一、持续的公允价值计量</w:t>
            </w:r>
          </w:p>
        </w:tc>
        <w:tc>
          <w:tcPr>
            <w:tcW w:w="18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8"/>
              <w:ind w:left="5"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8"/>
              <w:ind w:left="4" w:right="0"/>
              <w:jc w:val="center"/>
              <w:rPr>
                <w:rFonts w:ascii="Times New Roman" w:hAnsi="Times New Roman" w:cs="Times New Roman" w:eastAsia="Times New Roman" w:hint="default"/>
                <w:sz w:val="18"/>
                <w:szCs w:val="18"/>
              </w:rPr>
            </w:pPr>
            <w:r>
              <w:rPr>
                <w:rFonts w:ascii="Times New Roman"/>
                <w:sz w:val="18"/>
              </w:rPr>
              <w:t>--</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8"/>
              <w:ind w:left="9"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8"/>
              <w:ind w:left="5" w:right="0"/>
              <w:jc w:val="center"/>
              <w:rPr>
                <w:rFonts w:ascii="Times New Roman" w:hAnsi="Times New Roman" w:cs="Times New Roman" w:eastAsia="Times New Roman" w:hint="default"/>
                <w:sz w:val="18"/>
                <w:szCs w:val="18"/>
              </w:rPr>
            </w:pPr>
            <w:r>
              <w:rPr>
                <w:rFonts w:ascii="Times New Roman"/>
                <w:sz w:val="18"/>
              </w:rPr>
              <w:t>--</w:t>
            </w:r>
          </w:p>
        </w:tc>
      </w:tr>
      <w:tr>
        <w:trPr>
          <w:trHeight w:val="404" w:hRule="exact"/>
        </w:trPr>
        <w:tc>
          <w:tcPr>
            <w:tcW w:w="1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6"/>
                <w:sz w:val="18"/>
                <w:szCs w:val="18"/>
              </w:rPr>
              <w:t>（三）其他权益工具投资</w:t>
            </w:r>
          </w:p>
        </w:tc>
        <w:tc>
          <w:tcPr>
            <w:tcW w:w="1839"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10,686.38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10,686.38</w:t>
            </w:r>
          </w:p>
        </w:tc>
      </w:tr>
      <w:tr>
        <w:trPr>
          <w:trHeight w:val="403" w:hRule="exact"/>
        </w:trPr>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其他非流动金融资产</w:t>
            </w:r>
          </w:p>
        </w:tc>
        <w:tc>
          <w:tcPr>
            <w:tcW w:w="1839"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121,803,696.72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121,803,696.72</w:t>
            </w:r>
          </w:p>
        </w:tc>
      </w:tr>
      <w:tr>
        <w:trPr>
          <w:trHeight w:val="713" w:hRule="exact"/>
        </w:trPr>
        <w:tc>
          <w:tcPr>
            <w:tcW w:w="1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24" w:right="152"/>
              <w:jc w:val="left"/>
              <w:rPr>
                <w:rFonts w:ascii="宋体" w:hAnsi="宋体" w:cs="宋体" w:eastAsia="宋体" w:hint="default"/>
                <w:sz w:val="18"/>
                <w:szCs w:val="18"/>
              </w:rPr>
            </w:pPr>
            <w:r>
              <w:rPr>
                <w:rFonts w:ascii="宋体" w:hAnsi="宋体" w:cs="宋体" w:eastAsia="宋体" w:hint="default"/>
                <w:spacing w:val="-2"/>
                <w:sz w:val="18"/>
                <w:szCs w:val="18"/>
              </w:rPr>
              <w:t>持续以公允价值计量的</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负债总额</w:t>
            </w:r>
          </w:p>
        </w:tc>
        <w:tc>
          <w:tcPr>
            <w:tcW w:w="1839"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121,814,383.10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121,814,383.10</w:t>
            </w:r>
          </w:p>
        </w:tc>
      </w:tr>
      <w:tr>
        <w:trPr>
          <w:trHeight w:val="713" w:hRule="exact"/>
        </w:trPr>
        <w:tc>
          <w:tcPr>
            <w:tcW w:w="1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6"/>
              <w:ind w:left="24" w:right="13"/>
              <w:jc w:val="left"/>
              <w:rPr>
                <w:rFonts w:ascii="宋体" w:hAnsi="宋体" w:cs="宋体" w:eastAsia="宋体" w:hint="default"/>
                <w:sz w:val="18"/>
                <w:szCs w:val="18"/>
              </w:rPr>
            </w:pPr>
            <w:r>
              <w:rPr>
                <w:rFonts w:ascii="宋体" w:hAnsi="宋体" w:cs="宋体" w:eastAsia="宋体" w:hint="default"/>
                <w:spacing w:val="-6"/>
                <w:sz w:val="18"/>
                <w:szCs w:val="18"/>
              </w:rPr>
              <w:t>二、非持续的公允价值计</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量</w:t>
            </w:r>
          </w:p>
        </w:tc>
        <w:tc>
          <w:tcPr>
            <w:tcW w:w="18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4"/>
        <w:spacing w:line="240" w:lineRule="auto" w:before="36"/>
        <w:ind w:right="855"/>
        <w:jc w:val="left"/>
        <w:rPr>
          <w:b w:val="0"/>
          <w:bCs w:val="0"/>
        </w:rPr>
      </w:pPr>
      <w:r>
        <w:rPr>
          <w:rFonts w:ascii="Times New Roman" w:hAnsi="Times New Roman" w:cs="Times New Roman" w:eastAsia="Times New Roman" w:hint="default"/>
        </w:rPr>
        <w:t>2</w:t>
      </w:r>
      <w:r>
        <w:rPr/>
        <w:t>、持续和非持续第三层次公允价值计量项目，采用的估值技术和重要参数的定性及定量信息</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671" w:right="855"/>
        <w:jc w:val="left"/>
        <w:rPr>
          <w:rFonts w:ascii="宋体" w:hAnsi="宋体" w:cs="宋体" w:eastAsia="宋体" w:hint="default"/>
        </w:rPr>
      </w:pPr>
      <w:r>
        <w:rPr>
          <w:spacing w:val="-3"/>
        </w:rPr>
        <w:t>（</w:t>
      </w:r>
      <w:r>
        <w:rPr>
          <w:rFonts w:ascii="宋体" w:hAnsi="宋体" w:cs="宋体" w:eastAsia="宋体" w:hint="default"/>
          <w:spacing w:val="-3"/>
        </w:rPr>
        <w:t>1</w:t>
      </w:r>
      <w:r>
        <w:rPr>
          <w:spacing w:val="-3"/>
        </w:rPr>
        <w:t>）对于其他权益工具投资，以被投资单位账面净资产作为公允价值计量依据；</w:t>
      </w:r>
      <w:r>
        <w:rPr>
          <w:rFonts w:ascii="宋体" w:hAnsi="宋体" w:cs="宋体" w:eastAsia="宋体" w:hint="default"/>
        </w:rPr>
        <w:t> </w:t>
      </w:r>
      <w:r>
        <w:rPr>
          <w:rFonts w:ascii="宋体" w:hAnsi="宋体" w:cs="宋体" w:eastAsia="宋体" w:hint="default"/>
          <w:spacing w:val="-5"/>
        </w:rPr>
        <w:t> </w:t>
      </w:r>
      <w:r>
        <w:rPr>
          <w:rFonts w:ascii="宋体" w:hAnsi="宋体" w:cs="宋体" w:eastAsia="宋体" w:hint="default"/>
        </w:rPr>
        <w:t> </w:t>
      </w:r>
    </w:p>
    <w:p>
      <w:pPr>
        <w:spacing w:line="240" w:lineRule="auto" w:before="1"/>
        <w:rPr>
          <w:rFonts w:ascii="宋体" w:hAnsi="宋体" w:cs="宋体" w:eastAsia="宋体" w:hint="default"/>
          <w:sz w:val="15"/>
          <w:szCs w:val="15"/>
        </w:rPr>
      </w:pPr>
    </w:p>
    <w:p>
      <w:pPr>
        <w:pStyle w:val="BodyText"/>
        <w:spacing w:line="316" w:lineRule="auto"/>
        <w:ind w:right="855" w:firstLine="518"/>
        <w:jc w:val="left"/>
        <w:rPr>
          <w:rFonts w:ascii="宋体" w:hAnsi="宋体" w:cs="宋体" w:eastAsia="宋体" w:hint="default"/>
        </w:rPr>
      </w:pPr>
      <w:r>
        <w:rPr>
          <w:spacing w:val="-4"/>
        </w:rPr>
        <w:t>（</w:t>
      </w:r>
      <w:r>
        <w:rPr>
          <w:rFonts w:ascii="宋体" w:hAnsi="宋体" w:cs="宋体" w:eastAsia="宋体" w:hint="default"/>
          <w:spacing w:val="-4"/>
        </w:rPr>
        <w:t>2</w:t>
      </w:r>
      <w:r>
        <w:rPr>
          <w:spacing w:val="-4"/>
        </w:rPr>
        <w:t>）对于其他非流动金融资产，在被投资单位净资产及经营状况未发生重大变化时，以成本作为公允价值计量依据；</w:t>
      </w:r>
      <w:r>
        <w:rPr>
          <w:w w:val="101"/>
        </w:rPr>
        <w:t> </w:t>
      </w:r>
      <w:r>
        <w:rPr>
          <w:spacing w:val="-3"/>
        </w:rPr>
        <w:t>在被投资单位净资产及经营状况发生重大变化时，参考被投资单位净资产账面值进行调整作为公允价值计量依据。</w:t>
      </w:r>
      <w:r>
        <w:rPr>
          <w:rFonts w:ascii="宋体" w:hAnsi="宋体" w:cs="宋体" w:eastAsia="宋体" w:hint="default"/>
        </w:rPr>
        <w:t> </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7"/>
          <w:szCs w:val="17"/>
        </w:rPr>
      </w:pPr>
    </w:p>
    <w:p>
      <w:pPr>
        <w:pStyle w:val="Heading2"/>
        <w:spacing w:line="240" w:lineRule="auto"/>
        <w:ind w:right="855"/>
        <w:jc w:val="left"/>
        <w:rPr>
          <w:b w:val="0"/>
          <w:bCs w:val="0"/>
        </w:rPr>
      </w:pPr>
      <w:r>
        <w:rPr/>
        <w:t>十二、关联方及关联交易</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855"/>
        <w:jc w:val="left"/>
        <w:rPr>
          <w:b w:val="0"/>
          <w:bCs w:val="0"/>
        </w:rPr>
      </w:pPr>
      <w:r>
        <w:rPr>
          <w:rFonts w:ascii="Times New Roman" w:hAnsi="Times New Roman" w:cs="Times New Roman" w:eastAsia="Times New Roman" w:hint="default"/>
        </w:rPr>
        <w:t>1</w:t>
      </w:r>
      <w:r>
        <w:rPr/>
        <w:t>、本企业的母公司情况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594"/>
        <w:gridCol w:w="1595"/>
        <w:gridCol w:w="1594"/>
        <w:gridCol w:w="1599"/>
        <w:gridCol w:w="1594"/>
        <w:gridCol w:w="1594"/>
      </w:tblGrid>
      <w:tr>
        <w:trPr>
          <w:trHeight w:val="71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7"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432" w:right="65" w:hanging="360"/>
              <w:jc w:val="left"/>
              <w:rPr>
                <w:rFonts w:ascii="宋体" w:hAnsi="宋体" w:cs="宋体" w:eastAsia="宋体" w:hint="default"/>
                <w:sz w:val="18"/>
                <w:szCs w:val="18"/>
              </w:rPr>
            </w:pPr>
            <w:r>
              <w:rPr>
                <w:rFonts w:ascii="宋体" w:hAnsi="宋体" w:cs="宋体" w:eastAsia="宋体" w:hint="default"/>
                <w:spacing w:val="-2"/>
                <w:sz w:val="18"/>
                <w:szCs w:val="18"/>
              </w:rPr>
              <w:t>母公司对本企业的</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持股比例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345" w:right="65" w:hanging="274"/>
              <w:jc w:val="left"/>
              <w:rPr>
                <w:rFonts w:ascii="宋体" w:hAnsi="宋体" w:cs="宋体" w:eastAsia="宋体" w:hint="default"/>
                <w:sz w:val="18"/>
                <w:szCs w:val="18"/>
              </w:rPr>
            </w:pPr>
            <w:r>
              <w:rPr>
                <w:rFonts w:ascii="宋体" w:hAnsi="宋体" w:cs="宋体" w:eastAsia="宋体" w:hint="default"/>
                <w:spacing w:val="-2"/>
                <w:sz w:val="18"/>
                <w:szCs w:val="18"/>
              </w:rPr>
              <w:t>母公司对本企业的</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表决权比例</w:t>
            </w:r>
          </w:p>
        </w:tc>
      </w:tr>
      <w:tr>
        <w:trPr>
          <w:trHeight w:val="1027"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13"/>
              <w:jc w:val="both"/>
              <w:rPr>
                <w:rFonts w:ascii="宋体" w:hAnsi="宋体" w:cs="宋体" w:eastAsia="宋体" w:hint="default"/>
                <w:sz w:val="18"/>
                <w:szCs w:val="18"/>
              </w:rPr>
            </w:pPr>
            <w:r>
              <w:rPr>
                <w:rFonts w:ascii="宋体" w:hAnsi="宋体" w:cs="宋体" w:eastAsia="宋体" w:hint="default"/>
                <w:spacing w:val="-2"/>
                <w:sz w:val="18"/>
                <w:szCs w:val="18"/>
              </w:rPr>
              <w:t>云南省工业投资控</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股集团有限责任公</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云南昆明</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312" w:lineRule="auto"/>
              <w:ind w:left="23" w:right="17"/>
              <w:jc w:val="left"/>
              <w:rPr>
                <w:rFonts w:ascii="宋体" w:hAnsi="宋体" w:cs="宋体" w:eastAsia="宋体" w:hint="default"/>
                <w:sz w:val="18"/>
                <w:szCs w:val="18"/>
              </w:rPr>
            </w:pPr>
            <w:r>
              <w:rPr>
                <w:rFonts w:ascii="宋体" w:hAnsi="宋体" w:cs="宋体" w:eastAsia="宋体" w:hint="default"/>
                <w:spacing w:val="-12"/>
                <w:w w:val="101"/>
                <w:sz w:val="18"/>
                <w:szCs w:val="18"/>
              </w:rPr>
              <w:t>资产经营、投融资业</w:t>
            </w:r>
            <w:r>
              <w:rPr>
                <w:rFonts w:ascii="宋体" w:hAnsi="宋体" w:cs="宋体" w:eastAsia="宋体" w:hint="default"/>
                <w:spacing w:val="-86"/>
                <w:w w:val="101"/>
                <w:sz w:val="18"/>
                <w:szCs w:val="18"/>
              </w:rPr>
              <w:t> </w:t>
            </w:r>
            <w:r>
              <w:rPr>
                <w:rFonts w:ascii="宋体" w:hAnsi="宋体" w:cs="宋体" w:eastAsia="宋体" w:hint="default"/>
                <w:spacing w:val="-86"/>
                <w:w w:val="101"/>
                <w:sz w:val="18"/>
                <w:szCs w:val="18"/>
              </w:rPr>
            </w:r>
            <w:r>
              <w:rPr>
                <w:rFonts w:ascii="宋体" w:hAnsi="宋体" w:cs="宋体" w:eastAsia="宋体" w:hint="default"/>
                <w:sz w:val="18"/>
                <w:szCs w:val="18"/>
              </w:rPr>
              <w:t>务</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640,000.00</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万元</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left="1003" w:right="0"/>
              <w:jc w:val="left"/>
              <w:rPr>
                <w:rFonts w:ascii="Times New Roman" w:hAnsi="Times New Roman" w:cs="Times New Roman" w:eastAsia="Times New Roman" w:hint="default"/>
                <w:sz w:val="18"/>
                <w:szCs w:val="18"/>
              </w:rPr>
            </w:pPr>
            <w:r>
              <w:rPr>
                <w:rFonts w:ascii="Times New Roman"/>
                <w:sz w:val="18"/>
              </w:rPr>
              <w:t>36.15%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left="1008" w:right="0"/>
              <w:jc w:val="left"/>
              <w:rPr>
                <w:rFonts w:ascii="Times New Roman" w:hAnsi="Times New Roman" w:cs="Times New Roman" w:eastAsia="Times New Roman" w:hint="default"/>
                <w:sz w:val="18"/>
                <w:szCs w:val="18"/>
              </w:rPr>
            </w:pPr>
            <w:r>
              <w:rPr>
                <w:rFonts w:ascii="Times New Roman"/>
                <w:sz w:val="18"/>
              </w:rPr>
              <w:t>36.15%</w:t>
            </w:r>
          </w:p>
        </w:tc>
      </w:tr>
    </w:tbl>
    <w:p>
      <w:pPr>
        <w:spacing w:after="0" w:line="240" w:lineRule="auto"/>
        <w:jc w:val="left"/>
        <w:rPr>
          <w:rFonts w:ascii="Times New Roman" w:hAnsi="Times New Roman" w:cs="Times New Roman" w:eastAsia="Times New Roman" w:hint="default"/>
          <w:sz w:val="18"/>
          <w:szCs w:val="18"/>
        </w:rPr>
        <w:sectPr>
          <w:pgSz w:w="11910" w:h="16840"/>
          <w:pgMar w:header="746" w:footer="974" w:top="1060" w:bottom="1160" w:left="980" w:right="0"/>
        </w:sectPr>
      </w:pPr>
    </w:p>
    <w:p>
      <w:pPr>
        <w:spacing w:line="240" w:lineRule="auto" w:before="1"/>
        <w:rPr>
          <w:rFonts w:ascii="宋体" w:hAnsi="宋体" w:cs="宋体" w:eastAsia="宋体" w:hint="default"/>
          <w:b/>
          <w:bCs/>
          <w:sz w:val="26"/>
          <w:szCs w:val="26"/>
        </w:rPr>
      </w:pPr>
    </w:p>
    <w:p>
      <w:pPr>
        <w:pStyle w:val="BodyText"/>
        <w:spacing w:line="352" w:lineRule="auto" w:before="46"/>
        <w:ind w:left="513" w:right="855" w:hanging="360"/>
        <w:jc w:val="left"/>
      </w:pPr>
      <w:r>
        <w:rPr>
          <w:spacing w:val="-3"/>
        </w:rPr>
        <w:t>本企业的母公司情况的说明</w:t>
      </w:r>
      <w:r>
        <w:rPr>
          <w:spacing w:val="-51"/>
        </w:rPr>
        <w:t> </w:t>
      </w:r>
      <w:r>
        <w:rPr>
          <w:spacing w:val="-51"/>
        </w:rPr>
      </w:r>
      <w:r>
        <w:rPr>
          <w:spacing w:val="-2"/>
        </w:rPr>
        <w:t>截至</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日，本公司股份总额为</w:t>
      </w:r>
      <w:r>
        <w:rPr>
          <w:rFonts w:ascii="Times New Roman" w:hAnsi="Times New Roman" w:cs="Times New Roman" w:eastAsia="Times New Roman" w:hint="default"/>
          <w:spacing w:val="-2"/>
        </w:rPr>
        <w:t>320,587,859.00</w:t>
      </w:r>
      <w:r>
        <w:rPr>
          <w:spacing w:val="-2"/>
        </w:rPr>
        <w:t>股。本公司的控股股东为云南省工业投资控股集团有限责任公</w:t>
      </w:r>
    </w:p>
    <w:p>
      <w:pPr>
        <w:pStyle w:val="BodyText"/>
        <w:spacing w:line="218" w:lineRule="exact"/>
        <w:ind w:right="855"/>
        <w:jc w:val="left"/>
      </w:pPr>
      <w:r>
        <w:rPr>
          <w:spacing w:val="-3"/>
        </w:rPr>
        <w:t>司，其持有本公司股份</w:t>
      </w:r>
      <w:r>
        <w:rPr>
          <w:rFonts w:ascii="Times New Roman" w:hAnsi="Times New Roman" w:cs="Times New Roman" w:eastAsia="Times New Roman" w:hint="default"/>
          <w:spacing w:val="-3"/>
        </w:rPr>
        <w:t>113,408,385.00</w:t>
      </w:r>
      <w:r>
        <w:rPr>
          <w:spacing w:val="-3"/>
        </w:rPr>
        <w:t>股，占本公司总股本的</w:t>
      </w:r>
      <w:r>
        <w:rPr>
          <w:rFonts w:ascii="Times New Roman" w:hAnsi="Times New Roman" w:cs="Times New Roman" w:eastAsia="Times New Roman" w:hint="default"/>
          <w:spacing w:val="-3"/>
        </w:rPr>
        <w:t>35.38%</w:t>
      </w:r>
      <w:r>
        <w:rPr>
          <w:spacing w:val="-3"/>
        </w:rPr>
        <w:t>；云南省工业投资控股集团有限责任公司是南天电子信</w:t>
      </w:r>
    </w:p>
    <w:p>
      <w:pPr>
        <w:pStyle w:val="BodyText"/>
        <w:spacing w:line="321" w:lineRule="auto" w:before="63"/>
        <w:ind w:right="855"/>
        <w:jc w:val="left"/>
      </w:pPr>
      <w:r>
        <w:rPr>
          <w:spacing w:val="-3"/>
        </w:rPr>
        <w:t>息产业集团公司控股股东，南天电子信息产业集团公司直接持有本公司股份</w:t>
      </w:r>
      <w:r>
        <w:rPr>
          <w:rFonts w:ascii="Times New Roman" w:hAnsi="Times New Roman" w:cs="Times New Roman" w:eastAsia="Times New Roman" w:hint="default"/>
          <w:spacing w:val="-3"/>
        </w:rPr>
        <w:t>2,488,233.00</w:t>
      </w:r>
      <w:r>
        <w:rPr>
          <w:spacing w:val="-3"/>
        </w:rPr>
        <w:t>股，占本公司总股本的</w:t>
      </w:r>
      <w:r>
        <w:rPr>
          <w:rFonts w:ascii="Times New Roman" w:hAnsi="Times New Roman" w:cs="Times New Roman" w:eastAsia="Times New Roman" w:hint="default"/>
          <w:spacing w:val="-3"/>
        </w:rPr>
        <w:t>0.78%</w:t>
      </w:r>
      <w:r>
        <w:rPr>
          <w:spacing w:val="-3"/>
        </w:rPr>
        <w:t>。云南</w:t>
      </w:r>
      <w:r>
        <w:rPr>
          <w:spacing w:val="44"/>
        </w:rPr>
        <w:t> </w:t>
      </w:r>
      <w:r>
        <w:rPr>
          <w:spacing w:val="44"/>
        </w:rPr>
      </w:r>
      <w:r>
        <w:rPr>
          <w:spacing w:val="-3"/>
        </w:rPr>
        <w:t>省工业投资控股集团有限责任公司直接和间接持有本公司股份</w:t>
      </w:r>
      <w:r>
        <w:rPr>
          <w:rFonts w:ascii="Times New Roman" w:hAnsi="Times New Roman" w:cs="Times New Roman" w:eastAsia="Times New Roman" w:hint="default"/>
          <w:spacing w:val="-3"/>
        </w:rPr>
        <w:t>115,896,618.00</w:t>
      </w:r>
      <w:r>
        <w:rPr>
          <w:spacing w:val="-3"/>
        </w:rPr>
        <w:t>股，占本公司总股本的</w:t>
      </w:r>
      <w:r>
        <w:rPr>
          <w:rFonts w:ascii="Times New Roman" w:hAnsi="Times New Roman" w:cs="Times New Roman" w:eastAsia="Times New Roman" w:hint="default"/>
          <w:spacing w:val="-3"/>
        </w:rPr>
        <w:t>36.15%</w:t>
      </w:r>
      <w:r>
        <w:rPr>
          <w:spacing w:val="-3"/>
        </w:rPr>
        <w:t>。</w:t>
      </w:r>
      <w:r>
        <w:rPr>
          <w:spacing w:val="77"/>
        </w:rPr>
        <w:t> </w:t>
      </w:r>
      <w:r>
        <w:rPr>
          <w:spacing w:val="-3"/>
        </w:rPr>
        <w:t>本企业最终控制方是云南省人民政府国有资产监督管理委员会。</w:t>
      </w:r>
    </w:p>
    <w:p>
      <w:pPr>
        <w:pStyle w:val="BodyText"/>
        <w:spacing w:line="240" w:lineRule="auto" w:before="53"/>
        <w:ind w:right="855"/>
        <w:jc w:val="left"/>
      </w:pPr>
      <w:r>
        <w:rPr/>
        <w:t>其他说明：</w:t>
      </w:r>
    </w:p>
    <w:p>
      <w:pPr>
        <w:spacing w:line="240" w:lineRule="auto" w:before="9"/>
        <w:rPr>
          <w:rFonts w:ascii="宋体" w:hAnsi="宋体" w:cs="宋体" w:eastAsia="宋体" w:hint="default"/>
          <w:sz w:val="26"/>
          <w:szCs w:val="26"/>
        </w:rPr>
      </w:pPr>
    </w:p>
    <w:p>
      <w:pPr>
        <w:spacing w:line="547" w:lineRule="auto" w:before="0"/>
        <w:ind w:left="153" w:right="4481"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b/>
          <w:bCs/>
          <w:spacing w:val="-102"/>
          <w:sz w:val="21"/>
          <w:szCs w:val="21"/>
        </w:rPr>
        <w:t> </w:t>
      </w:r>
      <w:r>
        <w:rPr>
          <w:rFonts w:ascii="宋体" w:hAnsi="宋体" w:cs="宋体" w:eastAsia="宋体" w:hint="default"/>
          <w:spacing w:val="-3"/>
          <w:sz w:val="18"/>
          <w:szCs w:val="18"/>
        </w:rPr>
        <w:t>本企业子公司的情况详见附注详见</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九、在其他主体中的权益</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宋体" w:hAnsi="宋体" w:cs="宋体" w:eastAsia="宋体" w:hint="default"/>
          <w:spacing w:val="-7"/>
          <w:sz w:val="18"/>
          <w:szCs w:val="18"/>
        </w:rPr>
        <w:t> </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、本企业合营和联营企业情况</w:t>
      </w:r>
      <w:r>
        <w:rPr>
          <w:rFonts w:ascii="宋体" w:hAnsi="宋体" w:cs="宋体" w:eastAsia="宋体" w:hint="default"/>
          <w:sz w:val="21"/>
          <w:szCs w:val="21"/>
        </w:rPr>
      </w:r>
    </w:p>
    <w:p>
      <w:pPr>
        <w:pStyle w:val="BodyText"/>
        <w:spacing w:line="240" w:lineRule="auto" w:before="52"/>
        <w:ind w:right="855"/>
        <w:jc w:val="left"/>
      </w:pPr>
      <w:r>
        <w:rPr>
          <w:spacing w:val="-3"/>
        </w:rPr>
        <w:t>本企业重要的合营或联营企业详见附注详见</w:t>
      </w:r>
      <w:r>
        <w:rPr>
          <w:rFonts w:ascii="Times New Roman" w:hAnsi="Times New Roman" w:cs="Times New Roman" w:eastAsia="Times New Roman" w:hint="default"/>
          <w:spacing w:val="-3"/>
        </w:rPr>
        <w:t>“</w:t>
      </w:r>
      <w:r>
        <w:rPr>
          <w:spacing w:val="-3"/>
        </w:rPr>
        <w:t>长期股权投资</w:t>
      </w:r>
      <w:r>
        <w:rPr>
          <w:rFonts w:ascii="Times New Roman" w:hAnsi="Times New Roman" w:cs="Times New Roman" w:eastAsia="Times New Roman" w:hint="default"/>
          <w:spacing w:val="-3"/>
        </w:rPr>
        <w:t>”</w:t>
      </w:r>
      <w:r>
        <w:rPr>
          <w:spacing w:val="-3"/>
        </w:rPr>
        <w:t>。</w:t>
      </w:r>
    </w:p>
    <w:p>
      <w:pPr>
        <w:spacing w:line="240" w:lineRule="auto" w:before="8"/>
        <w:rPr>
          <w:rFonts w:ascii="宋体" w:hAnsi="宋体" w:cs="宋体" w:eastAsia="宋体" w:hint="default"/>
          <w:sz w:val="25"/>
          <w:szCs w:val="25"/>
        </w:rPr>
      </w:pPr>
    </w:p>
    <w:p>
      <w:pPr>
        <w:pStyle w:val="Heading4"/>
        <w:spacing w:line="240" w:lineRule="auto"/>
        <w:ind w:right="855"/>
        <w:jc w:val="left"/>
        <w:rPr>
          <w:b w:val="0"/>
          <w:bCs w:val="0"/>
        </w:rPr>
      </w:pPr>
      <w:r>
        <w:rPr>
          <w:rFonts w:ascii="Times New Roman" w:hAnsi="Times New Roman" w:cs="Times New Roman" w:eastAsia="Times New Roman" w:hint="default"/>
        </w:rPr>
        <w:t>4</w:t>
      </w:r>
      <w:r>
        <w:rPr/>
        <w:t>、其他关联方情况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4965"/>
        <w:gridCol w:w="4605"/>
      </w:tblGrid>
      <w:tr>
        <w:trPr>
          <w:trHeight w:val="404" w:hRule="exact"/>
        </w:trPr>
        <w:tc>
          <w:tcPr>
            <w:tcW w:w="49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pacing w:val="-3"/>
                <w:sz w:val="18"/>
                <w:szCs w:val="18"/>
              </w:rPr>
              <w:t>其他关联方名称</w:t>
            </w:r>
          </w:p>
        </w:tc>
        <w:tc>
          <w:tcPr>
            <w:tcW w:w="4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311" w:right="0"/>
              <w:jc w:val="left"/>
              <w:rPr>
                <w:rFonts w:ascii="宋体" w:hAnsi="宋体" w:cs="宋体" w:eastAsia="宋体" w:hint="default"/>
                <w:sz w:val="18"/>
                <w:szCs w:val="18"/>
              </w:rPr>
            </w:pPr>
            <w:r>
              <w:rPr>
                <w:rFonts w:ascii="宋体" w:hAnsi="宋体" w:cs="宋体" w:eastAsia="宋体" w:hint="default"/>
                <w:spacing w:val="-3"/>
                <w:sz w:val="18"/>
                <w:szCs w:val="18"/>
              </w:rPr>
              <w:t>其他关联方与本企业关系</w:t>
            </w:r>
          </w:p>
        </w:tc>
      </w:tr>
      <w:tr>
        <w:trPr>
          <w:trHeight w:val="398" w:hRule="exact"/>
        </w:trPr>
        <w:tc>
          <w:tcPr>
            <w:tcW w:w="4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云南工投资产管理有限公司</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原名云南国资物业管理有限公司</w:t>
            </w:r>
            <w:r>
              <w:rPr>
                <w:rFonts w:ascii="Times New Roman" w:hAnsi="Times New Roman" w:cs="Times New Roman" w:eastAsia="Times New Roman" w:hint="default"/>
                <w:spacing w:val="-3"/>
                <w:sz w:val="18"/>
                <w:szCs w:val="18"/>
              </w:rPr>
              <w:t>)</w:t>
            </w:r>
          </w:p>
        </w:tc>
        <w:tc>
          <w:tcPr>
            <w:tcW w:w="4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受同一母公司控制</w:t>
            </w:r>
          </w:p>
        </w:tc>
      </w:tr>
      <w:tr>
        <w:trPr>
          <w:trHeight w:val="403" w:hRule="exact"/>
        </w:trPr>
        <w:tc>
          <w:tcPr>
            <w:tcW w:w="4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南天电子信息产业集团公司</w:t>
            </w:r>
          </w:p>
        </w:tc>
        <w:tc>
          <w:tcPr>
            <w:tcW w:w="4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受同一母公司控制</w:t>
            </w:r>
          </w:p>
        </w:tc>
      </w:tr>
      <w:tr>
        <w:trPr>
          <w:trHeight w:val="403" w:hRule="exact"/>
        </w:trPr>
        <w:tc>
          <w:tcPr>
            <w:tcW w:w="4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云南瑞宝生物科技股份有限公司</w:t>
            </w:r>
          </w:p>
        </w:tc>
        <w:tc>
          <w:tcPr>
            <w:tcW w:w="4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受同一母公司控制</w:t>
            </w:r>
          </w:p>
        </w:tc>
      </w:tr>
      <w:tr>
        <w:trPr>
          <w:trHeight w:val="404" w:hRule="exact"/>
        </w:trPr>
        <w:tc>
          <w:tcPr>
            <w:tcW w:w="4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云南工投物业管理有限公司</w:t>
            </w:r>
          </w:p>
        </w:tc>
        <w:tc>
          <w:tcPr>
            <w:tcW w:w="4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受同一母公司控制</w:t>
            </w:r>
          </w:p>
        </w:tc>
      </w:tr>
      <w:tr>
        <w:trPr>
          <w:trHeight w:val="398" w:hRule="exact"/>
        </w:trPr>
        <w:tc>
          <w:tcPr>
            <w:tcW w:w="4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云南工投资产管理有限公司</w:t>
            </w:r>
          </w:p>
        </w:tc>
        <w:tc>
          <w:tcPr>
            <w:tcW w:w="4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受同一母公司控制</w:t>
            </w:r>
          </w:p>
        </w:tc>
      </w:tr>
      <w:tr>
        <w:trPr>
          <w:trHeight w:val="403" w:hRule="exact"/>
        </w:trPr>
        <w:tc>
          <w:tcPr>
            <w:tcW w:w="4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云南国资粮油贸易有限公司</w:t>
            </w:r>
          </w:p>
        </w:tc>
        <w:tc>
          <w:tcPr>
            <w:tcW w:w="4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受同一母公司控制</w:t>
            </w:r>
          </w:p>
        </w:tc>
      </w:tr>
      <w:tr>
        <w:trPr>
          <w:trHeight w:val="403" w:hRule="exact"/>
        </w:trPr>
        <w:tc>
          <w:tcPr>
            <w:tcW w:w="4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昆明百王寨农业科技有限公司</w:t>
            </w:r>
          </w:p>
        </w:tc>
        <w:tc>
          <w:tcPr>
            <w:tcW w:w="4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红岭云其他股东控股企业</w:t>
            </w:r>
          </w:p>
        </w:tc>
      </w:tr>
    </w:tbl>
    <w:p>
      <w:pPr>
        <w:spacing w:line="240" w:lineRule="auto" w:before="3"/>
        <w:rPr>
          <w:rFonts w:ascii="宋体" w:hAnsi="宋体" w:cs="宋体" w:eastAsia="宋体" w:hint="default"/>
          <w:b/>
          <w:bCs/>
          <w:sz w:val="19"/>
          <w:szCs w:val="19"/>
        </w:rPr>
      </w:pPr>
    </w:p>
    <w:p>
      <w:pPr>
        <w:spacing w:before="36"/>
        <w:ind w:left="153" w:right="85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、关联交易情况</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0"/>
        <w:ind w:left="153" w:right="85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）购销商品、提供和接受劳务的关联交易</w:t>
      </w:r>
      <w:r>
        <w:rPr>
          <w:rFonts w:ascii="宋体" w:hAnsi="宋体" w:cs="宋体" w:eastAsia="宋体" w:hint="default"/>
          <w:sz w:val="21"/>
          <w:szCs w:val="21"/>
        </w:rPr>
      </w:r>
    </w:p>
    <w:p>
      <w:pPr>
        <w:spacing w:line="240" w:lineRule="auto" w:before="2"/>
        <w:rPr>
          <w:rFonts w:ascii="宋体" w:hAnsi="宋体" w:cs="宋体" w:eastAsia="宋体" w:hint="default"/>
          <w:b/>
          <w:bCs/>
          <w:sz w:val="23"/>
          <w:szCs w:val="23"/>
        </w:rPr>
      </w:pPr>
    </w:p>
    <w:p>
      <w:pPr>
        <w:pStyle w:val="BodyText"/>
        <w:spacing w:line="240" w:lineRule="auto" w:before="46"/>
        <w:ind w:right="855"/>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101"/>
        <w:ind w:left="0" w:right="1121"/>
        <w:jc w:val="right"/>
      </w:pPr>
      <w:r>
        <w:rPr/>
        <w:t>单位：</w:t>
      </w:r>
      <w:r>
        <w:rPr>
          <w:spacing w:val="5"/>
        </w:rPr>
        <w:t> </w:t>
      </w:r>
      <w:r>
        <w:rPr/>
        <w:t>元</w:t>
      </w:r>
    </w:p>
    <w:p>
      <w:pPr>
        <w:spacing w:line="240" w:lineRule="auto" w:before="4"/>
        <w:rPr>
          <w:rFonts w:ascii="宋体" w:hAnsi="宋体" w:cs="宋体" w:eastAsia="宋体" w:hint="default"/>
          <w:sz w:val="8"/>
          <w:szCs w:val="8"/>
        </w:rPr>
      </w:pPr>
    </w:p>
    <w:tbl>
      <w:tblPr>
        <w:tblW w:w="0" w:type="auto"/>
        <w:jc w:val="left"/>
        <w:tblInd w:w="129" w:type="dxa"/>
        <w:tblLayout w:type="fixed"/>
        <w:tblCellMar>
          <w:top w:w="0" w:type="dxa"/>
          <w:left w:w="0" w:type="dxa"/>
          <w:bottom w:w="0" w:type="dxa"/>
          <w:right w:w="0" w:type="dxa"/>
        </w:tblCellMar>
        <w:tblLook w:val="01E0"/>
      </w:tblPr>
      <w:tblGrid>
        <w:gridCol w:w="2699"/>
        <w:gridCol w:w="1273"/>
        <w:gridCol w:w="1278"/>
        <w:gridCol w:w="1417"/>
        <w:gridCol w:w="1560"/>
        <w:gridCol w:w="1455"/>
      </w:tblGrid>
      <w:tr>
        <w:trPr>
          <w:trHeight w:val="398" w:hRule="exact"/>
        </w:trPr>
        <w:tc>
          <w:tcPr>
            <w:tcW w:w="26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8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65"/>
              <w:jc w:val="right"/>
              <w:rPr>
                <w:rFonts w:ascii="宋体" w:hAnsi="宋体" w:cs="宋体" w:eastAsia="宋体" w:hint="default"/>
                <w:sz w:val="18"/>
                <w:szCs w:val="18"/>
              </w:rPr>
            </w:pPr>
            <w:r>
              <w:rPr>
                <w:rFonts w:ascii="宋体" w:hAnsi="宋体" w:cs="宋体" w:eastAsia="宋体" w:hint="default"/>
                <w:spacing w:val="-3"/>
                <w:sz w:val="18"/>
                <w:szCs w:val="18"/>
              </w:rPr>
              <w:t>获批的交易额度</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2"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73"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上海致同信息技术有限公司</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集成采购</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5,907,807.01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7,000,000.00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6,349,189.08</w:t>
            </w:r>
          </w:p>
        </w:tc>
      </w:tr>
      <w:tr>
        <w:trPr>
          <w:trHeight w:val="716" w:hRule="exact"/>
        </w:trPr>
        <w:tc>
          <w:tcPr>
            <w:tcW w:w="26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37"/>
              <w:jc w:val="left"/>
              <w:rPr>
                <w:rFonts w:ascii="宋体" w:hAnsi="宋体" w:cs="宋体" w:eastAsia="宋体" w:hint="default"/>
                <w:sz w:val="18"/>
                <w:szCs w:val="18"/>
              </w:rPr>
            </w:pPr>
            <w:r>
              <w:rPr>
                <w:rFonts w:ascii="宋体" w:hAnsi="宋体" w:cs="宋体" w:eastAsia="宋体" w:hint="default"/>
                <w:spacing w:val="-3"/>
                <w:sz w:val="18"/>
                <w:szCs w:val="18"/>
              </w:rPr>
              <w:t>北京人大金仓信息技术股份有限</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公司</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集成采购</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112,830.18</w:t>
            </w: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45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昆明百王寨农业科技有限公司</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材料采购</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123,568.00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202,530.00</w:t>
            </w:r>
          </w:p>
        </w:tc>
      </w:tr>
      <w:tr>
        <w:trPr>
          <w:trHeight w:val="398" w:hRule="exact"/>
        </w:trPr>
        <w:tc>
          <w:tcPr>
            <w:tcW w:w="2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云南工投物业管理有限公司</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物业管理</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772,833.05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830,800.00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45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云南工投资产管理有限公司</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物业管理</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69,182.08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69,200.00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842,015.14</w:t>
            </w:r>
          </w:p>
        </w:tc>
      </w:tr>
    </w:tbl>
    <w:p>
      <w:pPr>
        <w:spacing w:after="0" w:line="240" w:lineRule="auto"/>
        <w:jc w:val="right"/>
        <w:rPr>
          <w:rFonts w:ascii="Times New Roman" w:hAnsi="Times New Roman" w:cs="Times New Roman" w:eastAsia="Times New Roman" w:hint="default"/>
          <w:sz w:val="18"/>
          <w:szCs w:val="18"/>
        </w:rPr>
        <w:sectPr>
          <w:pgSz w:w="11910" w:h="16840"/>
          <w:pgMar w:header="746" w:footer="974" w:top="1060" w:bottom="1160" w:left="980" w:right="0"/>
        </w:sectPr>
      </w:pPr>
    </w:p>
    <w:p>
      <w:pPr>
        <w:spacing w:line="240" w:lineRule="auto" w:before="6"/>
        <w:rPr>
          <w:rFonts w:ascii="宋体" w:hAnsi="宋体" w:cs="宋体" w:eastAsia="宋体" w:hint="default"/>
          <w:sz w:val="28"/>
          <w:szCs w:val="28"/>
        </w:rPr>
      </w:pPr>
    </w:p>
    <w:tbl>
      <w:tblPr>
        <w:tblW w:w="0" w:type="auto"/>
        <w:jc w:val="left"/>
        <w:tblInd w:w="129" w:type="dxa"/>
        <w:tblLayout w:type="fixed"/>
        <w:tblCellMar>
          <w:top w:w="0" w:type="dxa"/>
          <w:left w:w="0" w:type="dxa"/>
          <w:bottom w:w="0" w:type="dxa"/>
          <w:right w:w="0" w:type="dxa"/>
        </w:tblCellMar>
        <w:tblLook w:val="01E0"/>
      </w:tblPr>
      <w:tblGrid>
        <w:gridCol w:w="2699"/>
        <w:gridCol w:w="1273"/>
        <w:gridCol w:w="1278"/>
        <w:gridCol w:w="1417"/>
        <w:gridCol w:w="1560"/>
        <w:gridCol w:w="1455"/>
      </w:tblGrid>
      <w:tr>
        <w:trPr>
          <w:trHeight w:val="403" w:hRule="exact"/>
        </w:trPr>
        <w:tc>
          <w:tcPr>
            <w:tcW w:w="2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厦门南天世纪信息技术有限公司</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软件采购</w:t>
            </w:r>
          </w:p>
        </w:tc>
        <w:tc>
          <w:tcPr>
            <w:tcW w:w="127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75" w:right="0"/>
              <w:jc w:val="left"/>
              <w:rPr>
                <w:rFonts w:ascii="Times New Roman" w:hAnsi="Times New Roman" w:cs="Times New Roman" w:eastAsia="Times New Roman" w:hint="default"/>
                <w:sz w:val="18"/>
                <w:szCs w:val="18"/>
              </w:rPr>
            </w:pPr>
            <w:r>
              <w:rPr>
                <w:rFonts w:ascii="Times New Roman"/>
                <w:sz w:val="18"/>
              </w:rPr>
              <w:t>500,000.00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375,500.00</w:t>
            </w:r>
          </w:p>
        </w:tc>
      </w:tr>
      <w:tr>
        <w:trPr>
          <w:trHeight w:val="403" w:hRule="exact"/>
        </w:trPr>
        <w:tc>
          <w:tcPr>
            <w:tcW w:w="2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3"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97" w:right="0"/>
              <w:jc w:val="left"/>
              <w:rPr>
                <w:rFonts w:ascii="Times New Roman" w:hAnsi="Times New Roman" w:cs="Times New Roman" w:eastAsia="Times New Roman" w:hint="default"/>
                <w:sz w:val="18"/>
                <w:szCs w:val="18"/>
              </w:rPr>
            </w:pPr>
            <w:r>
              <w:rPr>
                <w:rFonts w:ascii="Times New Roman"/>
                <w:sz w:val="18"/>
              </w:rPr>
              <w:t>6,986,220.32</w:t>
            </w: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7,769,234.22</w:t>
            </w:r>
          </w:p>
        </w:tc>
      </w:tr>
    </w:tbl>
    <w:p>
      <w:pPr>
        <w:pStyle w:val="BodyText"/>
        <w:spacing w:line="240" w:lineRule="auto" w:before="54"/>
        <w:ind w:right="855"/>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96"/>
        <w:ind w:left="0" w:right="1121"/>
        <w:jc w:val="right"/>
      </w:pPr>
      <w:r>
        <w:rPr/>
        <w:t>单位：</w:t>
      </w:r>
      <w:r>
        <w:rPr>
          <w:spacing w:val="5"/>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22"/>
        <w:gridCol w:w="1700"/>
        <w:gridCol w:w="2411"/>
        <w:gridCol w:w="2339"/>
      </w:tblGrid>
      <w:tr>
        <w:trPr>
          <w:trHeight w:val="398" w:hRule="exact"/>
        </w:trPr>
        <w:tc>
          <w:tcPr>
            <w:tcW w:w="3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07"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4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49"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15"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云南省工业投资控股集团有限责任公司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集成软件服务</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801,886.80</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801,886.80</w:t>
            </w:r>
          </w:p>
        </w:tc>
      </w:tr>
      <w:tr>
        <w:trPr>
          <w:trHeight w:val="404" w:hRule="exact"/>
        </w:trPr>
        <w:tc>
          <w:tcPr>
            <w:tcW w:w="3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云南国资粮油贸易有限公司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水电费</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16,893.22</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14,713.15</w:t>
            </w:r>
          </w:p>
        </w:tc>
      </w:tr>
      <w:tr>
        <w:trPr>
          <w:trHeight w:val="403" w:hRule="exact"/>
        </w:trPr>
        <w:tc>
          <w:tcPr>
            <w:tcW w:w="3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南天电子信息产业集团公司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水电物业费</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181,691.92</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156,965.75</w:t>
            </w:r>
          </w:p>
        </w:tc>
      </w:tr>
      <w:tr>
        <w:trPr>
          <w:trHeight w:val="398" w:hRule="exact"/>
        </w:trPr>
        <w:tc>
          <w:tcPr>
            <w:tcW w:w="3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上海致同信息技术有限公司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水电物业费</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26,537.79</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50,194.58</w:t>
            </w:r>
          </w:p>
        </w:tc>
      </w:tr>
      <w:tr>
        <w:trPr>
          <w:trHeight w:val="403" w:hRule="exact"/>
        </w:trPr>
        <w:tc>
          <w:tcPr>
            <w:tcW w:w="3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云南瑞宝生物科技股份有限公司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检测费</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11,844.34</w:t>
            </w:r>
          </w:p>
        </w:tc>
        <w:tc>
          <w:tcPr>
            <w:tcW w:w="233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00" w:type="dxa"/>
            <w:tcBorders>
              <w:top w:val="single" w:sz="4" w:space="0" w:color="000000"/>
              <w:left w:val="single" w:sz="4" w:space="0" w:color="000000"/>
              <w:bottom w:val="single" w:sz="4" w:space="0" w:color="000000"/>
              <w:right w:val="single" w:sz="4" w:space="0" w:color="000000"/>
            </w:tcBorders>
          </w:tcPr>
          <w:p>
            <w:pP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1,038,854.07</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1,023,760.28</w:t>
            </w:r>
          </w:p>
        </w:tc>
      </w:tr>
    </w:tbl>
    <w:p>
      <w:pPr>
        <w:pStyle w:val="BodyText"/>
        <w:spacing w:line="240" w:lineRule="auto" w:before="53"/>
        <w:ind w:right="855"/>
        <w:jc w:val="left"/>
      </w:pPr>
      <w:r>
        <w:rPr>
          <w:spacing w:val="-3"/>
        </w:rPr>
        <w:t>购销商品、提供和接受劳务的关联交易说明</w:t>
      </w:r>
    </w:p>
    <w:p>
      <w:pPr>
        <w:spacing w:line="240" w:lineRule="auto" w:before="8"/>
        <w:rPr>
          <w:rFonts w:ascii="宋体" w:hAnsi="宋体" w:cs="宋体" w:eastAsia="宋体" w:hint="default"/>
          <w:sz w:val="26"/>
          <w:szCs w:val="26"/>
        </w:rPr>
      </w:pPr>
    </w:p>
    <w:p>
      <w:pPr>
        <w:pStyle w:val="Heading4"/>
        <w:spacing w:line="240" w:lineRule="auto"/>
        <w:ind w:right="855"/>
        <w:jc w:val="left"/>
        <w:rPr>
          <w:b w:val="0"/>
          <w:bCs w:val="0"/>
        </w:rPr>
      </w:pPr>
      <w:r>
        <w:rPr/>
        <w:t>（</w:t>
      </w:r>
      <w:r>
        <w:rPr>
          <w:rFonts w:ascii="Times New Roman" w:hAnsi="Times New Roman" w:cs="Times New Roman" w:eastAsia="Times New Roman" w:hint="default"/>
        </w:rPr>
        <w:t>2</w:t>
      </w:r>
      <w:r>
        <w:rPr/>
        <w:t>）关联租赁情况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right="855"/>
        <w:jc w:val="left"/>
      </w:pPr>
      <w:r>
        <w:rPr>
          <w:spacing w:val="-3"/>
        </w:rPr>
        <w:t>本公司作为出租方：</w:t>
      </w:r>
    </w:p>
    <w:p>
      <w:pPr>
        <w:pStyle w:val="BodyText"/>
        <w:spacing w:line="240" w:lineRule="auto" w:before="115"/>
        <w:ind w:left="0" w:right="1121"/>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1"/>
        <w:gridCol w:w="2391"/>
        <w:gridCol w:w="2396"/>
        <w:gridCol w:w="2391"/>
      </w:tblGrid>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9"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53"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本期确认的租赁收入</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上期确认的租赁收入</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南天电子信息产业集团公司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房屋租赁</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219,428.58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192,000.00</w:t>
            </w:r>
          </w:p>
        </w:tc>
      </w:tr>
      <w:tr>
        <w:trPr>
          <w:trHeight w:val="398"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北京新医力科技有限公司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房屋租赁</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36,148.58</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pacing w:val="-3"/>
                <w:sz w:val="18"/>
                <w:szCs w:val="18"/>
              </w:rPr>
              <w:t>上海致同信息技术有限公司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3" w:right="0"/>
              <w:jc w:val="left"/>
              <w:rPr>
                <w:rFonts w:ascii="宋体" w:hAnsi="宋体" w:cs="宋体" w:eastAsia="宋体" w:hint="default"/>
                <w:sz w:val="18"/>
                <w:szCs w:val="18"/>
              </w:rPr>
            </w:pPr>
            <w:r>
              <w:rPr>
                <w:rFonts w:ascii="宋体" w:hAnsi="宋体" w:cs="宋体" w:eastAsia="宋体" w:hint="default"/>
                <w:sz w:val="18"/>
                <w:szCs w:val="18"/>
              </w:rPr>
              <w:t>房屋租赁</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134,956.82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2"/>
              <w:jc w:val="right"/>
              <w:rPr>
                <w:rFonts w:ascii="Times New Roman" w:hAnsi="Times New Roman" w:cs="Times New Roman" w:eastAsia="Times New Roman" w:hint="default"/>
                <w:sz w:val="18"/>
                <w:szCs w:val="18"/>
              </w:rPr>
            </w:pPr>
            <w:r>
              <w:rPr>
                <w:rFonts w:ascii="Times New Roman"/>
                <w:spacing w:val="-1"/>
                <w:sz w:val="18"/>
              </w:rPr>
              <w:t>252,928.26</w:t>
            </w:r>
          </w:p>
        </w:tc>
      </w:tr>
    </w:tbl>
    <w:p>
      <w:pPr>
        <w:pStyle w:val="BodyText"/>
        <w:spacing w:line="240" w:lineRule="auto" w:before="53"/>
        <w:ind w:right="855"/>
        <w:jc w:val="left"/>
      </w:pPr>
      <w:r>
        <w:rPr>
          <w:spacing w:val="-3"/>
        </w:rPr>
        <w:t>本公司作为承租方：</w:t>
      </w:r>
    </w:p>
    <w:p>
      <w:pPr>
        <w:pStyle w:val="BodyText"/>
        <w:spacing w:line="240" w:lineRule="auto" w:before="115"/>
        <w:ind w:left="0" w:right="1121"/>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1"/>
      </w:tblGrid>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9"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53"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70"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7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r>
        <w:trPr>
          <w:trHeight w:val="404"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南天电子信息产业集团公司</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房屋租赁</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551" w:right="0"/>
              <w:jc w:val="left"/>
              <w:rPr>
                <w:rFonts w:ascii="Times New Roman" w:hAnsi="Times New Roman" w:cs="Times New Roman" w:eastAsia="Times New Roman" w:hint="default"/>
                <w:sz w:val="18"/>
                <w:szCs w:val="18"/>
              </w:rPr>
            </w:pPr>
            <w:r>
              <w:rPr>
                <w:rFonts w:ascii="Times New Roman"/>
                <w:sz w:val="18"/>
              </w:rPr>
              <w:t>209,485.71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551" w:right="0"/>
              <w:jc w:val="left"/>
              <w:rPr>
                <w:rFonts w:ascii="Times New Roman" w:hAnsi="Times New Roman" w:cs="Times New Roman" w:eastAsia="Times New Roman" w:hint="default"/>
                <w:sz w:val="18"/>
                <w:szCs w:val="18"/>
              </w:rPr>
            </w:pPr>
            <w:r>
              <w:rPr>
                <w:rFonts w:ascii="Times New Roman"/>
                <w:sz w:val="18"/>
              </w:rPr>
              <w:t>202,057.14</w:t>
            </w:r>
          </w:p>
        </w:tc>
      </w:tr>
    </w:tbl>
    <w:p>
      <w:pPr>
        <w:pStyle w:val="BodyText"/>
        <w:spacing w:line="240" w:lineRule="auto" w:before="53"/>
        <w:ind w:right="855"/>
        <w:jc w:val="left"/>
      </w:pPr>
      <w:r>
        <w:rPr/>
        <w:t>关联租赁情况说明</w:t>
      </w:r>
    </w:p>
    <w:p>
      <w:pPr>
        <w:spacing w:line="240" w:lineRule="auto" w:before="8"/>
        <w:rPr>
          <w:rFonts w:ascii="宋体" w:hAnsi="宋体" w:cs="宋体" w:eastAsia="宋体" w:hint="default"/>
          <w:sz w:val="26"/>
          <w:szCs w:val="26"/>
        </w:rPr>
      </w:pPr>
    </w:p>
    <w:p>
      <w:pPr>
        <w:pStyle w:val="Heading4"/>
        <w:spacing w:line="240" w:lineRule="auto"/>
        <w:ind w:right="855"/>
        <w:jc w:val="left"/>
        <w:rPr>
          <w:b w:val="0"/>
          <w:bCs w:val="0"/>
        </w:rPr>
      </w:pPr>
      <w:r>
        <w:rPr/>
        <w:t>（</w:t>
      </w:r>
      <w:r>
        <w:rPr>
          <w:rFonts w:ascii="Times New Roman" w:hAnsi="Times New Roman" w:cs="Times New Roman" w:eastAsia="Times New Roman" w:hint="default"/>
        </w:rPr>
        <w:t>3</w:t>
      </w:r>
      <w:r>
        <w:rPr/>
        <w:t>）关联担保情况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6"/>
        <w:ind w:right="855"/>
        <w:jc w:val="left"/>
      </w:pPr>
      <w:r>
        <w:rPr/>
        <w:t>本公司作为担保方</w:t>
      </w:r>
    </w:p>
    <w:p>
      <w:pPr>
        <w:pStyle w:val="BodyText"/>
        <w:spacing w:line="240" w:lineRule="auto" w:before="119"/>
        <w:ind w:left="0" w:right="1121"/>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6"/>
        <w:gridCol w:w="1916"/>
        <w:gridCol w:w="1911"/>
        <w:gridCol w:w="1916"/>
        <w:gridCol w:w="1916"/>
      </w:tblGrid>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被担保方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04"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04"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2"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51"/>
              <w:jc w:val="center"/>
              <w:rPr>
                <w:rFonts w:ascii="宋体" w:hAnsi="宋体" w:cs="宋体" w:eastAsia="宋体" w:hint="default"/>
                <w:sz w:val="18"/>
                <w:szCs w:val="18"/>
              </w:rPr>
            </w:pPr>
            <w:r>
              <w:rPr>
                <w:rFonts w:ascii="宋体" w:hAnsi="宋体" w:cs="宋体" w:eastAsia="宋体" w:hint="default"/>
                <w:sz w:val="18"/>
                <w:szCs w:val="18"/>
              </w:rPr>
              <w:t>北京南天软件有限公司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44" w:right="0"/>
              <w:jc w:val="left"/>
              <w:rPr>
                <w:rFonts w:ascii="Times New Roman" w:hAnsi="Times New Roman" w:cs="Times New Roman" w:eastAsia="Times New Roman" w:hint="default"/>
                <w:sz w:val="18"/>
                <w:szCs w:val="18"/>
              </w:rPr>
            </w:pPr>
            <w:r>
              <w:rPr>
                <w:rFonts w:ascii="Times New Roman"/>
                <w:sz w:val="18"/>
              </w:rPr>
              <w:t>20,000,000.00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bl>
    <w:p>
      <w:pPr>
        <w:spacing w:line="240" w:lineRule="auto" w:before="3"/>
        <w:rPr>
          <w:rFonts w:ascii="宋体" w:hAnsi="宋体" w:cs="宋体" w:eastAsia="宋体" w:hint="default"/>
          <w:sz w:val="19"/>
          <w:szCs w:val="19"/>
        </w:rPr>
      </w:pPr>
    </w:p>
    <w:p>
      <w:pPr>
        <w:pStyle w:val="Heading4"/>
        <w:spacing w:line="240" w:lineRule="auto" w:before="36"/>
        <w:ind w:right="855"/>
        <w:jc w:val="left"/>
        <w:rPr>
          <w:b w:val="0"/>
          <w:bCs w:val="0"/>
        </w:rPr>
      </w:pPr>
      <w:r>
        <w:rPr/>
        <w:t>（</w:t>
      </w:r>
      <w:r>
        <w:rPr>
          <w:rFonts w:ascii="Times New Roman" w:hAnsi="Times New Roman" w:cs="Times New Roman" w:eastAsia="Times New Roman" w:hint="default"/>
        </w:rPr>
        <w:t>4</w:t>
      </w:r>
      <w:r>
        <w:rPr/>
        <w:t>）关键管理人员报酬</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6"/>
        <w:ind w:left="0" w:right="1121"/>
        <w:jc w:val="right"/>
      </w:pPr>
      <w:r>
        <w:rPr/>
        <w:t>单位：</w:t>
      </w:r>
      <w:r>
        <w:rPr>
          <w:spacing w:val="5"/>
        </w:rPr>
        <w:t> </w:t>
      </w:r>
      <w:r>
        <w:rPr/>
        <w:t>元</w:t>
      </w:r>
    </w:p>
    <w:p>
      <w:pPr>
        <w:spacing w:after="0" w:line="240" w:lineRule="auto"/>
        <w:jc w:val="right"/>
        <w:sectPr>
          <w:pgSz w:w="11910" w:h="16840"/>
          <w:pgMar w:header="746" w:footer="974"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3"/>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董事、监事、高管薪酬</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122" w:right="0"/>
              <w:jc w:val="left"/>
              <w:rPr>
                <w:rFonts w:ascii="Times New Roman" w:hAnsi="Times New Roman" w:cs="Times New Roman" w:eastAsia="Times New Roman" w:hint="default"/>
                <w:sz w:val="18"/>
                <w:szCs w:val="18"/>
              </w:rPr>
            </w:pPr>
            <w:r>
              <w:rPr>
                <w:rFonts w:ascii="Times New Roman"/>
                <w:sz w:val="18"/>
              </w:rPr>
              <w:t>10,826,300.00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122" w:right="0"/>
              <w:jc w:val="left"/>
              <w:rPr>
                <w:rFonts w:ascii="Times New Roman" w:hAnsi="Times New Roman" w:cs="Times New Roman" w:eastAsia="Times New Roman" w:hint="default"/>
                <w:sz w:val="18"/>
                <w:szCs w:val="18"/>
              </w:rPr>
            </w:pPr>
            <w:r>
              <w:rPr>
                <w:rFonts w:ascii="Times New Roman"/>
                <w:sz w:val="18"/>
              </w:rPr>
              <w:t>10,037,900.00</w:t>
            </w:r>
          </w:p>
        </w:tc>
      </w:tr>
    </w:tbl>
    <w:p>
      <w:pPr>
        <w:spacing w:line="240" w:lineRule="auto" w:before="3"/>
        <w:rPr>
          <w:rFonts w:ascii="宋体" w:hAnsi="宋体" w:cs="宋体" w:eastAsia="宋体" w:hint="default"/>
          <w:sz w:val="19"/>
          <w:szCs w:val="19"/>
        </w:rPr>
      </w:pPr>
    </w:p>
    <w:p>
      <w:pPr>
        <w:pStyle w:val="Heading4"/>
        <w:spacing w:line="240" w:lineRule="auto" w:before="36"/>
        <w:ind w:right="855"/>
        <w:jc w:val="left"/>
        <w:rPr>
          <w:b w:val="0"/>
          <w:bCs w:val="0"/>
        </w:rPr>
      </w:pPr>
      <w:r>
        <w:rPr>
          <w:rFonts w:ascii="Times New Roman" w:hAnsi="Times New Roman" w:cs="Times New Roman" w:eastAsia="Times New Roman" w:hint="default"/>
        </w:rPr>
        <w:t>6</w:t>
      </w:r>
      <w:r>
        <w:rPr/>
        <w:t>、关联方应收应付款项</w:t>
      </w:r>
      <w:r>
        <w:rPr>
          <w:b w:val="0"/>
          <w:bCs w:val="0"/>
        </w:rPr>
      </w:r>
    </w:p>
    <w:p>
      <w:pPr>
        <w:spacing w:line="240" w:lineRule="auto" w:before="5"/>
        <w:rPr>
          <w:rFonts w:ascii="宋体" w:hAnsi="宋体" w:cs="宋体" w:eastAsia="宋体" w:hint="default"/>
          <w:b/>
          <w:bCs/>
          <w:sz w:val="24"/>
          <w:szCs w:val="24"/>
        </w:rPr>
      </w:pPr>
    </w:p>
    <w:p>
      <w:pPr>
        <w:spacing w:before="0"/>
        <w:ind w:left="153" w:right="85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）应收项目</w:t>
      </w:r>
      <w:r>
        <w:rPr>
          <w:rFonts w:ascii="宋体" w:hAnsi="宋体" w:cs="宋体" w:eastAsia="宋体" w:hint="default"/>
          <w:sz w:val="21"/>
          <w:szCs w:val="21"/>
        </w:rPr>
      </w:r>
    </w:p>
    <w:p>
      <w:pPr>
        <w:spacing w:line="240" w:lineRule="auto" w:before="2"/>
        <w:rPr>
          <w:rFonts w:ascii="宋体" w:hAnsi="宋体" w:cs="宋体" w:eastAsia="宋体" w:hint="default"/>
          <w:b/>
          <w:bCs/>
          <w:sz w:val="23"/>
          <w:szCs w:val="23"/>
        </w:rPr>
      </w:pPr>
    </w:p>
    <w:p>
      <w:pPr>
        <w:pStyle w:val="BodyText"/>
        <w:spacing w:line="240" w:lineRule="auto" w:before="46"/>
        <w:ind w:left="0" w:right="1121"/>
        <w:jc w:val="right"/>
      </w:pPr>
      <w:r>
        <w:rPr/>
        <w:t>单位：</w:t>
      </w:r>
      <w:r>
        <w:rPr>
          <w:spacing w:val="5"/>
        </w:rPr>
        <w:t> </w:t>
      </w:r>
      <w:r>
        <w:rPr/>
        <w:t>元</w:t>
      </w:r>
    </w:p>
    <w:p>
      <w:pPr>
        <w:spacing w:line="240" w:lineRule="auto" w:before="0"/>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2805"/>
        <w:gridCol w:w="1556"/>
        <w:gridCol w:w="994"/>
        <w:gridCol w:w="1277"/>
        <w:gridCol w:w="1345"/>
      </w:tblGrid>
      <w:tr>
        <w:trPr>
          <w:trHeight w:val="403" w:hRule="exact"/>
        </w:trPr>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28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55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6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8" w:hRule="exact"/>
        </w:trPr>
        <w:tc>
          <w:tcPr>
            <w:tcW w:w="1594" w:type="dxa"/>
            <w:vMerge/>
            <w:tcBorders>
              <w:left w:val="single" w:sz="4" w:space="0" w:color="000000"/>
              <w:bottom w:val="single" w:sz="4" w:space="0" w:color="000000"/>
              <w:right w:val="single" w:sz="4" w:space="0" w:color="000000"/>
            </w:tcBorders>
            <w:shd w:val="clear" w:color="auto" w:fill="D2D2D2"/>
          </w:tcPr>
          <w:p>
            <w:pPr/>
          </w:p>
        </w:tc>
        <w:tc>
          <w:tcPr>
            <w:tcW w:w="2805" w:type="dxa"/>
            <w:vMerge/>
            <w:tcBorders>
              <w:left w:val="single" w:sz="4" w:space="0" w:color="000000"/>
              <w:bottom w:val="single" w:sz="4" w:space="0" w:color="000000"/>
              <w:right w:val="single" w:sz="4" w:space="0" w:color="000000"/>
            </w:tcBorders>
            <w:shd w:val="clear" w:color="auto" w:fill="D2D2D2"/>
          </w:tcPr>
          <w:p>
            <w:pPr/>
          </w:p>
        </w:tc>
        <w:tc>
          <w:tcPr>
            <w:tcW w:w="1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1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7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07"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pacing w:val="-3"/>
                <w:sz w:val="18"/>
                <w:szCs w:val="18"/>
              </w:rPr>
              <w:t>云南医药工业股份有限公司</w:t>
            </w:r>
          </w:p>
        </w:tc>
        <w:tc>
          <w:tcPr>
            <w:tcW w:w="155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480,000.00</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366,000.00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厦门南天世纪信息技术有限公司</w:t>
            </w:r>
          </w:p>
        </w:tc>
        <w:tc>
          <w:tcPr>
            <w:tcW w:w="155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240,831.00</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48,166.20</w:t>
            </w:r>
          </w:p>
        </w:tc>
      </w:tr>
      <w:tr>
        <w:trPr>
          <w:trHeight w:val="40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pacing w:val="-3"/>
                <w:sz w:val="18"/>
                <w:szCs w:val="18"/>
              </w:rPr>
              <w:t>上海致同信息技术有限公司</w:t>
            </w:r>
          </w:p>
        </w:tc>
        <w:tc>
          <w:tcPr>
            <w:tcW w:w="155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509,474.00</w:t>
            </w:r>
          </w:p>
        </w:tc>
        <w:tc>
          <w:tcPr>
            <w:tcW w:w="1345"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昆明百王寨农业科技有限公司</w:t>
            </w:r>
          </w:p>
        </w:tc>
        <w:tc>
          <w:tcPr>
            <w:tcW w:w="155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57,588.83</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2,879.44</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pacing w:val="-3"/>
                <w:sz w:val="18"/>
                <w:szCs w:val="18"/>
              </w:rPr>
              <w:t>云南佳程防伪科技有限公司</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53,156.16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18,617.26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53,156.16</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8,366.06</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上海致同信息技术有限公司</w:t>
            </w:r>
          </w:p>
        </w:tc>
        <w:tc>
          <w:tcPr>
            <w:tcW w:w="155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110,000.00</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1,200.00</w:t>
            </w:r>
          </w:p>
        </w:tc>
      </w:tr>
      <w:tr>
        <w:trPr>
          <w:trHeight w:val="40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05" w:type="dxa"/>
            <w:tcBorders>
              <w:top w:val="single" w:sz="4" w:space="0" w:color="000000"/>
              <w:left w:val="single" w:sz="4" w:space="0" w:color="000000"/>
              <w:bottom w:val="single" w:sz="4"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53,156.16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18,617.26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1,451,049.99</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426,611.70</w:t>
            </w:r>
          </w:p>
        </w:tc>
      </w:tr>
    </w:tbl>
    <w:p>
      <w:pPr>
        <w:spacing w:line="240" w:lineRule="auto" w:before="1"/>
        <w:rPr>
          <w:rFonts w:ascii="宋体" w:hAnsi="宋体" w:cs="宋体" w:eastAsia="宋体" w:hint="default"/>
          <w:sz w:val="18"/>
          <w:szCs w:val="18"/>
        </w:rPr>
      </w:pPr>
    </w:p>
    <w:p>
      <w:pPr>
        <w:pStyle w:val="Heading2"/>
        <w:spacing w:line="240" w:lineRule="auto" w:before="26"/>
        <w:ind w:right="855"/>
        <w:jc w:val="left"/>
        <w:rPr>
          <w:b w:val="0"/>
          <w:bCs w:val="0"/>
        </w:rPr>
      </w:pPr>
      <w:r>
        <w:rPr/>
        <w:t>十三、承诺及或有事项</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855"/>
        <w:jc w:val="left"/>
        <w:rPr>
          <w:b w:val="0"/>
          <w:bCs w:val="0"/>
        </w:rPr>
      </w:pPr>
      <w:r>
        <w:rPr>
          <w:rFonts w:ascii="Times New Roman" w:hAnsi="Times New Roman" w:cs="Times New Roman" w:eastAsia="Times New Roman" w:hint="default"/>
        </w:rPr>
        <w:t>1</w:t>
      </w:r>
      <w:r>
        <w:rPr/>
        <w:t>、或有事项</w:t>
      </w:r>
      <w:r>
        <w:rPr>
          <w:b w:val="0"/>
          <w:bCs w:val="0"/>
        </w:rPr>
      </w:r>
    </w:p>
    <w:p>
      <w:pPr>
        <w:spacing w:line="240" w:lineRule="auto" w:before="10"/>
        <w:rPr>
          <w:rFonts w:ascii="宋体" w:hAnsi="宋体" w:cs="宋体" w:eastAsia="宋体" w:hint="default"/>
          <w:b/>
          <w:bCs/>
          <w:sz w:val="24"/>
          <w:szCs w:val="24"/>
        </w:rPr>
      </w:pPr>
    </w:p>
    <w:p>
      <w:pPr>
        <w:spacing w:before="0"/>
        <w:ind w:left="153" w:right="85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）资产负债表日存在的重要或有事项</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pStyle w:val="BodyText"/>
        <w:spacing w:line="415" w:lineRule="auto"/>
        <w:ind w:left="513" w:right="4481"/>
        <w:jc w:val="left"/>
      </w:pPr>
      <w:r>
        <w:rPr>
          <w:rFonts w:ascii="Times New Roman" w:hAnsi="Times New Roman" w:cs="Times New Roman" w:eastAsia="Times New Roman" w:hint="default"/>
        </w:rPr>
        <w:t>1.</w:t>
      </w:r>
      <w:r>
        <w:rPr/>
        <w:t>保函事项</w:t>
      </w:r>
      <w:r>
        <w:rPr>
          <w:spacing w:val="-87"/>
        </w:rPr>
        <w:t> </w:t>
      </w:r>
      <w:r>
        <w:rPr>
          <w:spacing w:val="-87"/>
        </w:rPr>
      </w:r>
      <w:r>
        <w:rPr>
          <w:spacing w:val="-2"/>
        </w:rPr>
        <w:t>截至</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日，本公司开具的保函金额为</w:t>
      </w:r>
      <w:r>
        <w:rPr>
          <w:rFonts w:ascii="Times New Roman" w:hAnsi="Times New Roman" w:cs="Times New Roman" w:eastAsia="Times New Roman" w:hint="default"/>
          <w:spacing w:val="-2"/>
        </w:rPr>
        <w:t>43,063,469.08</w:t>
      </w:r>
      <w:r>
        <w:rPr>
          <w:spacing w:val="-2"/>
        </w:rPr>
        <w:t>元。</w:t>
      </w:r>
      <w:r>
        <w:rPr>
          <w:spacing w:val="-10"/>
        </w:rPr>
        <w:t> </w:t>
      </w:r>
      <w:r>
        <w:rPr>
          <w:rFonts w:ascii="Times New Roman" w:hAnsi="Times New Roman" w:cs="Times New Roman" w:eastAsia="Times New Roman" w:hint="default"/>
          <w:spacing w:val="-3"/>
        </w:rPr>
        <w:t>2.</w:t>
      </w:r>
      <w:r>
        <w:rPr>
          <w:spacing w:val="-3"/>
        </w:rPr>
        <w:t>向法院起诉请求解散联营企业云南佳程防伪科技有限公司</w:t>
      </w:r>
    </w:p>
    <w:p>
      <w:pPr>
        <w:pStyle w:val="BodyText"/>
        <w:spacing w:line="304" w:lineRule="auto" w:before="37"/>
        <w:ind w:right="1035" w:firstLine="360"/>
        <w:jc w:val="left"/>
      </w:pPr>
      <w:r>
        <w:rPr>
          <w:spacing w:val="-3"/>
        </w:rPr>
        <w:t>南天信息</w:t>
      </w:r>
      <w:r>
        <w:rPr>
          <w:rFonts w:ascii="Times New Roman" w:hAnsi="Times New Roman" w:cs="Times New Roman" w:eastAsia="Times New Roman" w:hint="default"/>
          <w:spacing w:val="-3"/>
        </w:rPr>
        <w:t>2003</w:t>
      </w:r>
      <w:r>
        <w:rPr>
          <w:spacing w:val="-3"/>
        </w:rPr>
        <w:t>年参股设立了云南佳程防伪科技有限公司（以下简称</w:t>
      </w:r>
      <w:r>
        <w:rPr>
          <w:rFonts w:ascii="Times New Roman" w:hAnsi="Times New Roman" w:cs="Times New Roman" w:eastAsia="Times New Roman" w:hint="default"/>
          <w:spacing w:val="-3"/>
        </w:rPr>
        <w:t>“</w:t>
      </w:r>
      <w:r>
        <w:rPr>
          <w:spacing w:val="-3"/>
        </w:rPr>
        <w:t>云南佳程</w:t>
      </w:r>
      <w:r>
        <w:rPr>
          <w:rFonts w:ascii="Times New Roman" w:hAnsi="Times New Roman" w:cs="Times New Roman" w:eastAsia="Times New Roman" w:hint="default"/>
          <w:spacing w:val="-3"/>
        </w:rPr>
        <w:t>”</w:t>
      </w:r>
      <w:r>
        <w:rPr>
          <w:spacing w:val="-3"/>
        </w:rPr>
        <w:t>），主营税控机，注册资本为</w:t>
      </w:r>
      <w:r>
        <w:rPr>
          <w:rFonts w:ascii="Times New Roman" w:hAnsi="Times New Roman" w:cs="Times New Roman" w:eastAsia="Times New Roman" w:hint="default"/>
          <w:spacing w:val="-3"/>
        </w:rPr>
        <w:t>5,100</w:t>
      </w:r>
      <w:r>
        <w:rPr>
          <w:spacing w:val="-3"/>
        </w:rPr>
        <w:t>万元，</w:t>
      </w:r>
      <w:r>
        <w:rPr>
          <w:w w:val="101"/>
        </w:rPr>
        <w:t> </w:t>
      </w:r>
      <w:r>
        <w:rPr>
          <w:spacing w:val="-3"/>
        </w:rPr>
        <w:t>公司持有其</w:t>
      </w:r>
      <w:r>
        <w:rPr>
          <w:rFonts w:ascii="Times New Roman" w:hAnsi="Times New Roman" w:cs="Times New Roman" w:eastAsia="Times New Roman" w:hint="default"/>
          <w:spacing w:val="-3"/>
        </w:rPr>
        <w:t>20%</w:t>
      </w:r>
      <w:r>
        <w:rPr>
          <w:spacing w:val="-3"/>
        </w:rPr>
        <w:t>的股权。截止</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日，投资的账面价值为</w:t>
      </w:r>
      <w:r>
        <w:rPr>
          <w:rFonts w:ascii="Times New Roman" w:hAnsi="Times New Roman" w:cs="Times New Roman" w:eastAsia="Times New Roman" w:hint="default"/>
          <w:spacing w:val="-3"/>
        </w:rPr>
        <w:t>1,266.25</w:t>
      </w:r>
      <w:r>
        <w:rPr>
          <w:spacing w:val="-3"/>
        </w:rPr>
        <w:t>万元，其中投资成本为</w:t>
      </w:r>
      <w:r>
        <w:rPr>
          <w:rFonts w:ascii="Times New Roman" w:hAnsi="Times New Roman" w:cs="Times New Roman" w:eastAsia="Times New Roman" w:hint="default"/>
          <w:spacing w:val="-3"/>
        </w:rPr>
        <w:t>1,020</w:t>
      </w:r>
      <w:r>
        <w:rPr>
          <w:spacing w:val="-3"/>
        </w:rPr>
        <w:t>万元。因营改增导致</w:t>
      </w:r>
      <w:r>
        <w:rPr>
          <w:spacing w:val="6"/>
        </w:rPr>
        <w:t> </w:t>
      </w:r>
      <w:r>
        <w:rPr>
          <w:spacing w:val="6"/>
        </w:rPr>
      </w:r>
      <w:r>
        <w:rPr>
          <w:spacing w:val="-4"/>
        </w:rPr>
        <w:t>云南佳程业务停滞，且与其大股东长沙高新开发区佳程科技有限公司对其是否持续经营，无法达成一致意见，为保护公司和</w:t>
      </w:r>
      <w:r>
        <w:rPr>
          <w:spacing w:val="44"/>
        </w:rPr>
        <w:t> </w:t>
      </w:r>
      <w:r>
        <w:rPr>
          <w:spacing w:val="44"/>
        </w:rPr>
      </w:r>
      <w:r>
        <w:rPr>
          <w:spacing w:val="-4"/>
        </w:rPr>
        <w:t>股东利益，南天信息向昆明市中级人民法院起诉参股公司云南佳程，请求解散该公司。该案已由市中院于</w:t>
      </w: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1</w:t>
      </w:r>
      <w:r>
        <w:rPr>
          <w:spacing w:val="-4"/>
        </w:rPr>
        <w:t>月</w:t>
      </w:r>
      <w:r>
        <w:rPr>
          <w:rFonts w:ascii="Times New Roman" w:hAnsi="Times New Roman" w:cs="Times New Roman" w:eastAsia="Times New Roman" w:hint="default"/>
          <w:spacing w:val="-4"/>
        </w:rPr>
        <w:t>8</w:t>
      </w:r>
      <w:r>
        <w:rPr>
          <w:spacing w:val="-4"/>
        </w:rPr>
        <w:t>日受理</w:t>
      </w:r>
      <w:r>
        <w:rPr>
          <w:spacing w:val="57"/>
        </w:rPr>
        <w:t> </w:t>
      </w:r>
      <w:r>
        <w:rPr>
          <w:spacing w:val="57"/>
        </w:rPr>
      </w:r>
      <w:r>
        <w:rPr>
          <w:spacing w:val="-3"/>
        </w:rPr>
        <w:t>立案。具体详见公司</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2</w:t>
      </w:r>
      <w:r>
        <w:rPr>
          <w:spacing w:val="-3"/>
        </w:rPr>
        <w:t>月</w:t>
      </w:r>
      <w:r>
        <w:rPr>
          <w:rFonts w:ascii="Times New Roman" w:hAnsi="Times New Roman" w:cs="Times New Roman" w:eastAsia="Times New Roman" w:hint="default"/>
          <w:spacing w:val="-3"/>
        </w:rPr>
        <w:t>13</w:t>
      </w:r>
      <w:r>
        <w:rPr>
          <w:spacing w:val="-3"/>
        </w:rPr>
        <w:t>日公告的编号为</w:t>
      </w:r>
      <w:r>
        <w:rPr>
          <w:rFonts w:ascii="Times New Roman" w:hAnsi="Times New Roman" w:cs="Times New Roman" w:eastAsia="Times New Roman" w:hint="default"/>
          <w:spacing w:val="-3"/>
        </w:rPr>
        <w:t>2018-008</w:t>
      </w:r>
      <w:r>
        <w:rPr>
          <w:spacing w:val="-3"/>
        </w:rPr>
        <w:t>号的《关于涉及诉讼的公告》。</w:t>
      </w:r>
    </w:p>
    <w:p>
      <w:pPr>
        <w:pStyle w:val="BodyText"/>
        <w:spacing w:line="300" w:lineRule="auto" w:before="129"/>
        <w:ind w:right="855" w:firstLine="360"/>
        <w:jc w:val="left"/>
      </w:pP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11</w:t>
      </w:r>
      <w:r>
        <w:rPr>
          <w:spacing w:val="-3"/>
        </w:rPr>
        <w:t>月</w:t>
      </w:r>
      <w:r>
        <w:rPr>
          <w:rFonts w:ascii="Times New Roman" w:hAnsi="Times New Roman" w:cs="Times New Roman" w:eastAsia="Times New Roman" w:hint="default"/>
          <w:spacing w:val="-3"/>
        </w:rPr>
        <w:t>29</w:t>
      </w:r>
      <w:r>
        <w:rPr>
          <w:spacing w:val="-3"/>
        </w:rPr>
        <w:t>日，昆明市中级人民法院已下判编号为（</w:t>
      </w:r>
      <w:r>
        <w:rPr>
          <w:rFonts w:ascii="Times New Roman" w:hAnsi="Times New Roman" w:cs="Times New Roman" w:eastAsia="Times New Roman" w:hint="default"/>
          <w:spacing w:val="-3"/>
        </w:rPr>
        <w:t>2018</w:t>
      </w:r>
      <w:r>
        <w:rPr>
          <w:spacing w:val="-3"/>
        </w:rPr>
        <w:t>）云 </w:t>
      </w:r>
      <w:r>
        <w:rPr>
          <w:rFonts w:ascii="Times New Roman" w:hAnsi="Times New Roman" w:cs="Times New Roman" w:eastAsia="Times New Roman" w:hint="default"/>
        </w:rPr>
        <w:t>01 </w:t>
      </w:r>
      <w:r>
        <w:rPr>
          <w:spacing w:val="-3"/>
        </w:rPr>
        <w:t>民初 </w:t>
      </w:r>
      <w:r>
        <w:rPr>
          <w:rFonts w:ascii="Times New Roman" w:hAnsi="Times New Roman" w:cs="Times New Roman" w:eastAsia="Times New Roman" w:hint="default"/>
        </w:rPr>
        <w:t>19 27</w:t>
      </w:r>
      <w:r>
        <w:rPr>
          <w:rFonts w:ascii="Times New Roman" w:hAnsi="Times New Roman" w:cs="Times New Roman" w:eastAsia="Times New Roman" w:hint="default"/>
          <w:spacing w:val="41"/>
        </w:rPr>
        <w:t> </w:t>
      </w:r>
      <w:r>
        <w:rPr>
          <w:spacing w:val="-4"/>
        </w:rPr>
        <w:t>号的《民事判决书》，判决结果为解散</w:t>
      </w:r>
      <w:r>
        <w:rPr>
          <w:w w:val="101"/>
        </w:rPr>
        <w:t> </w:t>
      </w:r>
      <w:r>
        <w:rPr/>
        <w:t>云南佳程。</w:t>
      </w:r>
    </w:p>
    <w:p>
      <w:pPr>
        <w:pStyle w:val="BodyText"/>
        <w:spacing w:line="309" w:lineRule="auto" w:before="151"/>
        <w:ind w:right="1123" w:firstLine="360"/>
        <w:jc w:val="both"/>
      </w:pPr>
      <w:r>
        <w:rPr>
          <w:spacing w:val="-4"/>
        </w:rPr>
        <w:t>云南佳程的清算尚未启动，启动清算后，本公司能否足额收回投资存在不确定性，本公司对佳程防伪的投资账面价值为</w:t>
      </w:r>
      <w:r>
        <w:rPr>
          <w:w w:val="101"/>
        </w:rPr>
        <w:t> </w:t>
      </w:r>
      <w:r>
        <w:rPr>
          <w:rFonts w:ascii="Times New Roman" w:hAnsi="Times New Roman" w:cs="Times New Roman" w:eastAsia="Times New Roman" w:hint="default"/>
          <w:spacing w:val="-3"/>
        </w:rPr>
        <w:t>1,266.25</w:t>
      </w:r>
      <w:r>
        <w:rPr>
          <w:spacing w:val="-3"/>
        </w:rPr>
        <w:t>万元</w:t>
      </w:r>
      <w:r>
        <w:rPr>
          <w:rFonts w:ascii="Times New Roman" w:hAnsi="Times New Roman" w:cs="Times New Roman" w:eastAsia="Times New Roman" w:hint="default"/>
          <w:spacing w:val="-3"/>
        </w:rPr>
        <w:t>,</w:t>
      </w:r>
      <w:r>
        <w:rPr>
          <w:spacing w:val="-3"/>
        </w:rPr>
        <w:t>佳程防伪的主要资产是对其大股东及大股东关联方的债权，鉴于清算中会形成一定损失，本公司按照债权价值</w:t>
      </w:r>
      <w:r>
        <w:rPr>
          <w:spacing w:val="47"/>
        </w:rPr>
        <w:t> </w:t>
      </w:r>
      <w:r>
        <w:rPr>
          <w:spacing w:val="47"/>
        </w:rPr>
      </w:r>
      <w:r>
        <w:rPr/>
        <w:t>的估计，计提了</w:t>
      </w:r>
      <w:r>
        <w:rPr>
          <w:rFonts w:ascii="Times New Roman" w:hAnsi="Times New Roman" w:cs="Times New Roman" w:eastAsia="Times New Roman" w:hint="default"/>
        </w:rPr>
        <w:t>379.88</w:t>
      </w:r>
      <w:r>
        <w:rPr/>
        <w:t>万元的减值准备。</w:t>
      </w:r>
    </w:p>
    <w:p>
      <w:pPr>
        <w:pStyle w:val="BodyText"/>
        <w:spacing w:line="439" w:lineRule="auto" w:before="125"/>
        <w:ind w:left="513" w:right="855"/>
        <w:jc w:val="left"/>
      </w:pPr>
      <w:r>
        <w:rPr>
          <w:spacing w:val="-3"/>
        </w:rPr>
        <w:t>③向法院起诉康联医药集团有限责任公司</w:t>
      </w:r>
      <w:r>
        <w:rPr>
          <w:spacing w:val="-33"/>
        </w:rPr>
        <w:t> </w:t>
      </w:r>
      <w:r>
        <w:rPr>
          <w:spacing w:val="-33"/>
        </w:rPr>
      </w:r>
      <w:r>
        <w:rPr>
          <w:spacing w:val="-3"/>
        </w:rPr>
        <w:t>南天信息子公司北京南天信息工程有限公司（以下简称</w:t>
      </w:r>
      <w:r>
        <w:rPr>
          <w:rFonts w:ascii="Times New Roman" w:hAnsi="Times New Roman" w:cs="Times New Roman" w:eastAsia="Times New Roman" w:hint="default"/>
          <w:spacing w:val="-3"/>
        </w:rPr>
        <w:t>“</w:t>
      </w:r>
      <w:r>
        <w:rPr>
          <w:spacing w:val="-3"/>
        </w:rPr>
        <w:t>北信工</w:t>
      </w:r>
      <w:r>
        <w:rPr>
          <w:rFonts w:ascii="Times New Roman" w:hAnsi="Times New Roman" w:cs="Times New Roman" w:eastAsia="Times New Roman" w:hint="default"/>
          <w:spacing w:val="-3"/>
        </w:rPr>
        <w:t>”</w:t>
      </w:r>
      <w:r>
        <w:rPr>
          <w:spacing w:val="-3"/>
        </w:rPr>
        <w:t>），</w:t>
      </w:r>
      <w:r>
        <w:rPr>
          <w:rFonts w:ascii="Times New Roman" w:hAnsi="Times New Roman" w:cs="Times New Roman" w:eastAsia="Times New Roman" w:hint="default"/>
          <w:spacing w:val="-3"/>
        </w:rPr>
        <w:t>2013</w:t>
      </w:r>
      <w:r>
        <w:rPr>
          <w:spacing w:val="-3"/>
        </w:rPr>
        <w:t>年</w:t>
      </w:r>
      <w:r>
        <w:rPr>
          <w:rFonts w:ascii="Times New Roman" w:hAnsi="Times New Roman" w:cs="Times New Roman" w:eastAsia="Times New Roman" w:hint="default"/>
          <w:spacing w:val="-3"/>
        </w:rPr>
        <w:t>6</w:t>
      </w:r>
      <w:r>
        <w:rPr>
          <w:spacing w:val="-3"/>
        </w:rPr>
        <w:t>月</w:t>
      </w:r>
      <w:r>
        <w:rPr>
          <w:rFonts w:ascii="Times New Roman" w:hAnsi="Times New Roman" w:cs="Times New Roman" w:eastAsia="Times New Roman" w:hint="default"/>
          <w:spacing w:val="-3"/>
        </w:rPr>
        <w:t>16</w:t>
      </w:r>
      <w:r>
        <w:rPr>
          <w:spacing w:val="-3"/>
        </w:rPr>
        <w:t>日与康联医药集团有限责任公司（以</w:t>
      </w:r>
    </w:p>
    <w:p>
      <w:pPr>
        <w:spacing w:after="0" w:line="439" w:lineRule="auto"/>
        <w:jc w:val="left"/>
        <w:sectPr>
          <w:footerReference w:type="default" r:id="rId22"/>
          <w:pgSz w:w="11910" w:h="16840"/>
          <w:pgMar w:footer="974" w:header="746" w:top="1060" w:bottom="1160" w:left="980" w:right="0"/>
          <w:pgNumType w:start="169"/>
        </w:sectPr>
      </w:pPr>
    </w:p>
    <w:p>
      <w:pPr>
        <w:spacing w:line="240" w:lineRule="auto" w:before="9"/>
        <w:rPr>
          <w:rFonts w:ascii="宋体" w:hAnsi="宋体" w:cs="宋体" w:eastAsia="宋体" w:hint="default"/>
          <w:sz w:val="25"/>
          <w:szCs w:val="25"/>
        </w:rPr>
      </w:pPr>
    </w:p>
    <w:p>
      <w:pPr>
        <w:pStyle w:val="BodyText"/>
        <w:spacing w:line="304" w:lineRule="auto" w:before="46"/>
        <w:ind w:right="855"/>
        <w:jc w:val="left"/>
      </w:pPr>
      <w:r>
        <w:rPr>
          <w:spacing w:val="-3"/>
        </w:rPr>
        <w:t>下简称</w:t>
      </w:r>
      <w:r>
        <w:rPr>
          <w:rFonts w:ascii="Times New Roman" w:hAnsi="Times New Roman" w:cs="Times New Roman" w:eastAsia="Times New Roman" w:hint="default"/>
          <w:spacing w:val="-3"/>
        </w:rPr>
        <w:t>“</w:t>
      </w:r>
      <w:r>
        <w:rPr>
          <w:spacing w:val="-3"/>
        </w:rPr>
        <w:t>康联医药</w:t>
      </w:r>
      <w:r>
        <w:rPr>
          <w:rFonts w:ascii="Times New Roman" w:hAnsi="Times New Roman" w:cs="Times New Roman" w:eastAsia="Times New Roman" w:hint="default"/>
          <w:spacing w:val="-3"/>
        </w:rPr>
        <w:t>”</w:t>
      </w:r>
      <w:r>
        <w:rPr>
          <w:spacing w:val="-3"/>
        </w:rPr>
        <w:t>）签署了编号为</w:t>
      </w:r>
      <w:r>
        <w:rPr>
          <w:rFonts w:ascii="Times New Roman" w:hAnsi="Times New Roman" w:cs="Times New Roman" w:eastAsia="Times New Roman" w:hint="default"/>
          <w:spacing w:val="-3"/>
        </w:rPr>
        <w:t>A201310248</w:t>
      </w:r>
      <w:r>
        <w:rPr>
          <w:spacing w:val="-3"/>
        </w:rPr>
        <w:t>的《购销合同》，北信工按照合同规定，已完成全部供货并验收合格，经北</w:t>
      </w:r>
      <w:r>
        <w:rPr>
          <w:spacing w:val="81"/>
        </w:rPr>
        <w:t> </w:t>
      </w:r>
      <w:r>
        <w:rPr>
          <w:spacing w:val="81"/>
        </w:rPr>
      </w:r>
      <w:r>
        <w:rPr>
          <w:spacing w:val="-4"/>
        </w:rPr>
        <w:t>信工多次催收，康联医药仍未按合同规定支付剩余款项，北信工向北京市西城区人民法院起诉康联医药，请求其支付剩余货</w:t>
      </w:r>
      <w:r>
        <w:rPr>
          <w:spacing w:val="45"/>
        </w:rPr>
        <w:t> </w:t>
      </w:r>
      <w:r>
        <w:rPr>
          <w:spacing w:val="45"/>
        </w:rPr>
      </w:r>
      <w:r>
        <w:rPr>
          <w:spacing w:val="-3"/>
        </w:rPr>
        <w:t>款以及违约金共计</w:t>
      </w:r>
      <w:r>
        <w:rPr>
          <w:rFonts w:ascii="Times New Roman" w:hAnsi="Times New Roman" w:cs="Times New Roman" w:eastAsia="Times New Roman" w:hint="default"/>
          <w:spacing w:val="-3"/>
        </w:rPr>
        <w:t>11,052,416.60</w:t>
      </w:r>
      <w:r>
        <w:rPr>
          <w:spacing w:val="-3"/>
        </w:rPr>
        <w:t>元；北京市西城区人民法院于</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3</w:t>
      </w:r>
      <w:r>
        <w:rPr>
          <w:spacing w:val="-3"/>
        </w:rPr>
        <w:t>月</w:t>
      </w:r>
      <w:r>
        <w:rPr>
          <w:rFonts w:ascii="Times New Roman" w:hAnsi="Times New Roman" w:cs="Times New Roman" w:eastAsia="Times New Roman" w:hint="default"/>
          <w:spacing w:val="-3"/>
        </w:rPr>
        <w:t>31</w:t>
      </w:r>
      <w:r>
        <w:rPr>
          <w:spacing w:val="-3"/>
        </w:rPr>
        <w:t>日作出一审判决，由康联医药向北信工支付货款</w:t>
      </w:r>
      <w:r>
        <w:rPr>
          <w:spacing w:val="14"/>
        </w:rPr>
        <w:t> </w:t>
      </w:r>
      <w:r>
        <w:rPr>
          <w:spacing w:val="14"/>
        </w:rPr>
      </w:r>
      <w:r>
        <w:rPr>
          <w:spacing w:val="-4"/>
        </w:rPr>
        <w:t>及违约金（详见（</w:t>
      </w:r>
      <w:r>
        <w:rPr>
          <w:rFonts w:ascii="Times New Roman" w:hAnsi="Times New Roman" w:cs="Times New Roman" w:eastAsia="Times New Roman" w:hint="default"/>
          <w:spacing w:val="-4"/>
        </w:rPr>
        <w:t>2016</w:t>
      </w:r>
      <w:r>
        <w:rPr>
          <w:spacing w:val="-4"/>
        </w:rPr>
        <w:t>） </w:t>
      </w:r>
      <w:r>
        <w:rPr>
          <w:spacing w:val="-3"/>
        </w:rPr>
        <w:t>京</w:t>
      </w:r>
      <w:r>
        <w:rPr>
          <w:rFonts w:ascii="Times New Roman" w:hAnsi="Times New Roman" w:cs="Times New Roman" w:eastAsia="Times New Roman" w:hint="default"/>
          <w:spacing w:val="-3"/>
        </w:rPr>
        <w:t>0102</w:t>
      </w:r>
      <w:r>
        <w:rPr>
          <w:spacing w:val="-3"/>
        </w:rPr>
        <w:t>民初</w:t>
      </w:r>
      <w:r>
        <w:rPr>
          <w:rFonts w:ascii="Times New Roman" w:hAnsi="Times New Roman" w:cs="Times New Roman" w:eastAsia="Times New Roman" w:hint="default"/>
          <w:spacing w:val="-3"/>
        </w:rPr>
        <w:t>18506</w:t>
      </w:r>
      <w:r>
        <w:rPr>
          <w:spacing w:val="-3"/>
        </w:rPr>
        <w:t>号公告》以及公司</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4</w:t>
      </w:r>
      <w:r>
        <w:rPr>
          <w:spacing w:val="-3"/>
        </w:rPr>
        <w:t>月</w:t>
      </w:r>
      <w:r>
        <w:rPr>
          <w:rFonts w:ascii="Times New Roman" w:hAnsi="Times New Roman" w:cs="Times New Roman" w:eastAsia="Times New Roman" w:hint="default"/>
          <w:spacing w:val="-3"/>
        </w:rPr>
        <w:t>5</w:t>
      </w:r>
      <w:r>
        <w:rPr>
          <w:spacing w:val="-3"/>
        </w:rPr>
        <w:t>日公告的编号为</w:t>
      </w:r>
      <w:r>
        <w:rPr>
          <w:rFonts w:ascii="Times New Roman" w:hAnsi="Times New Roman" w:cs="Times New Roman" w:eastAsia="Times New Roman" w:hint="default"/>
          <w:spacing w:val="-3"/>
        </w:rPr>
        <w:t>2017-020</w:t>
      </w:r>
      <w:r>
        <w:rPr>
          <w:spacing w:val="-3"/>
        </w:rPr>
        <w:t>号的《关于诉讼事项进展</w:t>
      </w:r>
      <w:r>
        <w:rPr>
          <w:spacing w:val="-14"/>
        </w:rPr>
        <w:t> </w:t>
      </w:r>
      <w:r>
        <w:rPr>
          <w:spacing w:val="-14"/>
        </w:rPr>
      </w:r>
      <w:r>
        <w:rPr>
          <w:spacing w:val="-5"/>
        </w:rPr>
        <w:t>情况的公告》）。</w:t>
      </w:r>
      <w:r>
        <w:rPr>
          <w:rFonts w:ascii="Times New Roman" w:hAnsi="Times New Roman" w:cs="Times New Roman" w:eastAsia="Times New Roman" w:hint="default"/>
          <w:spacing w:val="-5"/>
        </w:rPr>
        <w:t>2017</w:t>
      </w:r>
      <w:r>
        <w:rPr>
          <w:spacing w:val="-5"/>
        </w:rPr>
        <w:t>年</w:t>
      </w:r>
      <w:r>
        <w:rPr>
          <w:rFonts w:ascii="Times New Roman" w:hAnsi="Times New Roman" w:cs="Times New Roman" w:eastAsia="Times New Roman" w:hint="default"/>
          <w:spacing w:val="-5"/>
        </w:rPr>
        <w:t>6</w:t>
      </w:r>
      <w:r>
        <w:rPr>
          <w:spacing w:val="-5"/>
        </w:rPr>
        <w:t>月，北信工申请强制执行，申请标的：包括货款本金及违约金、案件受理费等共计</w:t>
      </w:r>
      <w:r>
        <w:rPr>
          <w:rFonts w:ascii="Times New Roman" w:hAnsi="Times New Roman" w:cs="Times New Roman" w:eastAsia="Times New Roman" w:hint="default"/>
          <w:spacing w:val="-5"/>
        </w:rPr>
        <w:t>7,567,000.00</w:t>
      </w:r>
      <w:r>
        <w:rPr>
          <w:spacing w:val="-5"/>
        </w:rPr>
        <w:t>元，</w:t>
      </w:r>
      <w:r>
        <w:rPr>
          <w:spacing w:val="4"/>
        </w:rPr>
        <w:t> </w:t>
      </w:r>
      <w:r>
        <w:rPr>
          <w:spacing w:val="-3"/>
        </w:rPr>
        <w:t>截止审计报告日，北信工应收康联医药货款共计</w:t>
      </w:r>
      <w:r>
        <w:rPr>
          <w:rFonts w:ascii="Times New Roman" w:hAnsi="Times New Roman" w:cs="Times New Roman" w:eastAsia="Times New Roman" w:hint="default"/>
          <w:spacing w:val="-3"/>
        </w:rPr>
        <w:t>7,567,000.00</w:t>
      </w:r>
      <w:r>
        <w:rPr>
          <w:spacing w:val="-3"/>
        </w:rPr>
        <w:t>元，由于康联公司在法院执行案件较多，对外负债数额较大，</w:t>
      </w:r>
      <w:r>
        <w:rPr>
          <w:spacing w:val="1"/>
        </w:rPr>
        <w:t> </w:t>
      </w:r>
      <w:r>
        <w:rPr>
          <w:spacing w:val="1"/>
        </w:rPr>
      </w:r>
      <w:r>
        <w:rPr>
          <w:spacing w:val="-4"/>
        </w:rPr>
        <w:t>目前该案尚未有执行回款，尚无法预测最终执行结果，对公司利润的影响尚不能预计，按照南天信息会计政策对该笔款项计</w:t>
      </w:r>
      <w:r>
        <w:rPr>
          <w:spacing w:val="43"/>
        </w:rPr>
        <w:t> </w:t>
      </w:r>
      <w:r>
        <w:rPr>
          <w:spacing w:val="43"/>
        </w:rPr>
      </w:r>
      <w:r>
        <w:rPr/>
        <w:t>提坏账</w:t>
      </w:r>
      <w:r>
        <w:rPr>
          <w:rFonts w:ascii="Times New Roman" w:hAnsi="Times New Roman" w:cs="Times New Roman" w:eastAsia="Times New Roman" w:hint="default"/>
        </w:rPr>
        <w:t>2,270,100.00</w:t>
      </w:r>
      <w:r>
        <w:rPr/>
        <w:t>元。</w:t>
      </w:r>
    </w:p>
    <w:p>
      <w:pPr>
        <w:pStyle w:val="BodyText"/>
        <w:spacing w:line="240" w:lineRule="auto" w:before="129"/>
        <w:ind w:left="513" w:right="855"/>
        <w:jc w:val="left"/>
      </w:pPr>
      <w:r>
        <w:rPr>
          <w:spacing w:val="-3"/>
        </w:rPr>
        <w:t>④沈阳远大铝业工程有限公司起诉子公司北京南天信息工程有限公司</w:t>
      </w:r>
    </w:p>
    <w:p>
      <w:pPr>
        <w:spacing w:line="240" w:lineRule="auto" w:before="0"/>
        <w:rPr>
          <w:rFonts w:ascii="宋体" w:hAnsi="宋体" w:cs="宋体" w:eastAsia="宋体" w:hint="default"/>
          <w:sz w:val="15"/>
          <w:szCs w:val="15"/>
        </w:rPr>
      </w:pPr>
    </w:p>
    <w:p>
      <w:pPr>
        <w:pStyle w:val="BodyText"/>
        <w:spacing w:line="302" w:lineRule="auto"/>
        <w:ind w:right="855" w:firstLine="360"/>
        <w:jc w:val="left"/>
      </w:pPr>
      <w:r>
        <w:rPr>
          <w:rFonts w:ascii="Times New Roman" w:hAnsi="Times New Roman" w:cs="Times New Roman" w:eastAsia="Times New Roman" w:hint="default"/>
          <w:spacing w:val="-3"/>
        </w:rPr>
        <w:t>1998</w:t>
      </w:r>
      <w:r>
        <w:rPr>
          <w:spacing w:val="-3"/>
        </w:rPr>
        <w:t>年，沈阳远大铝业工程有限公司（以下简称</w:t>
      </w:r>
      <w:r>
        <w:rPr>
          <w:rFonts w:ascii="Times New Roman" w:hAnsi="Times New Roman" w:cs="Times New Roman" w:eastAsia="Times New Roman" w:hint="default"/>
          <w:spacing w:val="-3"/>
        </w:rPr>
        <w:t>“</w:t>
      </w:r>
      <w:r>
        <w:rPr>
          <w:spacing w:val="-3"/>
        </w:rPr>
        <w:t>远大铝业公司</w:t>
      </w:r>
      <w:r>
        <w:rPr>
          <w:rFonts w:ascii="Times New Roman" w:hAnsi="Times New Roman" w:cs="Times New Roman" w:eastAsia="Times New Roman" w:hint="default"/>
          <w:spacing w:val="-3"/>
        </w:rPr>
        <w:t>”</w:t>
      </w:r>
      <w:r>
        <w:rPr>
          <w:spacing w:val="-3"/>
        </w:rPr>
        <w:t>）与北京市海淀区南天电脑系统公司（以下简称</w:t>
      </w:r>
      <w:r>
        <w:rPr>
          <w:rFonts w:ascii="Times New Roman" w:hAnsi="Times New Roman" w:cs="Times New Roman" w:eastAsia="Times New Roman" w:hint="default"/>
          <w:spacing w:val="-3"/>
        </w:rPr>
        <w:t>“</w:t>
      </w:r>
      <w:r>
        <w:rPr>
          <w:spacing w:val="-3"/>
        </w:rPr>
        <w:t>系统</w:t>
      </w:r>
      <w:r>
        <w:rPr>
          <w:spacing w:val="-5"/>
          <w:w w:val="101"/>
        </w:rPr>
        <w:t> </w:t>
      </w:r>
      <w:r>
        <w:rPr>
          <w:spacing w:val="-4"/>
        </w:rPr>
        <w:t>公司</w:t>
      </w:r>
      <w:r>
        <w:rPr>
          <w:rFonts w:ascii="Times New Roman" w:hAnsi="Times New Roman" w:cs="Times New Roman" w:eastAsia="Times New Roman" w:hint="default"/>
          <w:spacing w:val="-4"/>
        </w:rPr>
        <w:t>”</w:t>
      </w:r>
      <w:r>
        <w:rPr>
          <w:spacing w:val="-4"/>
        </w:rPr>
        <w:t>，该公司于</w:t>
      </w:r>
      <w:r>
        <w:rPr>
          <w:rFonts w:ascii="Times New Roman" w:hAnsi="Times New Roman" w:cs="Times New Roman" w:eastAsia="Times New Roman" w:hint="default"/>
          <w:spacing w:val="-4"/>
        </w:rPr>
        <w:t>1999</w:t>
      </w:r>
      <w:r>
        <w:rPr>
          <w:spacing w:val="-4"/>
        </w:rPr>
        <w:t>年</w:t>
      </w:r>
      <w:r>
        <w:rPr>
          <w:rFonts w:ascii="Times New Roman" w:hAnsi="Times New Roman" w:cs="Times New Roman" w:eastAsia="Times New Roman" w:hint="default"/>
          <w:spacing w:val="-4"/>
        </w:rPr>
        <w:t>6</w:t>
      </w:r>
      <w:r>
        <w:rPr>
          <w:spacing w:val="-4"/>
        </w:rPr>
        <w:t>月</w:t>
      </w:r>
      <w:r>
        <w:rPr>
          <w:rFonts w:ascii="Times New Roman" w:hAnsi="Times New Roman" w:cs="Times New Roman" w:eastAsia="Times New Roman" w:hint="default"/>
          <w:spacing w:val="-4"/>
        </w:rPr>
        <w:t>28</w:t>
      </w:r>
      <w:r>
        <w:rPr>
          <w:spacing w:val="-4"/>
        </w:rPr>
        <w:t>日被北京南天信息工程有限公司（以下简称</w:t>
      </w:r>
      <w:r>
        <w:rPr>
          <w:rFonts w:ascii="Times New Roman" w:hAnsi="Times New Roman" w:cs="Times New Roman" w:eastAsia="Times New Roman" w:hint="default"/>
          <w:spacing w:val="-4"/>
        </w:rPr>
        <w:t>“</w:t>
      </w:r>
      <w:r>
        <w:rPr>
          <w:spacing w:val="-4"/>
        </w:rPr>
        <w:t>北信工</w:t>
      </w:r>
      <w:r>
        <w:rPr>
          <w:rFonts w:ascii="Times New Roman" w:hAnsi="Times New Roman" w:cs="Times New Roman" w:eastAsia="Times New Roman" w:hint="default"/>
          <w:spacing w:val="-4"/>
        </w:rPr>
        <w:t>”</w:t>
      </w:r>
      <w:r>
        <w:rPr>
          <w:spacing w:val="-4"/>
        </w:rPr>
        <w:t>吸收合并）签订了一份《北京市建设工程</w:t>
      </w:r>
      <w:r>
        <w:rPr>
          <w:spacing w:val="4"/>
        </w:rPr>
        <w:t> </w:t>
      </w:r>
      <w:r>
        <w:rPr>
          <w:spacing w:val="4"/>
        </w:rPr>
      </w:r>
      <w:r>
        <w:rPr>
          <w:spacing w:val="-3"/>
        </w:rPr>
        <w:t>施工合同》，约定由远大铝业公司承建系统公司南天软件园工程，开工日期为</w:t>
      </w:r>
      <w:r>
        <w:rPr>
          <w:rFonts w:ascii="Times New Roman" w:hAnsi="Times New Roman" w:cs="Times New Roman" w:eastAsia="Times New Roman" w:hint="default"/>
          <w:spacing w:val="-3"/>
        </w:rPr>
        <w:t>1998</w:t>
      </w:r>
      <w:r>
        <w:rPr>
          <w:spacing w:val="-3"/>
        </w:rPr>
        <w:t>年</w:t>
      </w:r>
      <w:r>
        <w:rPr>
          <w:rFonts w:ascii="Times New Roman" w:hAnsi="Times New Roman" w:cs="Times New Roman" w:eastAsia="Times New Roman" w:hint="default"/>
          <w:spacing w:val="-3"/>
        </w:rPr>
        <w:t>7</w:t>
      </w:r>
      <w:r>
        <w:rPr>
          <w:spacing w:val="-3"/>
        </w:rPr>
        <w:t>月</w:t>
      </w:r>
      <w:r>
        <w:rPr>
          <w:rFonts w:ascii="Times New Roman" w:hAnsi="Times New Roman" w:cs="Times New Roman" w:eastAsia="Times New Roman" w:hint="default"/>
          <w:spacing w:val="-3"/>
        </w:rPr>
        <w:t>1</w:t>
      </w:r>
      <w:r>
        <w:rPr>
          <w:spacing w:val="-3"/>
        </w:rPr>
        <w:t>日、竣工日期为</w:t>
      </w:r>
      <w:r>
        <w:rPr>
          <w:rFonts w:ascii="Times New Roman" w:hAnsi="Times New Roman" w:cs="Times New Roman" w:eastAsia="Times New Roman" w:hint="default"/>
          <w:spacing w:val="-3"/>
        </w:rPr>
        <w:t>1998</w:t>
      </w:r>
      <w:r>
        <w:rPr>
          <w:spacing w:val="-3"/>
        </w:rPr>
        <w:t>年</w:t>
      </w:r>
      <w:r>
        <w:rPr>
          <w:rFonts w:ascii="Times New Roman" w:hAnsi="Times New Roman" w:cs="Times New Roman" w:eastAsia="Times New Roman" w:hint="default"/>
          <w:spacing w:val="-3"/>
        </w:rPr>
        <w:t>11</w:t>
      </w:r>
      <w:r>
        <w:rPr>
          <w:spacing w:val="-3"/>
        </w:rPr>
        <w:t>月</w:t>
      </w:r>
      <w:r>
        <w:rPr>
          <w:rFonts w:ascii="Times New Roman" w:hAnsi="Times New Roman" w:cs="Times New Roman" w:eastAsia="Times New Roman" w:hint="default"/>
          <w:spacing w:val="-3"/>
        </w:rPr>
        <w:t>30</w:t>
      </w:r>
      <w:r>
        <w:rPr>
          <w:spacing w:val="-3"/>
        </w:rPr>
        <w:t>日。</w:t>
      </w:r>
      <w:r>
        <w:rPr>
          <w:spacing w:val="83"/>
        </w:rPr>
        <w:t> </w:t>
      </w:r>
      <w:r>
        <w:rPr>
          <w:rFonts w:ascii="Times New Roman" w:hAnsi="Times New Roman" w:cs="Times New Roman" w:eastAsia="Times New Roman" w:hint="default"/>
          <w:spacing w:val="-4"/>
        </w:rPr>
        <w:t>1998</w:t>
      </w:r>
      <w:r>
        <w:rPr>
          <w:spacing w:val="-4"/>
        </w:rPr>
        <w:t>年</w:t>
      </w:r>
      <w:r>
        <w:rPr>
          <w:rFonts w:ascii="Times New Roman" w:hAnsi="Times New Roman" w:cs="Times New Roman" w:eastAsia="Times New Roman" w:hint="default"/>
          <w:spacing w:val="-4"/>
        </w:rPr>
        <w:t>7</w:t>
      </w:r>
      <w:r>
        <w:rPr>
          <w:spacing w:val="-4"/>
        </w:rPr>
        <w:t>月</w:t>
      </w:r>
      <w:r>
        <w:rPr>
          <w:rFonts w:ascii="Times New Roman" w:hAnsi="Times New Roman" w:cs="Times New Roman" w:eastAsia="Times New Roman" w:hint="default"/>
          <w:spacing w:val="-4"/>
        </w:rPr>
        <w:t>1</w:t>
      </w:r>
      <w:r>
        <w:rPr>
          <w:spacing w:val="-4"/>
        </w:rPr>
        <w:t>日，远大铝业公司按系统公司要求开具了收款金额为</w:t>
      </w:r>
      <w:r>
        <w:rPr>
          <w:rFonts w:ascii="Times New Roman" w:hAnsi="Times New Roman" w:cs="Times New Roman" w:eastAsia="Times New Roman" w:hint="default"/>
          <w:spacing w:val="-4"/>
        </w:rPr>
        <w:t>250</w:t>
      </w:r>
      <w:r>
        <w:rPr>
          <w:spacing w:val="-4"/>
        </w:rPr>
        <w:t>万元的发票（发票号为</w:t>
      </w:r>
      <w:r>
        <w:rPr>
          <w:rFonts w:ascii="Times New Roman" w:hAnsi="Times New Roman" w:cs="Times New Roman" w:eastAsia="Times New Roman" w:hint="default"/>
          <w:spacing w:val="-4"/>
        </w:rPr>
        <w:t>0196352</w:t>
      </w:r>
      <w:r>
        <w:rPr>
          <w:spacing w:val="-4"/>
        </w:rPr>
        <w:t>），</w:t>
      </w:r>
      <w:r>
        <w:rPr>
          <w:rFonts w:ascii="Times New Roman" w:hAnsi="Times New Roman" w:cs="Times New Roman" w:eastAsia="Times New Roman" w:hint="default"/>
          <w:spacing w:val="-4"/>
        </w:rPr>
        <w:t>1998</w:t>
      </w:r>
      <w:r>
        <w:rPr>
          <w:spacing w:val="-4"/>
        </w:rPr>
        <w:t>年</w:t>
      </w:r>
      <w:r>
        <w:rPr>
          <w:rFonts w:ascii="Times New Roman" w:hAnsi="Times New Roman" w:cs="Times New Roman" w:eastAsia="Times New Roman" w:hint="default"/>
          <w:spacing w:val="-4"/>
        </w:rPr>
        <w:t>7</w:t>
      </w:r>
      <w:r>
        <w:rPr>
          <w:spacing w:val="-4"/>
        </w:rPr>
        <w:t>月</w:t>
      </w:r>
      <w:r>
        <w:rPr>
          <w:rFonts w:ascii="Times New Roman" w:hAnsi="Times New Roman" w:cs="Times New Roman" w:eastAsia="Times New Roman" w:hint="default"/>
          <w:spacing w:val="-4"/>
        </w:rPr>
        <w:t>3</w:t>
      </w:r>
      <w:r>
        <w:rPr>
          <w:spacing w:val="-4"/>
        </w:rPr>
        <w:t>日，第二</w:t>
      </w:r>
      <w:r>
        <w:rPr>
          <w:spacing w:val="-2"/>
        </w:rPr>
        <w:t> </w:t>
      </w:r>
      <w:r>
        <w:rPr>
          <w:spacing w:val="-2"/>
        </w:rPr>
      </w:r>
      <w:r>
        <w:rPr>
          <w:spacing w:val="-3"/>
        </w:rPr>
        <w:t>被告卢志勇（时任远大铝业公司总经理）安排下属刘国权到系统公司领取金额为</w:t>
      </w:r>
      <w:r>
        <w:rPr>
          <w:rFonts w:ascii="Times New Roman" w:hAnsi="Times New Roman" w:cs="Times New Roman" w:eastAsia="Times New Roman" w:hint="default"/>
          <w:spacing w:val="-3"/>
        </w:rPr>
        <w:t>250</w:t>
      </w:r>
      <w:r>
        <w:rPr>
          <w:spacing w:val="-3"/>
        </w:rPr>
        <w:t>万元、票号为</w:t>
      </w:r>
      <w:r>
        <w:rPr>
          <w:rFonts w:ascii="Times New Roman" w:hAnsi="Times New Roman" w:cs="Times New Roman" w:eastAsia="Times New Roman" w:hint="default"/>
          <w:spacing w:val="-3"/>
        </w:rPr>
        <w:t>_V01015531</w:t>
      </w:r>
      <w:r>
        <w:rPr>
          <w:spacing w:val="-3"/>
        </w:rPr>
        <w:t>、出票日期为</w:t>
      </w:r>
      <w:r>
        <w:rPr>
          <w:spacing w:val="57"/>
        </w:rPr>
        <w:t> </w:t>
      </w:r>
      <w:r>
        <w:rPr>
          <w:spacing w:val="57"/>
        </w:rPr>
      </w:r>
      <w:r>
        <w:rPr>
          <w:rFonts w:ascii="Times New Roman" w:hAnsi="Times New Roman" w:cs="Times New Roman" w:eastAsia="Times New Roman" w:hint="default"/>
          <w:spacing w:val="-4"/>
        </w:rPr>
        <w:t>1998</w:t>
      </w:r>
      <w:r>
        <w:rPr>
          <w:spacing w:val="-4"/>
        </w:rPr>
        <w:t>年</w:t>
      </w:r>
      <w:r>
        <w:rPr>
          <w:rFonts w:ascii="Times New Roman" w:hAnsi="Times New Roman" w:cs="Times New Roman" w:eastAsia="Times New Roman" w:hint="default"/>
          <w:spacing w:val="-4"/>
        </w:rPr>
        <w:t>7</w:t>
      </w:r>
      <w:r>
        <w:rPr>
          <w:spacing w:val="-4"/>
        </w:rPr>
        <w:t>月</w:t>
      </w:r>
      <w:r>
        <w:rPr>
          <w:rFonts w:ascii="Times New Roman" w:hAnsi="Times New Roman" w:cs="Times New Roman" w:eastAsia="Times New Roman" w:hint="default"/>
          <w:spacing w:val="-4"/>
        </w:rPr>
        <w:t>3</w:t>
      </w:r>
      <w:r>
        <w:rPr>
          <w:spacing w:val="-4"/>
        </w:rPr>
        <w:t>日、收款人为远大铝业公司、用途为外墙装饰预付款的支票。卢志勇未按规定将该支票交付远大铝业公司，致使</w:t>
      </w:r>
      <w:r>
        <w:rPr>
          <w:spacing w:val="52"/>
        </w:rPr>
        <w:t> </w:t>
      </w:r>
      <w:r>
        <w:rPr>
          <w:spacing w:val="52"/>
        </w:rPr>
      </w:r>
      <w:r>
        <w:rPr>
          <w:spacing w:val="-6"/>
        </w:rPr>
        <w:t>该票据逾期未存入而支付失败并以进入的方式回到系统公司账户。远大铝业公司认为，卢志勇与系统公司、刘国权恶意串通，</w:t>
      </w:r>
      <w:r>
        <w:rPr>
          <w:spacing w:val="65"/>
        </w:rPr>
        <w:t> </w:t>
      </w:r>
      <w:r>
        <w:rPr>
          <w:spacing w:val="65"/>
        </w:rPr>
      </w:r>
      <w:r>
        <w:rPr>
          <w:spacing w:val="-3"/>
        </w:rPr>
        <w:t>故意使该转账支票逾期失效而从中受益，因此，卢志勇与刘国权、北信工应承担连带责任。</w:t>
      </w:r>
    </w:p>
    <w:p>
      <w:pPr>
        <w:pStyle w:val="BodyText"/>
        <w:spacing w:line="300" w:lineRule="auto" w:before="149"/>
        <w:ind w:right="855" w:firstLine="436"/>
        <w:jc w:val="left"/>
      </w:pP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5</w:t>
      </w:r>
      <w:r>
        <w:rPr>
          <w:spacing w:val="-4"/>
        </w:rPr>
        <w:t>月，北信工收到沈阳市浑南区人民法院的开庭传票及财产被保全的裁定书等，远大铝业公司提起诉讼及财产保</w:t>
      </w:r>
      <w:r>
        <w:rPr>
          <w:w w:val="101"/>
        </w:rPr>
        <w:t> </w:t>
      </w:r>
      <w:r>
        <w:rPr>
          <w:spacing w:val="-3"/>
        </w:rPr>
        <w:t>全申请，其要求</w:t>
      </w:r>
      <w:r>
        <w:rPr>
          <w:rFonts w:ascii="Times New Roman" w:hAnsi="Times New Roman" w:cs="Times New Roman" w:eastAsia="Times New Roman" w:hint="default"/>
          <w:spacing w:val="-3"/>
        </w:rPr>
        <w:t>“</w:t>
      </w:r>
      <w:r>
        <w:rPr>
          <w:spacing w:val="-3"/>
        </w:rPr>
        <w:t>返还通过转账支票支付而未能完成的不当得利款项</w:t>
      </w:r>
      <w:r>
        <w:rPr>
          <w:rFonts w:ascii="Times New Roman" w:hAnsi="Times New Roman" w:cs="Times New Roman" w:eastAsia="Times New Roman" w:hint="default"/>
          <w:spacing w:val="-3"/>
        </w:rPr>
        <w:t>250</w:t>
      </w:r>
      <w:r>
        <w:rPr>
          <w:spacing w:val="-3"/>
        </w:rPr>
        <w:t>万元</w:t>
      </w:r>
      <w:r>
        <w:rPr>
          <w:rFonts w:ascii="Times New Roman" w:hAnsi="Times New Roman" w:cs="Times New Roman" w:eastAsia="Times New Roman" w:hint="default"/>
          <w:spacing w:val="-3"/>
        </w:rPr>
        <w:t>”</w:t>
      </w:r>
      <w:r>
        <w:rPr>
          <w:spacing w:val="-3"/>
        </w:rPr>
        <w:t>及暂计算至</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3</w:t>
      </w:r>
      <w:r>
        <w:rPr>
          <w:spacing w:val="-3"/>
        </w:rPr>
        <w:t>月</w:t>
      </w:r>
      <w:r>
        <w:rPr>
          <w:rFonts w:ascii="Times New Roman" w:hAnsi="Times New Roman" w:cs="Times New Roman" w:eastAsia="Times New Roman" w:hint="default"/>
          <w:spacing w:val="-3"/>
        </w:rPr>
        <w:t>23</w:t>
      </w:r>
      <w:r>
        <w:rPr>
          <w:spacing w:val="-3"/>
        </w:rPr>
        <w:t>日的利息损失</w:t>
      </w:r>
      <w:r>
        <w:rPr>
          <w:spacing w:val="73"/>
        </w:rPr>
        <w:t> </w:t>
      </w:r>
      <w:r>
        <w:rPr>
          <w:spacing w:val="73"/>
        </w:rPr>
      </w:r>
      <w:r>
        <w:rPr>
          <w:rFonts w:ascii="Times New Roman" w:hAnsi="Times New Roman" w:cs="Times New Roman" w:eastAsia="Times New Roman" w:hint="default"/>
          <w:spacing w:val="-3"/>
        </w:rPr>
        <w:t>3,122,999.00</w:t>
      </w:r>
      <w:r>
        <w:rPr>
          <w:spacing w:val="-3"/>
        </w:rPr>
        <w:t>元（两项共计</w:t>
      </w:r>
      <w:r>
        <w:rPr>
          <w:rFonts w:ascii="Times New Roman" w:hAnsi="Times New Roman" w:cs="Times New Roman" w:eastAsia="Times New Roman" w:hint="default"/>
          <w:spacing w:val="-3"/>
        </w:rPr>
        <w:t>5</w:t>
      </w:r>
      <w:r>
        <w:rPr>
          <w:spacing w:val="-3"/>
        </w:rPr>
        <w:t>，</w:t>
      </w:r>
      <w:r>
        <w:rPr>
          <w:rFonts w:ascii="Times New Roman" w:hAnsi="Times New Roman" w:cs="Times New Roman" w:eastAsia="Times New Roman" w:hint="default"/>
          <w:spacing w:val="-3"/>
        </w:rPr>
        <w:t>622</w:t>
      </w:r>
      <w:r>
        <w:rPr>
          <w:spacing w:val="-3"/>
        </w:rPr>
        <w:t>，</w:t>
      </w:r>
      <w:r>
        <w:rPr>
          <w:rFonts w:ascii="Times New Roman" w:hAnsi="Times New Roman" w:cs="Times New Roman" w:eastAsia="Times New Roman" w:hint="default"/>
          <w:spacing w:val="-3"/>
        </w:rPr>
        <w:t>999</w:t>
      </w:r>
      <w:r>
        <w:rPr>
          <w:spacing w:val="-3"/>
        </w:rPr>
        <w:t>元）、同时要求卢志勇及刘国权二人承担连带责任。沈阳市浑南区人民法院于</w:t>
      </w:r>
      <w:r>
        <w:rPr>
          <w:rFonts w:ascii="Times New Roman" w:hAnsi="Times New Roman" w:cs="Times New Roman" w:eastAsia="Times New Roman" w:hint="default"/>
          <w:spacing w:val="-3"/>
        </w:rPr>
        <w:t>2018</w:t>
      </w:r>
      <w:r>
        <w:rPr>
          <w:spacing w:val="-3"/>
        </w:rPr>
        <w:t>年</w:t>
      </w:r>
    </w:p>
    <w:p>
      <w:pPr>
        <w:pStyle w:val="BodyText"/>
        <w:spacing w:line="240" w:lineRule="auto" w:before="13"/>
        <w:ind w:right="855"/>
        <w:jc w:val="left"/>
      </w:pPr>
      <w:r>
        <w:rPr>
          <w:rFonts w:ascii="Times New Roman" w:hAnsi="Times New Roman" w:cs="Times New Roman" w:eastAsia="Times New Roman" w:hint="default"/>
          <w:spacing w:val="-3"/>
        </w:rPr>
        <w:t>5</w:t>
      </w:r>
      <w:r>
        <w:rPr>
          <w:spacing w:val="-3"/>
        </w:rPr>
        <w:t>月</w:t>
      </w:r>
      <w:r>
        <w:rPr>
          <w:rFonts w:ascii="Times New Roman" w:hAnsi="Times New Roman" w:cs="Times New Roman" w:eastAsia="Times New Roman" w:hint="default"/>
          <w:spacing w:val="-3"/>
        </w:rPr>
        <w:t>17</w:t>
      </w:r>
      <w:r>
        <w:rPr>
          <w:spacing w:val="-3"/>
        </w:rPr>
        <w:t>日作出裁定，裁定冻结（查封）北信工的银行账户存款</w:t>
      </w:r>
      <w:r>
        <w:rPr>
          <w:rFonts w:ascii="Times New Roman" w:hAnsi="Times New Roman" w:cs="Times New Roman" w:eastAsia="Times New Roman" w:hint="default"/>
          <w:spacing w:val="-3"/>
        </w:rPr>
        <w:t>5</w:t>
      </w:r>
      <w:r>
        <w:rPr>
          <w:spacing w:val="-3"/>
        </w:rPr>
        <w:t>，</w:t>
      </w:r>
      <w:r>
        <w:rPr>
          <w:rFonts w:ascii="Times New Roman" w:hAnsi="Times New Roman" w:cs="Times New Roman" w:eastAsia="Times New Roman" w:hint="default"/>
          <w:spacing w:val="-3"/>
        </w:rPr>
        <w:t>622</w:t>
      </w:r>
      <w:r>
        <w:rPr>
          <w:spacing w:val="-3"/>
        </w:rPr>
        <w:t>，</w:t>
      </w:r>
      <w:r>
        <w:rPr>
          <w:rFonts w:ascii="Times New Roman" w:hAnsi="Times New Roman" w:cs="Times New Roman" w:eastAsia="Times New Roman" w:hint="default"/>
          <w:spacing w:val="-3"/>
        </w:rPr>
        <w:t>999</w:t>
      </w:r>
      <w:r>
        <w:rPr>
          <w:spacing w:val="-3"/>
        </w:rPr>
        <w:t>元或其他等值财产。该裁定于</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5</w:t>
      </w:r>
      <w:r>
        <w:rPr>
          <w:spacing w:val="-3"/>
        </w:rPr>
        <w:t>月执行。</w:t>
      </w:r>
    </w:p>
    <w:p>
      <w:pPr>
        <w:spacing w:line="240" w:lineRule="auto" w:before="13"/>
        <w:rPr>
          <w:rFonts w:ascii="宋体" w:hAnsi="宋体" w:cs="宋体" w:eastAsia="宋体" w:hint="default"/>
          <w:sz w:val="13"/>
          <w:szCs w:val="13"/>
        </w:rPr>
      </w:pPr>
    </w:p>
    <w:p>
      <w:pPr>
        <w:pStyle w:val="BodyText"/>
        <w:spacing w:line="300" w:lineRule="auto"/>
        <w:ind w:right="855" w:firstLine="360"/>
        <w:jc w:val="left"/>
      </w:pPr>
      <w:r>
        <w:rPr>
          <w:spacing w:val="-4"/>
        </w:rPr>
        <w:t>北信工在提交答辩状期间对管辖权提出异议，沈阳市浑南区人民法院于</w:t>
      </w: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6</w:t>
      </w:r>
      <w:r>
        <w:rPr>
          <w:spacing w:val="-4"/>
        </w:rPr>
        <w:t>月</w:t>
      </w:r>
      <w:r>
        <w:rPr>
          <w:rFonts w:ascii="Times New Roman" w:hAnsi="Times New Roman" w:cs="Times New Roman" w:eastAsia="Times New Roman" w:hint="default"/>
          <w:spacing w:val="-4"/>
        </w:rPr>
        <w:t>26</w:t>
      </w:r>
      <w:r>
        <w:rPr>
          <w:spacing w:val="-4"/>
        </w:rPr>
        <w:t>日作出裁定，裁定驳回管辖权异议。</w:t>
      </w:r>
      <w:r>
        <w:rPr>
          <w:w w:val="101"/>
        </w:rPr>
        <w:t> </w:t>
      </w:r>
      <w:r>
        <w:rPr>
          <w:spacing w:val="-4"/>
          <w:w w:val="101"/>
        </w:rPr>
        <w:t>北信工不服沈阳市浑南区人民法院于</w:t>
      </w:r>
      <w:r>
        <w:rPr>
          <w:rFonts w:ascii="Times New Roman" w:hAnsi="Times New Roman" w:cs="Times New Roman" w:eastAsia="Times New Roman" w:hint="default"/>
          <w:spacing w:val="-4"/>
          <w:w w:val="101"/>
        </w:rPr>
        <w:t>2018</w:t>
      </w:r>
      <w:r>
        <w:rPr>
          <w:spacing w:val="-4"/>
          <w:w w:val="101"/>
        </w:rPr>
        <w:t>年</w:t>
      </w:r>
      <w:r>
        <w:rPr>
          <w:rFonts w:ascii="Times New Roman" w:hAnsi="Times New Roman" w:cs="Times New Roman" w:eastAsia="Times New Roman" w:hint="default"/>
          <w:spacing w:val="-4"/>
          <w:w w:val="101"/>
        </w:rPr>
        <w:t>6</w:t>
      </w:r>
      <w:r>
        <w:rPr>
          <w:spacing w:val="-4"/>
          <w:w w:val="101"/>
        </w:rPr>
        <w:t>月</w:t>
      </w:r>
      <w:r>
        <w:rPr>
          <w:rFonts w:ascii="Times New Roman" w:hAnsi="Times New Roman" w:cs="Times New Roman" w:eastAsia="Times New Roman" w:hint="default"/>
          <w:spacing w:val="-4"/>
          <w:w w:val="101"/>
        </w:rPr>
        <w:t>26</w:t>
      </w:r>
      <w:r>
        <w:rPr>
          <w:spacing w:val="-4"/>
          <w:w w:val="101"/>
        </w:rPr>
        <w:t>日作出的裁定而提起上诉，辽宁省沈阳市中级人民法院于</w:t>
      </w:r>
      <w:r>
        <w:rPr>
          <w:rFonts w:ascii="Times New Roman" w:hAnsi="Times New Roman" w:cs="Times New Roman" w:eastAsia="Times New Roman" w:hint="default"/>
          <w:spacing w:val="-4"/>
          <w:w w:val="101"/>
        </w:rPr>
        <w:t>2018</w:t>
      </w:r>
      <w:r>
        <w:rPr>
          <w:spacing w:val="-4"/>
          <w:w w:val="101"/>
        </w:rPr>
        <w:t>年</w:t>
      </w:r>
      <w:r>
        <w:rPr>
          <w:rFonts w:ascii="Times New Roman" w:hAnsi="Times New Roman" w:cs="Times New Roman" w:eastAsia="Times New Roman" w:hint="default"/>
          <w:spacing w:val="-4"/>
          <w:w w:val="101"/>
        </w:rPr>
        <w:t>8</w:t>
      </w:r>
      <w:r>
        <w:rPr>
          <w:spacing w:val="-4"/>
          <w:w w:val="101"/>
        </w:rPr>
        <w:t>月</w:t>
      </w:r>
      <w:r>
        <w:rPr>
          <w:rFonts w:ascii="Times New Roman" w:hAnsi="Times New Roman" w:cs="Times New Roman" w:eastAsia="Times New Roman" w:hint="default"/>
          <w:spacing w:val="-4"/>
          <w:w w:val="101"/>
        </w:rPr>
        <w:t>21</w:t>
      </w:r>
      <w:r>
        <w:rPr>
          <w:spacing w:val="-4"/>
          <w:w w:val="101"/>
        </w:rPr>
        <w:t>日作</w:t>
      </w:r>
      <w:r>
        <w:rPr>
          <w:spacing w:val="-63"/>
          <w:w w:val="101"/>
        </w:rPr>
        <w:t> </w:t>
      </w:r>
      <w:r>
        <w:rPr/>
        <w:t>出</w:t>
      </w:r>
      <w:r>
        <w:rPr>
          <w:rFonts w:ascii="Times New Roman" w:hAnsi="Times New Roman" w:cs="Times New Roman" w:eastAsia="Times New Roman" w:hint="default"/>
        </w:rPr>
        <w:t>[2018]</w:t>
      </w:r>
      <w:r>
        <w:rPr/>
        <w:t>辽</w:t>
      </w:r>
      <w:r>
        <w:rPr>
          <w:rFonts w:ascii="Times New Roman" w:hAnsi="Times New Roman" w:cs="Times New Roman" w:eastAsia="Times New Roman" w:hint="default"/>
        </w:rPr>
        <w:t>01</w:t>
      </w:r>
      <w:r>
        <w:rPr/>
        <w:t>民辖终</w:t>
      </w:r>
      <w:r>
        <w:rPr>
          <w:rFonts w:ascii="Times New Roman" w:hAnsi="Times New Roman" w:cs="Times New Roman" w:eastAsia="Times New Roman" w:hint="default"/>
        </w:rPr>
        <w:t>441</w:t>
      </w:r>
      <w:r>
        <w:rPr/>
        <w:t>号民事裁定，裁定驳回上诉、维持原裁定。</w:t>
      </w:r>
    </w:p>
    <w:p>
      <w:pPr>
        <w:pStyle w:val="BodyText"/>
        <w:spacing w:line="300" w:lineRule="auto" w:before="133"/>
        <w:ind w:right="855" w:firstLine="360"/>
        <w:jc w:val="left"/>
      </w:pP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4</w:t>
      </w:r>
      <w:r>
        <w:rPr>
          <w:spacing w:val="-4"/>
        </w:rPr>
        <w:t>月</w:t>
      </w:r>
      <w:r>
        <w:rPr>
          <w:rFonts w:ascii="Times New Roman" w:hAnsi="Times New Roman" w:cs="Times New Roman" w:eastAsia="Times New Roman" w:hint="default"/>
          <w:spacing w:val="-4"/>
        </w:rPr>
        <w:t>1</w:t>
      </w:r>
      <w:r>
        <w:rPr>
          <w:spacing w:val="-4"/>
        </w:rPr>
        <w:t>日，沈阳远大铝业工程有限公司向沈阳市浑南区人民法院提出撤诉申请，根据（</w:t>
      </w:r>
      <w:r>
        <w:rPr>
          <w:rFonts w:ascii="Times New Roman" w:hAnsi="Times New Roman" w:cs="Times New Roman" w:eastAsia="Times New Roman" w:hint="default"/>
          <w:spacing w:val="-4"/>
        </w:rPr>
        <w:t>2018</w:t>
      </w:r>
      <w:r>
        <w:rPr>
          <w:spacing w:val="-4"/>
        </w:rPr>
        <w:t>）辽</w:t>
      </w:r>
      <w:r>
        <w:rPr>
          <w:rFonts w:ascii="Times New Roman" w:hAnsi="Times New Roman" w:cs="Times New Roman" w:eastAsia="Times New Roman" w:hint="default"/>
          <w:spacing w:val="-4"/>
        </w:rPr>
        <w:t>0112</w:t>
      </w:r>
      <w:r>
        <w:rPr>
          <w:spacing w:val="-4"/>
        </w:rPr>
        <w:t>民初</w:t>
      </w:r>
      <w:r>
        <w:rPr>
          <w:rFonts w:ascii="Times New Roman" w:hAnsi="Times New Roman" w:cs="Times New Roman" w:eastAsia="Times New Roman" w:hint="default"/>
          <w:spacing w:val="-4"/>
        </w:rPr>
        <w:t>3557</w:t>
      </w:r>
      <w:r>
        <w:rPr>
          <w:spacing w:val="-4"/>
        </w:rPr>
        <w:t>号民</w:t>
      </w:r>
      <w:r>
        <w:rPr>
          <w:w w:val="101"/>
        </w:rPr>
        <w:t> </w:t>
      </w:r>
      <w:r>
        <w:rPr>
          <w:spacing w:val="-3"/>
        </w:rPr>
        <w:t>事裁定书，沈阳市浑南区人民法院同意沈阳远大铝业工程有限公司申请撤回起诉。</w:t>
      </w:r>
    </w:p>
    <w:p>
      <w:pPr>
        <w:spacing w:line="240" w:lineRule="auto" w:before="7"/>
        <w:rPr>
          <w:rFonts w:ascii="宋体" w:hAnsi="宋体" w:cs="宋体" w:eastAsia="宋体" w:hint="default"/>
          <w:sz w:val="23"/>
          <w:szCs w:val="23"/>
        </w:rPr>
      </w:pPr>
    </w:p>
    <w:p>
      <w:pPr>
        <w:pStyle w:val="Heading4"/>
        <w:spacing w:line="240" w:lineRule="auto"/>
        <w:ind w:right="855"/>
        <w:jc w:val="left"/>
        <w:rPr>
          <w:b w:val="0"/>
          <w:bCs w:val="0"/>
        </w:rPr>
      </w:pP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855"/>
        <w:jc w:val="left"/>
      </w:pPr>
      <w:r>
        <w:rPr>
          <w:spacing w:val="-3"/>
        </w:rPr>
        <w:t>公司不存在需要披露的重要或有事项。</w:t>
      </w:r>
    </w:p>
    <w:p>
      <w:pPr>
        <w:spacing w:line="240" w:lineRule="auto" w:before="0"/>
        <w:rPr>
          <w:rFonts w:ascii="宋体" w:hAnsi="宋体" w:cs="宋体" w:eastAsia="宋体" w:hint="default"/>
          <w:sz w:val="18"/>
          <w:szCs w:val="18"/>
        </w:rPr>
      </w:pPr>
    </w:p>
    <w:p>
      <w:pPr>
        <w:pStyle w:val="Heading4"/>
        <w:spacing w:line="240" w:lineRule="auto" w:before="118"/>
        <w:ind w:right="855"/>
        <w:jc w:val="left"/>
        <w:rPr>
          <w:b w:val="0"/>
          <w:bCs w:val="0"/>
        </w:rPr>
      </w:pPr>
      <w:r>
        <w:rPr>
          <w:rFonts w:ascii="Times New Roman" w:hAnsi="Times New Roman" w:cs="Times New Roman" w:eastAsia="Times New Roman" w:hint="default"/>
        </w:rPr>
        <w:t>2</w:t>
      </w:r>
      <w:r>
        <w:rPr/>
        <w:t>、其他</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855"/>
        <w:jc w:val="left"/>
      </w:pPr>
      <w:r>
        <w:rPr>
          <w:w w:val="101"/>
        </w:rPr>
        <w:t>无</w:t>
      </w:r>
      <w:r>
        <w:rPr/>
      </w:r>
    </w:p>
    <w:p>
      <w:pPr>
        <w:spacing w:line="240" w:lineRule="auto" w:before="1"/>
        <w:rPr>
          <w:rFonts w:ascii="宋体" w:hAnsi="宋体" w:cs="宋体" w:eastAsia="宋体" w:hint="default"/>
          <w:sz w:val="25"/>
          <w:szCs w:val="25"/>
        </w:rPr>
      </w:pPr>
    </w:p>
    <w:p>
      <w:pPr>
        <w:pStyle w:val="Heading2"/>
        <w:spacing w:line="240" w:lineRule="auto"/>
        <w:ind w:right="855"/>
        <w:jc w:val="left"/>
        <w:rPr>
          <w:b w:val="0"/>
          <w:bCs w:val="0"/>
        </w:rPr>
      </w:pPr>
      <w:r>
        <w:rPr/>
        <w:t>十四、资产负债表日后事项</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855"/>
        <w:jc w:val="left"/>
        <w:rPr>
          <w:b w:val="0"/>
          <w:bCs w:val="0"/>
        </w:rPr>
      </w:pPr>
      <w:r>
        <w:rPr>
          <w:rFonts w:ascii="Times New Roman" w:hAnsi="Times New Roman" w:cs="Times New Roman" w:eastAsia="Times New Roman" w:hint="default"/>
        </w:rPr>
        <w:t>1</w:t>
      </w:r>
      <w:r>
        <w:rPr/>
        <w:t>、重要的非调整事项</w:t>
      </w:r>
      <w:r>
        <w:rPr>
          <w:b w:val="0"/>
          <w:bCs w:val="0"/>
        </w:rPr>
      </w:r>
    </w:p>
    <w:p>
      <w:pPr>
        <w:spacing w:line="240" w:lineRule="auto" w:before="10"/>
        <w:rPr>
          <w:rFonts w:ascii="宋体" w:hAnsi="宋体" w:cs="宋体" w:eastAsia="宋体" w:hint="default"/>
          <w:b/>
          <w:bCs/>
          <w:sz w:val="26"/>
          <w:szCs w:val="26"/>
        </w:rPr>
      </w:pPr>
    </w:p>
    <w:p>
      <w:pPr>
        <w:pStyle w:val="BodyText"/>
        <w:spacing w:line="240" w:lineRule="auto"/>
        <w:ind w:left="0" w:right="1121"/>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850"/>
        <w:gridCol w:w="6809"/>
        <w:gridCol w:w="1133"/>
        <w:gridCol w:w="778"/>
      </w:tblGrid>
      <w:tr>
        <w:trPr>
          <w:trHeight w:val="672" w:hRule="exact"/>
        </w:trPr>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40"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68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115" w:right="104"/>
              <w:jc w:val="left"/>
              <w:rPr>
                <w:rFonts w:ascii="宋体" w:hAnsi="宋体" w:cs="宋体" w:eastAsia="宋体" w:hint="default"/>
                <w:sz w:val="18"/>
                <w:szCs w:val="18"/>
              </w:rPr>
            </w:pPr>
            <w:r>
              <w:rPr>
                <w:rFonts w:ascii="宋体" w:hAnsi="宋体" w:cs="宋体" w:eastAsia="宋体" w:hint="default"/>
                <w:spacing w:val="-2"/>
                <w:sz w:val="18"/>
                <w:szCs w:val="18"/>
              </w:rPr>
              <w:t>对财务状况</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和经营成果</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23" w:right="17"/>
              <w:jc w:val="left"/>
              <w:rPr>
                <w:rFonts w:ascii="宋体" w:hAnsi="宋体" w:cs="宋体" w:eastAsia="宋体" w:hint="default"/>
                <w:sz w:val="18"/>
                <w:szCs w:val="18"/>
              </w:rPr>
            </w:pPr>
            <w:r>
              <w:rPr>
                <w:rFonts w:ascii="宋体" w:hAnsi="宋体" w:cs="宋体" w:eastAsia="宋体" w:hint="default"/>
                <w:sz w:val="18"/>
                <w:szCs w:val="18"/>
              </w:rPr>
              <w:t>无法估计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影响数的</w:t>
            </w:r>
          </w:p>
        </w:tc>
      </w:tr>
    </w:tbl>
    <w:p>
      <w:pPr>
        <w:spacing w:after="0" w:line="312" w:lineRule="auto"/>
        <w:jc w:val="left"/>
        <w:rPr>
          <w:rFonts w:ascii="宋体" w:hAnsi="宋体" w:cs="宋体" w:eastAsia="宋体" w:hint="default"/>
          <w:sz w:val="18"/>
          <w:szCs w:val="18"/>
        </w:rPr>
        <w:sectPr>
          <w:pgSz w:w="11910" w:h="16840"/>
          <w:pgMar w:header="746" w:footer="974"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850"/>
        <w:gridCol w:w="6809"/>
        <w:gridCol w:w="67"/>
        <w:gridCol w:w="1067"/>
        <w:gridCol w:w="778"/>
      </w:tblGrid>
      <w:tr>
        <w:trPr>
          <w:trHeight w:val="360" w:hRule="exact"/>
        </w:trPr>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0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3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01" w:right="0"/>
              <w:jc w:val="left"/>
              <w:rPr>
                <w:rFonts w:ascii="宋体" w:hAnsi="宋体" w:cs="宋体" w:eastAsia="宋体" w:hint="default"/>
                <w:sz w:val="18"/>
                <w:szCs w:val="18"/>
              </w:rPr>
            </w:pPr>
            <w:r>
              <w:rPr>
                <w:rFonts w:ascii="宋体" w:hAnsi="宋体" w:cs="宋体" w:eastAsia="宋体" w:hint="default"/>
                <w:sz w:val="18"/>
                <w:szCs w:val="18"/>
              </w:rPr>
              <w:t>的影响数</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06" w:right="0"/>
              <w:jc w:val="left"/>
              <w:rPr>
                <w:rFonts w:ascii="宋体" w:hAnsi="宋体" w:cs="宋体" w:eastAsia="宋体" w:hint="default"/>
                <w:sz w:val="18"/>
                <w:szCs w:val="18"/>
              </w:rPr>
            </w:pPr>
            <w:r>
              <w:rPr>
                <w:rFonts w:ascii="宋体" w:hAnsi="宋体" w:cs="宋体" w:eastAsia="宋体" w:hint="default"/>
                <w:sz w:val="18"/>
                <w:szCs w:val="18"/>
              </w:rPr>
              <w:t>原因</w:t>
            </w:r>
          </w:p>
        </w:tc>
      </w:tr>
      <w:tr>
        <w:trPr>
          <w:trHeight w:val="4542" w:hRule="exact"/>
        </w:trPr>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314" w:lineRule="auto"/>
              <w:ind w:left="24" w:right="89"/>
              <w:jc w:val="left"/>
              <w:rPr>
                <w:rFonts w:ascii="宋体" w:hAnsi="宋体" w:cs="宋体" w:eastAsia="宋体" w:hint="default"/>
                <w:sz w:val="18"/>
                <w:szCs w:val="18"/>
              </w:rPr>
            </w:pPr>
            <w:r>
              <w:rPr>
                <w:rFonts w:ascii="宋体" w:hAnsi="宋体" w:cs="宋体" w:eastAsia="宋体" w:hint="default"/>
                <w:sz w:val="18"/>
                <w:szCs w:val="18"/>
              </w:rPr>
              <w:t>股票和债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券的发行</w:t>
            </w:r>
          </w:p>
        </w:tc>
        <w:tc>
          <w:tcPr>
            <w:tcW w:w="6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both"/>
              <w:rPr>
                <w:rFonts w:ascii="宋体" w:hAnsi="宋体" w:cs="宋体" w:eastAsia="宋体" w:hint="default"/>
                <w:sz w:val="18"/>
                <w:szCs w:val="18"/>
              </w:rPr>
            </w:pPr>
            <w:r>
              <w:rPr>
                <w:rFonts w:ascii="宋体" w:hAnsi="宋体" w:cs="宋体" w:eastAsia="宋体" w:hint="default"/>
                <w:sz w:val="18"/>
                <w:szCs w:val="18"/>
              </w:rPr>
              <w:t>本公司拟在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9"/>
                <w:sz w:val="18"/>
                <w:szCs w:val="18"/>
              </w:rPr>
              <w:t> </w:t>
            </w:r>
            <w:r>
              <w:rPr>
                <w:rFonts w:ascii="宋体" w:hAnsi="宋体" w:cs="宋体" w:eastAsia="宋体" w:hint="default"/>
                <w:spacing w:val="-3"/>
                <w:sz w:val="18"/>
                <w:szCs w:val="18"/>
              </w:rPr>
              <w:t>年非公开发行股票，并经公司董事会和股东大会审议通过，取得了履</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行国有资产监督管理职责的主体同意，</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日，中国证券监督管理委员会</w:t>
            </w:r>
          </w:p>
          <w:p>
            <w:pPr>
              <w:pStyle w:val="TableParagraph"/>
              <w:spacing w:line="309" w:lineRule="auto" w:before="63"/>
              <w:ind w:left="24" w:right="17"/>
              <w:jc w:val="both"/>
              <w:rPr>
                <w:rFonts w:ascii="宋体" w:hAnsi="宋体" w:cs="宋体" w:eastAsia="宋体" w:hint="default"/>
                <w:sz w:val="18"/>
                <w:szCs w:val="18"/>
              </w:rPr>
            </w:pPr>
            <w:r>
              <w:rPr>
                <w:rFonts w:ascii="宋体" w:hAnsi="宋体" w:cs="宋体" w:eastAsia="宋体" w:hint="default"/>
                <w:sz w:val="18"/>
                <w:szCs w:val="18"/>
              </w:rPr>
              <w:t>发行审核委员会对贵公司</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pacing w:val="-3"/>
                <w:sz w:val="18"/>
                <w:szCs w:val="18"/>
              </w:rPr>
              <w:t>年度非公开发行股票申请进行了审核，</w:t>
            </w:r>
            <w:r>
              <w:rPr>
                <w:rFonts w:ascii="Times New Roman" w:hAnsi="Times New Roman" w:cs="Times New Roman" w:eastAsia="Times New Roman" w:hint="default"/>
                <w:spacing w:val="-3"/>
                <w:sz w:val="18"/>
                <w:szCs w:val="18"/>
              </w:rPr>
              <w:t>2020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3"/>
                <w:sz w:val="18"/>
                <w:szCs w:val="18"/>
              </w:rPr>
              <w:t> </w:t>
            </w:r>
            <w:r>
              <w:rPr>
                <w:rFonts w:ascii="宋体" w:hAnsi="宋体" w:cs="宋体" w:eastAsia="宋体" w:hint="default"/>
                <w:spacing w:val="-3"/>
                <w:sz w:val="18"/>
                <w:szCs w:val="18"/>
              </w:rPr>
              <w:t>日，公司收到中国证券监督管理委员会出具的《关于核准云南南天电子信息产业股份</w:t>
            </w:r>
            <w:r>
              <w:rPr>
                <w:rFonts w:ascii="宋体" w:hAnsi="宋体" w:cs="宋体" w:eastAsia="宋体" w:hint="default"/>
                <w:spacing w:val="19"/>
                <w:sz w:val="18"/>
                <w:szCs w:val="18"/>
              </w:rPr>
              <w:t> </w:t>
            </w:r>
            <w:r>
              <w:rPr>
                <w:rFonts w:ascii="宋体" w:hAnsi="宋体" w:cs="宋体" w:eastAsia="宋体" w:hint="default"/>
                <w:spacing w:val="19"/>
                <w:sz w:val="18"/>
                <w:szCs w:val="18"/>
              </w:rPr>
            </w:r>
            <w:r>
              <w:rPr>
                <w:rFonts w:ascii="宋体" w:hAnsi="宋体" w:cs="宋体" w:eastAsia="宋体" w:hint="default"/>
                <w:spacing w:val="-6"/>
                <w:w w:val="101"/>
                <w:sz w:val="18"/>
                <w:szCs w:val="18"/>
              </w:rPr>
              <w:t>有限公司非公开发行股票的批复》（证监许可〔</w:t>
            </w:r>
            <w:r>
              <w:rPr>
                <w:rFonts w:ascii="Times New Roman" w:hAnsi="Times New Roman" w:cs="Times New Roman" w:eastAsia="Times New Roman" w:hint="default"/>
                <w:spacing w:val="-6"/>
                <w:w w:val="101"/>
                <w:sz w:val="18"/>
                <w:szCs w:val="18"/>
              </w:rPr>
              <w:t>2020</w:t>
            </w:r>
            <w:r>
              <w:rPr>
                <w:rFonts w:ascii="宋体" w:hAnsi="宋体" w:cs="宋体" w:eastAsia="宋体" w:hint="default"/>
                <w:spacing w:val="-6"/>
                <w:w w:val="101"/>
                <w:sz w:val="18"/>
                <w:szCs w:val="18"/>
              </w:rPr>
              <w:t>〕</w:t>
            </w:r>
            <w:r>
              <w:rPr>
                <w:rFonts w:ascii="Times New Roman" w:hAnsi="Times New Roman" w:cs="Times New Roman" w:eastAsia="Times New Roman" w:hint="default"/>
                <w:spacing w:val="-6"/>
                <w:w w:val="101"/>
                <w:sz w:val="18"/>
                <w:szCs w:val="18"/>
              </w:rPr>
              <w:t>114</w:t>
            </w:r>
            <w:r>
              <w:rPr>
                <w:rFonts w:ascii="Times New Roman" w:hAnsi="Times New Roman" w:cs="Times New Roman" w:eastAsia="Times New Roman" w:hint="default"/>
                <w:w w:val="101"/>
                <w:sz w:val="18"/>
                <w:szCs w:val="18"/>
              </w:rPr>
              <w:t> </w:t>
            </w:r>
            <w:r>
              <w:rPr>
                <w:rFonts w:ascii="Times New Roman" w:hAnsi="Times New Roman" w:cs="Times New Roman" w:eastAsia="Times New Roman" w:hint="default"/>
                <w:spacing w:val="13"/>
                <w:w w:val="101"/>
                <w:sz w:val="18"/>
                <w:szCs w:val="18"/>
              </w:rPr>
              <w:t> </w:t>
            </w:r>
            <w:r>
              <w:rPr>
                <w:rFonts w:ascii="宋体" w:hAnsi="宋体" w:cs="宋体" w:eastAsia="宋体" w:hint="default"/>
                <w:spacing w:val="-32"/>
                <w:w w:val="101"/>
                <w:sz w:val="18"/>
                <w:szCs w:val="18"/>
              </w:rPr>
              <w:t>号）。</w:t>
            </w:r>
            <w:r>
              <w:rPr>
                <w:rFonts w:ascii="宋体" w:hAnsi="宋体" w:cs="宋体" w:eastAsia="宋体" w:hint="default"/>
                <w:spacing w:val="-32"/>
                <w:sz w:val="18"/>
                <w:szCs w:val="18"/>
              </w:rPr>
            </w:r>
          </w:p>
          <w:p>
            <w:pPr>
              <w:pStyle w:val="TableParagraph"/>
              <w:spacing w:line="240" w:lineRule="auto" w:before="86"/>
              <w:ind w:left="24" w:right="0"/>
              <w:jc w:val="both"/>
              <w:rPr>
                <w:rFonts w:ascii="宋体" w:hAnsi="宋体" w:cs="宋体" w:eastAsia="宋体" w:hint="default"/>
                <w:sz w:val="18"/>
                <w:szCs w:val="18"/>
              </w:rPr>
            </w:pPr>
            <w:r>
              <w:rPr>
                <w:rFonts w:ascii="宋体" w:hAnsi="宋体" w:cs="宋体" w:eastAsia="宋体" w:hint="default"/>
                <w:spacing w:val="-3"/>
                <w:sz w:val="18"/>
                <w:szCs w:val="18"/>
              </w:rPr>
              <w:t>本次非公开发行股票数量为 </w:t>
            </w:r>
            <w:r>
              <w:rPr>
                <w:rFonts w:ascii="Times New Roman" w:hAnsi="Times New Roman" w:cs="Times New Roman" w:eastAsia="Times New Roman" w:hint="default"/>
                <w:sz w:val="18"/>
                <w:szCs w:val="18"/>
              </w:rPr>
              <w:t>60,577,818 .00 </w:t>
            </w:r>
            <w:r>
              <w:rPr>
                <w:rFonts w:ascii="宋体" w:hAnsi="宋体" w:cs="宋体" w:eastAsia="宋体" w:hint="default"/>
                <w:spacing w:val="-3"/>
                <w:sz w:val="18"/>
                <w:szCs w:val="18"/>
              </w:rPr>
              <w:t>股，发行价格为 </w:t>
            </w:r>
            <w:r>
              <w:rPr>
                <w:rFonts w:ascii="Times New Roman" w:hAnsi="Times New Roman" w:cs="Times New Roman" w:eastAsia="Times New Roman" w:hint="default"/>
                <w:sz w:val="18"/>
                <w:szCs w:val="18"/>
              </w:rPr>
              <w:t>10.73</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元</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股，云南省工业投</w:t>
            </w:r>
          </w:p>
          <w:p>
            <w:pPr>
              <w:pStyle w:val="TableParagraph"/>
              <w:spacing w:line="240" w:lineRule="auto" w:before="58"/>
              <w:ind w:left="24" w:right="0"/>
              <w:jc w:val="both"/>
              <w:rPr>
                <w:rFonts w:ascii="宋体" w:hAnsi="宋体" w:cs="宋体" w:eastAsia="宋体" w:hint="default"/>
                <w:sz w:val="18"/>
                <w:szCs w:val="18"/>
              </w:rPr>
            </w:pPr>
            <w:r>
              <w:rPr>
                <w:rFonts w:ascii="宋体" w:hAnsi="宋体" w:cs="宋体" w:eastAsia="宋体" w:hint="default"/>
                <w:sz w:val="18"/>
                <w:szCs w:val="18"/>
              </w:rPr>
              <w:t>资控股集团有限责任公司认购 </w:t>
            </w:r>
            <w:r>
              <w:rPr>
                <w:rFonts w:ascii="Times New Roman" w:hAnsi="Times New Roman" w:cs="Times New Roman" w:eastAsia="Times New Roman" w:hint="default"/>
                <w:sz w:val="18"/>
                <w:szCs w:val="18"/>
              </w:rPr>
              <w:t>46,598,322.00</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股，上海境坦资产管理有限公司认购</w:t>
            </w:r>
          </w:p>
          <w:p>
            <w:pPr>
              <w:pStyle w:val="TableParagraph"/>
              <w:spacing w:line="240" w:lineRule="auto" w:before="63"/>
              <w:ind w:left="24"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4,659,832.00 </w:t>
            </w:r>
            <w:r>
              <w:rPr>
                <w:rFonts w:ascii="宋体" w:hAnsi="宋体" w:cs="宋体" w:eastAsia="宋体" w:hint="default"/>
                <w:spacing w:val="-3"/>
                <w:sz w:val="18"/>
                <w:szCs w:val="18"/>
              </w:rPr>
              <w:t>股，严亚春认购 </w:t>
            </w:r>
            <w:r>
              <w:rPr>
                <w:rFonts w:ascii="Times New Roman" w:hAnsi="Times New Roman" w:cs="Times New Roman" w:eastAsia="Times New Roman" w:hint="default"/>
                <w:sz w:val="18"/>
                <w:szCs w:val="18"/>
              </w:rPr>
              <w:t>4,659,832.00</w:t>
            </w:r>
            <w:r>
              <w:rPr>
                <w:rFonts w:ascii="Times New Roman" w:hAnsi="Times New Roman" w:cs="Times New Roman" w:eastAsia="Times New Roman" w:hint="default"/>
                <w:spacing w:val="24"/>
                <w:sz w:val="18"/>
                <w:szCs w:val="18"/>
              </w:rPr>
              <w:t> </w:t>
            </w:r>
            <w:r>
              <w:rPr>
                <w:rFonts w:ascii="宋体" w:hAnsi="宋体" w:cs="宋体" w:eastAsia="宋体" w:hint="default"/>
                <w:spacing w:val="-3"/>
                <w:sz w:val="18"/>
                <w:szCs w:val="18"/>
              </w:rPr>
              <w:t>股，吉富创业投资股份有限公司认购</w:t>
            </w:r>
          </w:p>
          <w:p>
            <w:pPr>
              <w:pStyle w:val="TableParagraph"/>
              <w:spacing w:line="240" w:lineRule="auto" w:before="63"/>
              <w:ind w:left="24"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4,659,832.00 </w:t>
            </w:r>
            <w:r>
              <w:rPr>
                <w:rFonts w:ascii="宋体" w:hAnsi="宋体" w:cs="宋体" w:eastAsia="宋体" w:hint="default"/>
                <w:spacing w:val="-8"/>
                <w:sz w:val="18"/>
                <w:szCs w:val="18"/>
              </w:rPr>
              <w:t>股，募集资金总额为 </w:t>
            </w:r>
            <w:r>
              <w:rPr>
                <w:rFonts w:ascii="Times New Roman" w:hAnsi="Times New Roman" w:cs="Times New Roman" w:eastAsia="Times New Roman" w:hint="default"/>
                <w:sz w:val="18"/>
                <w:szCs w:val="18"/>
              </w:rPr>
              <w:t>649,999,987.14  </w:t>
            </w:r>
            <w:r>
              <w:rPr>
                <w:rFonts w:ascii="Times New Roman" w:hAnsi="Times New Roman" w:cs="Times New Roman" w:eastAsia="Times New Roman" w:hint="default"/>
                <w:spacing w:val="28"/>
                <w:sz w:val="18"/>
                <w:szCs w:val="18"/>
              </w:rPr>
              <w:t> </w:t>
            </w:r>
            <w:r>
              <w:rPr>
                <w:rFonts w:ascii="宋体" w:hAnsi="宋体" w:cs="宋体" w:eastAsia="宋体" w:hint="default"/>
                <w:spacing w:val="-9"/>
                <w:sz w:val="18"/>
                <w:szCs w:val="18"/>
              </w:rPr>
              <w:t>元，扣除各项发行费用（不含税金</w:t>
            </w:r>
          </w:p>
          <w:p>
            <w:pPr>
              <w:pStyle w:val="TableParagraph"/>
              <w:spacing w:line="240" w:lineRule="auto" w:before="63"/>
              <w:ind w:left="24"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6,415,094.20  </w:t>
            </w:r>
            <w:r>
              <w:rPr>
                <w:rFonts w:ascii="宋体" w:hAnsi="宋体" w:cs="宋体" w:eastAsia="宋体" w:hint="default"/>
                <w:spacing w:val="-3"/>
                <w:sz w:val="18"/>
                <w:szCs w:val="18"/>
              </w:rPr>
              <w:t>元后，实际募集资金净额为人民币 </w:t>
            </w:r>
            <w:r>
              <w:rPr>
                <w:rFonts w:ascii="Times New Roman" w:hAnsi="Times New Roman" w:cs="Times New Roman" w:eastAsia="Times New Roman" w:hint="default"/>
                <w:sz w:val="18"/>
                <w:szCs w:val="18"/>
              </w:rPr>
              <w:t>643,584,892.94  </w:t>
            </w:r>
            <w:r>
              <w:rPr>
                <w:rFonts w:ascii="Times New Roman" w:hAnsi="Times New Roman" w:cs="Times New Roman" w:eastAsia="Times New Roman" w:hint="default"/>
                <w:spacing w:val="27"/>
                <w:sz w:val="18"/>
                <w:szCs w:val="18"/>
              </w:rPr>
              <w:t> </w:t>
            </w:r>
            <w:r>
              <w:rPr>
                <w:rFonts w:ascii="宋体" w:hAnsi="宋体" w:cs="宋体" w:eastAsia="宋体" w:hint="default"/>
                <w:spacing w:val="-3"/>
                <w:sz w:val="18"/>
                <w:szCs w:val="18"/>
              </w:rPr>
              <w:t>元。本次募集资金已</w:t>
            </w:r>
          </w:p>
          <w:p>
            <w:pPr>
              <w:pStyle w:val="TableParagraph"/>
              <w:spacing w:line="240" w:lineRule="auto" w:before="63"/>
              <w:ind w:left="24" w:right="0"/>
              <w:jc w:val="both"/>
              <w:rPr>
                <w:rFonts w:ascii="Times New Roman" w:hAnsi="Times New Roman" w:cs="Times New Roman" w:eastAsia="Times New Roman" w:hint="default"/>
                <w:sz w:val="18"/>
                <w:szCs w:val="18"/>
              </w:rPr>
            </w:pPr>
            <w:r>
              <w:rPr>
                <w:rFonts w:ascii="宋体" w:hAnsi="宋体" w:cs="宋体" w:eastAsia="宋体" w:hint="default"/>
                <w:spacing w:val="-3"/>
                <w:sz w:val="18"/>
                <w:szCs w:val="18"/>
              </w:rPr>
              <w:t>由主承销商中信建投证券股份有限公司扣除承销费 </w:t>
            </w:r>
            <w:r>
              <w:rPr>
                <w:rFonts w:ascii="Times New Roman" w:hAnsi="Times New Roman" w:cs="Times New Roman" w:eastAsia="Times New Roman" w:hint="default"/>
                <w:sz w:val="18"/>
                <w:szCs w:val="18"/>
              </w:rPr>
              <w:t>5,249,999.85  </w:t>
            </w:r>
            <w:r>
              <w:rPr>
                <w:rFonts w:ascii="宋体" w:hAnsi="宋体" w:cs="宋体" w:eastAsia="宋体" w:hint="default"/>
                <w:sz w:val="18"/>
                <w:szCs w:val="18"/>
              </w:rPr>
              <w:t>元后于 </w:t>
            </w: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3</w:t>
            </w:r>
          </w:p>
          <w:p>
            <w:pPr>
              <w:pStyle w:val="TableParagraph"/>
              <w:spacing w:line="309" w:lineRule="auto" w:before="63"/>
              <w:ind w:left="24" w:right="110"/>
              <w:jc w:val="both"/>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41"/>
                <w:sz w:val="18"/>
                <w:szCs w:val="18"/>
              </w:rPr>
              <w:t> </w:t>
            </w:r>
            <w:r>
              <w:rPr>
                <w:rFonts w:ascii="宋体" w:hAnsi="宋体" w:cs="宋体" w:eastAsia="宋体" w:hint="default"/>
                <w:spacing w:val="-3"/>
                <w:sz w:val="18"/>
                <w:szCs w:val="18"/>
              </w:rPr>
              <w:t>日汇入公司在中国光大银行股份有限公司昆明分行营业部设立的募集资金专项</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3"/>
                <w:sz w:val="18"/>
                <w:szCs w:val="18"/>
              </w:rPr>
              <w:t>账户。中审众环会计师事务所（特殊普通合伙）已对公司本次非公开发行股票募集资</w:t>
            </w:r>
            <w:r>
              <w:rPr>
                <w:rFonts w:ascii="宋体" w:hAnsi="宋体" w:cs="宋体" w:eastAsia="宋体" w:hint="default"/>
                <w:spacing w:val="19"/>
                <w:sz w:val="18"/>
                <w:szCs w:val="18"/>
              </w:rPr>
              <w:t> </w:t>
            </w:r>
            <w:r>
              <w:rPr>
                <w:rFonts w:ascii="宋体" w:hAnsi="宋体" w:cs="宋体" w:eastAsia="宋体" w:hint="default"/>
                <w:spacing w:val="19"/>
                <w:sz w:val="18"/>
                <w:szCs w:val="18"/>
              </w:rPr>
            </w:r>
            <w:r>
              <w:rPr>
                <w:rFonts w:ascii="宋体" w:hAnsi="宋体" w:cs="宋体" w:eastAsia="宋体" w:hint="default"/>
                <w:spacing w:val="-2"/>
                <w:w w:val="101"/>
                <w:sz w:val="18"/>
                <w:szCs w:val="18"/>
              </w:rPr>
              <w:t>金到位情况进行了审验，并出具了众环验字（</w:t>
            </w:r>
            <w:r>
              <w:rPr>
                <w:rFonts w:ascii="Times New Roman" w:hAnsi="Times New Roman" w:cs="Times New Roman" w:eastAsia="Times New Roman" w:hint="default"/>
                <w:spacing w:val="-2"/>
                <w:w w:val="101"/>
                <w:sz w:val="18"/>
                <w:szCs w:val="18"/>
              </w:rPr>
              <w:t>2020</w:t>
            </w:r>
            <w:r>
              <w:rPr>
                <w:rFonts w:ascii="宋体" w:hAnsi="宋体" w:cs="宋体" w:eastAsia="宋体" w:hint="default"/>
                <w:spacing w:val="-2"/>
                <w:w w:val="101"/>
                <w:sz w:val="18"/>
                <w:szCs w:val="18"/>
              </w:rPr>
              <w:t>）</w:t>
            </w:r>
            <w:r>
              <w:rPr>
                <w:rFonts w:ascii="Times New Roman" w:hAnsi="Times New Roman" w:cs="Times New Roman" w:eastAsia="Times New Roman" w:hint="default"/>
                <w:spacing w:val="-2"/>
                <w:w w:val="101"/>
                <w:sz w:val="18"/>
                <w:szCs w:val="18"/>
              </w:rPr>
              <w:t>160002</w:t>
            </w:r>
            <w:r>
              <w:rPr>
                <w:rFonts w:ascii="Times New Roman" w:hAnsi="Times New Roman" w:cs="Times New Roman" w:eastAsia="Times New Roman" w:hint="default"/>
                <w:w w:val="101"/>
                <w:sz w:val="18"/>
                <w:szCs w:val="18"/>
              </w:rPr>
              <w:t> </w:t>
            </w:r>
            <w:r>
              <w:rPr>
                <w:rFonts w:ascii="Times New Roman" w:hAnsi="Times New Roman" w:cs="Times New Roman" w:eastAsia="Times New Roman" w:hint="default"/>
                <w:spacing w:val="2"/>
                <w:w w:val="101"/>
                <w:sz w:val="18"/>
                <w:szCs w:val="18"/>
              </w:rPr>
              <w:t> </w:t>
            </w:r>
            <w:r>
              <w:rPr>
                <w:rFonts w:ascii="宋体" w:hAnsi="宋体" w:cs="宋体" w:eastAsia="宋体" w:hint="default"/>
                <w:spacing w:val="-14"/>
                <w:w w:val="101"/>
                <w:sz w:val="18"/>
                <w:szCs w:val="18"/>
              </w:rPr>
              <w:t>号《验资报告》。</w:t>
            </w:r>
            <w:r>
              <w:rPr>
                <w:rFonts w:ascii="宋体" w:hAnsi="宋体" w:cs="宋体" w:eastAsia="宋体" w:hint="default"/>
                <w:spacing w:val="-14"/>
                <w:sz w:val="18"/>
                <w:szCs w:val="18"/>
              </w:rPr>
            </w:r>
          </w:p>
        </w:tc>
        <w:tc>
          <w:tcPr>
            <w:tcW w:w="67" w:type="dxa"/>
            <w:tcBorders>
              <w:top w:val="single" w:sz="4" w:space="0" w:color="000000"/>
              <w:left w:val="single" w:sz="4" w:space="0" w:color="000000"/>
              <w:bottom w:val="single" w:sz="4" w:space="0" w:color="000000"/>
              <w:right w:val="nil" w:sz="6" w:space="0" w:color="auto"/>
            </w:tcBorders>
          </w:tcPr>
          <w:p>
            <w:pPr/>
          </w:p>
        </w:tc>
        <w:tc>
          <w:tcPr>
            <w:tcW w:w="1067"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13"/>
              <w:jc w:val="right"/>
              <w:rPr>
                <w:rFonts w:ascii="Times New Roman" w:hAnsi="Times New Roman" w:cs="Times New Roman" w:eastAsia="Times New Roman" w:hint="default"/>
                <w:sz w:val="18"/>
                <w:szCs w:val="18"/>
              </w:rPr>
            </w:pPr>
            <w:r>
              <w:rPr>
                <w:rFonts w:ascii="Times New Roman"/>
                <w:spacing w:val="-1"/>
                <w:sz w:val="18"/>
              </w:rPr>
              <w:t>643,584,892.9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r>
    </w:tbl>
    <w:p>
      <w:pPr>
        <w:spacing w:line="240" w:lineRule="auto" w:before="3"/>
        <w:rPr>
          <w:rFonts w:ascii="宋体" w:hAnsi="宋体" w:cs="宋体" w:eastAsia="宋体" w:hint="default"/>
          <w:sz w:val="19"/>
          <w:szCs w:val="19"/>
        </w:rPr>
      </w:pPr>
    </w:p>
    <w:p>
      <w:pPr>
        <w:pStyle w:val="Heading4"/>
        <w:spacing w:line="240" w:lineRule="auto" w:before="36"/>
        <w:ind w:right="855"/>
        <w:jc w:val="left"/>
        <w:rPr>
          <w:b w:val="0"/>
          <w:bCs w:val="0"/>
        </w:rPr>
      </w:pPr>
      <w:r>
        <w:rPr/>
        <w:pict>
          <v:shape style="position:absolute;margin-left:424.463043pt;margin-top:-239.686325pt;width:71.6pt;height:226.65pt;mso-position-horizontal-relative:page;mso-position-vertical-relative:paragraph;z-index:-981736"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0"/>
                      <w:szCs w:val="20"/>
                    </w:rPr>
                  </w:pPr>
                </w:p>
                <w:p>
                  <w:pPr>
                    <w:pStyle w:val="BodyText"/>
                    <w:spacing w:line="240" w:lineRule="auto"/>
                    <w:ind w:left="0" w:right="0"/>
                    <w:jc w:val="left"/>
                  </w:pPr>
                  <w:r>
                    <w:rPr/>
                    <w:t>额）</w:t>
                  </w:r>
                </w:p>
              </w:txbxContent>
            </v:textbox>
            <w10:wrap type="none"/>
          </v:shape>
        </w:pict>
      </w:r>
      <w:r>
        <w:rPr/>
        <w:pict>
          <v:group style="position:absolute;margin-left:439.869995pt;margin-top:-239.686325pt;width:56.2pt;height:226.65pt;mso-position-horizontal-relative:page;mso-position-vertical-relative:paragraph;z-index:-981712" coordorigin="8797,-4794" coordsize="1124,4533">
            <v:group style="position:absolute;left:8797;top:-4794;width:1124;height:4533" coordorigin="8797,-4794" coordsize="1124,4533">
              <v:shape style="position:absolute;left:8797;top:-4794;width:1124;height:4533" coordorigin="8797,-4794" coordsize="1124,4533" path="m8797,-261l9921,-261,9921,-4794,8797,-4794,8797,-261xe" filled="true" fillcolor="#ffffff" stroked="false">
                <v:path arrowok="t"/>
                <v:fill type="solid"/>
              </v:shape>
            </v:group>
            <v:group style="position:absolute;left:8821;top:-2878;width:1076;height:351" coordorigin="8821,-2878" coordsize="1076,351">
              <v:shape style="position:absolute;left:8821;top:-2878;width:1076;height:351" coordorigin="8821,-2878" coordsize="1076,351" path="m8821,-2528l9897,-2528,9897,-2878,8821,-2878,8821,-2528xe" filled="true" fillcolor="#ffffff" stroked="false">
                <v:path arrowok="t"/>
                <v:fill type="solid"/>
              </v:shape>
            </v:group>
            <v:group style="position:absolute;left:8821;top:-2528;width:1076;height:351" coordorigin="8821,-2528" coordsize="1076,351">
              <v:shape style="position:absolute;left:8821;top:-2528;width:1076;height:351" coordorigin="8821,-2528" coordsize="1076,351" path="m8821,-2177l9897,-2177,9897,-2528,8821,-2528,8821,-2177xe" filled="true" fillcolor="#ffffff" stroked="false">
                <v:path arrowok="t"/>
                <v:fill type="solid"/>
              </v:shape>
            </v:group>
            <w10:wrap type="none"/>
          </v:group>
        </w:pict>
      </w:r>
      <w:r>
        <w:rPr>
          <w:rFonts w:ascii="Times New Roman" w:hAnsi="Times New Roman" w:cs="Times New Roman" w:eastAsia="Times New Roman" w:hint="default"/>
        </w:rPr>
        <w:t>2</w:t>
      </w:r>
      <w:r>
        <w:rPr/>
        <w:t>、利润分配情况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6"/>
        <w:ind w:left="0" w:right="1121"/>
        <w:jc w:val="right"/>
      </w:pPr>
      <w:r>
        <w:rPr/>
        <w:t>单位：</w:t>
      </w:r>
      <w:r>
        <w:rPr>
          <w:spacing w:val="5"/>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984"/>
        <w:gridCol w:w="4586"/>
      </w:tblGrid>
      <w:tr>
        <w:trPr>
          <w:trHeight w:val="398"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拟分配的利润或股利</w:t>
            </w:r>
          </w:p>
        </w:tc>
        <w:tc>
          <w:tcPr>
            <w:tcW w:w="4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19,058,283.85</w:t>
            </w:r>
          </w:p>
        </w:tc>
      </w:tr>
      <w:tr>
        <w:trPr>
          <w:trHeight w:val="403"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经审议批准宣告发放的利润或股利</w:t>
            </w:r>
          </w:p>
        </w:tc>
        <w:tc>
          <w:tcPr>
            <w:tcW w:w="4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19,058,283.85</w:t>
            </w:r>
          </w:p>
        </w:tc>
      </w:tr>
    </w:tbl>
    <w:p>
      <w:pPr>
        <w:spacing w:line="240" w:lineRule="auto" w:before="3"/>
        <w:rPr>
          <w:rFonts w:ascii="宋体" w:hAnsi="宋体" w:cs="宋体" w:eastAsia="宋体" w:hint="default"/>
          <w:sz w:val="19"/>
          <w:szCs w:val="19"/>
        </w:rPr>
      </w:pPr>
    </w:p>
    <w:p>
      <w:pPr>
        <w:pStyle w:val="Heading4"/>
        <w:spacing w:line="240" w:lineRule="auto" w:before="36"/>
        <w:ind w:right="855"/>
        <w:jc w:val="left"/>
        <w:rPr>
          <w:b w:val="0"/>
          <w:bCs w:val="0"/>
        </w:rPr>
      </w:pPr>
      <w:r>
        <w:rPr>
          <w:rFonts w:ascii="Times New Roman" w:hAnsi="Times New Roman" w:cs="Times New Roman" w:eastAsia="Times New Roman" w:hint="default"/>
        </w:rPr>
        <w:t>3</w:t>
      </w:r>
      <w:r>
        <w:rPr/>
        <w:t>、其他资产负债表日后事项说明</w:t>
      </w:r>
      <w:r>
        <w:rPr>
          <w:b w:val="0"/>
          <w:bCs w:val="0"/>
        </w:rPr>
      </w:r>
    </w:p>
    <w:p>
      <w:pPr>
        <w:spacing w:line="240" w:lineRule="auto" w:before="5"/>
        <w:rPr>
          <w:rFonts w:ascii="宋体" w:hAnsi="宋体" w:cs="宋体" w:eastAsia="宋体" w:hint="default"/>
          <w:b/>
          <w:bCs/>
          <w:sz w:val="26"/>
          <w:szCs w:val="26"/>
        </w:rPr>
      </w:pPr>
    </w:p>
    <w:p>
      <w:pPr>
        <w:pStyle w:val="BodyText"/>
        <w:spacing w:line="300" w:lineRule="auto"/>
        <w:ind w:right="855" w:firstLine="360"/>
        <w:jc w:val="left"/>
      </w:pPr>
      <w:r>
        <w:rPr>
          <w:spacing w:val="-2"/>
        </w:rPr>
        <w:t>公司拟以</w:t>
      </w:r>
      <w:r>
        <w:rPr>
          <w:rFonts w:ascii="Times New Roman" w:hAnsi="Times New Roman" w:cs="Times New Roman" w:eastAsia="Times New Roman" w:hint="default"/>
          <w:spacing w:val="-2"/>
        </w:rPr>
        <w:t>2020</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10</w:t>
      </w:r>
      <w:r>
        <w:rPr>
          <w:spacing w:val="-2"/>
        </w:rPr>
        <w:t>日的总股本</w:t>
      </w:r>
      <w:r>
        <w:rPr>
          <w:rFonts w:ascii="Times New Roman" w:hAnsi="Times New Roman" w:cs="Times New Roman" w:eastAsia="Times New Roman" w:hint="default"/>
          <w:spacing w:val="-2"/>
        </w:rPr>
        <w:t>381,165,677</w:t>
      </w:r>
      <w:r>
        <w:rPr>
          <w:spacing w:val="-2"/>
        </w:rPr>
        <w:t>股为基数，向全体股东每</w:t>
      </w:r>
      <w:r>
        <w:rPr>
          <w:rFonts w:ascii="Times New Roman" w:hAnsi="Times New Roman" w:cs="Times New Roman" w:eastAsia="Times New Roman" w:hint="default"/>
          <w:spacing w:val="-2"/>
        </w:rPr>
        <w:t>10</w:t>
      </w:r>
      <w:r>
        <w:rPr>
          <w:spacing w:val="-2"/>
        </w:rPr>
        <w:t>股派发现金红利</w:t>
      </w:r>
      <w:r>
        <w:rPr>
          <w:rFonts w:ascii="Times New Roman" w:hAnsi="Times New Roman" w:cs="Times New Roman" w:eastAsia="Times New Roman" w:hint="default"/>
          <w:spacing w:val="-2"/>
        </w:rPr>
        <w:t>0.50</w:t>
      </w:r>
      <w:r>
        <w:rPr>
          <w:spacing w:val="-2"/>
        </w:rPr>
        <w:t>元（含税），合计派发现</w:t>
      </w:r>
      <w:r>
        <w:rPr>
          <w:w w:val="101"/>
        </w:rPr>
        <w:t> </w:t>
      </w:r>
      <w:r>
        <w:rPr/>
        <w:t>金红利</w:t>
      </w:r>
      <w:r>
        <w:rPr>
          <w:rFonts w:ascii="Times New Roman" w:hAnsi="Times New Roman" w:cs="Times New Roman" w:eastAsia="Times New Roman" w:hint="default"/>
        </w:rPr>
        <w:t>19,058,283.85</w:t>
      </w:r>
      <w:r>
        <w:rPr/>
        <w:t>元（含税）。</w:t>
      </w:r>
    </w:p>
    <w:p>
      <w:pPr>
        <w:pStyle w:val="BodyText"/>
        <w:spacing w:line="240" w:lineRule="auto" w:before="13"/>
        <w:ind w:left="513" w:right="855"/>
        <w:jc w:val="left"/>
      </w:pPr>
      <w:r>
        <w:rPr>
          <w:spacing w:val="-3"/>
        </w:rPr>
        <w:t>本议案已经第七届董事会第二十九次会议通过，尚待提交股东大会审议。</w:t>
      </w:r>
    </w:p>
    <w:p>
      <w:pPr>
        <w:spacing w:line="240" w:lineRule="auto" w:before="1"/>
        <w:rPr>
          <w:rFonts w:ascii="宋体" w:hAnsi="宋体" w:cs="宋体" w:eastAsia="宋体" w:hint="default"/>
          <w:sz w:val="25"/>
          <w:szCs w:val="25"/>
        </w:rPr>
      </w:pPr>
    </w:p>
    <w:p>
      <w:pPr>
        <w:pStyle w:val="Heading2"/>
        <w:spacing w:line="240" w:lineRule="auto"/>
        <w:ind w:right="855"/>
        <w:jc w:val="left"/>
        <w:rPr>
          <w:b w:val="0"/>
          <w:bCs w:val="0"/>
        </w:rPr>
      </w:pPr>
      <w:r>
        <w:rPr/>
        <w:t>十五、母公司财务报表主要项目注释</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855"/>
        <w:jc w:val="left"/>
        <w:rPr>
          <w:b w:val="0"/>
          <w:bCs w:val="0"/>
        </w:rPr>
      </w:pPr>
      <w:r>
        <w:rPr>
          <w:rFonts w:ascii="Times New Roman" w:hAnsi="Times New Roman" w:cs="Times New Roman" w:eastAsia="Times New Roman" w:hint="default"/>
        </w:rPr>
        <w:t>1</w:t>
      </w:r>
      <w:r>
        <w:rPr/>
        <w:t>、应收账款</w:t>
      </w:r>
      <w:r>
        <w:rPr>
          <w:b w:val="0"/>
          <w:bCs w:val="0"/>
        </w:rPr>
      </w:r>
    </w:p>
    <w:p>
      <w:pPr>
        <w:spacing w:line="240" w:lineRule="auto" w:before="5"/>
        <w:rPr>
          <w:rFonts w:ascii="宋体" w:hAnsi="宋体" w:cs="宋体" w:eastAsia="宋体" w:hint="default"/>
          <w:b/>
          <w:bCs/>
          <w:sz w:val="24"/>
          <w:szCs w:val="24"/>
        </w:rPr>
      </w:pPr>
    </w:p>
    <w:p>
      <w:pPr>
        <w:spacing w:before="0"/>
        <w:ind w:left="153" w:right="85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）应收账款分类披露</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pStyle w:val="BodyText"/>
        <w:spacing w:line="240" w:lineRule="auto"/>
        <w:ind w:left="0" w:right="1121"/>
        <w:jc w:val="right"/>
      </w:pPr>
      <w:r>
        <w:rPr/>
        <w:t>单位：</w:t>
      </w:r>
      <w:r>
        <w:rPr>
          <w:spacing w:val="5"/>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37"/>
        <w:gridCol w:w="764"/>
        <w:gridCol w:w="759"/>
        <w:gridCol w:w="763"/>
        <w:gridCol w:w="764"/>
        <w:gridCol w:w="788"/>
        <w:gridCol w:w="778"/>
        <w:gridCol w:w="797"/>
        <w:gridCol w:w="797"/>
        <w:gridCol w:w="793"/>
        <w:gridCol w:w="931"/>
      </w:tblGrid>
      <w:tr>
        <w:trPr>
          <w:trHeight w:val="394" w:hRule="exact"/>
        </w:trPr>
        <w:tc>
          <w:tcPr>
            <w:tcW w:w="16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left="5"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7"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6"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8" w:hRule="exact"/>
        </w:trPr>
        <w:tc>
          <w:tcPr>
            <w:tcW w:w="1637" w:type="dxa"/>
            <w:vMerge/>
            <w:tcBorders>
              <w:left w:val="single" w:sz="4" w:space="0" w:color="000000"/>
              <w:right w:val="single" w:sz="4" w:space="0" w:color="000000"/>
            </w:tcBorders>
            <w:shd w:val="clear" w:color="auto" w:fill="D2D2D2"/>
          </w:tcPr>
          <w:p>
            <w:pPr/>
          </w:p>
        </w:tc>
        <w:tc>
          <w:tcPr>
            <w:tcW w:w="15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7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2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2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21" w:hRule="exact"/>
        </w:trPr>
        <w:tc>
          <w:tcPr>
            <w:tcW w:w="1637" w:type="dxa"/>
            <w:vMerge/>
            <w:tcBorders>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88" w:right="103" w:hanging="183"/>
              <w:jc w:val="left"/>
              <w:rPr>
                <w:rFonts w:ascii="宋体" w:hAnsi="宋体" w:cs="宋体" w:eastAsia="宋体" w:hint="default"/>
                <w:sz w:val="18"/>
                <w:szCs w:val="18"/>
              </w:rPr>
            </w:pPr>
            <w:r>
              <w:rPr>
                <w:rFonts w:ascii="宋体" w:hAnsi="宋体" w:cs="宋体" w:eastAsia="宋体" w:hint="default"/>
                <w:sz w:val="18"/>
                <w:szCs w:val="18"/>
              </w:rPr>
              <w:t>计提比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例</w:t>
            </w:r>
          </w:p>
        </w:tc>
        <w:tc>
          <w:tcPr>
            <w:tcW w:w="788" w:type="dxa"/>
            <w:vMerge/>
            <w:tcBorders>
              <w:left w:val="single" w:sz="4" w:space="0" w:color="000000"/>
              <w:bottom w:val="single" w:sz="4" w:space="0" w:color="000000"/>
              <w:right w:val="single" w:sz="4" w:space="0" w:color="000000"/>
            </w:tcBorders>
            <w:shd w:val="clear" w:color="auto" w:fill="D2D2D2"/>
          </w:tcPr>
          <w:p>
            <w:pP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27"/>
              <w:jc w:val="right"/>
              <w:rPr>
                <w:rFonts w:ascii="宋体" w:hAnsi="宋体" w:cs="宋体" w:eastAsia="宋体" w:hint="default"/>
                <w:sz w:val="18"/>
                <w:szCs w:val="18"/>
              </w:rPr>
            </w:pPr>
            <w:r>
              <w:rPr>
                <w:rFonts w:ascii="宋体" w:hAnsi="宋体" w:cs="宋体" w:eastAsia="宋体" w:hint="default"/>
                <w:spacing w:val="-2"/>
                <w:sz w:val="18"/>
                <w:szCs w:val="18"/>
              </w:rPr>
              <w:t>计提比例</w:t>
            </w: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398" w:hRule="exact"/>
        </w:trPr>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5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98" w:hRule="exact"/>
        </w:trPr>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24" w:right="0"/>
              <w:jc w:val="left"/>
              <w:rPr>
                <w:rFonts w:ascii="宋体" w:hAnsi="宋体" w:cs="宋体" w:eastAsia="宋体" w:hint="default"/>
                <w:sz w:val="18"/>
                <w:szCs w:val="18"/>
              </w:rPr>
            </w:pPr>
            <w:r>
              <w:rPr>
                <w:rFonts w:ascii="宋体" w:hAnsi="宋体" w:cs="宋体" w:eastAsia="宋体" w:hint="default"/>
                <w:sz w:val="18"/>
                <w:szCs w:val="18"/>
              </w:rPr>
              <w:t>按组合计提坏账准</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79" w:right="0"/>
              <w:jc w:val="center"/>
              <w:rPr>
                <w:rFonts w:ascii="Times New Roman" w:hAnsi="Times New Roman" w:cs="Times New Roman" w:eastAsia="Times New Roman" w:hint="default"/>
                <w:sz w:val="18"/>
                <w:szCs w:val="18"/>
              </w:rPr>
            </w:pPr>
            <w:r>
              <w:rPr>
                <w:rFonts w:ascii="Times New Roman"/>
                <w:sz w:val="18"/>
              </w:rPr>
              <w:t>438,705,</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9" w:right="0"/>
              <w:jc w:val="center"/>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81" w:right="0"/>
              <w:jc w:val="center"/>
              <w:rPr>
                <w:rFonts w:ascii="Times New Roman" w:hAnsi="Times New Roman" w:cs="Times New Roman" w:eastAsia="Times New Roman" w:hint="default"/>
                <w:sz w:val="18"/>
                <w:szCs w:val="18"/>
              </w:rPr>
            </w:pPr>
            <w:r>
              <w:rPr>
                <w:rFonts w:ascii="Times New Roman"/>
                <w:sz w:val="18"/>
              </w:rPr>
              <w:t>63,753,4</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73" w:right="0"/>
              <w:jc w:val="left"/>
              <w:rPr>
                <w:rFonts w:ascii="Times New Roman" w:hAnsi="Times New Roman" w:cs="Times New Roman" w:eastAsia="Times New Roman" w:hint="default"/>
                <w:sz w:val="18"/>
                <w:szCs w:val="18"/>
              </w:rPr>
            </w:pPr>
            <w:r>
              <w:rPr>
                <w:rFonts w:ascii="Times New Roman"/>
                <w:sz w:val="18"/>
              </w:rPr>
              <w:t>14.53%</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38" w:right="0"/>
              <w:jc w:val="left"/>
              <w:rPr>
                <w:rFonts w:ascii="Times New Roman" w:hAnsi="Times New Roman" w:cs="Times New Roman" w:eastAsia="Times New Roman" w:hint="default"/>
                <w:sz w:val="18"/>
                <w:szCs w:val="18"/>
              </w:rPr>
            </w:pPr>
            <w:r>
              <w:rPr>
                <w:rFonts w:ascii="Times New Roman"/>
                <w:sz w:val="18"/>
              </w:rPr>
              <w:t>374,951,9</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4" w:right="0"/>
              <w:jc w:val="center"/>
              <w:rPr>
                <w:rFonts w:ascii="Times New Roman" w:hAnsi="Times New Roman" w:cs="Times New Roman" w:eastAsia="Times New Roman" w:hint="default"/>
                <w:sz w:val="18"/>
                <w:szCs w:val="18"/>
              </w:rPr>
            </w:pPr>
            <w:r>
              <w:rPr>
                <w:rFonts w:ascii="Times New Roman"/>
                <w:sz w:val="18"/>
              </w:rPr>
              <w:t>416,807,6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9" w:right="0"/>
              <w:jc w:val="center"/>
              <w:rPr>
                <w:rFonts w:ascii="Times New Roman" w:hAnsi="Times New Roman" w:cs="Times New Roman" w:eastAsia="Times New Roman" w:hint="default"/>
                <w:sz w:val="18"/>
                <w:szCs w:val="18"/>
              </w:rPr>
            </w:pPr>
            <w:r>
              <w:rPr>
                <w:rFonts w:ascii="Times New Roman"/>
                <w:sz w:val="18"/>
              </w:rPr>
              <w:t>100.00%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32" w:right="0"/>
              <w:jc w:val="center"/>
              <w:rPr>
                <w:rFonts w:ascii="Times New Roman" w:hAnsi="Times New Roman" w:cs="Times New Roman" w:eastAsia="Times New Roman" w:hint="default"/>
                <w:sz w:val="18"/>
                <w:szCs w:val="18"/>
              </w:rPr>
            </w:pPr>
            <w:r>
              <w:rPr>
                <w:rFonts w:ascii="Times New Roman"/>
                <w:sz w:val="18"/>
              </w:rPr>
              <w:t>55,141,18</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13.23%</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91" w:right="0"/>
              <w:jc w:val="left"/>
              <w:rPr>
                <w:rFonts w:ascii="Times New Roman" w:hAnsi="Times New Roman" w:cs="Times New Roman" w:eastAsia="Times New Roman" w:hint="default"/>
                <w:sz w:val="18"/>
                <w:szCs w:val="18"/>
              </w:rPr>
            </w:pPr>
            <w:r>
              <w:rPr>
                <w:rFonts w:ascii="Times New Roman"/>
                <w:sz w:val="18"/>
              </w:rPr>
              <w:t>361,666,42</w:t>
            </w:r>
          </w:p>
        </w:tc>
      </w:tr>
    </w:tbl>
    <w:p>
      <w:pPr>
        <w:spacing w:after="0" w:line="240" w:lineRule="auto"/>
        <w:jc w:val="left"/>
        <w:rPr>
          <w:rFonts w:ascii="Times New Roman" w:hAnsi="Times New Roman" w:cs="Times New Roman" w:eastAsia="Times New Roman" w:hint="default"/>
          <w:sz w:val="18"/>
          <w:szCs w:val="18"/>
        </w:rPr>
        <w:sectPr>
          <w:pgSz w:w="11910" w:h="16840"/>
          <w:pgMar w:header="746" w:footer="974"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637"/>
        <w:gridCol w:w="764"/>
        <w:gridCol w:w="759"/>
        <w:gridCol w:w="763"/>
        <w:gridCol w:w="764"/>
        <w:gridCol w:w="788"/>
        <w:gridCol w:w="778"/>
        <w:gridCol w:w="797"/>
        <w:gridCol w:w="797"/>
        <w:gridCol w:w="793"/>
        <w:gridCol w:w="931"/>
      </w:tblGrid>
      <w:tr>
        <w:trPr>
          <w:trHeight w:val="360" w:hRule="exact"/>
        </w:trPr>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备的应收账款</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5" w:right="0"/>
              <w:jc w:val="left"/>
              <w:rPr>
                <w:rFonts w:ascii="Times New Roman" w:hAnsi="Times New Roman" w:cs="Times New Roman" w:eastAsia="Times New Roman" w:hint="default"/>
                <w:sz w:val="18"/>
                <w:szCs w:val="18"/>
              </w:rPr>
            </w:pPr>
            <w:r>
              <w:rPr>
                <w:rFonts w:ascii="Times New Roman"/>
                <w:sz w:val="18"/>
              </w:rPr>
              <w:t>474.10</w:t>
            </w:r>
          </w:p>
        </w:tc>
        <w:tc>
          <w:tcPr>
            <w:tcW w:w="759"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26" w:right="0"/>
              <w:jc w:val="left"/>
              <w:rPr>
                <w:rFonts w:ascii="Times New Roman" w:hAnsi="Times New Roman" w:cs="Times New Roman" w:eastAsia="Times New Roman" w:hint="default"/>
                <w:sz w:val="18"/>
                <w:szCs w:val="18"/>
              </w:rPr>
            </w:pPr>
            <w:r>
              <w:rPr>
                <w:rFonts w:ascii="Times New Roman"/>
                <w:sz w:val="18"/>
              </w:rPr>
              <w:t>80.90</w:t>
            </w:r>
          </w:p>
        </w:tc>
        <w:tc>
          <w:tcPr>
            <w:tcW w:w="764"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55" w:right="0"/>
              <w:jc w:val="left"/>
              <w:rPr>
                <w:rFonts w:ascii="Times New Roman" w:hAnsi="Times New Roman" w:cs="Times New Roman" w:eastAsia="Times New Roman" w:hint="default"/>
                <w:sz w:val="18"/>
                <w:szCs w:val="18"/>
              </w:rPr>
            </w:pPr>
            <w:r>
              <w:rPr>
                <w:rFonts w:ascii="Times New Roman"/>
                <w:sz w:val="18"/>
              </w:rPr>
              <w:t>93.20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40" w:right="0"/>
              <w:jc w:val="left"/>
              <w:rPr>
                <w:rFonts w:ascii="Times New Roman" w:hAnsi="Times New Roman" w:cs="Times New Roman" w:eastAsia="Times New Roman" w:hint="default"/>
                <w:sz w:val="18"/>
                <w:szCs w:val="18"/>
              </w:rPr>
            </w:pPr>
            <w:r>
              <w:rPr>
                <w:rFonts w:ascii="Times New Roman"/>
                <w:sz w:val="18"/>
              </w:rPr>
              <w:t>06.26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51" w:right="0"/>
              <w:jc w:val="left"/>
              <w:rPr>
                <w:rFonts w:ascii="Times New Roman" w:hAnsi="Times New Roman" w:cs="Times New Roman" w:eastAsia="Times New Roman" w:hint="default"/>
                <w:sz w:val="18"/>
                <w:szCs w:val="18"/>
              </w:rPr>
            </w:pPr>
            <w:r>
              <w:rPr>
                <w:rFonts w:ascii="Times New Roman"/>
                <w:sz w:val="18"/>
              </w:rPr>
              <w:t>2.01</w:t>
            </w:r>
          </w:p>
        </w:tc>
        <w:tc>
          <w:tcPr>
            <w:tcW w:w="793"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85" w:right="0"/>
              <w:jc w:val="left"/>
              <w:rPr>
                <w:rFonts w:ascii="Times New Roman" w:hAnsi="Times New Roman" w:cs="Times New Roman" w:eastAsia="Times New Roman" w:hint="default"/>
                <w:sz w:val="18"/>
                <w:szCs w:val="18"/>
              </w:rPr>
            </w:pPr>
            <w:r>
              <w:rPr>
                <w:rFonts w:ascii="Times New Roman"/>
                <w:sz w:val="18"/>
              </w:rPr>
              <w:t>4.25</w:t>
            </w:r>
          </w:p>
        </w:tc>
      </w:tr>
      <w:tr>
        <w:trPr>
          <w:trHeight w:val="403" w:hRule="exact"/>
        </w:trPr>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5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028" w:hRule="exact"/>
        </w:trPr>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56"/>
              <w:jc w:val="both"/>
              <w:rPr>
                <w:rFonts w:ascii="宋体" w:hAnsi="宋体" w:cs="宋体" w:eastAsia="宋体" w:hint="default"/>
                <w:sz w:val="18"/>
                <w:szCs w:val="18"/>
              </w:rPr>
            </w:pPr>
            <w:r>
              <w:rPr>
                <w:rFonts w:ascii="宋体" w:hAnsi="宋体" w:cs="宋体" w:eastAsia="宋体" w:hint="default"/>
                <w:spacing w:val="-2"/>
                <w:sz w:val="18"/>
                <w:szCs w:val="18"/>
              </w:rPr>
              <w:t>按预期信用风险组</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合计提坏账准备的</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应收账款</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79" w:right="0"/>
              <w:jc w:val="center"/>
              <w:rPr>
                <w:rFonts w:ascii="Times New Roman" w:hAnsi="Times New Roman" w:cs="Times New Roman" w:eastAsia="Times New Roman" w:hint="default"/>
                <w:sz w:val="18"/>
                <w:szCs w:val="18"/>
              </w:rPr>
            </w:pPr>
            <w:r>
              <w:rPr>
                <w:rFonts w:ascii="Times New Roman"/>
                <w:sz w:val="18"/>
              </w:rPr>
              <w:t>326,098,</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016.22</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55" w:right="0"/>
              <w:jc w:val="center"/>
              <w:rPr>
                <w:rFonts w:ascii="Times New Roman" w:hAnsi="Times New Roman" w:cs="Times New Roman" w:eastAsia="Times New Roman" w:hint="default"/>
                <w:sz w:val="18"/>
                <w:szCs w:val="18"/>
              </w:rPr>
            </w:pPr>
            <w:r>
              <w:rPr>
                <w:rFonts w:ascii="Times New Roman"/>
                <w:sz w:val="18"/>
              </w:rPr>
              <w:t>74.33%</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46,188,7</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29.33</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14.16%</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279,909,2</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86.89</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269,645,7</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22.76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64.69%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36,978,61</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3.86</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13.71%</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232,667,10</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8.90</w:t>
            </w:r>
          </w:p>
        </w:tc>
      </w:tr>
      <w:tr>
        <w:trPr>
          <w:trHeight w:val="715" w:hRule="exact"/>
        </w:trPr>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关联方组合</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 w:right="0"/>
              <w:jc w:val="center"/>
              <w:rPr>
                <w:rFonts w:ascii="Times New Roman" w:hAnsi="Times New Roman" w:cs="Times New Roman" w:eastAsia="Times New Roman" w:hint="default"/>
                <w:sz w:val="18"/>
                <w:szCs w:val="18"/>
              </w:rPr>
            </w:pPr>
            <w:r>
              <w:rPr>
                <w:rFonts w:ascii="Times New Roman"/>
                <w:sz w:val="18"/>
              </w:rPr>
              <w:t>112,607,</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457.88</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55" w:right="0"/>
              <w:jc w:val="center"/>
              <w:rPr>
                <w:rFonts w:ascii="Times New Roman" w:hAnsi="Times New Roman" w:cs="Times New Roman" w:eastAsia="Times New Roman" w:hint="default"/>
                <w:sz w:val="18"/>
                <w:szCs w:val="18"/>
              </w:rPr>
            </w:pPr>
            <w:r>
              <w:rPr>
                <w:rFonts w:ascii="Times New Roman"/>
                <w:sz w:val="18"/>
              </w:rPr>
              <w:t>25.67%</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17,564,7</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51.57</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15.60%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95,042,70</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6.31</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147,161,8</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83.50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35.31%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 w:right="0"/>
              <w:jc w:val="left"/>
              <w:rPr>
                <w:rFonts w:ascii="Times New Roman" w:hAnsi="Times New Roman" w:cs="Times New Roman" w:eastAsia="Times New Roman" w:hint="default"/>
                <w:sz w:val="18"/>
                <w:szCs w:val="18"/>
              </w:rPr>
            </w:pPr>
            <w:r>
              <w:rPr>
                <w:rFonts w:ascii="Times New Roman"/>
                <w:sz w:val="18"/>
              </w:rPr>
              <w:t>18,162,56</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8.15</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12.34%</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128,999,31</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5.35</w:t>
            </w:r>
          </w:p>
        </w:tc>
      </w:tr>
      <w:tr>
        <w:trPr>
          <w:trHeight w:val="711" w:hRule="exact"/>
        </w:trPr>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center"/>
              <w:rPr>
                <w:rFonts w:ascii="Times New Roman" w:hAnsi="Times New Roman" w:cs="Times New Roman" w:eastAsia="Times New Roman" w:hint="default"/>
                <w:sz w:val="18"/>
                <w:szCs w:val="18"/>
              </w:rPr>
            </w:pPr>
            <w:r>
              <w:rPr>
                <w:rFonts w:ascii="Times New Roman"/>
                <w:sz w:val="18"/>
              </w:rPr>
              <w:t>438,705,</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474.10</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63,753,4</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80.90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14.53%</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374,951,9</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93.20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416,807,6</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06.26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 w:right="0"/>
              <w:jc w:val="left"/>
              <w:rPr>
                <w:rFonts w:ascii="Times New Roman" w:hAnsi="Times New Roman" w:cs="Times New Roman" w:eastAsia="Times New Roman" w:hint="default"/>
                <w:sz w:val="18"/>
                <w:szCs w:val="18"/>
              </w:rPr>
            </w:pPr>
            <w:r>
              <w:rPr>
                <w:rFonts w:ascii="Times New Roman"/>
                <w:sz w:val="18"/>
              </w:rPr>
              <w:t>55,141,18</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2.01</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13.23%</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361,666,42</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4.25</w:t>
            </w:r>
          </w:p>
        </w:tc>
      </w:tr>
    </w:tbl>
    <w:p>
      <w:pPr>
        <w:pStyle w:val="BodyText"/>
        <w:spacing w:line="240" w:lineRule="auto" w:before="53"/>
        <w:ind w:right="855"/>
        <w:jc w:val="left"/>
      </w:pPr>
      <w:r>
        <w:rPr>
          <w:spacing w:val="-2"/>
        </w:rPr>
        <w:t>按组合计提坏账准备：</w:t>
      </w:r>
      <w:r>
        <w:rPr>
          <w:rFonts w:ascii="Times New Roman" w:hAnsi="Times New Roman" w:cs="Times New Roman" w:eastAsia="Times New Roman" w:hint="default"/>
          <w:spacing w:val="-2"/>
        </w:rPr>
        <w:t>46,188,729.33</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元</w:t>
      </w:r>
    </w:p>
    <w:p>
      <w:pPr>
        <w:pStyle w:val="BodyText"/>
        <w:spacing w:line="240" w:lineRule="auto" w:before="101"/>
        <w:ind w:left="0" w:right="1121"/>
        <w:jc w:val="right"/>
      </w:pPr>
      <w:r>
        <w:rPr/>
        <w:t>单位：</w:t>
      </w:r>
      <w:r>
        <w:rPr>
          <w:spacing w:val="5"/>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1"/>
      </w:tblGrid>
      <w:tr>
        <w:trPr>
          <w:trHeight w:val="401" w:hRule="exact"/>
        </w:trPr>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17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391" w:type="dxa"/>
            <w:vMerge/>
            <w:tcBorders>
              <w:left w:val="single" w:sz="4" w:space="0" w:color="000000"/>
              <w:bottom w:val="single" w:sz="4" w:space="0" w:color="000000"/>
              <w:right w:val="single" w:sz="4" w:space="0" w:color="000000"/>
            </w:tcBorders>
            <w:shd w:val="clear" w:color="auto" w:fill="D2D2D2"/>
          </w:tcPr>
          <w:p>
            <w:pP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213,591,574.28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4,271,831.49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2.00%</w:t>
            </w:r>
          </w:p>
        </w:tc>
      </w:tr>
      <w:tr>
        <w:trPr>
          <w:trHeight w:val="398"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33,990,061.05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2,719,204.89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8.00%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37,030,173.17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7,406,034.63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1"/>
                <w:sz w:val="18"/>
              </w:rPr>
              <w:t>20.00%</w:t>
            </w:r>
          </w:p>
        </w:tc>
      </w:tr>
      <w:tr>
        <w:trPr>
          <w:trHeight w:val="404"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10,246,725.98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3,074,017.79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30.00%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4,203,068.68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1,681,227.47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40.00%</w:t>
            </w:r>
          </w:p>
        </w:tc>
      </w:tr>
      <w:tr>
        <w:trPr>
          <w:trHeight w:val="398"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年以上</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27,036,413.06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27,036,413.06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100.00%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326,098,016.22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46,188,729.33</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left="9"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38" w:lineRule="auto" w:before="54"/>
        <w:ind w:right="855"/>
        <w:jc w:val="left"/>
      </w:pPr>
      <w:r>
        <w:rPr>
          <w:spacing w:val="-3"/>
        </w:rPr>
        <w:t>确定该组合依据的说明：</w:t>
      </w:r>
      <w:r>
        <w:rPr>
          <w:spacing w:val="-56"/>
        </w:rPr>
        <w:t> </w:t>
      </w:r>
      <w:r>
        <w:rPr>
          <w:spacing w:val="-56"/>
        </w:rPr>
      </w:r>
      <w:r>
        <w:rPr>
          <w:spacing w:val="-3"/>
        </w:rPr>
        <w:t>按账龄组合：本公司根据以往的历史经验对应收款项计提比例作出最佳估计，参考应收款项的账龄进行信用风险组合分类</w:t>
      </w:r>
      <w:r>
        <w:rPr>
          <w:spacing w:val="66"/>
        </w:rPr>
        <w:t> </w:t>
      </w:r>
      <w:r>
        <w:rPr>
          <w:spacing w:val="66"/>
        </w:rPr>
      </w:r>
      <w:r>
        <w:rPr>
          <w:spacing w:val="-3"/>
        </w:rPr>
        <w:t>按账龄计提坏账准备的比例确认：按账龄与整个存续期预期信用损失率对照表计提。</w:t>
      </w:r>
    </w:p>
    <w:p>
      <w:pPr>
        <w:pStyle w:val="BodyText"/>
        <w:spacing w:line="240" w:lineRule="auto" w:before="46"/>
        <w:ind w:right="855"/>
        <w:jc w:val="left"/>
      </w:pPr>
      <w:r>
        <w:rPr>
          <w:spacing w:val="-2"/>
        </w:rPr>
        <w:t>按组合计提坏账准备：</w:t>
      </w:r>
      <w:r>
        <w:rPr>
          <w:rFonts w:ascii="Times New Roman" w:hAnsi="Times New Roman" w:cs="Times New Roman" w:eastAsia="Times New Roman" w:hint="default"/>
          <w:spacing w:val="-2"/>
        </w:rPr>
        <w:t>17,564,751.57</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元</w:t>
      </w:r>
    </w:p>
    <w:p>
      <w:pPr>
        <w:pStyle w:val="BodyText"/>
        <w:spacing w:line="240" w:lineRule="auto" w:before="101"/>
        <w:ind w:left="0" w:right="1121"/>
        <w:jc w:val="right"/>
      </w:pPr>
      <w:r>
        <w:rPr/>
        <w:t>单位：</w:t>
      </w:r>
      <w:r>
        <w:rPr>
          <w:spacing w:val="5"/>
        </w:rPr>
        <w:t> </w:t>
      </w:r>
      <w:r>
        <w:rPr/>
        <w:t>元</w:t>
      </w:r>
    </w:p>
    <w:p>
      <w:pPr>
        <w:spacing w:line="240" w:lineRule="auto" w:before="0"/>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1"/>
      </w:tblGrid>
      <w:tr>
        <w:trPr>
          <w:trHeight w:val="403" w:hRule="exact"/>
        </w:trPr>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17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98" w:hRule="exact"/>
        </w:trPr>
        <w:tc>
          <w:tcPr>
            <w:tcW w:w="2391" w:type="dxa"/>
            <w:vMerge/>
            <w:tcBorders>
              <w:left w:val="single" w:sz="4" w:space="0" w:color="000000"/>
              <w:bottom w:val="single" w:sz="4" w:space="0" w:color="000000"/>
              <w:right w:val="single" w:sz="4" w:space="0" w:color="000000"/>
            </w:tcBorders>
            <w:shd w:val="clear" w:color="auto" w:fill="D2D2D2"/>
          </w:tcPr>
          <w:p>
            <w:pP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44" w:right="0"/>
              <w:jc w:val="left"/>
              <w:rPr>
                <w:rFonts w:ascii="宋体" w:hAnsi="宋体" w:cs="宋体" w:eastAsia="宋体" w:hint="default"/>
                <w:sz w:val="18"/>
                <w:szCs w:val="18"/>
              </w:rPr>
            </w:pPr>
            <w:r>
              <w:rPr>
                <w:rFonts w:ascii="宋体" w:hAnsi="宋体" w:cs="宋体" w:eastAsia="宋体" w:hint="default"/>
                <w:sz w:val="18"/>
                <w:szCs w:val="18"/>
              </w:rPr>
              <w:t>关联方组合</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243" w:right="0"/>
              <w:jc w:val="left"/>
              <w:rPr>
                <w:rFonts w:ascii="Times New Roman" w:hAnsi="Times New Roman" w:cs="Times New Roman" w:eastAsia="Times New Roman" w:hint="default"/>
                <w:sz w:val="18"/>
                <w:szCs w:val="18"/>
              </w:rPr>
            </w:pPr>
            <w:r>
              <w:rPr>
                <w:rFonts w:ascii="Times New Roman"/>
                <w:sz w:val="18"/>
              </w:rPr>
              <w:t>112,607,457.88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325" w:right="0"/>
              <w:jc w:val="left"/>
              <w:rPr>
                <w:rFonts w:ascii="Times New Roman" w:hAnsi="Times New Roman" w:cs="Times New Roman" w:eastAsia="Times New Roman" w:hint="default"/>
                <w:sz w:val="18"/>
                <w:szCs w:val="18"/>
              </w:rPr>
            </w:pPr>
            <w:r>
              <w:rPr>
                <w:rFonts w:ascii="Times New Roman"/>
                <w:sz w:val="18"/>
              </w:rPr>
              <w:t>17,564,751.57</w:t>
            </w:r>
          </w:p>
        </w:tc>
        <w:tc>
          <w:tcPr>
            <w:tcW w:w="2391"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3"/>
        <w:ind w:right="855"/>
        <w:jc w:val="left"/>
      </w:pPr>
      <w:r>
        <w:rPr>
          <w:spacing w:val="-3"/>
        </w:rPr>
        <w:t>确定该组合依据的说明：</w:t>
      </w:r>
      <w:r>
        <w:rPr>
          <w:spacing w:val="-56"/>
        </w:rPr>
        <w:t> </w:t>
      </w:r>
      <w:r>
        <w:rPr>
          <w:spacing w:val="-56"/>
        </w:rPr>
      </w:r>
      <w:r>
        <w:rPr>
          <w:spacing w:val="-3"/>
        </w:rPr>
        <w:t>如是按照预期信用损失一般模型计提应收账款坏账准备，请参照其他应收款的披露方式披露坏账准备的相关信息：</w:t>
      </w:r>
    </w:p>
    <w:p>
      <w:pPr>
        <w:pStyle w:val="BodyText"/>
        <w:spacing w:line="343" w:lineRule="auto" w:before="26"/>
        <w:ind w:right="8854"/>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2"/>
        </w:rPr>
        <w:t> </w:t>
      </w:r>
      <w:r>
        <w:rPr/>
        <w:t>不适用</w:t>
      </w:r>
      <w:r>
        <w:rPr>
          <w:w w:val="101"/>
        </w:rPr>
        <w:t> </w:t>
      </w:r>
      <w:r>
        <w:rPr/>
        <w:t>按账龄披露</w:t>
      </w:r>
    </w:p>
    <w:p>
      <w:pPr>
        <w:pStyle w:val="BodyText"/>
        <w:spacing w:line="240" w:lineRule="auto" w:before="37"/>
        <w:ind w:left="0" w:right="1121"/>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788"/>
        <w:gridCol w:w="4783"/>
      </w:tblGrid>
      <w:tr>
        <w:trPr>
          <w:trHeight w:val="399"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8"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年）</w:t>
            </w:r>
            <w:r>
              <w:rPr>
                <w:rFonts w:ascii="宋体" w:hAnsi="宋体" w:cs="宋体" w:eastAsia="宋体" w:hint="default"/>
                <w:sz w:val="18"/>
                <w:szCs w:val="18"/>
              </w:rPr>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326,199,032.16</w:t>
            </w:r>
          </w:p>
        </w:tc>
      </w:tr>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33,990,061.05</w:t>
            </w:r>
          </w:p>
        </w:tc>
      </w:tr>
    </w:tbl>
    <w:p>
      <w:pPr>
        <w:spacing w:after="0" w:line="240" w:lineRule="auto"/>
        <w:jc w:val="right"/>
        <w:rPr>
          <w:rFonts w:ascii="Times New Roman" w:hAnsi="Times New Roman" w:cs="Times New Roman" w:eastAsia="Times New Roman" w:hint="default"/>
          <w:sz w:val="18"/>
          <w:szCs w:val="18"/>
        </w:rPr>
        <w:sectPr>
          <w:pgSz w:w="11910" w:h="16840"/>
          <w:pgMar w:header="746" w:footer="974"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4788"/>
        <w:gridCol w:w="4783"/>
      </w:tblGrid>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37,030,173.17</w:t>
            </w:r>
          </w:p>
        </w:tc>
      </w:tr>
      <w:tr>
        <w:trPr>
          <w:trHeight w:val="401"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年以上</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41,486,207.72</w:t>
            </w:r>
          </w:p>
        </w:tc>
      </w:tr>
      <w:tr>
        <w:trPr>
          <w:trHeight w:val="401"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年</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3"/>
              <w:jc w:val="right"/>
              <w:rPr>
                <w:rFonts w:ascii="Times New Roman" w:hAnsi="Times New Roman" w:cs="Times New Roman" w:eastAsia="Times New Roman" w:hint="default"/>
                <w:sz w:val="18"/>
                <w:szCs w:val="18"/>
              </w:rPr>
            </w:pPr>
            <w:r>
              <w:rPr>
                <w:rFonts w:ascii="Times New Roman"/>
                <w:spacing w:val="-1"/>
                <w:sz w:val="18"/>
              </w:rPr>
              <w:t>10,246,725.98</w:t>
            </w:r>
          </w:p>
        </w:tc>
      </w:tr>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年</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4,203,068.68</w:t>
            </w:r>
          </w:p>
        </w:tc>
      </w:tr>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27,036,413.06</w:t>
            </w:r>
          </w:p>
        </w:tc>
      </w:tr>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438,705,474.10</w:t>
            </w:r>
          </w:p>
        </w:tc>
      </w:tr>
    </w:tbl>
    <w:p>
      <w:pPr>
        <w:spacing w:line="240" w:lineRule="auto" w:before="3"/>
        <w:rPr>
          <w:rFonts w:ascii="宋体" w:hAnsi="宋体" w:cs="宋体" w:eastAsia="宋体" w:hint="default"/>
          <w:sz w:val="19"/>
          <w:szCs w:val="19"/>
        </w:rPr>
      </w:pPr>
    </w:p>
    <w:p>
      <w:pPr>
        <w:pStyle w:val="Heading4"/>
        <w:spacing w:line="240" w:lineRule="auto" w:before="36"/>
        <w:ind w:right="855"/>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6"/>
        <w:ind w:right="855"/>
        <w:jc w:val="left"/>
      </w:pPr>
      <w:r>
        <w:rPr>
          <w:spacing w:val="-3"/>
        </w:rPr>
        <w:t>本期计提坏账准备情况：</w:t>
      </w:r>
    </w:p>
    <w:p>
      <w:pPr>
        <w:pStyle w:val="BodyText"/>
        <w:spacing w:line="240" w:lineRule="auto" w:before="115"/>
        <w:ind w:left="0" w:right="1121"/>
        <w:jc w:val="right"/>
      </w:pPr>
      <w:r>
        <w:rPr/>
        <w:t>单位：</w:t>
      </w:r>
      <w:r>
        <w:rPr>
          <w:spacing w:val="5"/>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9"/>
        <w:gridCol w:w="1368"/>
        <w:gridCol w:w="1369"/>
        <w:gridCol w:w="1368"/>
        <w:gridCol w:w="1364"/>
        <w:gridCol w:w="1368"/>
        <w:gridCol w:w="1369"/>
      </w:tblGrid>
      <w:tr>
        <w:trPr>
          <w:trHeight w:val="399" w:hRule="exact"/>
        </w:trPr>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47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0"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9"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3"/>
              <w:ind w:left="24" w:right="70"/>
              <w:jc w:val="left"/>
              <w:rPr>
                <w:rFonts w:ascii="宋体" w:hAnsi="宋体" w:cs="宋体" w:eastAsia="宋体" w:hint="default"/>
                <w:sz w:val="18"/>
                <w:szCs w:val="18"/>
              </w:rPr>
            </w:pPr>
            <w:r>
              <w:rPr>
                <w:rFonts w:ascii="宋体" w:hAnsi="宋体" w:cs="宋体" w:eastAsia="宋体" w:hint="default"/>
                <w:spacing w:val="-3"/>
                <w:sz w:val="18"/>
                <w:szCs w:val="18"/>
              </w:rPr>
              <w:t>应收账款坏账准</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备</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55,141,182.01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8,612,298.89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63,753,480.90</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55,141,182.01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8,612,298.89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63,753,480.90</w:t>
            </w:r>
          </w:p>
        </w:tc>
      </w:tr>
    </w:tbl>
    <w:p>
      <w:pPr>
        <w:spacing w:line="240" w:lineRule="auto" w:before="3"/>
        <w:rPr>
          <w:rFonts w:ascii="宋体" w:hAnsi="宋体" w:cs="宋体" w:eastAsia="宋体" w:hint="default"/>
          <w:sz w:val="19"/>
          <w:szCs w:val="19"/>
        </w:rPr>
      </w:pPr>
    </w:p>
    <w:p>
      <w:pPr>
        <w:pStyle w:val="Heading4"/>
        <w:spacing w:line="240" w:lineRule="auto" w:before="36"/>
        <w:ind w:right="855"/>
        <w:jc w:val="left"/>
        <w:rPr>
          <w:b w:val="0"/>
          <w:bCs w:val="0"/>
        </w:rPr>
      </w:pPr>
      <w:r>
        <w:rPr/>
        <w:t>（</w:t>
      </w:r>
      <w:r>
        <w:rPr>
          <w:rFonts w:ascii="Times New Roman" w:hAnsi="Times New Roman" w:cs="Times New Roman" w:eastAsia="Times New Roman" w:hint="default"/>
        </w:rPr>
        <w:t>3</w:t>
      </w:r>
      <w:r>
        <w:rPr/>
        <w:t>）按欠款方归集的期末余额前五名的应收账款情况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6"/>
        <w:ind w:left="0" w:right="1121"/>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1"/>
      </w:tblGrid>
      <w:tr>
        <w:trPr>
          <w:trHeight w:val="716"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应收账款期末余额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921" w:right="104" w:hanging="812"/>
              <w:jc w:val="left"/>
              <w:rPr>
                <w:rFonts w:ascii="宋体" w:hAnsi="宋体" w:cs="宋体" w:eastAsia="宋体" w:hint="default"/>
                <w:sz w:val="18"/>
                <w:szCs w:val="18"/>
              </w:rPr>
            </w:pPr>
            <w:r>
              <w:rPr>
                <w:rFonts w:ascii="宋体" w:hAnsi="宋体" w:cs="宋体" w:eastAsia="宋体" w:hint="default"/>
                <w:spacing w:val="-3"/>
                <w:sz w:val="18"/>
                <w:szCs w:val="18"/>
              </w:rPr>
              <w:t>占应收账款期末余额合计数</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的比例</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33,567,697.45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7.65%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5,133,347.50</w:t>
            </w:r>
          </w:p>
        </w:tc>
      </w:tr>
      <w:tr>
        <w:trPr>
          <w:trHeight w:val="398"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33,398,366.15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7.61%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9,450,673.42</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27,859,317.45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1"/>
                <w:sz w:val="18"/>
              </w:rPr>
              <w:t>6.35%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17,564,751.57</w:t>
            </w:r>
          </w:p>
        </w:tc>
      </w:tr>
      <w:tr>
        <w:trPr>
          <w:trHeight w:val="404"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26,829,000.00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6.12%</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21,675,002.45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4.94%</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143,329,383.50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32.67%</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pStyle w:val="Heading4"/>
        <w:spacing w:line="240" w:lineRule="auto" w:before="36"/>
        <w:ind w:right="855"/>
        <w:jc w:val="left"/>
        <w:rPr>
          <w:b w:val="0"/>
          <w:bCs w:val="0"/>
        </w:rPr>
      </w:pPr>
      <w:r>
        <w:rPr>
          <w:rFonts w:ascii="Times New Roman" w:hAnsi="Times New Roman" w:cs="Times New Roman" w:eastAsia="Times New Roman" w:hint="default"/>
        </w:rPr>
        <w:t>2</w:t>
      </w:r>
      <w:r>
        <w:rPr/>
        <w:t>、其他应收款</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6"/>
        <w:ind w:left="0" w:right="1121"/>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3"/>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58,226,974.62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45,070,665.42</w:t>
            </w:r>
          </w:p>
        </w:tc>
      </w:tr>
      <w:tr>
        <w:trPr>
          <w:trHeight w:val="399"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58,226,974.62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45,070,665.42</w:t>
            </w:r>
          </w:p>
        </w:tc>
      </w:tr>
    </w:tbl>
    <w:p>
      <w:pPr>
        <w:spacing w:after="0" w:line="240" w:lineRule="auto"/>
        <w:jc w:val="right"/>
        <w:rPr>
          <w:rFonts w:ascii="Times New Roman" w:hAnsi="Times New Roman" w:cs="Times New Roman" w:eastAsia="Times New Roman" w:hint="default"/>
          <w:sz w:val="18"/>
          <w:szCs w:val="18"/>
        </w:rPr>
        <w:sectPr>
          <w:pgSz w:w="11910" w:h="16840"/>
          <w:pgMar w:header="746" w:footer="974" w:top="1060" w:bottom="1160" w:left="980" w:right="0"/>
        </w:sectPr>
      </w:pPr>
    </w:p>
    <w:p>
      <w:pPr>
        <w:spacing w:line="240" w:lineRule="auto" w:before="12"/>
        <w:rPr>
          <w:rFonts w:ascii="宋体" w:hAnsi="宋体" w:cs="宋体" w:eastAsia="宋体" w:hint="default"/>
          <w:sz w:val="24"/>
          <w:szCs w:val="24"/>
        </w:rPr>
      </w:pPr>
    </w:p>
    <w:p>
      <w:pPr>
        <w:pStyle w:val="Heading4"/>
        <w:spacing w:line="240" w:lineRule="auto" w:before="36"/>
        <w:ind w:right="855"/>
        <w:jc w:val="left"/>
        <w:rPr>
          <w:b w:val="0"/>
          <w:bCs w:val="0"/>
        </w:rPr>
      </w:pPr>
      <w:r>
        <w:rPr/>
        <w:t>（</w:t>
      </w:r>
      <w:r>
        <w:rPr>
          <w:rFonts w:ascii="Times New Roman" w:hAnsi="Times New Roman" w:cs="Times New Roman" w:eastAsia="Times New Roman" w:hint="default"/>
        </w:rPr>
        <w:t>1</w:t>
      </w:r>
      <w:r>
        <w:rPr/>
        <w:t>）其他应收款</w:t>
      </w:r>
      <w:r>
        <w:rPr>
          <w:b w:val="0"/>
          <w:bCs w:val="0"/>
        </w:rPr>
      </w:r>
    </w:p>
    <w:p>
      <w:pPr>
        <w:spacing w:line="240" w:lineRule="auto" w:before="5"/>
        <w:rPr>
          <w:rFonts w:ascii="宋体" w:hAnsi="宋体" w:cs="宋体" w:eastAsia="宋体" w:hint="default"/>
          <w:b/>
          <w:bCs/>
          <w:sz w:val="24"/>
          <w:szCs w:val="24"/>
        </w:rPr>
      </w:pPr>
    </w:p>
    <w:p>
      <w:pPr>
        <w:spacing w:before="0"/>
        <w:ind w:left="153" w:right="85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）坏账准备计提情况</w:t>
      </w:r>
      <w:r>
        <w:rPr>
          <w:rFonts w:ascii="宋体" w:hAnsi="宋体" w:cs="宋体" w:eastAsia="宋体" w:hint="default"/>
          <w:sz w:val="21"/>
          <w:szCs w:val="21"/>
        </w:rPr>
      </w:r>
    </w:p>
    <w:p>
      <w:pPr>
        <w:spacing w:line="240" w:lineRule="auto" w:before="2"/>
        <w:rPr>
          <w:rFonts w:ascii="宋体" w:hAnsi="宋体" w:cs="宋体" w:eastAsia="宋体" w:hint="default"/>
          <w:b/>
          <w:bCs/>
          <w:sz w:val="23"/>
          <w:szCs w:val="23"/>
        </w:rPr>
      </w:pPr>
    </w:p>
    <w:p>
      <w:pPr>
        <w:pStyle w:val="BodyText"/>
        <w:spacing w:line="240" w:lineRule="auto" w:before="46"/>
        <w:ind w:left="0" w:right="1121"/>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271"/>
        <w:gridCol w:w="1297"/>
        <w:gridCol w:w="2098"/>
        <w:gridCol w:w="2103"/>
        <w:gridCol w:w="1801"/>
      </w:tblGrid>
      <w:tr>
        <w:trPr>
          <w:trHeight w:val="403" w:hRule="exact"/>
        </w:trPr>
        <w:tc>
          <w:tcPr>
            <w:tcW w:w="22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第一阶段</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86" w:right="0"/>
              <w:jc w:val="left"/>
              <w:rPr>
                <w:rFonts w:ascii="宋体" w:hAnsi="宋体" w:cs="宋体" w:eastAsia="宋体" w:hint="default"/>
                <w:sz w:val="18"/>
                <w:szCs w:val="18"/>
              </w:rPr>
            </w:pPr>
            <w:r>
              <w:rPr>
                <w:rFonts w:ascii="宋体" w:hAnsi="宋体" w:cs="宋体" w:eastAsia="宋体" w:hint="default"/>
                <w:sz w:val="18"/>
                <w:szCs w:val="18"/>
              </w:rPr>
              <w:t>第二阶段</w:t>
            </w:r>
          </w:p>
        </w:tc>
        <w:tc>
          <w:tcPr>
            <w:tcW w:w="2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第三阶段</w:t>
            </w:r>
          </w:p>
        </w:tc>
        <w:tc>
          <w:tcPr>
            <w:tcW w:w="18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11" w:hRule="exact"/>
        </w:trPr>
        <w:tc>
          <w:tcPr>
            <w:tcW w:w="2271" w:type="dxa"/>
            <w:vMerge/>
            <w:tcBorders>
              <w:left w:val="single" w:sz="4" w:space="0" w:color="000000"/>
              <w:bottom w:val="single" w:sz="4" w:space="0" w:color="000000"/>
              <w:right w:val="single" w:sz="4" w:space="0" w:color="000000"/>
            </w:tcBorders>
            <w:shd w:val="clear" w:color="auto" w:fill="D2D2D2"/>
          </w:tcPr>
          <w:p>
            <w:pPr/>
          </w:p>
        </w:tc>
        <w:tc>
          <w:tcPr>
            <w:tcW w:w="1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5" w:lineRule="auto" w:before="53"/>
              <w:ind w:left="196" w:right="50" w:hanging="140"/>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个月预</w:t>
            </w:r>
            <w:r>
              <w:rPr>
                <w:rFonts w:ascii="宋体" w:hAnsi="宋体" w:cs="宋体" w:eastAsia="宋体" w:hint="default"/>
                <w:w w:val="101"/>
                <w:sz w:val="18"/>
                <w:szCs w:val="18"/>
              </w:rPr>
              <w:t> </w:t>
            </w:r>
            <w:r>
              <w:rPr>
                <w:rFonts w:ascii="宋体" w:hAnsi="宋体" w:cs="宋体" w:eastAsia="宋体" w:hint="default"/>
                <w:sz w:val="18"/>
                <w:szCs w:val="18"/>
              </w:rPr>
              <w:t>期信用损失</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pacing w:val="-3"/>
                <w:sz w:val="18"/>
                <w:szCs w:val="18"/>
              </w:rPr>
              <w:t>整个存续期预期信用损失</w:t>
            </w:r>
          </w:p>
          <w:p>
            <w:pPr>
              <w:pStyle w:val="TableParagraph"/>
              <w:spacing w:line="240" w:lineRule="auto" w:before="71"/>
              <w:ind w:left="3"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未发生信用减值</w:t>
            </w:r>
            <w:r>
              <w:rPr>
                <w:rFonts w:ascii="Times New Roman" w:hAnsi="Times New Roman" w:cs="Times New Roman" w:eastAsia="Times New Roman" w:hint="default"/>
                <w:spacing w:val="-3"/>
                <w:sz w:val="18"/>
                <w:szCs w:val="18"/>
              </w:rPr>
              <w:t>)</w:t>
            </w:r>
          </w:p>
        </w:tc>
        <w:tc>
          <w:tcPr>
            <w:tcW w:w="2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pacing w:val="-3"/>
                <w:sz w:val="18"/>
                <w:szCs w:val="18"/>
              </w:rPr>
              <w:t>整个存续期预期信用损失</w:t>
            </w:r>
          </w:p>
          <w:p>
            <w:pPr>
              <w:pStyle w:val="TableParagraph"/>
              <w:spacing w:line="240" w:lineRule="auto" w:before="7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已发生信用减值</w:t>
            </w:r>
            <w:r>
              <w:rPr>
                <w:rFonts w:ascii="Times New Roman" w:hAnsi="Times New Roman" w:cs="Times New Roman" w:eastAsia="Times New Roman" w:hint="default"/>
                <w:spacing w:val="-3"/>
                <w:sz w:val="18"/>
                <w:szCs w:val="18"/>
              </w:rPr>
              <w:t>)</w:t>
            </w:r>
          </w:p>
        </w:tc>
        <w:tc>
          <w:tcPr>
            <w:tcW w:w="1801"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2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日余额</w:t>
            </w:r>
          </w:p>
        </w:tc>
        <w:tc>
          <w:tcPr>
            <w:tcW w:w="1297" w:type="dxa"/>
            <w:tcBorders>
              <w:top w:val="single" w:sz="4" w:space="0" w:color="000000"/>
              <w:left w:val="single" w:sz="4" w:space="0" w:color="000000"/>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2,975,848.51</w:t>
            </w:r>
          </w:p>
        </w:tc>
        <w:tc>
          <w:tcPr>
            <w:tcW w:w="2103" w:type="dxa"/>
            <w:tcBorders>
              <w:top w:val="single" w:sz="4" w:space="0" w:color="000000"/>
              <w:left w:val="single" w:sz="4" w:space="0" w:color="000000"/>
              <w:bottom w:val="single" w:sz="4" w:space="0" w:color="000000"/>
              <w:right w:val="single" w:sz="4" w:space="0" w:color="000000"/>
            </w:tcBorders>
          </w:tcPr>
          <w:p>
            <w:pP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2,975,848.51</w:t>
            </w:r>
          </w:p>
        </w:tc>
      </w:tr>
      <w:tr>
        <w:trPr>
          <w:trHeight w:val="403" w:hRule="exact"/>
        </w:trPr>
        <w:tc>
          <w:tcPr>
            <w:tcW w:w="22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日余额在本期</w:t>
            </w:r>
          </w:p>
        </w:tc>
        <w:tc>
          <w:tcPr>
            <w:tcW w:w="1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9"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3" w:hRule="exact"/>
        </w:trPr>
        <w:tc>
          <w:tcPr>
            <w:tcW w:w="22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297" w:type="dxa"/>
            <w:tcBorders>
              <w:top w:val="single" w:sz="4" w:space="0" w:color="000000"/>
              <w:left w:val="single" w:sz="4" w:space="0" w:color="000000"/>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1,382,096.15</w:t>
            </w:r>
          </w:p>
        </w:tc>
        <w:tc>
          <w:tcPr>
            <w:tcW w:w="2103" w:type="dxa"/>
            <w:tcBorders>
              <w:top w:val="single" w:sz="4" w:space="0" w:color="000000"/>
              <w:left w:val="single" w:sz="4" w:space="0" w:color="000000"/>
              <w:bottom w:val="single" w:sz="4" w:space="0" w:color="000000"/>
              <w:right w:val="single" w:sz="4" w:space="0" w:color="000000"/>
            </w:tcBorders>
          </w:tcPr>
          <w:p>
            <w:pP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1,382,096.15</w:t>
            </w:r>
          </w:p>
        </w:tc>
      </w:tr>
      <w:tr>
        <w:trPr>
          <w:trHeight w:val="398" w:hRule="exact"/>
        </w:trPr>
        <w:tc>
          <w:tcPr>
            <w:tcW w:w="22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日余额</w:t>
            </w:r>
          </w:p>
        </w:tc>
        <w:tc>
          <w:tcPr>
            <w:tcW w:w="1297" w:type="dxa"/>
            <w:tcBorders>
              <w:top w:val="single" w:sz="4" w:space="0" w:color="000000"/>
              <w:left w:val="single" w:sz="4" w:space="0" w:color="000000"/>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4,357,944.66</w:t>
            </w:r>
          </w:p>
        </w:tc>
        <w:tc>
          <w:tcPr>
            <w:tcW w:w="2103" w:type="dxa"/>
            <w:tcBorders>
              <w:top w:val="single" w:sz="4" w:space="0" w:color="000000"/>
              <w:left w:val="single" w:sz="4" w:space="0" w:color="000000"/>
              <w:bottom w:val="single" w:sz="4" w:space="0" w:color="000000"/>
              <w:right w:val="single" w:sz="4" w:space="0" w:color="000000"/>
            </w:tcBorders>
          </w:tcPr>
          <w:p>
            <w:pP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4,357,944.66</w:t>
            </w:r>
          </w:p>
        </w:tc>
      </w:tr>
    </w:tbl>
    <w:p>
      <w:pPr>
        <w:spacing w:after="0" w:line="240" w:lineRule="auto"/>
        <w:jc w:val="right"/>
        <w:rPr>
          <w:rFonts w:ascii="Times New Roman" w:hAnsi="Times New Roman" w:cs="Times New Roman" w:eastAsia="Times New Roman" w:hint="default"/>
          <w:sz w:val="18"/>
          <w:szCs w:val="18"/>
        </w:rPr>
        <w:sectPr>
          <w:pgSz w:w="11910" w:h="16840"/>
          <w:pgMar w:header="746" w:footer="974" w:top="1060" w:bottom="1160" w:left="980" w:right="0"/>
        </w:sectPr>
      </w:pPr>
    </w:p>
    <w:p>
      <w:pPr>
        <w:pStyle w:val="BodyText"/>
        <w:spacing w:line="240" w:lineRule="auto" w:before="54"/>
        <w:ind w:right="0"/>
        <w:jc w:val="left"/>
      </w:pPr>
      <w:r>
        <w:rPr>
          <w:spacing w:val="-3"/>
        </w:rPr>
        <w:t>损失准备本期变动金额重大的账面余额变动情况</w:t>
      </w:r>
    </w:p>
    <w:p>
      <w:pPr>
        <w:pStyle w:val="BodyText"/>
        <w:spacing w:line="338" w:lineRule="auto" w:before="115"/>
        <w:ind w:right="1612"/>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2"/>
        </w:rPr>
        <w:t> </w:t>
      </w:r>
      <w:r>
        <w:rPr/>
        <w:t>不适用</w:t>
      </w:r>
      <w:r>
        <w:rPr>
          <w:w w:val="101"/>
        </w:rPr>
        <w:t> </w:t>
      </w:r>
      <w:r>
        <w:rPr/>
        <w:t>按账龄披露</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2"/>
          <w:szCs w:val="12"/>
        </w:rPr>
      </w:pPr>
    </w:p>
    <w:p>
      <w:pPr>
        <w:pStyle w:val="BodyText"/>
        <w:spacing w:line="240" w:lineRule="auto"/>
        <w:ind w:right="0"/>
        <w:jc w:val="left"/>
      </w:pPr>
      <w:r>
        <w:rPr/>
        <w:t>单位：</w:t>
      </w:r>
      <w:r>
        <w:rPr>
          <w:spacing w:val="5"/>
        </w:rPr>
        <w:t> </w:t>
      </w:r>
      <w:r>
        <w:rPr/>
        <w:t>元</w:t>
      </w:r>
    </w:p>
    <w:p>
      <w:pPr>
        <w:spacing w:after="0" w:line="240" w:lineRule="auto"/>
        <w:jc w:val="left"/>
        <w:sectPr>
          <w:type w:val="continuous"/>
          <w:pgSz w:w="11910" w:h="16840"/>
          <w:pgMar w:top="1060" w:bottom="1160" w:left="980" w:right="0"/>
          <w:cols w:num="2" w:equalWidth="0">
            <w:col w:w="3937" w:space="4894"/>
            <w:col w:w="2099"/>
          </w:cols>
        </w:sectPr>
      </w:pP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788"/>
        <w:gridCol w:w="4783"/>
      </w:tblGrid>
      <w:tr>
        <w:trPr>
          <w:trHeight w:val="399"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8"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年）</w:t>
            </w:r>
            <w:r>
              <w:rPr>
                <w:rFonts w:ascii="宋体" w:hAnsi="宋体" w:cs="宋体" w:eastAsia="宋体" w:hint="default"/>
                <w:sz w:val="18"/>
                <w:szCs w:val="18"/>
              </w:rPr>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50,070,392.12</w:t>
            </w:r>
          </w:p>
        </w:tc>
      </w:tr>
      <w:tr>
        <w:trPr>
          <w:trHeight w:val="398"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4,015,621.93</w:t>
            </w:r>
          </w:p>
        </w:tc>
      </w:tr>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3,357,288.35</w:t>
            </w:r>
          </w:p>
        </w:tc>
      </w:tr>
      <w:tr>
        <w:trPr>
          <w:trHeight w:val="404"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年以上</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783,672.22</w:t>
            </w:r>
          </w:p>
        </w:tc>
      </w:tr>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年</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550,383.69</w:t>
            </w:r>
          </w:p>
        </w:tc>
      </w:tr>
      <w:tr>
        <w:trPr>
          <w:trHeight w:val="398"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年</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233,288.53</w:t>
            </w:r>
          </w:p>
        </w:tc>
      </w:tr>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58,226,974.62</w:t>
            </w:r>
          </w:p>
        </w:tc>
      </w:tr>
    </w:tbl>
    <w:p>
      <w:pPr>
        <w:spacing w:line="240" w:lineRule="auto" w:before="3"/>
        <w:rPr>
          <w:rFonts w:ascii="宋体" w:hAnsi="宋体" w:cs="宋体" w:eastAsia="宋体" w:hint="default"/>
          <w:sz w:val="19"/>
          <w:szCs w:val="19"/>
        </w:rPr>
      </w:pPr>
    </w:p>
    <w:p>
      <w:pPr>
        <w:pStyle w:val="Heading4"/>
        <w:spacing w:line="240" w:lineRule="auto" w:before="36"/>
        <w:ind w:right="855"/>
        <w:jc w:val="left"/>
        <w:rPr>
          <w:b w:val="0"/>
          <w:bCs w:val="0"/>
        </w:rPr>
      </w:pP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6"/>
        <w:ind w:right="855"/>
        <w:jc w:val="left"/>
      </w:pPr>
      <w:r>
        <w:rPr>
          <w:spacing w:val="-3"/>
        </w:rPr>
        <w:t>本期计提坏账准备情况：</w:t>
      </w:r>
    </w:p>
    <w:p>
      <w:pPr>
        <w:pStyle w:val="BodyText"/>
        <w:spacing w:line="240" w:lineRule="auto" w:before="119"/>
        <w:ind w:left="0" w:right="1121"/>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580"/>
        <w:gridCol w:w="1085"/>
        <w:gridCol w:w="1335"/>
        <w:gridCol w:w="1330"/>
        <w:gridCol w:w="1090"/>
        <w:gridCol w:w="1575"/>
        <w:gridCol w:w="1580"/>
      </w:tblGrid>
      <w:tr>
        <w:trPr>
          <w:trHeight w:val="404" w:hRule="exact"/>
        </w:trPr>
        <w:tc>
          <w:tcPr>
            <w:tcW w:w="15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0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7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33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5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2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580" w:type="dxa"/>
            <w:vMerge/>
            <w:tcBorders>
              <w:left w:val="single" w:sz="4" w:space="0" w:color="000000"/>
              <w:bottom w:val="single" w:sz="4" w:space="0" w:color="000000"/>
              <w:right w:val="single" w:sz="4" w:space="0" w:color="000000"/>
            </w:tcBorders>
            <w:shd w:val="clear" w:color="auto" w:fill="D2D2D2"/>
          </w:tcPr>
          <w:p>
            <w:pPr/>
          </w:p>
        </w:tc>
        <w:tc>
          <w:tcPr>
            <w:tcW w:w="1085" w:type="dxa"/>
            <w:vMerge/>
            <w:tcBorders>
              <w:left w:val="single" w:sz="4" w:space="0" w:color="000000"/>
              <w:bottom w:val="single" w:sz="4" w:space="0" w:color="000000"/>
              <w:right w:val="single" w:sz="4" w:space="0" w:color="000000"/>
            </w:tcBorders>
            <w:shd w:val="clear" w:color="auto" w:fill="D2D2D2"/>
          </w:tcPr>
          <w:p>
            <w:pPr/>
          </w:p>
        </w:tc>
        <w:tc>
          <w:tcPr>
            <w:tcW w:w="1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1"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0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59" w:right="0"/>
              <w:jc w:val="left"/>
              <w:rPr>
                <w:rFonts w:ascii="宋体" w:hAnsi="宋体" w:cs="宋体" w:eastAsia="宋体" w:hint="default"/>
                <w:sz w:val="18"/>
                <w:szCs w:val="18"/>
              </w:rPr>
            </w:pPr>
            <w:r>
              <w:rPr>
                <w:rFonts w:ascii="宋体" w:hAnsi="宋体" w:cs="宋体" w:eastAsia="宋体" w:hint="default"/>
                <w:sz w:val="18"/>
                <w:szCs w:val="18"/>
              </w:rPr>
              <w:t>核销</w:t>
            </w:r>
          </w:p>
        </w:tc>
        <w:tc>
          <w:tcPr>
            <w:tcW w:w="15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580" w:type="dxa"/>
            <w:vMerge/>
            <w:tcBorders>
              <w:left w:val="single" w:sz="4" w:space="0" w:color="000000"/>
              <w:bottom w:val="single" w:sz="4" w:space="0" w:color="000000"/>
              <w:right w:val="single" w:sz="4" w:space="0" w:color="000000"/>
            </w:tcBorders>
            <w:shd w:val="clear" w:color="auto" w:fill="D2D2D2"/>
          </w:tcPr>
          <w:p>
            <w:pPr/>
          </w:p>
        </w:tc>
      </w:tr>
      <w:tr>
        <w:trPr>
          <w:trHeight w:val="398" w:hRule="exact"/>
        </w:trPr>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2,975,848.51</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1,382,096.15</w:t>
            </w:r>
          </w:p>
        </w:tc>
        <w:tc>
          <w:tcPr>
            <w:tcW w:w="1330"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575"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4,357,944.66</w:t>
            </w:r>
          </w:p>
        </w:tc>
      </w:tr>
      <w:tr>
        <w:trPr>
          <w:trHeight w:val="403" w:hRule="exact"/>
        </w:trPr>
        <w:tc>
          <w:tcPr>
            <w:tcW w:w="1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2,975,848.51</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1,382,096.15</w:t>
            </w:r>
          </w:p>
        </w:tc>
        <w:tc>
          <w:tcPr>
            <w:tcW w:w="1330"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575"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4,357,944.66</w:t>
            </w:r>
          </w:p>
        </w:tc>
      </w:tr>
    </w:tbl>
    <w:p>
      <w:pPr>
        <w:spacing w:line="240" w:lineRule="auto" w:before="3"/>
        <w:rPr>
          <w:rFonts w:ascii="宋体" w:hAnsi="宋体" w:cs="宋体" w:eastAsia="宋体" w:hint="default"/>
          <w:sz w:val="19"/>
          <w:szCs w:val="19"/>
        </w:rPr>
      </w:pPr>
    </w:p>
    <w:p>
      <w:pPr>
        <w:pStyle w:val="Heading4"/>
        <w:spacing w:line="240" w:lineRule="auto" w:before="36"/>
        <w:ind w:right="855"/>
        <w:jc w:val="left"/>
        <w:rPr>
          <w:b w:val="0"/>
          <w:bCs w:val="0"/>
        </w:rPr>
      </w:pPr>
      <w:r>
        <w:rPr>
          <w:rFonts w:ascii="Times New Roman" w:hAnsi="Times New Roman" w:cs="Times New Roman" w:eastAsia="Times New Roman" w:hint="default"/>
        </w:rPr>
        <w:t>3</w:t>
      </w:r>
      <w:r>
        <w:rPr/>
        <w:t>）按欠款方归集的期末余额前五名的其他应收款情况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6"/>
        <w:ind w:left="0" w:right="1121"/>
        <w:jc w:val="right"/>
      </w:pPr>
      <w:r>
        <w:rPr/>
        <w:t>单位：</w:t>
      </w:r>
      <w:r>
        <w:rPr>
          <w:spacing w:val="5"/>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85"/>
        <w:gridCol w:w="1551"/>
        <w:gridCol w:w="1551"/>
        <w:gridCol w:w="1556"/>
        <w:gridCol w:w="1613"/>
        <w:gridCol w:w="1618"/>
      </w:tblGrid>
      <w:tr>
        <w:trPr>
          <w:trHeight w:val="403"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75"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1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81" w:right="0"/>
              <w:jc w:val="left"/>
              <w:rPr>
                <w:rFonts w:ascii="宋体" w:hAnsi="宋体" w:cs="宋体" w:eastAsia="宋体" w:hint="default"/>
                <w:sz w:val="18"/>
                <w:szCs w:val="18"/>
              </w:rPr>
            </w:pPr>
            <w:r>
              <w:rPr>
                <w:rFonts w:ascii="宋体" w:hAnsi="宋体" w:cs="宋体" w:eastAsia="宋体" w:hint="default"/>
                <w:sz w:val="18"/>
                <w:szCs w:val="18"/>
              </w:rPr>
              <w:t>占其他应收款期末</w:t>
            </w:r>
          </w:p>
        </w:tc>
        <w:tc>
          <w:tcPr>
            <w:tcW w:w="1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1"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228" w:type="dxa"/>
        <w:tblLayout w:type="fixed"/>
        <w:tblCellMar>
          <w:top w:w="0" w:type="dxa"/>
          <w:left w:w="0" w:type="dxa"/>
          <w:bottom w:w="0" w:type="dxa"/>
          <w:right w:w="0" w:type="dxa"/>
        </w:tblCellMar>
        <w:tblLook w:val="01E0"/>
      </w:tblPr>
      <w:tblGrid>
        <w:gridCol w:w="1685"/>
        <w:gridCol w:w="1551"/>
        <w:gridCol w:w="1551"/>
        <w:gridCol w:w="1556"/>
        <w:gridCol w:w="1613"/>
        <w:gridCol w:w="1618"/>
      </w:tblGrid>
      <w:tr>
        <w:trPr>
          <w:trHeight w:val="360"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75"/>
              <w:jc w:val="right"/>
              <w:rPr>
                <w:rFonts w:ascii="宋体" w:hAnsi="宋体" w:cs="宋体" w:eastAsia="宋体" w:hint="default"/>
                <w:sz w:val="18"/>
                <w:szCs w:val="18"/>
              </w:rPr>
            </w:pPr>
            <w:r>
              <w:rPr>
                <w:rFonts w:ascii="宋体" w:hAnsi="宋体" w:cs="宋体" w:eastAsia="宋体" w:hint="default"/>
                <w:spacing w:val="-2"/>
                <w:sz w:val="18"/>
                <w:szCs w:val="18"/>
              </w:rPr>
              <w:t>余额合计数的比例</w:t>
            </w:r>
          </w:p>
        </w:tc>
        <w:tc>
          <w:tcPr>
            <w:tcW w:w="161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26,055,066.28</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41.63%</w:t>
            </w: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4,000,000.00</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6.39%</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80,000.00</w:t>
            </w: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3,000,000.00</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4.79%</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600,000.00</w:t>
            </w:r>
          </w:p>
        </w:tc>
      </w:tr>
      <w:tr>
        <w:trPr>
          <w:trHeight w:val="398"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1,945,030.00</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3"/>
                <w:sz w:val="18"/>
              </w:rPr>
              <w:t>3.11%</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38,900.60</w:t>
            </w: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1,178,301.35</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1.88%</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23,566.03</w:t>
            </w:r>
          </w:p>
        </w:tc>
      </w:tr>
      <w:tr>
        <w:trPr>
          <w:trHeight w:val="404"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sz w:val="18"/>
              </w:rPr>
              <w:t>--</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36,178,397.63</w:t>
            </w:r>
          </w:p>
        </w:tc>
        <w:tc>
          <w:tcPr>
            <w:tcW w:w="1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57.80%</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742,466.63</w:t>
            </w:r>
          </w:p>
        </w:tc>
      </w:tr>
    </w:tbl>
    <w:p>
      <w:pPr>
        <w:spacing w:line="240" w:lineRule="auto" w:before="3"/>
        <w:rPr>
          <w:rFonts w:ascii="宋体" w:hAnsi="宋体" w:cs="宋体" w:eastAsia="宋体" w:hint="default"/>
          <w:sz w:val="19"/>
          <w:szCs w:val="19"/>
        </w:rPr>
      </w:pPr>
    </w:p>
    <w:p>
      <w:pPr>
        <w:pStyle w:val="Heading4"/>
        <w:spacing w:line="240" w:lineRule="auto" w:before="36"/>
        <w:ind w:left="233" w:right="0"/>
        <w:jc w:val="left"/>
        <w:rPr>
          <w:b w:val="0"/>
          <w:bCs w:val="0"/>
        </w:rPr>
      </w:pPr>
      <w:r>
        <w:rPr>
          <w:rFonts w:ascii="Times New Roman" w:hAnsi="Times New Roman" w:cs="Times New Roman" w:eastAsia="Times New Roman" w:hint="default"/>
        </w:rPr>
        <w:t>3</w:t>
      </w:r>
      <w:r>
        <w:rPr/>
        <w:t>、长期股权投资</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6"/>
        <w:ind w:left="0" w:right="1121"/>
        <w:jc w:val="right"/>
      </w:pPr>
      <w:r>
        <w:rPr/>
        <w:t>单位：</w:t>
      </w:r>
      <w:r>
        <w:rPr>
          <w:spacing w:val="5"/>
        </w:rPr>
        <w:t> </w:t>
      </w:r>
      <w:r>
        <w:rPr/>
        <w:t>元</w:t>
      </w:r>
    </w:p>
    <w:p>
      <w:pPr>
        <w:spacing w:line="240" w:lineRule="auto" w:before="4"/>
        <w:rPr>
          <w:rFonts w:ascii="宋体" w:hAnsi="宋体" w:cs="宋体" w:eastAsia="宋体" w:hint="default"/>
          <w:sz w:val="8"/>
          <w:szCs w:val="8"/>
        </w:rPr>
      </w:pPr>
    </w:p>
    <w:tbl>
      <w:tblPr>
        <w:tblW w:w="0" w:type="auto"/>
        <w:jc w:val="left"/>
        <w:tblInd w:w="228" w:type="dxa"/>
        <w:tblLayout w:type="fixed"/>
        <w:tblCellMar>
          <w:top w:w="0" w:type="dxa"/>
          <w:left w:w="0" w:type="dxa"/>
          <w:bottom w:w="0" w:type="dxa"/>
          <w:right w:w="0" w:type="dxa"/>
        </w:tblCellMar>
        <w:tblLook w:val="01E0"/>
      </w:tblPr>
      <w:tblGrid>
        <w:gridCol w:w="1369"/>
        <w:gridCol w:w="1368"/>
        <w:gridCol w:w="1369"/>
        <w:gridCol w:w="1368"/>
        <w:gridCol w:w="1364"/>
        <w:gridCol w:w="1368"/>
        <w:gridCol w:w="1369"/>
      </w:tblGrid>
      <w:tr>
        <w:trPr>
          <w:trHeight w:val="399" w:hRule="exact"/>
        </w:trPr>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6"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6"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530,162,087.02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2,279,046.00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527,883,041.02</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510,962,087.02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2,279,046.00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508,683,041.02</w:t>
            </w:r>
          </w:p>
        </w:tc>
      </w:tr>
      <w:tr>
        <w:trPr>
          <w:trHeight w:val="715"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24" w:right="70"/>
              <w:jc w:val="left"/>
              <w:rPr>
                <w:rFonts w:ascii="宋体" w:hAnsi="宋体" w:cs="宋体" w:eastAsia="宋体" w:hint="default"/>
                <w:sz w:val="18"/>
                <w:szCs w:val="18"/>
              </w:rPr>
            </w:pPr>
            <w:r>
              <w:rPr>
                <w:rFonts w:ascii="宋体" w:hAnsi="宋体" w:cs="宋体" w:eastAsia="宋体" w:hint="default"/>
                <w:spacing w:val="-3"/>
                <w:sz w:val="18"/>
                <w:szCs w:val="18"/>
              </w:rPr>
              <w:t>对联营、合营企</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业投资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31,930,169.18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4,679,763.91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27,250,405.27</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51,056,347.12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3,127,977.48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47,928,369.64</w:t>
            </w:r>
          </w:p>
        </w:tc>
      </w:tr>
      <w:tr>
        <w:trPr>
          <w:trHeight w:val="399"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562,092,256.20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6,958,809.91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555,133,446.29</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562,018,434.14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5,407,023.48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556,611,410.66</w:t>
            </w:r>
          </w:p>
        </w:tc>
      </w:tr>
    </w:tbl>
    <w:p>
      <w:pPr>
        <w:spacing w:line="240" w:lineRule="auto" w:before="3"/>
        <w:rPr>
          <w:rFonts w:ascii="宋体" w:hAnsi="宋体" w:cs="宋体" w:eastAsia="宋体" w:hint="default"/>
          <w:sz w:val="19"/>
          <w:szCs w:val="19"/>
        </w:rPr>
      </w:pPr>
    </w:p>
    <w:p>
      <w:pPr>
        <w:pStyle w:val="Heading4"/>
        <w:spacing w:line="240" w:lineRule="auto" w:before="36"/>
        <w:ind w:left="233" w:right="0"/>
        <w:jc w:val="left"/>
        <w:rPr>
          <w:b w:val="0"/>
          <w:bCs w:val="0"/>
        </w:rPr>
      </w:pPr>
      <w:r>
        <w:rPr/>
        <w:t>（</w:t>
      </w:r>
      <w:r>
        <w:rPr>
          <w:rFonts w:ascii="Times New Roman" w:hAnsi="Times New Roman" w:cs="Times New Roman" w:eastAsia="Times New Roman" w:hint="default"/>
        </w:rPr>
        <w:t>1</w:t>
      </w:r>
      <w:r>
        <w:rPr/>
        <w:t>）对子公司投资</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1"/>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18" w:type="dxa"/>
        <w:tblLayout w:type="fixed"/>
        <w:tblCellMar>
          <w:top w:w="0" w:type="dxa"/>
          <w:left w:w="0" w:type="dxa"/>
          <w:bottom w:w="0" w:type="dxa"/>
          <w:right w:w="0" w:type="dxa"/>
        </w:tblCellMar>
        <w:tblLook w:val="01E0"/>
      </w:tblPr>
      <w:tblGrid>
        <w:gridCol w:w="2665"/>
        <w:gridCol w:w="1277"/>
        <w:gridCol w:w="884"/>
        <w:gridCol w:w="850"/>
        <w:gridCol w:w="1277"/>
        <w:gridCol w:w="480"/>
        <w:gridCol w:w="1215"/>
        <w:gridCol w:w="1211"/>
      </w:tblGrid>
      <w:tr>
        <w:trPr>
          <w:trHeight w:val="403" w:hRule="exact"/>
        </w:trPr>
        <w:tc>
          <w:tcPr>
            <w:tcW w:w="2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878"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277"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97"/>
              <w:ind w:left="423" w:right="65" w:hanging="361"/>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期初余额</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账面</w:t>
            </w:r>
            <w:r>
              <w:rPr>
                <w:rFonts w:ascii="宋体" w:hAnsi="宋体" w:cs="宋体" w:eastAsia="宋体" w:hint="default"/>
                <w:spacing w:val="-73"/>
                <w:sz w:val="18"/>
                <w:szCs w:val="18"/>
              </w:rPr>
              <w:t> </w:t>
            </w:r>
            <w:r>
              <w:rPr>
                <w:rFonts w:ascii="宋体" w:hAnsi="宋体" w:cs="宋体" w:eastAsia="宋体" w:hint="default"/>
                <w:sz w:val="18"/>
                <w:szCs w:val="18"/>
              </w:rPr>
              <w:t>价值</w:t>
            </w:r>
            <w:r>
              <w:rPr>
                <w:rFonts w:ascii="Times New Roman" w:hAnsi="Times New Roman" w:cs="Times New Roman" w:eastAsia="Times New Roman" w:hint="default"/>
                <w:sz w:val="18"/>
                <w:szCs w:val="18"/>
              </w:rPr>
              <w:t>)</w:t>
            </w:r>
          </w:p>
        </w:tc>
        <w:tc>
          <w:tcPr>
            <w:tcW w:w="349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215"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97"/>
              <w:ind w:left="393" w:right="31" w:hanging="361"/>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期末余额</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账面</w:t>
            </w:r>
            <w:r>
              <w:rPr>
                <w:rFonts w:ascii="宋体" w:hAnsi="宋体" w:cs="宋体" w:eastAsia="宋体" w:hint="default"/>
                <w:spacing w:val="-73"/>
                <w:sz w:val="18"/>
                <w:szCs w:val="18"/>
              </w:rPr>
              <w:t> </w:t>
            </w:r>
            <w:r>
              <w:rPr>
                <w:rFonts w:ascii="宋体" w:hAnsi="宋体" w:cs="宋体" w:eastAsia="宋体" w:hint="default"/>
                <w:sz w:val="18"/>
                <w:szCs w:val="18"/>
              </w:rPr>
              <w:t>价值</w:t>
            </w:r>
            <w:r>
              <w:rPr>
                <w:rFonts w:ascii="Times New Roman" w:hAnsi="Times New Roman" w:cs="Times New Roman" w:eastAsia="Times New Roman" w:hint="default"/>
                <w:sz w:val="18"/>
                <w:szCs w:val="18"/>
              </w:rPr>
              <w:t>)</w:t>
            </w:r>
          </w:p>
        </w:tc>
        <w:tc>
          <w:tcPr>
            <w:tcW w:w="121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423" w:right="51" w:hanging="360"/>
              <w:jc w:val="left"/>
              <w:rPr>
                <w:rFonts w:ascii="宋体" w:hAnsi="宋体" w:cs="宋体" w:eastAsia="宋体" w:hint="default"/>
                <w:sz w:val="18"/>
                <w:szCs w:val="18"/>
              </w:rPr>
            </w:pPr>
            <w:r>
              <w:rPr>
                <w:rFonts w:ascii="宋体" w:hAnsi="宋体" w:cs="宋体" w:eastAsia="宋体" w:hint="default"/>
                <w:spacing w:val="-2"/>
                <w:sz w:val="18"/>
                <w:szCs w:val="18"/>
              </w:rPr>
              <w:t>减值准备期末</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余额</w:t>
            </w:r>
          </w:p>
        </w:tc>
      </w:tr>
      <w:tr>
        <w:trPr>
          <w:trHeight w:val="403" w:hRule="exact"/>
        </w:trPr>
        <w:tc>
          <w:tcPr>
            <w:tcW w:w="2665" w:type="dxa"/>
            <w:vMerge/>
            <w:tcBorders>
              <w:left w:val="single" w:sz="4" w:space="0" w:color="000000"/>
              <w:bottom w:val="single" w:sz="4" w:space="0" w:color="000000"/>
              <w:right w:val="single" w:sz="4" w:space="0" w:color="000000"/>
            </w:tcBorders>
            <w:shd w:val="clear" w:color="auto" w:fill="D2D2D2"/>
          </w:tcPr>
          <w:p>
            <w:pPr/>
          </w:p>
        </w:tc>
        <w:tc>
          <w:tcPr>
            <w:tcW w:w="1277" w:type="dxa"/>
            <w:vMerge/>
            <w:tcBorders>
              <w:left w:val="single" w:sz="4" w:space="0" w:color="000000"/>
              <w:bottom w:val="single" w:sz="4" w:space="0" w:color="000000"/>
              <w:right w:val="single" w:sz="4" w:space="0" w:color="000000"/>
            </w:tcBorders>
            <w:shd w:val="clear" w:color="auto" w:fill="D2D2D2"/>
          </w:tcPr>
          <w:p>
            <w:pPr/>
          </w:p>
        </w:tc>
        <w:tc>
          <w:tcPr>
            <w:tcW w:w="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6"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2"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 w:right="0"/>
              <w:jc w:val="left"/>
              <w:rPr>
                <w:rFonts w:ascii="宋体" w:hAnsi="宋体" w:cs="宋体" w:eastAsia="宋体" w:hint="default"/>
                <w:sz w:val="18"/>
                <w:szCs w:val="18"/>
              </w:rPr>
            </w:pPr>
            <w:r>
              <w:rPr>
                <w:rFonts w:ascii="宋体" w:hAnsi="宋体" w:cs="宋体" w:eastAsia="宋体" w:hint="default"/>
                <w:sz w:val="18"/>
                <w:szCs w:val="18"/>
              </w:rPr>
              <w:t>计提减值准备</w:t>
            </w:r>
          </w:p>
        </w:tc>
        <w:tc>
          <w:tcPr>
            <w:tcW w:w="4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15" w:type="dxa"/>
            <w:vMerge/>
            <w:tcBorders>
              <w:left w:val="single" w:sz="4" w:space="0" w:color="000000"/>
              <w:bottom w:val="single" w:sz="4" w:space="0" w:color="000000"/>
              <w:right w:val="single" w:sz="4" w:space="0" w:color="000000"/>
            </w:tcBorders>
            <w:shd w:val="clear" w:color="auto" w:fill="D2D2D2"/>
          </w:tcPr>
          <w:p>
            <w:pPr/>
          </w:p>
        </w:tc>
        <w:tc>
          <w:tcPr>
            <w:tcW w:w="1211" w:type="dxa"/>
            <w:vMerge/>
            <w:tcBorders>
              <w:left w:val="single" w:sz="4" w:space="0" w:color="000000"/>
              <w:bottom w:val="single" w:sz="4" w:space="0" w:color="000000"/>
              <w:right w:val="single" w:sz="4" w:space="0" w:color="000000"/>
            </w:tcBorders>
            <w:shd w:val="clear" w:color="auto" w:fill="D2D2D2"/>
          </w:tcPr>
          <w:p>
            <w:pPr/>
          </w:p>
        </w:tc>
      </w:tr>
      <w:tr>
        <w:trPr>
          <w:trHeight w:val="398" w:hRule="exact"/>
        </w:trPr>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pacing w:val="-3"/>
                <w:sz w:val="18"/>
                <w:szCs w:val="18"/>
              </w:rPr>
              <w:t>广州南天电脑系统有限公司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94,831,200.29</w:t>
            </w:r>
          </w:p>
        </w:tc>
        <w:tc>
          <w:tcPr>
            <w:tcW w:w="88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24" w:right="0"/>
              <w:jc w:val="center"/>
              <w:rPr>
                <w:rFonts w:ascii="Times New Roman" w:hAnsi="Times New Roman" w:cs="Times New Roman" w:eastAsia="Times New Roman" w:hint="default"/>
                <w:sz w:val="18"/>
                <w:szCs w:val="18"/>
              </w:rPr>
            </w:pPr>
            <w:r>
              <w:rPr>
                <w:rFonts w:ascii="Times New Roman"/>
                <w:sz w:val="18"/>
              </w:rPr>
              <w:t>94,831,200.29</w:t>
            </w:r>
          </w:p>
        </w:tc>
        <w:tc>
          <w:tcPr>
            <w:tcW w:w="12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pacing w:val="-3"/>
                <w:sz w:val="18"/>
                <w:szCs w:val="18"/>
              </w:rPr>
              <w:t>上海南天电脑系统有限公司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100,575,462.87</w:t>
            </w:r>
          </w:p>
        </w:tc>
        <w:tc>
          <w:tcPr>
            <w:tcW w:w="88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7" w:right="0"/>
              <w:jc w:val="center"/>
              <w:rPr>
                <w:rFonts w:ascii="Times New Roman" w:hAnsi="Times New Roman" w:cs="Times New Roman" w:eastAsia="Times New Roman" w:hint="default"/>
                <w:sz w:val="18"/>
                <w:szCs w:val="18"/>
              </w:rPr>
            </w:pPr>
            <w:r>
              <w:rPr>
                <w:rFonts w:ascii="Times New Roman"/>
                <w:sz w:val="18"/>
              </w:rPr>
              <w:t>100,575,462.87</w:t>
            </w:r>
          </w:p>
        </w:tc>
        <w:tc>
          <w:tcPr>
            <w:tcW w:w="121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8" w:right="0"/>
              <w:jc w:val="left"/>
              <w:rPr>
                <w:rFonts w:ascii="宋体" w:hAnsi="宋体" w:cs="宋体" w:eastAsia="宋体" w:hint="default"/>
                <w:sz w:val="18"/>
                <w:szCs w:val="18"/>
              </w:rPr>
            </w:pPr>
            <w:r>
              <w:rPr>
                <w:rFonts w:ascii="宋体" w:hAnsi="宋体" w:cs="宋体" w:eastAsia="宋体" w:hint="default"/>
                <w:spacing w:val="-3"/>
                <w:sz w:val="18"/>
                <w:szCs w:val="18"/>
              </w:rPr>
              <w:t>昆明南天电脑系统有限公司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14,416,855.00</w:t>
            </w:r>
          </w:p>
        </w:tc>
        <w:tc>
          <w:tcPr>
            <w:tcW w:w="88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24" w:right="0"/>
              <w:jc w:val="center"/>
              <w:rPr>
                <w:rFonts w:ascii="Times New Roman" w:hAnsi="Times New Roman" w:cs="Times New Roman" w:eastAsia="Times New Roman" w:hint="default"/>
                <w:sz w:val="18"/>
                <w:szCs w:val="18"/>
              </w:rPr>
            </w:pPr>
            <w:r>
              <w:rPr>
                <w:rFonts w:ascii="Times New Roman"/>
                <w:sz w:val="18"/>
              </w:rPr>
              <w:t>14,416,855.00</w:t>
            </w:r>
          </w:p>
        </w:tc>
        <w:tc>
          <w:tcPr>
            <w:tcW w:w="12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pacing w:val="-3"/>
                <w:sz w:val="18"/>
                <w:szCs w:val="18"/>
              </w:rPr>
              <w:t>西安南天电脑系统有限公司</w:t>
            </w:r>
          </w:p>
        </w:tc>
        <w:tc>
          <w:tcPr>
            <w:tcW w:w="1277"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5" w:right="0"/>
              <w:jc w:val="left"/>
              <w:rPr>
                <w:rFonts w:ascii="Times New Roman" w:hAnsi="Times New Roman" w:cs="Times New Roman" w:eastAsia="Times New Roman" w:hint="default"/>
                <w:sz w:val="18"/>
                <w:szCs w:val="18"/>
              </w:rPr>
            </w:pPr>
            <w:r>
              <w:rPr>
                <w:rFonts w:ascii="Times New Roman"/>
                <w:sz w:val="18"/>
              </w:rPr>
              <w:t>2,279,046.00</w:t>
            </w:r>
          </w:p>
        </w:tc>
      </w:tr>
      <w:tr>
        <w:trPr>
          <w:trHeight w:val="398" w:hRule="exact"/>
        </w:trPr>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pacing w:val="-3"/>
                <w:sz w:val="18"/>
                <w:szCs w:val="18"/>
              </w:rPr>
              <w:t>武汉南天电脑系统有限公司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1,666,475.80</w:t>
            </w:r>
          </w:p>
        </w:tc>
        <w:tc>
          <w:tcPr>
            <w:tcW w:w="88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16" w:right="0"/>
              <w:jc w:val="center"/>
              <w:rPr>
                <w:rFonts w:ascii="Times New Roman" w:hAnsi="Times New Roman" w:cs="Times New Roman" w:eastAsia="Times New Roman" w:hint="default"/>
                <w:sz w:val="18"/>
                <w:szCs w:val="18"/>
              </w:rPr>
            </w:pPr>
            <w:r>
              <w:rPr>
                <w:rFonts w:ascii="Times New Roman"/>
                <w:sz w:val="18"/>
              </w:rPr>
              <w:t>1,666,475.80</w:t>
            </w:r>
          </w:p>
        </w:tc>
        <w:tc>
          <w:tcPr>
            <w:tcW w:w="12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pacing w:val="-3"/>
                <w:sz w:val="18"/>
                <w:szCs w:val="18"/>
              </w:rPr>
              <w:t>深圳南天东华科技有限公司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14,128,487.01</w:t>
            </w:r>
          </w:p>
        </w:tc>
        <w:tc>
          <w:tcPr>
            <w:tcW w:w="88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24" w:right="0"/>
              <w:jc w:val="center"/>
              <w:rPr>
                <w:rFonts w:ascii="Times New Roman" w:hAnsi="Times New Roman" w:cs="Times New Roman" w:eastAsia="Times New Roman" w:hint="default"/>
                <w:sz w:val="18"/>
                <w:szCs w:val="18"/>
              </w:rPr>
            </w:pPr>
            <w:r>
              <w:rPr>
                <w:rFonts w:ascii="Times New Roman"/>
                <w:sz w:val="18"/>
              </w:rPr>
              <w:t>14,128,487.01</w:t>
            </w:r>
          </w:p>
        </w:tc>
        <w:tc>
          <w:tcPr>
            <w:tcW w:w="121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8" w:right="0"/>
              <w:jc w:val="left"/>
              <w:rPr>
                <w:rFonts w:ascii="宋体" w:hAnsi="宋体" w:cs="宋体" w:eastAsia="宋体" w:hint="default"/>
                <w:sz w:val="18"/>
                <w:szCs w:val="18"/>
              </w:rPr>
            </w:pPr>
            <w:r>
              <w:rPr>
                <w:rFonts w:ascii="宋体" w:hAnsi="宋体" w:cs="宋体" w:eastAsia="宋体" w:hint="default"/>
                <w:sz w:val="18"/>
                <w:szCs w:val="18"/>
              </w:rPr>
              <w:t>北京南天软件有限公司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102,000,000.00</w:t>
            </w:r>
          </w:p>
        </w:tc>
        <w:tc>
          <w:tcPr>
            <w:tcW w:w="88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7" w:right="0"/>
              <w:jc w:val="center"/>
              <w:rPr>
                <w:rFonts w:ascii="Times New Roman" w:hAnsi="Times New Roman" w:cs="Times New Roman" w:eastAsia="Times New Roman" w:hint="default"/>
                <w:sz w:val="18"/>
                <w:szCs w:val="18"/>
              </w:rPr>
            </w:pPr>
            <w:r>
              <w:rPr>
                <w:rFonts w:ascii="Times New Roman"/>
                <w:sz w:val="18"/>
              </w:rPr>
              <w:t>102,000,000.00</w:t>
            </w:r>
          </w:p>
        </w:tc>
        <w:tc>
          <w:tcPr>
            <w:tcW w:w="12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pacing w:val="-3"/>
                <w:sz w:val="18"/>
                <w:szCs w:val="18"/>
              </w:rPr>
              <w:t>云南南天信息设备有限公司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14,900,000.00</w:t>
            </w:r>
          </w:p>
        </w:tc>
        <w:tc>
          <w:tcPr>
            <w:tcW w:w="88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24" w:right="0"/>
              <w:jc w:val="center"/>
              <w:rPr>
                <w:rFonts w:ascii="Times New Roman" w:hAnsi="Times New Roman" w:cs="Times New Roman" w:eastAsia="Times New Roman" w:hint="default"/>
                <w:sz w:val="18"/>
                <w:szCs w:val="18"/>
              </w:rPr>
            </w:pPr>
            <w:r>
              <w:rPr>
                <w:rFonts w:ascii="Times New Roman"/>
                <w:sz w:val="18"/>
              </w:rPr>
              <w:t>14,900,000.00</w:t>
            </w:r>
          </w:p>
        </w:tc>
        <w:tc>
          <w:tcPr>
            <w:tcW w:w="1211"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pacing w:val="-3"/>
                <w:sz w:val="18"/>
                <w:szCs w:val="18"/>
              </w:rPr>
              <w:t>北京南天信息工程有限公司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25,674,831.49</w:t>
            </w:r>
          </w:p>
        </w:tc>
        <w:tc>
          <w:tcPr>
            <w:tcW w:w="88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24" w:right="0"/>
              <w:jc w:val="center"/>
              <w:rPr>
                <w:rFonts w:ascii="Times New Roman" w:hAnsi="Times New Roman" w:cs="Times New Roman" w:eastAsia="Times New Roman" w:hint="default"/>
                <w:sz w:val="18"/>
                <w:szCs w:val="18"/>
              </w:rPr>
            </w:pPr>
            <w:r>
              <w:rPr>
                <w:rFonts w:ascii="Times New Roman"/>
                <w:sz w:val="18"/>
              </w:rPr>
              <w:t>25,674,831.49</w:t>
            </w:r>
          </w:p>
        </w:tc>
        <w:tc>
          <w:tcPr>
            <w:tcW w:w="12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pacing w:val="-3"/>
                <w:sz w:val="18"/>
                <w:szCs w:val="18"/>
              </w:rPr>
              <w:t>北京南天新智慧科技有限公司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6,500,000.00</w:t>
            </w:r>
          </w:p>
        </w:tc>
        <w:tc>
          <w:tcPr>
            <w:tcW w:w="88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16" w:right="0"/>
              <w:jc w:val="center"/>
              <w:rPr>
                <w:rFonts w:ascii="Times New Roman" w:hAnsi="Times New Roman" w:cs="Times New Roman" w:eastAsia="Times New Roman" w:hint="default"/>
                <w:sz w:val="18"/>
                <w:szCs w:val="18"/>
              </w:rPr>
            </w:pPr>
            <w:r>
              <w:rPr>
                <w:rFonts w:ascii="Times New Roman"/>
                <w:sz w:val="18"/>
              </w:rPr>
              <w:t>6,500,000.00</w:t>
            </w:r>
          </w:p>
        </w:tc>
        <w:tc>
          <w:tcPr>
            <w:tcW w:w="121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8" w:right="0"/>
              <w:jc w:val="left"/>
              <w:rPr>
                <w:rFonts w:ascii="宋体" w:hAnsi="宋体" w:cs="宋体" w:eastAsia="宋体" w:hint="default"/>
                <w:sz w:val="18"/>
                <w:szCs w:val="18"/>
              </w:rPr>
            </w:pPr>
            <w:r>
              <w:rPr>
                <w:rFonts w:ascii="宋体" w:hAnsi="宋体" w:cs="宋体" w:eastAsia="宋体" w:hint="default"/>
                <w:spacing w:val="-3"/>
                <w:sz w:val="18"/>
                <w:szCs w:val="18"/>
              </w:rPr>
              <w:t>北京南天智联科技有限公司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2,550,000.00</w:t>
            </w:r>
          </w:p>
        </w:tc>
        <w:tc>
          <w:tcPr>
            <w:tcW w:w="88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16" w:right="0"/>
              <w:jc w:val="center"/>
              <w:rPr>
                <w:rFonts w:ascii="Times New Roman" w:hAnsi="Times New Roman" w:cs="Times New Roman" w:eastAsia="Times New Roman" w:hint="default"/>
                <w:sz w:val="18"/>
                <w:szCs w:val="18"/>
              </w:rPr>
            </w:pPr>
            <w:r>
              <w:rPr>
                <w:rFonts w:ascii="Times New Roman"/>
                <w:sz w:val="18"/>
              </w:rPr>
              <w:t>2,550,000.00</w:t>
            </w:r>
          </w:p>
        </w:tc>
        <w:tc>
          <w:tcPr>
            <w:tcW w:w="12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pacing w:val="-3"/>
                <w:sz w:val="18"/>
                <w:szCs w:val="18"/>
              </w:rPr>
              <w:t>云南红岭云科技有限公司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36,799,728.56</w:t>
            </w:r>
          </w:p>
        </w:tc>
        <w:tc>
          <w:tcPr>
            <w:tcW w:w="88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24" w:right="0"/>
              <w:jc w:val="center"/>
              <w:rPr>
                <w:rFonts w:ascii="Times New Roman" w:hAnsi="Times New Roman" w:cs="Times New Roman" w:eastAsia="Times New Roman" w:hint="default"/>
                <w:sz w:val="18"/>
                <w:szCs w:val="18"/>
              </w:rPr>
            </w:pPr>
            <w:r>
              <w:rPr>
                <w:rFonts w:ascii="Times New Roman"/>
                <w:sz w:val="18"/>
              </w:rPr>
              <w:t>36,799,728.56</w:t>
            </w:r>
          </w:p>
        </w:tc>
        <w:tc>
          <w:tcPr>
            <w:tcW w:w="1211"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8" w:right="0"/>
              <w:jc w:val="left"/>
              <w:rPr>
                <w:rFonts w:ascii="宋体" w:hAnsi="宋体" w:cs="宋体" w:eastAsia="宋体" w:hint="default"/>
                <w:sz w:val="18"/>
                <w:szCs w:val="18"/>
              </w:rPr>
            </w:pPr>
            <w:r>
              <w:rPr>
                <w:rFonts w:ascii="宋体" w:hAnsi="宋体" w:cs="宋体" w:eastAsia="宋体" w:hint="default"/>
                <w:spacing w:val="-3"/>
                <w:sz w:val="18"/>
                <w:szCs w:val="18"/>
              </w:rPr>
              <w:t>北京星立方科技发展股份有限公</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94,640,000.00</w:t>
            </w:r>
          </w:p>
        </w:tc>
        <w:tc>
          <w:tcPr>
            <w:tcW w:w="88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24" w:right="0"/>
              <w:jc w:val="center"/>
              <w:rPr>
                <w:rFonts w:ascii="Times New Roman" w:hAnsi="Times New Roman" w:cs="Times New Roman" w:eastAsia="Times New Roman" w:hint="default"/>
                <w:sz w:val="18"/>
                <w:szCs w:val="18"/>
              </w:rPr>
            </w:pPr>
            <w:r>
              <w:rPr>
                <w:rFonts w:ascii="Times New Roman"/>
                <w:sz w:val="18"/>
              </w:rPr>
              <w:t>94,640,000.00</w:t>
            </w:r>
          </w:p>
        </w:tc>
        <w:tc>
          <w:tcPr>
            <w:tcW w:w="121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6" w:footer="974" w:top="1060" w:bottom="1160" w:left="900" w:right="0"/>
        </w:sectPr>
      </w:pPr>
    </w:p>
    <w:p>
      <w:pPr>
        <w:spacing w:line="240" w:lineRule="auto" w:before="6"/>
        <w:rPr>
          <w:rFonts w:ascii="宋体" w:hAnsi="宋体" w:cs="宋体" w:eastAsia="宋体" w:hint="default"/>
          <w:sz w:val="28"/>
          <w:szCs w:val="28"/>
        </w:rPr>
      </w:pPr>
    </w:p>
    <w:tbl>
      <w:tblPr>
        <w:tblW w:w="0" w:type="auto"/>
        <w:jc w:val="left"/>
        <w:tblInd w:w="118" w:type="dxa"/>
        <w:tblLayout w:type="fixed"/>
        <w:tblCellMar>
          <w:top w:w="0" w:type="dxa"/>
          <w:left w:w="0" w:type="dxa"/>
          <w:bottom w:w="0" w:type="dxa"/>
          <w:right w:w="0" w:type="dxa"/>
        </w:tblCellMar>
        <w:tblLook w:val="01E0"/>
      </w:tblPr>
      <w:tblGrid>
        <w:gridCol w:w="2665"/>
        <w:gridCol w:w="1277"/>
        <w:gridCol w:w="884"/>
        <w:gridCol w:w="850"/>
        <w:gridCol w:w="1277"/>
        <w:gridCol w:w="480"/>
        <w:gridCol w:w="1215"/>
        <w:gridCol w:w="1211"/>
      </w:tblGrid>
      <w:tr>
        <w:trPr>
          <w:trHeight w:val="360" w:hRule="exact"/>
        </w:trPr>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w w:val="101"/>
                <w:sz w:val="18"/>
                <w:szCs w:val="18"/>
              </w:rPr>
              <w:t>司</w:t>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
        </w:tc>
        <w:tc>
          <w:tcPr>
            <w:tcW w:w="1211"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pacing w:val="-3"/>
                <w:sz w:val="18"/>
                <w:szCs w:val="18"/>
              </w:rPr>
              <w:t>广州市海捷计算机科技有限公司</w:t>
            </w:r>
          </w:p>
        </w:tc>
        <w:tc>
          <w:tcPr>
            <w:tcW w:w="1277"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19,200,000</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.00</w:t>
            </w: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24" w:right="0"/>
              <w:jc w:val="center"/>
              <w:rPr>
                <w:rFonts w:ascii="Times New Roman" w:hAnsi="Times New Roman" w:cs="Times New Roman" w:eastAsia="Times New Roman" w:hint="default"/>
                <w:sz w:val="18"/>
                <w:szCs w:val="18"/>
              </w:rPr>
            </w:pPr>
            <w:r>
              <w:rPr>
                <w:rFonts w:ascii="Times New Roman"/>
                <w:sz w:val="18"/>
              </w:rPr>
              <w:t>19,200,000.00</w:t>
            </w:r>
          </w:p>
        </w:tc>
        <w:tc>
          <w:tcPr>
            <w:tcW w:w="121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20" w:right="0"/>
              <w:jc w:val="left"/>
              <w:rPr>
                <w:rFonts w:ascii="Times New Roman" w:hAnsi="Times New Roman" w:cs="Times New Roman" w:eastAsia="Times New Roman" w:hint="default"/>
                <w:sz w:val="18"/>
                <w:szCs w:val="18"/>
              </w:rPr>
            </w:pPr>
            <w:r>
              <w:rPr>
                <w:rFonts w:ascii="Times New Roman"/>
                <w:sz w:val="18"/>
              </w:rPr>
              <w:t>508,683,041.02</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19,200,000</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.00</w:t>
            </w: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37" w:right="0"/>
              <w:jc w:val="center"/>
              <w:rPr>
                <w:rFonts w:ascii="Times New Roman" w:hAnsi="Times New Roman" w:cs="Times New Roman" w:eastAsia="Times New Roman" w:hint="default"/>
                <w:sz w:val="18"/>
                <w:szCs w:val="18"/>
              </w:rPr>
            </w:pPr>
            <w:r>
              <w:rPr>
                <w:rFonts w:ascii="Times New Roman"/>
                <w:sz w:val="18"/>
              </w:rPr>
              <w:t>527,883,041.02</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2,279,046.00</w:t>
            </w:r>
          </w:p>
        </w:tc>
      </w:tr>
    </w:tbl>
    <w:p>
      <w:pPr>
        <w:spacing w:line="240" w:lineRule="auto" w:before="3"/>
        <w:rPr>
          <w:rFonts w:ascii="宋体" w:hAnsi="宋体" w:cs="宋体" w:eastAsia="宋体" w:hint="default"/>
          <w:sz w:val="19"/>
          <w:szCs w:val="19"/>
        </w:rPr>
      </w:pPr>
    </w:p>
    <w:p>
      <w:pPr>
        <w:pStyle w:val="Heading4"/>
        <w:spacing w:line="240" w:lineRule="auto" w:before="36"/>
        <w:ind w:left="233" w:right="0"/>
        <w:jc w:val="left"/>
        <w:rPr>
          <w:b w:val="0"/>
          <w:bCs w:val="0"/>
        </w:rPr>
      </w:pPr>
      <w:r>
        <w:rPr/>
        <w:t>（</w:t>
      </w:r>
      <w:r>
        <w:rPr>
          <w:rFonts w:ascii="Times New Roman" w:hAnsi="Times New Roman" w:cs="Times New Roman" w:eastAsia="Times New Roman" w:hint="default"/>
        </w:rPr>
        <w:t>2</w:t>
      </w:r>
      <w:r>
        <w:rPr/>
        <w:t>）对联营、合营企业投资</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6"/>
        <w:ind w:left="0" w:right="1121"/>
        <w:jc w:val="right"/>
      </w:pPr>
      <w:r>
        <w:rPr/>
        <w:t>单位：</w:t>
      </w:r>
      <w:r>
        <w:rPr>
          <w:spacing w:val="5"/>
        </w:rPr>
        <w:t> </w:t>
      </w:r>
      <w:r>
        <w:rPr/>
        <w:t>元</w:t>
      </w:r>
    </w:p>
    <w:p>
      <w:pPr>
        <w:spacing w:line="240" w:lineRule="auto" w:before="4"/>
        <w:rPr>
          <w:rFonts w:ascii="宋体" w:hAnsi="宋体" w:cs="宋体" w:eastAsia="宋体" w:hint="default"/>
          <w:sz w:val="8"/>
          <w:szCs w:val="8"/>
        </w:rPr>
      </w:pPr>
    </w:p>
    <w:tbl>
      <w:tblPr>
        <w:tblW w:w="0" w:type="auto"/>
        <w:jc w:val="left"/>
        <w:tblInd w:w="228" w:type="dxa"/>
        <w:tblLayout w:type="fixed"/>
        <w:tblCellMar>
          <w:top w:w="0" w:type="dxa"/>
          <w:left w:w="0" w:type="dxa"/>
          <w:bottom w:w="0" w:type="dxa"/>
          <w:right w:w="0" w:type="dxa"/>
        </w:tblCellMar>
        <w:tblLook w:val="01E0"/>
      </w:tblPr>
      <w:tblGrid>
        <w:gridCol w:w="1277"/>
        <w:gridCol w:w="711"/>
        <w:gridCol w:w="706"/>
        <w:gridCol w:w="495"/>
        <w:gridCol w:w="797"/>
        <w:gridCol w:w="802"/>
        <w:gridCol w:w="797"/>
        <w:gridCol w:w="797"/>
        <w:gridCol w:w="797"/>
        <w:gridCol w:w="802"/>
        <w:gridCol w:w="797"/>
        <w:gridCol w:w="797"/>
      </w:tblGrid>
      <w:tr>
        <w:trPr>
          <w:trHeight w:val="398" w:hRule="exact"/>
        </w:trPr>
        <w:tc>
          <w:tcPr>
            <w:tcW w:w="12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307" w:lineRule="auto"/>
              <w:ind w:left="47" w:right="46" w:firstLine="33"/>
              <w:jc w:val="both"/>
              <w:rPr>
                <w:rFonts w:ascii="Times New Roman" w:hAnsi="Times New Roman" w:cs="Times New Roman" w:eastAsia="Times New Roman" w:hint="default"/>
                <w:sz w:val="18"/>
                <w:szCs w:val="18"/>
              </w:rPr>
            </w:pPr>
            <w:r>
              <w:rPr>
                <w:rFonts w:ascii="宋体" w:hAnsi="宋体" w:cs="宋体" w:eastAsia="宋体" w:hint="default"/>
                <w:sz w:val="18"/>
                <w:szCs w:val="18"/>
              </w:rPr>
              <w:t>期初余</w:t>
            </w:r>
            <w:r>
              <w:rPr>
                <w:rFonts w:ascii="宋体" w:hAnsi="宋体" w:cs="宋体" w:eastAsia="宋体" w:hint="default"/>
                <w:w w:val="101"/>
                <w:sz w:val="18"/>
                <w:szCs w:val="18"/>
              </w:rPr>
              <w:t> </w:t>
            </w:r>
            <w:r>
              <w:rPr>
                <w:rFonts w:ascii="宋体" w:hAnsi="宋体" w:cs="宋体" w:eastAsia="宋体" w:hint="default"/>
                <w:sz w:val="18"/>
                <w:szCs w:val="18"/>
              </w:rPr>
              <w:t>额</w:t>
            </w:r>
            <w:r>
              <w:rPr>
                <w:rFonts w:ascii="Times New Roman" w:hAnsi="Times New Roman" w:cs="Times New Roman" w:eastAsia="Times New Roman" w:hint="default"/>
                <w:sz w:val="18"/>
                <w:szCs w:val="18"/>
              </w:rPr>
              <w:t>(</w:t>
            </w:r>
            <w:r>
              <w:rPr>
                <w:rFonts w:ascii="宋体" w:hAnsi="宋体" w:cs="宋体" w:eastAsia="宋体" w:hint="default"/>
                <w:sz w:val="18"/>
                <w:szCs w:val="18"/>
              </w:rPr>
              <w:t>账面</w:t>
            </w:r>
            <w:r>
              <w:rPr>
                <w:rFonts w:ascii="宋体" w:hAnsi="宋体" w:cs="宋体" w:eastAsia="宋体" w:hint="default"/>
                <w:spacing w:val="-86"/>
                <w:sz w:val="18"/>
                <w:szCs w:val="18"/>
              </w:rPr>
              <w:t> </w:t>
            </w:r>
            <w:r>
              <w:rPr>
                <w:rFonts w:ascii="宋体" w:hAnsi="宋体" w:cs="宋体" w:eastAsia="宋体" w:hint="default"/>
                <w:sz w:val="18"/>
                <w:szCs w:val="18"/>
              </w:rPr>
              <w:t>价值</w:t>
            </w:r>
            <w:r>
              <w:rPr>
                <w:rFonts w:ascii="Times New Roman" w:hAnsi="Times New Roman" w:cs="Times New Roman" w:eastAsia="Times New Roman" w:hint="default"/>
                <w:sz w:val="18"/>
                <w:szCs w:val="18"/>
              </w:rPr>
              <w:t>)</w:t>
            </w:r>
          </w:p>
        </w:tc>
        <w:tc>
          <w:tcPr>
            <w:tcW w:w="599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307" w:lineRule="auto"/>
              <w:ind w:left="33" w:right="27"/>
              <w:jc w:val="center"/>
              <w:rPr>
                <w:rFonts w:ascii="Times New Roman" w:hAnsi="Times New Roman" w:cs="Times New Roman" w:eastAsia="Times New Roman" w:hint="default"/>
                <w:sz w:val="18"/>
                <w:szCs w:val="18"/>
              </w:rPr>
            </w:pPr>
            <w:r>
              <w:rPr>
                <w:rFonts w:ascii="宋体" w:hAnsi="宋体" w:cs="宋体" w:eastAsia="宋体" w:hint="default"/>
                <w:spacing w:val="-2"/>
                <w:sz w:val="18"/>
                <w:szCs w:val="18"/>
              </w:rPr>
              <w:t>期末余额</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账面价</w:t>
            </w:r>
            <w:r>
              <w:rPr>
                <w:rFonts w:ascii="宋体" w:hAnsi="宋体" w:cs="宋体" w:eastAsia="宋体" w:hint="default"/>
                <w:w w:val="101"/>
                <w:sz w:val="18"/>
                <w:szCs w:val="18"/>
              </w:rPr>
              <w:t> </w:t>
            </w:r>
            <w:r>
              <w:rPr>
                <w:rFonts w:ascii="宋体" w:hAnsi="宋体" w:cs="宋体" w:eastAsia="宋体" w:hint="default"/>
                <w:sz w:val="18"/>
                <w:szCs w:val="18"/>
              </w:rPr>
              <w:t>值</w:t>
            </w:r>
            <w:r>
              <w:rPr>
                <w:rFonts w:ascii="Times New Roman" w:hAnsi="Times New Roman" w:cs="Times New Roman" w:eastAsia="Times New Roman" w:hint="default"/>
                <w:sz w:val="18"/>
                <w:szCs w:val="18"/>
              </w:rPr>
              <w:t>)</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2" w:lineRule="auto"/>
              <w:ind w:left="33" w:right="26"/>
              <w:jc w:val="left"/>
              <w:rPr>
                <w:rFonts w:ascii="宋体" w:hAnsi="宋体" w:cs="宋体" w:eastAsia="宋体" w:hint="default"/>
                <w:sz w:val="18"/>
                <w:szCs w:val="18"/>
              </w:rPr>
            </w:pPr>
            <w:r>
              <w:rPr>
                <w:rFonts w:ascii="宋体" w:hAnsi="宋体" w:cs="宋体" w:eastAsia="宋体" w:hint="default"/>
                <w:sz w:val="18"/>
                <w:szCs w:val="18"/>
              </w:rPr>
              <w:t>减值准备</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期末余额</w:t>
            </w:r>
          </w:p>
        </w:tc>
      </w:tr>
      <w:tr>
        <w:trPr>
          <w:trHeight w:val="1028" w:hRule="exact"/>
        </w:trPr>
        <w:tc>
          <w:tcPr>
            <w:tcW w:w="1277" w:type="dxa"/>
            <w:vMerge/>
            <w:tcBorders>
              <w:left w:val="single" w:sz="4" w:space="0" w:color="000000"/>
              <w:bottom w:val="single" w:sz="4" w:space="0" w:color="000000"/>
              <w:right w:val="single" w:sz="4" w:space="0" w:color="000000"/>
            </w:tcBorders>
            <w:shd w:val="clear" w:color="auto" w:fill="D2D2D2"/>
          </w:tcPr>
          <w:p>
            <w:pPr/>
          </w:p>
        </w:tc>
        <w:tc>
          <w:tcPr>
            <w:tcW w:w="711" w:type="dxa"/>
            <w:vMerge/>
            <w:tcBorders>
              <w:left w:val="single" w:sz="4" w:space="0" w:color="000000"/>
              <w:bottom w:val="single" w:sz="4" w:space="0" w:color="000000"/>
              <w:right w:val="single" w:sz="4" w:space="0" w:color="000000"/>
            </w:tcBorders>
            <w:shd w:val="clear" w:color="auto" w:fill="D2D2D2"/>
          </w:tcPr>
          <w:p>
            <w:pPr/>
          </w:p>
        </w:tc>
        <w:tc>
          <w:tcPr>
            <w:tcW w:w="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2" w:lineRule="auto"/>
              <w:ind w:left="259" w:right="69" w:hanging="178"/>
              <w:jc w:val="left"/>
              <w:rPr>
                <w:rFonts w:ascii="宋体" w:hAnsi="宋体" w:cs="宋体" w:eastAsia="宋体" w:hint="default"/>
                <w:sz w:val="18"/>
                <w:szCs w:val="18"/>
              </w:rPr>
            </w:pPr>
            <w:r>
              <w:rPr>
                <w:rFonts w:ascii="宋体" w:hAnsi="宋体" w:cs="宋体" w:eastAsia="宋体" w:hint="default"/>
                <w:sz w:val="18"/>
                <w:szCs w:val="18"/>
              </w:rPr>
              <w:t>追加投</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资</w:t>
            </w:r>
          </w:p>
        </w:tc>
        <w:tc>
          <w:tcPr>
            <w:tcW w:w="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2" w:lineRule="auto"/>
              <w:ind w:left="62" w:right="56"/>
              <w:jc w:val="lef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86"/>
                <w:sz w:val="18"/>
                <w:szCs w:val="18"/>
              </w:rPr>
              <w:t> </w:t>
            </w:r>
            <w:r>
              <w:rPr>
                <w:rFonts w:ascii="宋体" w:hAnsi="宋体" w:cs="宋体" w:eastAsia="宋体" w:hint="default"/>
                <w:sz w:val="18"/>
                <w:szCs w:val="18"/>
              </w:rPr>
              <w:t>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33" w:right="26"/>
              <w:jc w:val="both"/>
              <w:rPr>
                <w:rFonts w:ascii="宋体" w:hAnsi="宋体" w:cs="宋体" w:eastAsia="宋体" w:hint="default"/>
                <w:sz w:val="18"/>
                <w:szCs w:val="18"/>
              </w:rPr>
            </w:pPr>
            <w:r>
              <w:rPr>
                <w:rFonts w:ascii="宋体" w:hAnsi="宋体" w:cs="宋体" w:eastAsia="宋体" w:hint="default"/>
                <w:sz w:val="18"/>
                <w:szCs w:val="18"/>
              </w:rPr>
              <w:t>权益法下</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确认的投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资损益</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2" w:lineRule="auto"/>
              <w:ind w:left="33" w:right="31"/>
              <w:jc w:val="left"/>
              <w:rPr>
                <w:rFonts w:ascii="宋体" w:hAnsi="宋体" w:cs="宋体" w:eastAsia="宋体" w:hint="default"/>
                <w:sz w:val="18"/>
                <w:szCs w:val="18"/>
              </w:rPr>
            </w:pPr>
            <w:r>
              <w:rPr>
                <w:rFonts w:ascii="宋体" w:hAnsi="宋体" w:cs="宋体" w:eastAsia="宋体" w:hint="default"/>
                <w:sz w:val="18"/>
                <w:szCs w:val="18"/>
              </w:rPr>
              <w:t>其他综合</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收益调整</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2" w:lineRule="auto"/>
              <w:ind w:left="215" w:right="27" w:hanging="183"/>
              <w:jc w:val="left"/>
              <w:rPr>
                <w:rFonts w:ascii="宋体" w:hAnsi="宋体" w:cs="宋体" w:eastAsia="宋体" w:hint="default"/>
                <w:sz w:val="18"/>
                <w:szCs w:val="18"/>
              </w:rPr>
            </w:pPr>
            <w:r>
              <w:rPr>
                <w:rFonts w:ascii="宋体" w:hAnsi="宋体" w:cs="宋体" w:eastAsia="宋体" w:hint="default"/>
                <w:sz w:val="18"/>
                <w:szCs w:val="18"/>
              </w:rPr>
              <w:t>其他权益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33" w:right="27"/>
              <w:jc w:val="both"/>
              <w:rPr>
                <w:rFonts w:ascii="宋体" w:hAnsi="宋体" w:cs="宋体" w:eastAsia="宋体" w:hint="default"/>
                <w:sz w:val="18"/>
                <w:szCs w:val="18"/>
              </w:rPr>
            </w:pPr>
            <w:r>
              <w:rPr>
                <w:rFonts w:ascii="宋体" w:hAnsi="宋体" w:cs="宋体" w:eastAsia="宋体" w:hint="default"/>
                <w:sz w:val="18"/>
                <w:szCs w:val="18"/>
              </w:rPr>
              <w:t>宣告发放</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现金股利</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或利润</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2" w:lineRule="auto"/>
              <w:ind w:left="216" w:right="26" w:hanging="183"/>
              <w:jc w:val="left"/>
              <w:rPr>
                <w:rFonts w:ascii="宋体" w:hAnsi="宋体" w:cs="宋体" w:eastAsia="宋体" w:hint="default"/>
                <w:sz w:val="18"/>
                <w:szCs w:val="18"/>
              </w:rPr>
            </w:pPr>
            <w:r>
              <w:rPr>
                <w:rFonts w:ascii="宋体" w:hAnsi="宋体" w:cs="宋体" w:eastAsia="宋体" w:hint="default"/>
                <w:sz w:val="18"/>
                <w:szCs w:val="18"/>
              </w:rPr>
              <w:t>计提减值</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准备</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1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75"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3" w:hRule="exact"/>
        </w:trPr>
        <w:tc>
          <w:tcPr>
            <w:tcW w:w="9575"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023"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56"/>
              <w:jc w:val="both"/>
              <w:rPr>
                <w:rFonts w:ascii="宋体" w:hAnsi="宋体" w:cs="宋体" w:eastAsia="宋体" w:hint="default"/>
                <w:sz w:val="18"/>
                <w:szCs w:val="18"/>
              </w:rPr>
            </w:pPr>
            <w:r>
              <w:rPr>
                <w:rFonts w:ascii="宋体" w:hAnsi="宋体" w:cs="宋体" w:eastAsia="宋体" w:hint="default"/>
                <w:spacing w:val="-2"/>
                <w:sz w:val="18"/>
                <w:szCs w:val="18"/>
              </w:rPr>
              <w:t>云南东盟公共</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物流信息有限</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公司</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20,518,4</w:t>
            </w:r>
          </w:p>
          <w:p>
            <w:pPr>
              <w:pStyle w:val="TableParagraph"/>
              <w:spacing w:line="240" w:lineRule="auto" w:before="110"/>
              <w:ind w:left="273" w:right="0"/>
              <w:jc w:val="left"/>
              <w:rPr>
                <w:rFonts w:ascii="Times New Roman" w:hAnsi="Times New Roman" w:cs="Times New Roman" w:eastAsia="Times New Roman" w:hint="default"/>
                <w:sz w:val="18"/>
                <w:szCs w:val="18"/>
              </w:rPr>
            </w:pPr>
            <w:r>
              <w:rPr>
                <w:rFonts w:ascii="Times New Roman"/>
                <w:sz w:val="18"/>
              </w:rPr>
              <w:t>52.57</w:t>
            </w:r>
          </w:p>
        </w:tc>
        <w:tc>
          <w:tcPr>
            <w:tcW w:w="706" w:type="dxa"/>
            <w:tcBorders>
              <w:top w:val="single" w:sz="4" w:space="0" w:color="000000"/>
              <w:left w:val="single" w:sz="4" w:space="0" w:color="000000"/>
              <w:bottom w:val="single" w:sz="4" w:space="0" w:color="000000"/>
              <w:right w:val="single" w:sz="4" w:space="0" w:color="000000"/>
            </w:tcBorders>
          </w:tcPr>
          <w:p>
            <w:pPr/>
          </w:p>
        </w:tc>
        <w:tc>
          <w:tcPr>
            <w:tcW w:w="49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-2,131,83</w:t>
            </w:r>
          </w:p>
          <w:p>
            <w:pPr>
              <w:pStyle w:val="TableParagraph"/>
              <w:spacing w:line="240" w:lineRule="auto" w:before="110"/>
              <w:ind w:left="451" w:right="0"/>
              <w:jc w:val="left"/>
              <w:rPr>
                <w:rFonts w:ascii="Times New Roman" w:hAnsi="Times New Roman" w:cs="Times New Roman" w:eastAsia="Times New Roman" w:hint="default"/>
                <w:sz w:val="18"/>
                <w:szCs w:val="18"/>
              </w:rPr>
            </w:pPr>
            <w:r>
              <w:rPr>
                <w:rFonts w:ascii="Times New Roman"/>
                <w:sz w:val="18"/>
              </w:rPr>
              <w:t>0.51</w:t>
            </w: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18,386,62</w:t>
            </w:r>
          </w:p>
          <w:p>
            <w:pPr>
              <w:pStyle w:val="TableParagraph"/>
              <w:spacing w:line="240" w:lineRule="auto" w:before="110"/>
              <w:ind w:left="451" w:right="0"/>
              <w:jc w:val="left"/>
              <w:rPr>
                <w:rFonts w:ascii="Times New Roman" w:hAnsi="Times New Roman" w:cs="Times New Roman" w:eastAsia="Times New Roman" w:hint="default"/>
                <w:sz w:val="18"/>
                <w:szCs w:val="18"/>
              </w:rPr>
            </w:pPr>
            <w:r>
              <w:rPr>
                <w:rFonts w:ascii="Times New Roman"/>
                <w:sz w:val="18"/>
              </w:rPr>
              <w:t>2.06</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56"/>
              <w:jc w:val="left"/>
              <w:rPr>
                <w:rFonts w:ascii="宋体" w:hAnsi="宋体" w:cs="宋体" w:eastAsia="宋体" w:hint="default"/>
                <w:sz w:val="18"/>
                <w:szCs w:val="18"/>
              </w:rPr>
            </w:pPr>
            <w:r>
              <w:rPr>
                <w:rFonts w:ascii="宋体" w:hAnsi="宋体" w:cs="宋体" w:eastAsia="宋体" w:hint="default"/>
                <w:spacing w:val="-2"/>
                <w:sz w:val="18"/>
                <w:szCs w:val="18"/>
              </w:rPr>
              <w:t>云南南天信息</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软件有限公司</w:t>
            </w:r>
          </w:p>
        </w:tc>
        <w:tc>
          <w:tcPr>
            <w:tcW w:w="711"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49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595,467.9</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tc>
      </w:tr>
      <w:tr>
        <w:trPr>
          <w:trHeight w:val="716"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56"/>
              <w:jc w:val="left"/>
              <w:rPr>
                <w:rFonts w:ascii="宋体" w:hAnsi="宋体" w:cs="宋体" w:eastAsia="宋体" w:hint="default"/>
                <w:sz w:val="18"/>
                <w:szCs w:val="18"/>
              </w:rPr>
            </w:pPr>
            <w:r>
              <w:rPr>
                <w:rFonts w:ascii="宋体" w:hAnsi="宋体" w:cs="宋体" w:eastAsia="宋体" w:hint="default"/>
                <w:spacing w:val="-2"/>
                <w:sz w:val="18"/>
                <w:szCs w:val="18"/>
              </w:rPr>
              <w:t>云南佳程防伪</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科技有限公司</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 w:right="0"/>
              <w:jc w:val="left"/>
              <w:rPr>
                <w:rFonts w:ascii="Times New Roman" w:hAnsi="Times New Roman" w:cs="Times New Roman" w:eastAsia="Times New Roman" w:hint="default"/>
                <w:sz w:val="18"/>
                <w:szCs w:val="18"/>
              </w:rPr>
            </w:pPr>
            <w:r>
              <w:rPr>
                <w:rFonts w:ascii="Times New Roman"/>
                <w:sz w:val="18"/>
              </w:rPr>
              <w:t>10,130,0</w:t>
            </w:r>
          </w:p>
          <w:p>
            <w:pPr>
              <w:pStyle w:val="TableParagraph"/>
              <w:spacing w:line="240" w:lineRule="auto" w:before="110"/>
              <w:ind w:left="273" w:right="0"/>
              <w:jc w:val="left"/>
              <w:rPr>
                <w:rFonts w:ascii="Times New Roman" w:hAnsi="Times New Roman" w:cs="Times New Roman" w:eastAsia="Times New Roman" w:hint="default"/>
                <w:sz w:val="18"/>
                <w:szCs w:val="18"/>
              </w:rPr>
            </w:pPr>
            <w:r>
              <w:rPr>
                <w:rFonts w:ascii="Times New Roman"/>
                <w:sz w:val="18"/>
              </w:rPr>
              <w:t>37.96</w:t>
            </w:r>
          </w:p>
        </w:tc>
        <w:tc>
          <w:tcPr>
            <w:tcW w:w="706" w:type="dxa"/>
            <w:tcBorders>
              <w:top w:val="single" w:sz="4" w:space="0" w:color="000000"/>
              <w:left w:val="single" w:sz="4" w:space="0" w:color="000000"/>
              <w:bottom w:val="single" w:sz="4" w:space="0" w:color="000000"/>
              <w:right w:val="single" w:sz="4" w:space="0" w:color="000000"/>
            </w:tcBorders>
          </w:tcPr>
          <w:p>
            <w:pPr/>
          </w:p>
        </w:tc>
        <w:tc>
          <w:tcPr>
            <w:tcW w:w="49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1,266,254</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.75</w:t>
            </w: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8,863,783</w:t>
            </w:r>
          </w:p>
          <w:p>
            <w:pPr>
              <w:pStyle w:val="TableParagraph"/>
              <w:spacing w:line="240" w:lineRule="auto" w:before="110"/>
              <w:ind w:right="13"/>
              <w:jc w:val="right"/>
              <w:rPr>
                <w:rFonts w:ascii="Times New Roman" w:hAnsi="Times New Roman" w:cs="Times New Roman" w:eastAsia="Times New Roman" w:hint="default"/>
                <w:sz w:val="18"/>
                <w:szCs w:val="18"/>
              </w:rPr>
            </w:pPr>
            <w:r>
              <w:rPr>
                <w:rFonts w:ascii="Times New Roman"/>
                <w:sz w:val="18"/>
              </w:rPr>
              <w:t>.21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3,798,764</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.24</w:t>
            </w:r>
          </w:p>
        </w:tc>
      </w:tr>
      <w:tr>
        <w:trPr>
          <w:trHeight w:val="1027"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156"/>
              <w:jc w:val="both"/>
              <w:rPr>
                <w:rFonts w:ascii="宋体" w:hAnsi="宋体" w:cs="宋体" w:eastAsia="宋体" w:hint="default"/>
                <w:sz w:val="18"/>
                <w:szCs w:val="18"/>
              </w:rPr>
            </w:pPr>
            <w:r>
              <w:rPr>
                <w:rFonts w:ascii="宋体" w:hAnsi="宋体" w:cs="宋体" w:eastAsia="宋体" w:hint="default"/>
                <w:spacing w:val="-2"/>
                <w:sz w:val="18"/>
                <w:szCs w:val="18"/>
              </w:rPr>
              <w:t>北京芝麻邦天</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云科技有限公</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司</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285,531.</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68</w:t>
            </w:r>
          </w:p>
        </w:tc>
        <w:tc>
          <w:tcPr>
            <w:tcW w:w="706" w:type="dxa"/>
            <w:tcBorders>
              <w:top w:val="single" w:sz="4" w:space="0" w:color="000000"/>
              <w:left w:val="single" w:sz="4" w:space="0" w:color="000000"/>
              <w:bottom w:val="single" w:sz="4" w:space="0" w:color="000000"/>
              <w:right w:val="single" w:sz="4" w:space="0" w:color="000000"/>
            </w:tcBorders>
          </w:tcPr>
          <w:p>
            <w:pPr/>
          </w:p>
        </w:tc>
        <w:tc>
          <w:tcPr>
            <w:tcW w:w="49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285,531.6</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285,531.6</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r>
      <w:tr>
        <w:trPr>
          <w:trHeight w:val="1023"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56"/>
              <w:jc w:val="both"/>
              <w:rPr>
                <w:rFonts w:ascii="宋体" w:hAnsi="宋体" w:cs="宋体" w:eastAsia="宋体" w:hint="default"/>
                <w:sz w:val="18"/>
                <w:szCs w:val="18"/>
              </w:rPr>
            </w:pPr>
            <w:r>
              <w:rPr>
                <w:rFonts w:ascii="宋体" w:hAnsi="宋体" w:cs="宋体" w:eastAsia="宋体" w:hint="default"/>
                <w:spacing w:val="-2"/>
                <w:sz w:val="18"/>
                <w:szCs w:val="18"/>
              </w:rPr>
              <w:t>云南曲靖珠江</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源科技股份有</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限公司</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16,994,3</w:t>
            </w:r>
          </w:p>
          <w:p>
            <w:pPr>
              <w:pStyle w:val="TableParagraph"/>
              <w:spacing w:line="240" w:lineRule="auto" w:before="110"/>
              <w:ind w:left="273" w:right="0"/>
              <w:jc w:val="left"/>
              <w:rPr>
                <w:rFonts w:ascii="Times New Roman" w:hAnsi="Times New Roman" w:cs="Times New Roman" w:eastAsia="Times New Roman" w:hint="default"/>
                <w:sz w:val="18"/>
                <w:szCs w:val="18"/>
              </w:rPr>
            </w:pPr>
            <w:r>
              <w:rPr>
                <w:rFonts w:ascii="Times New Roman"/>
                <w:sz w:val="18"/>
              </w:rPr>
              <w:t>47.43</w:t>
            </w:r>
          </w:p>
        </w:tc>
        <w:tc>
          <w:tcPr>
            <w:tcW w:w="706" w:type="dxa"/>
            <w:tcBorders>
              <w:top w:val="single" w:sz="4" w:space="0" w:color="000000"/>
              <w:left w:val="single" w:sz="4" w:space="0" w:color="000000"/>
              <w:bottom w:val="single" w:sz="4" w:space="0" w:color="000000"/>
              <w:right w:val="single" w:sz="4" w:space="0" w:color="000000"/>
            </w:tcBorders>
          </w:tcPr>
          <w:p>
            <w:pPr/>
          </w:p>
        </w:tc>
        <w:tc>
          <w:tcPr>
            <w:tcW w:w="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 w:right="0"/>
              <w:jc w:val="center"/>
              <w:rPr>
                <w:rFonts w:ascii="Times New Roman" w:hAnsi="Times New Roman" w:cs="Times New Roman" w:eastAsia="Times New Roman" w:hint="default"/>
                <w:sz w:val="18"/>
                <w:szCs w:val="18"/>
              </w:rPr>
            </w:pPr>
            <w:r>
              <w:rPr>
                <w:rFonts w:ascii="Times New Roman"/>
                <w:sz w:val="18"/>
              </w:rPr>
              <w:t>18,00</w:t>
            </w:r>
          </w:p>
          <w:p>
            <w:pPr>
              <w:pStyle w:val="TableParagraph"/>
              <w:spacing w:line="240" w:lineRule="auto" w:before="105"/>
              <w:ind w:left="37" w:right="0"/>
              <w:jc w:val="center"/>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-213,720.</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54</w:t>
            </w: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1,219,373</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pacing w:val="-3"/>
                <w:sz w:val="18"/>
              </w:rPr>
              <w:t>.11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11"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49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47,928,3</w:t>
            </w:r>
          </w:p>
          <w:p>
            <w:pPr>
              <w:pStyle w:val="TableParagraph"/>
              <w:spacing w:line="240" w:lineRule="auto" w:before="105"/>
              <w:ind w:left="273" w:right="0"/>
              <w:jc w:val="left"/>
              <w:rPr>
                <w:rFonts w:ascii="Times New Roman" w:hAnsi="Times New Roman" w:cs="Times New Roman" w:eastAsia="Times New Roman" w:hint="default"/>
                <w:sz w:val="18"/>
                <w:szCs w:val="18"/>
              </w:rPr>
            </w:pPr>
            <w:r>
              <w:rPr>
                <w:rFonts w:ascii="Times New Roman"/>
                <w:sz w:val="18"/>
              </w:rPr>
              <w:t>69.64</w:t>
            </w:r>
          </w:p>
        </w:tc>
        <w:tc>
          <w:tcPr>
            <w:tcW w:w="706" w:type="dxa"/>
            <w:tcBorders>
              <w:top w:val="single" w:sz="4" w:space="0" w:color="000000"/>
              <w:left w:val="single" w:sz="4" w:space="0" w:color="000000"/>
              <w:bottom w:val="single" w:sz="4" w:space="0" w:color="000000"/>
              <w:right w:val="single" w:sz="4" w:space="0" w:color="000000"/>
            </w:tcBorders>
          </w:tcPr>
          <w:p>
            <w:pPr/>
          </w:p>
        </w:tc>
        <w:tc>
          <w:tcPr>
            <w:tcW w:w="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 w:right="0"/>
              <w:jc w:val="center"/>
              <w:rPr>
                <w:rFonts w:ascii="Times New Roman" w:hAnsi="Times New Roman" w:cs="Times New Roman" w:eastAsia="Times New Roman" w:hint="default"/>
                <w:sz w:val="18"/>
                <w:szCs w:val="18"/>
              </w:rPr>
            </w:pPr>
            <w:r>
              <w:rPr>
                <w:rFonts w:ascii="Times New Roman"/>
                <w:sz w:val="18"/>
              </w:rPr>
              <w:t>18,00</w:t>
            </w:r>
          </w:p>
          <w:p>
            <w:pPr>
              <w:pStyle w:val="TableParagraph"/>
              <w:spacing w:line="240" w:lineRule="auto" w:before="110"/>
              <w:ind w:left="37" w:right="0"/>
              <w:jc w:val="center"/>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-2,345,55</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1.05</w:t>
            </w: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1,551,786</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.43</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1,219,373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pacing w:val="-3"/>
                <w:sz w:val="18"/>
              </w:rPr>
              <w:t>.11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27,250,40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5.27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4,679,763</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.91</w:t>
            </w:r>
          </w:p>
        </w:tc>
      </w:tr>
      <w:tr>
        <w:trPr>
          <w:trHeight w:val="1027" w:hRule="exact"/>
        </w:trPr>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47,928,3</w:t>
            </w:r>
          </w:p>
          <w:p>
            <w:pPr>
              <w:pStyle w:val="TableParagraph"/>
              <w:spacing w:line="240" w:lineRule="auto" w:before="110"/>
              <w:ind w:left="273" w:right="0"/>
              <w:jc w:val="left"/>
              <w:rPr>
                <w:rFonts w:ascii="Times New Roman" w:hAnsi="Times New Roman" w:cs="Times New Roman" w:eastAsia="Times New Roman" w:hint="default"/>
                <w:sz w:val="18"/>
                <w:szCs w:val="18"/>
              </w:rPr>
            </w:pPr>
            <w:r>
              <w:rPr>
                <w:rFonts w:ascii="Times New Roman"/>
                <w:sz w:val="18"/>
              </w:rPr>
              <w:t>69.64</w:t>
            </w:r>
          </w:p>
        </w:tc>
        <w:tc>
          <w:tcPr>
            <w:tcW w:w="706" w:type="dxa"/>
            <w:tcBorders>
              <w:top w:val="single" w:sz="4" w:space="0" w:color="000000"/>
              <w:left w:val="single" w:sz="4" w:space="0" w:color="000000"/>
              <w:bottom w:val="single" w:sz="4" w:space="0" w:color="000000"/>
              <w:right w:val="single" w:sz="4" w:space="0" w:color="000000"/>
            </w:tcBorders>
          </w:tcPr>
          <w:p>
            <w:pPr/>
          </w:p>
        </w:tc>
        <w:tc>
          <w:tcPr>
            <w:tcW w:w="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 w:right="0"/>
              <w:jc w:val="center"/>
              <w:rPr>
                <w:rFonts w:ascii="Times New Roman" w:hAnsi="Times New Roman" w:cs="Times New Roman" w:eastAsia="Times New Roman" w:hint="default"/>
                <w:sz w:val="18"/>
                <w:szCs w:val="18"/>
              </w:rPr>
            </w:pPr>
            <w:r>
              <w:rPr>
                <w:rFonts w:ascii="Times New Roman"/>
                <w:sz w:val="18"/>
              </w:rPr>
              <w:t>18,00</w:t>
            </w:r>
          </w:p>
          <w:p>
            <w:pPr>
              <w:pStyle w:val="TableParagraph"/>
              <w:spacing w:line="240" w:lineRule="auto" w:before="105"/>
              <w:ind w:left="37" w:right="0"/>
              <w:jc w:val="center"/>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-2,345,55</w:t>
            </w:r>
          </w:p>
          <w:p>
            <w:pPr>
              <w:pStyle w:val="TableParagraph"/>
              <w:spacing w:line="240" w:lineRule="auto" w:before="110"/>
              <w:ind w:left="451" w:right="0"/>
              <w:jc w:val="left"/>
              <w:rPr>
                <w:rFonts w:ascii="Times New Roman" w:hAnsi="Times New Roman" w:cs="Times New Roman" w:eastAsia="Times New Roman" w:hint="default"/>
                <w:sz w:val="18"/>
                <w:szCs w:val="18"/>
              </w:rPr>
            </w:pPr>
            <w:r>
              <w:rPr>
                <w:rFonts w:ascii="Times New Roman"/>
                <w:sz w:val="18"/>
              </w:rPr>
              <w:t>1.05</w:t>
            </w: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1,551,786</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.43</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1,219,373</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pacing w:val="-3"/>
                <w:sz w:val="18"/>
              </w:rPr>
              <w:t>.11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27,250,40</w:t>
            </w:r>
          </w:p>
          <w:p>
            <w:pPr>
              <w:pStyle w:val="TableParagraph"/>
              <w:spacing w:line="240" w:lineRule="auto" w:before="110"/>
              <w:ind w:left="451" w:right="0"/>
              <w:jc w:val="left"/>
              <w:rPr>
                <w:rFonts w:ascii="Times New Roman" w:hAnsi="Times New Roman" w:cs="Times New Roman" w:eastAsia="Times New Roman" w:hint="default"/>
                <w:sz w:val="18"/>
                <w:szCs w:val="18"/>
              </w:rPr>
            </w:pPr>
            <w:r>
              <w:rPr>
                <w:rFonts w:ascii="Times New Roman"/>
                <w:sz w:val="18"/>
              </w:rPr>
              <w:t>5.27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4,679,763</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.91</w:t>
            </w:r>
          </w:p>
        </w:tc>
      </w:tr>
    </w:tbl>
    <w:p>
      <w:pPr>
        <w:spacing w:line="240" w:lineRule="auto" w:before="3"/>
        <w:rPr>
          <w:rFonts w:ascii="宋体" w:hAnsi="宋体" w:cs="宋体" w:eastAsia="宋体" w:hint="default"/>
          <w:sz w:val="19"/>
          <w:szCs w:val="19"/>
        </w:rPr>
      </w:pPr>
    </w:p>
    <w:p>
      <w:pPr>
        <w:pStyle w:val="Heading4"/>
        <w:spacing w:line="240" w:lineRule="auto" w:before="36"/>
        <w:ind w:left="233" w:right="0"/>
        <w:jc w:val="left"/>
        <w:rPr>
          <w:b w:val="0"/>
          <w:bCs w:val="0"/>
        </w:rPr>
      </w:pPr>
      <w:r>
        <w:rPr/>
        <w:t>（</w:t>
      </w:r>
      <w:r>
        <w:rPr>
          <w:rFonts w:ascii="Times New Roman" w:hAnsi="Times New Roman" w:cs="Times New Roman" w:eastAsia="Times New Roman" w:hint="default"/>
        </w:rPr>
        <w:t>3</w:t>
      </w:r>
      <w:r>
        <w:rPr/>
        <w:t>）其他说明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233" w:right="0"/>
        <w:jc w:val="left"/>
      </w:pPr>
      <w:r>
        <w:rPr>
          <w:w w:val="101"/>
        </w:rPr>
        <w:t>无</w:t>
      </w:r>
      <w:r>
        <w:rPr/>
      </w:r>
    </w:p>
    <w:p>
      <w:pPr>
        <w:spacing w:after="0" w:line="240" w:lineRule="auto"/>
        <w:jc w:val="left"/>
        <w:sectPr>
          <w:pgSz w:w="11910" w:h="16840"/>
          <w:pgMar w:header="746" w:footer="974" w:top="1060" w:bottom="1160" w:left="900" w:right="0"/>
        </w:sectPr>
      </w:pPr>
    </w:p>
    <w:p>
      <w:pPr>
        <w:spacing w:line="240" w:lineRule="auto" w:before="12"/>
        <w:rPr>
          <w:rFonts w:ascii="宋体" w:hAnsi="宋体" w:cs="宋体" w:eastAsia="宋体" w:hint="default"/>
          <w:sz w:val="24"/>
          <w:szCs w:val="24"/>
        </w:rPr>
      </w:pPr>
    </w:p>
    <w:p>
      <w:pPr>
        <w:pStyle w:val="Heading4"/>
        <w:spacing w:line="240" w:lineRule="auto" w:before="36"/>
        <w:ind w:right="855"/>
        <w:jc w:val="left"/>
        <w:rPr>
          <w:b w:val="0"/>
          <w:bCs w:val="0"/>
        </w:rPr>
      </w:pPr>
      <w:r>
        <w:rPr>
          <w:rFonts w:ascii="Times New Roman" w:hAnsi="Times New Roman" w:cs="Times New Roman" w:eastAsia="Times New Roman" w:hint="default"/>
        </w:rPr>
        <w:t>4</w:t>
      </w:r>
      <w:r>
        <w:rPr/>
        <w:t>、营业收入和营业成本</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6"/>
        <w:ind w:left="0" w:right="1121"/>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93"/>
        <w:gridCol w:w="1839"/>
        <w:gridCol w:w="1916"/>
        <w:gridCol w:w="1911"/>
        <w:gridCol w:w="1916"/>
      </w:tblGrid>
      <w:tr>
        <w:trPr>
          <w:trHeight w:val="404" w:hRule="exact"/>
        </w:trPr>
        <w:tc>
          <w:tcPr>
            <w:tcW w:w="19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75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1993" w:type="dxa"/>
            <w:vMerge/>
            <w:tcBorders>
              <w:left w:val="single" w:sz="4" w:space="0" w:color="000000"/>
              <w:bottom w:val="single" w:sz="4" w:space="0" w:color="000000"/>
              <w:right w:val="single" w:sz="4" w:space="0" w:color="000000"/>
            </w:tcBorders>
            <w:shd w:val="clear" w:color="auto" w:fill="D2D2D2"/>
          </w:tcPr>
          <w:p>
            <w:pPr/>
          </w:p>
        </w:tc>
        <w:tc>
          <w:tcPr>
            <w:tcW w:w="18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398" w:hRule="exact"/>
        </w:trPr>
        <w:tc>
          <w:tcPr>
            <w:tcW w:w="1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2,150,582,711.38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2,003,047,375.08</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1,891,065,779.51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1,783,809,759.11</w:t>
            </w:r>
          </w:p>
        </w:tc>
      </w:tr>
      <w:tr>
        <w:trPr>
          <w:trHeight w:val="403" w:hRule="exact"/>
        </w:trPr>
        <w:tc>
          <w:tcPr>
            <w:tcW w:w="1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22,755,661.64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3,791,124.85</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17,854,869.18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5,728,929.50</w:t>
            </w:r>
          </w:p>
        </w:tc>
      </w:tr>
      <w:tr>
        <w:trPr>
          <w:trHeight w:val="404" w:hRule="exact"/>
        </w:trPr>
        <w:tc>
          <w:tcPr>
            <w:tcW w:w="1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2,173,338,373.02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2,006,838,499.93</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1,908,920,648.69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1,789,538,688.61</w:t>
            </w:r>
          </w:p>
        </w:tc>
      </w:tr>
    </w:tbl>
    <w:p>
      <w:pPr>
        <w:pStyle w:val="BodyText"/>
        <w:spacing w:line="240" w:lineRule="auto" w:before="53"/>
        <w:ind w:right="855"/>
        <w:jc w:val="left"/>
      </w:pPr>
      <w:r>
        <w:rPr/>
        <w:t>是否已执行新收入准则</w:t>
      </w:r>
    </w:p>
    <w:p>
      <w:pPr>
        <w:pStyle w:val="BodyText"/>
        <w:spacing w:line="240" w:lineRule="auto" w:before="115"/>
        <w:ind w:right="855"/>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9"/>
        <w:rPr>
          <w:rFonts w:ascii="宋体" w:hAnsi="宋体" w:cs="宋体" w:eastAsia="宋体" w:hint="default"/>
          <w:sz w:val="20"/>
          <w:szCs w:val="20"/>
        </w:rPr>
      </w:pPr>
    </w:p>
    <w:p>
      <w:pPr>
        <w:spacing w:before="0"/>
        <w:ind w:left="594" w:right="855" w:firstLine="0"/>
        <w:jc w:val="left"/>
        <w:rPr>
          <w:rFonts w:ascii="Times New Roman" w:hAnsi="Times New Roman" w:cs="Times New Roman" w:eastAsia="Times New Roman" w:hint="default"/>
          <w:sz w:val="22"/>
          <w:szCs w:val="22"/>
        </w:rPr>
      </w:pPr>
      <w:r>
        <w:rPr>
          <w:rFonts w:ascii="宋体" w:hAnsi="宋体" w:cs="宋体" w:eastAsia="宋体" w:hint="default"/>
          <w:sz w:val="22"/>
          <w:szCs w:val="22"/>
        </w:rPr>
        <w:t>（</w:t>
      </w:r>
      <w:r>
        <w:rPr>
          <w:rFonts w:ascii="Times New Roman" w:hAnsi="Times New Roman" w:cs="Times New Roman" w:eastAsia="Times New Roman" w:hint="default"/>
          <w:sz w:val="22"/>
          <w:szCs w:val="22"/>
        </w:rPr>
        <w:t>1</w:t>
      </w:r>
      <w:r>
        <w:rPr>
          <w:rFonts w:ascii="宋体" w:hAnsi="宋体" w:cs="宋体" w:eastAsia="宋体" w:hint="default"/>
          <w:sz w:val="22"/>
          <w:szCs w:val="22"/>
        </w:rPr>
        <w:t>）主营业务</w:t>
      </w:r>
      <w:r>
        <w:rPr>
          <w:rFonts w:ascii="Times New Roman" w:hAnsi="Times New Roman" w:cs="Times New Roman" w:eastAsia="Times New Roman" w:hint="default"/>
          <w:sz w:val="22"/>
          <w:szCs w:val="22"/>
        </w:rPr>
        <w:t>(</w:t>
      </w:r>
      <w:r>
        <w:rPr>
          <w:rFonts w:ascii="宋体" w:hAnsi="宋体" w:cs="宋体" w:eastAsia="宋体" w:hint="default"/>
          <w:sz w:val="22"/>
          <w:szCs w:val="22"/>
        </w:rPr>
        <w:t>按行业</w:t>
      </w:r>
      <w:r>
        <w:rPr>
          <w:rFonts w:ascii="Times New Roman" w:hAnsi="Times New Roman" w:cs="Times New Roman" w:eastAsia="Times New Roman" w:hint="default"/>
          <w:sz w:val="22"/>
          <w:szCs w:val="22"/>
        </w:rPr>
        <w:t>)</w:t>
      </w:r>
    </w:p>
    <w:p>
      <w:pPr>
        <w:spacing w:line="240" w:lineRule="auto" w:before="4"/>
        <w:rPr>
          <w:rFonts w:ascii="Times New Roman" w:hAnsi="Times New Roman" w:cs="Times New Roman" w:eastAsia="Times New Roman" w:hint="default"/>
          <w:sz w:val="20"/>
          <w:szCs w:val="20"/>
        </w:rPr>
      </w:pPr>
    </w:p>
    <w:p>
      <w:pPr>
        <w:pStyle w:val="BodyText"/>
        <w:spacing w:line="240" w:lineRule="auto" w:before="46"/>
        <w:ind w:left="0" w:right="1035"/>
        <w:jc w:val="right"/>
        <w:rPr>
          <w:rFonts w:ascii="宋体" w:hAnsi="宋体" w:cs="宋体" w:eastAsia="宋体" w:hint="default"/>
        </w:rPr>
      </w:pPr>
      <w:r>
        <w:rPr>
          <w:spacing w:val="-3"/>
        </w:rPr>
        <w:t>单位：元</w:t>
      </w:r>
      <w:r>
        <w:rPr>
          <w:rFonts w:ascii="宋体" w:hAnsi="宋体" w:cs="宋体" w:eastAsia="宋体" w:hint="default"/>
        </w:rPr>
        <w:t> </w:t>
      </w:r>
    </w:p>
    <w:p>
      <w:pPr>
        <w:spacing w:line="240" w:lineRule="auto" w:before="5"/>
        <w:rPr>
          <w:rFonts w:ascii="宋体" w:hAnsi="宋体" w:cs="宋体" w:eastAsia="宋体" w:hint="default"/>
          <w:sz w:val="23"/>
          <w:szCs w:val="23"/>
        </w:rPr>
      </w:pPr>
    </w:p>
    <w:tbl>
      <w:tblPr>
        <w:tblW w:w="0" w:type="auto"/>
        <w:jc w:val="left"/>
        <w:tblInd w:w="148" w:type="dxa"/>
        <w:tblLayout w:type="fixed"/>
        <w:tblCellMar>
          <w:top w:w="0" w:type="dxa"/>
          <w:left w:w="0" w:type="dxa"/>
          <w:bottom w:w="0" w:type="dxa"/>
          <w:right w:w="0" w:type="dxa"/>
        </w:tblCellMar>
        <w:tblLook w:val="01E0"/>
      </w:tblPr>
      <w:tblGrid>
        <w:gridCol w:w="1695"/>
        <w:gridCol w:w="1998"/>
        <w:gridCol w:w="2002"/>
        <w:gridCol w:w="2003"/>
        <w:gridCol w:w="1998"/>
      </w:tblGrid>
      <w:tr>
        <w:trPr>
          <w:trHeight w:val="341" w:hRule="exact"/>
        </w:trPr>
        <w:tc>
          <w:tcPr>
            <w:tcW w:w="1695" w:type="dxa"/>
            <w:vMerge w:val="restart"/>
            <w:tcBorders>
              <w:top w:val="single" w:sz="4" w:space="0" w:color="000000"/>
              <w:left w:val="single" w:sz="4" w:space="0" w:color="000000"/>
              <w:right w:val="single" w:sz="4" w:space="0" w:color="000000"/>
            </w:tcBorders>
          </w:tcPr>
          <w:p>
            <w:pPr>
              <w:pStyle w:val="TableParagraph"/>
              <w:spacing w:line="240" w:lineRule="auto" w:before="6"/>
              <w:ind w:right="2"/>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40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5" w:right="0"/>
              <w:jc w:val="center"/>
              <w:rPr>
                <w:rFonts w:ascii="宋体" w:hAnsi="宋体" w:cs="宋体" w:eastAsia="宋体" w:hint="default"/>
                <w:sz w:val="20"/>
                <w:szCs w:val="20"/>
              </w:rPr>
            </w:pPr>
            <w:r>
              <w:rPr>
                <w:rFonts w:ascii="宋体" w:hAnsi="宋体" w:cs="宋体" w:eastAsia="宋体" w:hint="default"/>
                <w:b/>
                <w:bCs/>
                <w:sz w:val="20"/>
                <w:szCs w:val="20"/>
              </w:rPr>
              <w:t>本年金额</w:t>
            </w:r>
            <w:r>
              <w:rPr>
                <w:rFonts w:ascii="宋体" w:hAnsi="宋体" w:cs="宋体" w:eastAsia="宋体" w:hint="default"/>
                <w:sz w:val="20"/>
                <w:szCs w:val="20"/>
              </w:rPr>
            </w:r>
          </w:p>
        </w:tc>
        <w:tc>
          <w:tcPr>
            <w:tcW w:w="40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3" w:right="0"/>
              <w:jc w:val="center"/>
              <w:rPr>
                <w:rFonts w:ascii="宋体" w:hAnsi="宋体" w:cs="宋体" w:eastAsia="宋体" w:hint="default"/>
                <w:sz w:val="20"/>
                <w:szCs w:val="20"/>
              </w:rPr>
            </w:pPr>
            <w:r>
              <w:rPr>
                <w:rFonts w:ascii="宋体" w:hAnsi="宋体" w:cs="宋体" w:eastAsia="宋体" w:hint="default"/>
                <w:b/>
                <w:bCs/>
                <w:sz w:val="20"/>
                <w:szCs w:val="20"/>
              </w:rPr>
              <w:t>上年金额</w:t>
            </w:r>
            <w:r>
              <w:rPr>
                <w:rFonts w:ascii="宋体" w:hAnsi="宋体" w:cs="宋体" w:eastAsia="宋体" w:hint="default"/>
                <w:sz w:val="20"/>
                <w:szCs w:val="20"/>
              </w:rPr>
            </w:r>
          </w:p>
        </w:tc>
      </w:tr>
      <w:tr>
        <w:trPr>
          <w:trHeight w:val="341" w:hRule="exact"/>
        </w:trPr>
        <w:tc>
          <w:tcPr>
            <w:tcW w:w="1695" w:type="dxa"/>
            <w:vMerge/>
            <w:tcBorders>
              <w:left w:val="single" w:sz="4" w:space="0" w:color="000000"/>
              <w:bottom w:val="single" w:sz="4" w:space="0" w:color="000000"/>
              <w:right w:val="single" w:sz="4" w:space="0" w:color="000000"/>
            </w:tcBorders>
          </w:tcPr>
          <w:p>
            <w:pPr/>
          </w:p>
        </w:tc>
        <w:tc>
          <w:tcPr>
            <w:tcW w:w="1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0"/>
                <w:szCs w:val="20"/>
              </w:rPr>
            </w:pPr>
            <w:r>
              <w:rPr>
                <w:rFonts w:ascii="宋体" w:hAnsi="宋体" w:cs="宋体" w:eastAsia="宋体" w:hint="default"/>
                <w:b/>
                <w:bCs/>
                <w:sz w:val="20"/>
                <w:szCs w:val="20"/>
              </w:rPr>
              <w:t>收入</w:t>
            </w:r>
            <w:r>
              <w:rPr>
                <w:rFonts w:ascii="宋体" w:hAnsi="宋体" w:cs="宋体" w:eastAsia="宋体" w:hint="default"/>
                <w:sz w:val="20"/>
                <w:szCs w:val="20"/>
              </w:rPr>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4" w:right="0"/>
              <w:jc w:val="center"/>
              <w:rPr>
                <w:rFonts w:ascii="宋体" w:hAnsi="宋体" w:cs="宋体" w:eastAsia="宋体" w:hint="default"/>
                <w:sz w:val="20"/>
                <w:szCs w:val="20"/>
              </w:rPr>
            </w:pPr>
            <w:r>
              <w:rPr>
                <w:rFonts w:ascii="宋体" w:hAnsi="宋体" w:cs="宋体" w:eastAsia="宋体" w:hint="default"/>
                <w:b/>
                <w:bCs/>
                <w:sz w:val="20"/>
                <w:szCs w:val="20"/>
              </w:rPr>
              <w:t>成本</w:t>
            </w:r>
            <w:r>
              <w:rPr>
                <w:rFonts w:ascii="宋体" w:hAnsi="宋体" w:cs="宋体" w:eastAsia="宋体" w:hint="default"/>
                <w:sz w:val="20"/>
                <w:szCs w:val="20"/>
              </w:rPr>
            </w:r>
          </w:p>
        </w:tc>
        <w:tc>
          <w:tcPr>
            <w:tcW w:w="2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
              <w:jc w:val="center"/>
              <w:rPr>
                <w:rFonts w:ascii="宋体" w:hAnsi="宋体" w:cs="宋体" w:eastAsia="宋体" w:hint="default"/>
                <w:sz w:val="20"/>
                <w:szCs w:val="20"/>
              </w:rPr>
            </w:pPr>
            <w:r>
              <w:rPr>
                <w:rFonts w:ascii="宋体" w:hAnsi="宋体" w:cs="宋体" w:eastAsia="宋体" w:hint="default"/>
                <w:b/>
                <w:bCs/>
                <w:sz w:val="20"/>
                <w:szCs w:val="20"/>
              </w:rPr>
              <w:t>收入</w:t>
            </w:r>
            <w:r>
              <w:rPr>
                <w:rFonts w:ascii="宋体" w:hAnsi="宋体" w:cs="宋体" w:eastAsia="宋体" w:hint="default"/>
                <w:sz w:val="20"/>
                <w:szCs w:val="20"/>
              </w:rPr>
            </w:r>
          </w:p>
        </w:tc>
        <w:tc>
          <w:tcPr>
            <w:tcW w:w="1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0"/>
                <w:szCs w:val="20"/>
              </w:rPr>
            </w:pPr>
            <w:r>
              <w:rPr>
                <w:rFonts w:ascii="宋体" w:hAnsi="宋体" w:cs="宋体" w:eastAsia="宋体" w:hint="default"/>
                <w:b/>
                <w:bCs/>
                <w:sz w:val="20"/>
                <w:szCs w:val="20"/>
              </w:rPr>
              <w:t>成本</w:t>
            </w:r>
            <w:r>
              <w:rPr>
                <w:rFonts w:ascii="宋体" w:hAnsi="宋体" w:cs="宋体" w:eastAsia="宋体" w:hint="default"/>
                <w:sz w:val="20"/>
                <w:szCs w:val="20"/>
              </w:rPr>
            </w:r>
          </w:p>
        </w:tc>
      </w:tr>
      <w:tr>
        <w:trPr>
          <w:trHeight w:val="653" w:hRule="exact"/>
        </w:trPr>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6"/>
              <w:ind w:left="4" w:right="75"/>
              <w:jc w:val="left"/>
              <w:rPr>
                <w:rFonts w:ascii="宋体" w:hAnsi="宋体" w:cs="宋体" w:eastAsia="宋体" w:hint="default"/>
                <w:sz w:val="20"/>
                <w:szCs w:val="20"/>
              </w:rPr>
            </w:pPr>
            <w:r>
              <w:rPr>
                <w:rFonts w:ascii="宋体" w:hAnsi="宋体" w:cs="宋体" w:eastAsia="宋体" w:hint="default"/>
                <w:spacing w:val="-2"/>
                <w:sz w:val="20"/>
                <w:szCs w:val="20"/>
              </w:rPr>
              <w:t>软件和信息技术服</w:t>
            </w:r>
            <w:r>
              <w:rPr>
                <w:rFonts w:ascii="宋体" w:hAnsi="宋体" w:cs="宋体" w:eastAsia="宋体" w:hint="default"/>
                <w:spacing w:val="-82"/>
                <w:sz w:val="20"/>
                <w:szCs w:val="20"/>
              </w:rPr>
              <w:t> </w:t>
            </w:r>
            <w:r>
              <w:rPr>
                <w:rFonts w:ascii="宋体" w:hAnsi="宋体" w:cs="宋体" w:eastAsia="宋体" w:hint="default"/>
                <w:spacing w:val="-82"/>
                <w:sz w:val="20"/>
                <w:szCs w:val="20"/>
              </w:rPr>
            </w:r>
            <w:r>
              <w:rPr>
                <w:rFonts w:ascii="宋体" w:hAnsi="宋体" w:cs="宋体" w:eastAsia="宋体" w:hint="default"/>
                <w:sz w:val="20"/>
                <w:szCs w:val="20"/>
              </w:rPr>
              <w:t>务</w:t>
            </w:r>
          </w:p>
        </w:tc>
        <w:tc>
          <w:tcPr>
            <w:tcW w:w="1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4"/>
              <w:jc w:val="right"/>
              <w:rPr>
                <w:rFonts w:ascii="Times New Roman" w:hAnsi="Times New Roman" w:cs="Times New Roman" w:eastAsia="Times New Roman" w:hint="default"/>
                <w:sz w:val="20"/>
                <w:szCs w:val="20"/>
              </w:rPr>
            </w:pPr>
            <w:r>
              <w:rPr>
                <w:rFonts w:ascii="Times New Roman"/>
                <w:spacing w:val="-1"/>
                <w:sz w:val="20"/>
              </w:rPr>
              <w:t>2,150,582,711.38</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4"/>
              <w:jc w:val="right"/>
              <w:rPr>
                <w:rFonts w:ascii="Times New Roman" w:hAnsi="Times New Roman" w:cs="Times New Roman" w:eastAsia="Times New Roman" w:hint="default"/>
                <w:sz w:val="20"/>
                <w:szCs w:val="20"/>
              </w:rPr>
            </w:pPr>
            <w:r>
              <w:rPr>
                <w:rFonts w:ascii="Times New Roman"/>
                <w:spacing w:val="-1"/>
                <w:sz w:val="20"/>
              </w:rPr>
              <w:t>2,003,047,375.08</w:t>
            </w:r>
          </w:p>
        </w:tc>
        <w:tc>
          <w:tcPr>
            <w:tcW w:w="2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right"/>
              <w:rPr>
                <w:rFonts w:ascii="Times New Roman" w:hAnsi="Times New Roman" w:cs="Times New Roman" w:eastAsia="Times New Roman" w:hint="default"/>
                <w:sz w:val="20"/>
                <w:szCs w:val="20"/>
              </w:rPr>
            </w:pPr>
            <w:r>
              <w:rPr>
                <w:rFonts w:ascii="Times New Roman"/>
                <w:spacing w:val="-1"/>
                <w:sz w:val="20"/>
              </w:rPr>
              <w:t>1,891,065,779.51</w:t>
            </w:r>
          </w:p>
        </w:tc>
        <w:tc>
          <w:tcPr>
            <w:tcW w:w="1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3"/>
              <w:jc w:val="right"/>
              <w:rPr>
                <w:rFonts w:ascii="Times New Roman" w:hAnsi="Times New Roman" w:cs="Times New Roman" w:eastAsia="Times New Roman" w:hint="default"/>
                <w:sz w:val="20"/>
                <w:szCs w:val="20"/>
              </w:rPr>
            </w:pPr>
            <w:r>
              <w:rPr>
                <w:rFonts w:ascii="Times New Roman"/>
                <w:spacing w:val="-1"/>
                <w:sz w:val="20"/>
              </w:rPr>
              <w:t>1,783,809,759.11</w:t>
            </w:r>
          </w:p>
        </w:tc>
      </w:tr>
      <w:tr>
        <w:trPr>
          <w:trHeight w:val="346" w:hRule="exact"/>
        </w:trPr>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
              <w:jc w:val="center"/>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4"/>
              <w:jc w:val="right"/>
              <w:rPr>
                <w:rFonts w:ascii="Times New Roman" w:hAnsi="Times New Roman" w:cs="Times New Roman" w:eastAsia="Times New Roman" w:hint="default"/>
                <w:sz w:val="20"/>
                <w:szCs w:val="20"/>
              </w:rPr>
            </w:pPr>
            <w:r>
              <w:rPr>
                <w:rFonts w:ascii="Times New Roman"/>
                <w:b/>
                <w:spacing w:val="-1"/>
                <w:sz w:val="20"/>
              </w:rPr>
              <w:t>2,150,582,711.38</w:t>
            </w:r>
            <w:r>
              <w:rPr>
                <w:rFonts w:ascii="Times New Roman"/>
                <w:spacing w:val="-1"/>
                <w:sz w:val="20"/>
              </w:rPr>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4"/>
              <w:jc w:val="right"/>
              <w:rPr>
                <w:rFonts w:ascii="Times New Roman" w:hAnsi="Times New Roman" w:cs="Times New Roman" w:eastAsia="Times New Roman" w:hint="default"/>
                <w:sz w:val="20"/>
                <w:szCs w:val="20"/>
              </w:rPr>
            </w:pPr>
            <w:r>
              <w:rPr>
                <w:rFonts w:ascii="Times New Roman"/>
                <w:b/>
                <w:spacing w:val="-1"/>
                <w:sz w:val="20"/>
              </w:rPr>
              <w:t>2,003,047,375.08</w:t>
            </w:r>
            <w:r>
              <w:rPr>
                <w:rFonts w:ascii="Times New Roman"/>
                <w:spacing w:val="-1"/>
                <w:sz w:val="20"/>
              </w:rPr>
            </w:r>
          </w:p>
        </w:tc>
        <w:tc>
          <w:tcPr>
            <w:tcW w:w="2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right"/>
              <w:rPr>
                <w:rFonts w:ascii="Times New Roman" w:hAnsi="Times New Roman" w:cs="Times New Roman" w:eastAsia="Times New Roman" w:hint="default"/>
                <w:sz w:val="20"/>
                <w:szCs w:val="20"/>
              </w:rPr>
            </w:pPr>
            <w:r>
              <w:rPr>
                <w:rFonts w:ascii="Times New Roman"/>
                <w:b/>
                <w:spacing w:val="-1"/>
                <w:sz w:val="20"/>
              </w:rPr>
              <w:t>1,891,065,779.51</w:t>
            </w:r>
            <w:r>
              <w:rPr>
                <w:rFonts w:ascii="Times New Roman"/>
                <w:spacing w:val="-1"/>
                <w:sz w:val="20"/>
              </w:rPr>
            </w:r>
          </w:p>
        </w:tc>
        <w:tc>
          <w:tcPr>
            <w:tcW w:w="1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3"/>
              <w:jc w:val="right"/>
              <w:rPr>
                <w:rFonts w:ascii="Times New Roman" w:hAnsi="Times New Roman" w:cs="Times New Roman" w:eastAsia="Times New Roman" w:hint="default"/>
                <w:sz w:val="20"/>
                <w:szCs w:val="20"/>
              </w:rPr>
            </w:pPr>
            <w:r>
              <w:rPr>
                <w:rFonts w:ascii="Times New Roman"/>
                <w:b/>
                <w:spacing w:val="-1"/>
                <w:sz w:val="20"/>
              </w:rPr>
              <w:t>1,783,809,759.11</w:t>
            </w:r>
            <w:r>
              <w:rPr>
                <w:rFonts w:ascii="Times New Roman"/>
                <w:spacing w:val="-1"/>
                <w:sz w:val="20"/>
              </w:rPr>
            </w:r>
          </w:p>
        </w:tc>
      </w:tr>
    </w:tbl>
    <w:p>
      <w:pPr>
        <w:spacing w:line="240" w:lineRule="auto" w:before="2"/>
        <w:rPr>
          <w:rFonts w:ascii="宋体" w:hAnsi="宋体" w:cs="宋体" w:eastAsia="宋体" w:hint="default"/>
          <w:sz w:val="14"/>
          <w:szCs w:val="14"/>
        </w:rPr>
      </w:pPr>
    </w:p>
    <w:p>
      <w:pPr>
        <w:pStyle w:val="Heading3"/>
        <w:spacing w:line="240" w:lineRule="auto"/>
        <w:ind w:right="855"/>
        <w:jc w:val="left"/>
        <w:rPr>
          <w:rFonts w:ascii="Times New Roman" w:hAnsi="Times New Roman" w:cs="Times New Roman" w:eastAsia="Times New Roman" w:hint="default"/>
        </w:rPr>
      </w:pPr>
      <w:r>
        <w:rPr/>
        <w:t>（</w:t>
      </w:r>
      <w:r>
        <w:rPr>
          <w:rFonts w:ascii="Times New Roman" w:hAnsi="Times New Roman" w:cs="Times New Roman" w:eastAsia="Times New Roman" w:hint="default"/>
        </w:rPr>
        <w:t>2</w:t>
      </w:r>
      <w:r>
        <w:rPr/>
        <w:t>）主营业务</w:t>
      </w:r>
      <w:r>
        <w:rPr>
          <w:rFonts w:ascii="Times New Roman" w:hAnsi="Times New Roman" w:cs="Times New Roman" w:eastAsia="Times New Roman" w:hint="default"/>
        </w:rPr>
        <w:t>(</w:t>
      </w:r>
      <w:r>
        <w:rPr/>
        <w:t>按产品类别</w:t>
      </w:r>
      <w:r>
        <w:rPr>
          <w:rFonts w:ascii="Times New Roman" w:hAnsi="Times New Roman" w:cs="Times New Roman" w:eastAsia="Times New Roman" w:hint="default"/>
        </w:rPr>
        <w:t>)</w:t>
      </w:r>
    </w:p>
    <w:p>
      <w:pPr>
        <w:spacing w:line="240" w:lineRule="auto" w:before="4"/>
        <w:rPr>
          <w:rFonts w:ascii="Times New Roman" w:hAnsi="Times New Roman" w:cs="Times New Roman" w:eastAsia="Times New Roman" w:hint="default"/>
          <w:sz w:val="20"/>
          <w:szCs w:val="20"/>
        </w:rPr>
      </w:pPr>
    </w:p>
    <w:p>
      <w:pPr>
        <w:pStyle w:val="BodyText"/>
        <w:spacing w:line="240" w:lineRule="auto" w:before="46"/>
        <w:ind w:left="0" w:right="1035"/>
        <w:jc w:val="right"/>
        <w:rPr>
          <w:rFonts w:ascii="宋体" w:hAnsi="宋体" w:cs="宋体" w:eastAsia="宋体" w:hint="default"/>
        </w:rPr>
      </w:pPr>
      <w:r>
        <w:rPr>
          <w:spacing w:val="-3"/>
        </w:rPr>
        <w:t>单位：元</w:t>
      </w:r>
      <w:r>
        <w:rPr>
          <w:rFonts w:ascii="宋体" w:hAnsi="宋体" w:cs="宋体" w:eastAsia="宋体" w:hint="default"/>
        </w:rPr>
        <w:t> </w:t>
      </w:r>
    </w:p>
    <w:p>
      <w:pPr>
        <w:spacing w:line="240" w:lineRule="auto" w:before="5"/>
        <w:rPr>
          <w:rFonts w:ascii="宋体" w:hAnsi="宋体" w:cs="宋体" w:eastAsia="宋体" w:hint="default"/>
          <w:sz w:val="23"/>
          <w:szCs w:val="23"/>
        </w:rPr>
      </w:pPr>
    </w:p>
    <w:tbl>
      <w:tblPr>
        <w:tblW w:w="0" w:type="auto"/>
        <w:jc w:val="left"/>
        <w:tblInd w:w="148" w:type="dxa"/>
        <w:tblLayout w:type="fixed"/>
        <w:tblCellMar>
          <w:top w:w="0" w:type="dxa"/>
          <w:left w:w="0" w:type="dxa"/>
          <w:bottom w:w="0" w:type="dxa"/>
          <w:right w:w="0" w:type="dxa"/>
        </w:tblCellMar>
        <w:tblLook w:val="01E0"/>
      </w:tblPr>
      <w:tblGrid>
        <w:gridCol w:w="1690"/>
        <w:gridCol w:w="1993"/>
        <w:gridCol w:w="1993"/>
        <w:gridCol w:w="1998"/>
        <w:gridCol w:w="1993"/>
      </w:tblGrid>
      <w:tr>
        <w:trPr>
          <w:trHeight w:val="341" w:hRule="exact"/>
        </w:trPr>
        <w:tc>
          <w:tcPr>
            <w:tcW w:w="1690" w:type="dxa"/>
            <w:vMerge w:val="restart"/>
            <w:tcBorders>
              <w:top w:val="single" w:sz="4" w:space="0" w:color="000000"/>
              <w:left w:val="single" w:sz="4" w:space="0" w:color="000000"/>
              <w:right w:val="single" w:sz="4" w:space="0" w:color="000000"/>
            </w:tcBorders>
          </w:tcPr>
          <w:p>
            <w:pPr>
              <w:pStyle w:val="TableParagraph"/>
              <w:spacing w:line="240" w:lineRule="auto" w:before="20"/>
              <w:ind w:left="86" w:right="0"/>
              <w:jc w:val="center"/>
              <w:rPr>
                <w:rFonts w:ascii="宋体" w:hAnsi="宋体" w:cs="宋体" w:eastAsia="宋体" w:hint="default"/>
                <w:sz w:val="18"/>
                <w:szCs w:val="18"/>
              </w:rPr>
            </w:pPr>
            <w:r>
              <w:rPr>
                <w:rFonts w:ascii="宋体" w:hAnsi="宋体" w:cs="宋体" w:eastAsia="宋体" w:hint="default"/>
                <w:b/>
                <w:bCs/>
                <w:spacing w:val="-3"/>
                <w:sz w:val="18"/>
                <w:szCs w:val="18"/>
              </w:rPr>
              <w:t>项目</w:t>
            </w:r>
            <w:r>
              <w:rPr>
                <w:rFonts w:ascii="宋体" w:hAnsi="宋体" w:cs="宋体" w:eastAsia="宋体" w:hint="default"/>
                <w:b/>
                <w:bCs/>
                <w:w w:val="100"/>
                <w:sz w:val="18"/>
                <w:szCs w:val="18"/>
              </w:rPr>
              <w:t> </w:t>
            </w:r>
            <w:r>
              <w:rPr>
                <w:rFonts w:ascii="宋体" w:hAnsi="宋体" w:cs="宋体" w:eastAsia="宋体" w:hint="default"/>
                <w:w w:val="100"/>
                <w:sz w:val="18"/>
                <w:szCs w:val="18"/>
              </w:rPr>
            </w:r>
          </w:p>
        </w:tc>
        <w:tc>
          <w:tcPr>
            <w:tcW w:w="39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86" w:right="0"/>
              <w:jc w:val="center"/>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b/>
                <w:bCs/>
                <w:w w:val="100"/>
                <w:sz w:val="18"/>
                <w:szCs w:val="18"/>
              </w:rPr>
              <w:t> </w:t>
            </w:r>
            <w:r>
              <w:rPr>
                <w:rFonts w:ascii="宋体" w:hAnsi="宋体" w:cs="宋体" w:eastAsia="宋体" w:hint="default"/>
                <w:w w:val="100"/>
                <w:sz w:val="18"/>
                <w:szCs w:val="18"/>
              </w:rPr>
            </w:r>
          </w:p>
        </w:tc>
        <w:tc>
          <w:tcPr>
            <w:tcW w:w="39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91" w:right="0"/>
              <w:jc w:val="center"/>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b/>
                <w:bCs/>
                <w:w w:val="100"/>
                <w:sz w:val="18"/>
                <w:szCs w:val="18"/>
              </w:rPr>
              <w:t> </w:t>
            </w:r>
            <w:r>
              <w:rPr>
                <w:rFonts w:ascii="宋体" w:hAnsi="宋体" w:cs="宋体" w:eastAsia="宋体" w:hint="default"/>
                <w:w w:val="100"/>
                <w:sz w:val="18"/>
                <w:szCs w:val="18"/>
              </w:rPr>
            </w:r>
          </w:p>
        </w:tc>
      </w:tr>
      <w:tr>
        <w:trPr>
          <w:trHeight w:val="341" w:hRule="exact"/>
        </w:trPr>
        <w:tc>
          <w:tcPr>
            <w:tcW w:w="1690" w:type="dxa"/>
            <w:vMerge/>
            <w:tcBorders>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91" w:right="0"/>
              <w:jc w:val="center"/>
              <w:rPr>
                <w:rFonts w:ascii="宋体" w:hAnsi="宋体" w:cs="宋体" w:eastAsia="宋体" w:hint="default"/>
                <w:sz w:val="18"/>
                <w:szCs w:val="18"/>
              </w:rPr>
            </w:pPr>
            <w:r>
              <w:rPr>
                <w:rFonts w:ascii="宋体" w:hAnsi="宋体" w:cs="宋体" w:eastAsia="宋体" w:hint="default"/>
                <w:b/>
                <w:bCs/>
                <w:spacing w:val="-3"/>
                <w:sz w:val="18"/>
                <w:szCs w:val="18"/>
              </w:rPr>
              <w:t>收入</w:t>
            </w:r>
            <w:r>
              <w:rPr>
                <w:rFonts w:ascii="宋体" w:hAnsi="宋体" w:cs="宋体" w:eastAsia="宋体" w:hint="default"/>
                <w:b/>
                <w:bCs/>
                <w:w w:val="100"/>
                <w:sz w:val="18"/>
                <w:szCs w:val="18"/>
              </w:rPr>
              <w:t> </w:t>
            </w:r>
            <w:r>
              <w:rPr>
                <w:rFonts w:ascii="宋体" w:hAnsi="宋体" w:cs="宋体" w:eastAsia="宋体" w:hint="default"/>
                <w:w w:val="100"/>
                <w:sz w:val="18"/>
                <w:szCs w:val="18"/>
              </w:rPr>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91" w:right="0"/>
              <w:jc w:val="center"/>
              <w:rPr>
                <w:rFonts w:ascii="宋体" w:hAnsi="宋体" w:cs="宋体" w:eastAsia="宋体" w:hint="default"/>
                <w:sz w:val="18"/>
                <w:szCs w:val="18"/>
              </w:rPr>
            </w:pPr>
            <w:r>
              <w:rPr>
                <w:rFonts w:ascii="宋体" w:hAnsi="宋体" w:cs="宋体" w:eastAsia="宋体" w:hint="default"/>
                <w:b/>
                <w:bCs/>
                <w:spacing w:val="-3"/>
                <w:sz w:val="18"/>
                <w:szCs w:val="18"/>
              </w:rPr>
              <w:t>成本</w:t>
            </w:r>
            <w:r>
              <w:rPr>
                <w:rFonts w:ascii="宋体" w:hAnsi="宋体" w:cs="宋体" w:eastAsia="宋体" w:hint="default"/>
                <w:b/>
                <w:bCs/>
                <w:w w:val="100"/>
                <w:sz w:val="18"/>
                <w:szCs w:val="18"/>
              </w:rPr>
              <w:t> </w:t>
            </w:r>
            <w:r>
              <w:rPr>
                <w:rFonts w:ascii="宋体" w:hAnsi="宋体" w:cs="宋体" w:eastAsia="宋体" w:hint="default"/>
                <w:w w:val="100"/>
                <w:sz w:val="18"/>
                <w:szCs w:val="18"/>
              </w:rPr>
            </w:r>
          </w:p>
        </w:tc>
        <w:tc>
          <w:tcPr>
            <w:tcW w:w="1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96" w:right="0"/>
              <w:jc w:val="center"/>
              <w:rPr>
                <w:rFonts w:ascii="宋体" w:hAnsi="宋体" w:cs="宋体" w:eastAsia="宋体" w:hint="default"/>
                <w:sz w:val="18"/>
                <w:szCs w:val="18"/>
              </w:rPr>
            </w:pPr>
            <w:r>
              <w:rPr>
                <w:rFonts w:ascii="宋体" w:hAnsi="宋体" w:cs="宋体" w:eastAsia="宋体" w:hint="default"/>
                <w:b/>
                <w:bCs/>
                <w:spacing w:val="-3"/>
                <w:sz w:val="18"/>
                <w:szCs w:val="18"/>
              </w:rPr>
              <w:t>收入</w:t>
            </w:r>
            <w:r>
              <w:rPr>
                <w:rFonts w:ascii="宋体" w:hAnsi="宋体" w:cs="宋体" w:eastAsia="宋体" w:hint="default"/>
                <w:b/>
                <w:bCs/>
                <w:w w:val="100"/>
                <w:sz w:val="18"/>
                <w:szCs w:val="18"/>
              </w:rPr>
              <w:t> </w:t>
            </w:r>
            <w:r>
              <w:rPr>
                <w:rFonts w:ascii="宋体" w:hAnsi="宋体" w:cs="宋体" w:eastAsia="宋体" w:hint="default"/>
                <w:w w:val="100"/>
                <w:sz w:val="18"/>
                <w:szCs w:val="18"/>
              </w:rPr>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91" w:right="0"/>
              <w:jc w:val="center"/>
              <w:rPr>
                <w:rFonts w:ascii="宋体" w:hAnsi="宋体" w:cs="宋体" w:eastAsia="宋体" w:hint="default"/>
                <w:sz w:val="18"/>
                <w:szCs w:val="18"/>
              </w:rPr>
            </w:pPr>
            <w:r>
              <w:rPr>
                <w:rFonts w:ascii="宋体" w:hAnsi="宋体" w:cs="宋体" w:eastAsia="宋体" w:hint="default"/>
                <w:b/>
                <w:bCs/>
                <w:spacing w:val="-3"/>
                <w:sz w:val="18"/>
                <w:szCs w:val="18"/>
              </w:rPr>
              <w:t>成本</w:t>
            </w:r>
            <w:r>
              <w:rPr>
                <w:rFonts w:ascii="宋体" w:hAnsi="宋体" w:cs="宋体" w:eastAsia="宋体" w:hint="default"/>
                <w:b/>
                <w:bCs/>
                <w:w w:val="100"/>
                <w:sz w:val="18"/>
                <w:szCs w:val="18"/>
              </w:rPr>
              <w:t> </w:t>
            </w:r>
            <w:r>
              <w:rPr>
                <w:rFonts w:ascii="宋体" w:hAnsi="宋体" w:cs="宋体" w:eastAsia="宋体" w:hint="default"/>
                <w:w w:val="100"/>
                <w:sz w:val="18"/>
                <w:szCs w:val="18"/>
              </w:rPr>
            </w:r>
          </w:p>
        </w:tc>
      </w:tr>
      <w:tr>
        <w:trPr>
          <w:trHeight w:val="341" w:hRule="exact"/>
        </w:trPr>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软件开发及服务</w:t>
            </w:r>
            <w:r>
              <w:rPr>
                <w:rFonts w:ascii="宋体" w:hAnsi="宋体" w:cs="宋体" w:eastAsia="宋体" w:hint="default"/>
                <w:sz w:val="18"/>
                <w:szCs w:val="18"/>
              </w:rPr>
              <w:t> </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2"/>
                <w:sz w:val="18"/>
              </w:rPr>
              <w:t>306,699,641.69</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2"/>
                <w:sz w:val="18"/>
              </w:rPr>
              <w:t>285,707,472.71</w:t>
            </w:r>
          </w:p>
        </w:tc>
        <w:tc>
          <w:tcPr>
            <w:tcW w:w="1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2"/>
                <w:sz w:val="18"/>
              </w:rPr>
              <w:t>360,506,470.51</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2"/>
                <w:sz w:val="18"/>
              </w:rPr>
              <w:t>326,431,163.01</w:t>
            </w:r>
          </w:p>
        </w:tc>
      </w:tr>
      <w:tr>
        <w:trPr>
          <w:trHeight w:val="346" w:hRule="exact"/>
        </w:trPr>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pacing w:val="-3"/>
                <w:sz w:val="18"/>
                <w:szCs w:val="18"/>
              </w:rPr>
              <w:t>智能渠道解决方案</w:t>
            </w:r>
            <w:r>
              <w:rPr>
                <w:rFonts w:ascii="宋体" w:hAnsi="宋体" w:cs="宋体" w:eastAsia="宋体" w:hint="default"/>
                <w:sz w:val="18"/>
                <w:szCs w:val="18"/>
              </w:rPr>
              <w:t> </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right"/>
              <w:rPr>
                <w:rFonts w:ascii="宋体" w:hAnsi="宋体" w:cs="宋体" w:eastAsia="宋体" w:hint="default"/>
                <w:sz w:val="18"/>
                <w:szCs w:val="18"/>
              </w:rPr>
            </w:pPr>
            <w:r>
              <w:rPr>
                <w:rFonts w:ascii="宋体"/>
                <w:spacing w:val="-1"/>
                <w:sz w:val="18"/>
              </w:rPr>
              <w:t>1,215,062,189.76</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right"/>
              <w:rPr>
                <w:rFonts w:ascii="宋体" w:hAnsi="宋体" w:cs="宋体" w:eastAsia="宋体" w:hint="default"/>
                <w:sz w:val="18"/>
                <w:szCs w:val="18"/>
              </w:rPr>
            </w:pPr>
            <w:r>
              <w:rPr>
                <w:rFonts w:ascii="宋体"/>
                <w:spacing w:val="-1"/>
                <w:sz w:val="18"/>
              </w:rPr>
              <w:t>1,168,731,502.26</w:t>
            </w:r>
          </w:p>
        </w:tc>
        <w:tc>
          <w:tcPr>
            <w:tcW w:w="1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right"/>
              <w:rPr>
                <w:rFonts w:ascii="宋体" w:hAnsi="宋体" w:cs="宋体" w:eastAsia="宋体" w:hint="default"/>
                <w:sz w:val="18"/>
                <w:szCs w:val="18"/>
              </w:rPr>
            </w:pPr>
            <w:r>
              <w:rPr>
                <w:rFonts w:ascii="宋体"/>
                <w:spacing w:val="-2"/>
                <w:sz w:val="18"/>
              </w:rPr>
              <w:t>993,885,857.32</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right"/>
              <w:rPr>
                <w:rFonts w:ascii="宋体" w:hAnsi="宋体" w:cs="宋体" w:eastAsia="宋体" w:hint="default"/>
                <w:sz w:val="18"/>
                <w:szCs w:val="18"/>
              </w:rPr>
            </w:pPr>
            <w:r>
              <w:rPr>
                <w:rFonts w:ascii="宋体"/>
                <w:spacing w:val="-2"/>
                <w:sz w:val="18"/>
              </w:rPr>
              <w:t>961,087,008.71</w:t>
            </w:r>
          </w:p>
        </w:tc>
      </w:tr>
      <w:tr>
        <w:trPr>
          <w:trHeight w:val="341" w:hRule="exact"/>
        </w:trPr>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集成解决方案</w:t>
            </w:r>
            <w:r>
              <w:rPr>
                <w:rFonts w:ascii="宋体" w:hAnsi="宋体" w:cs="宋体" w:eastAsia="宋体" w:hint="default"/>
                <w:sz w:val="18"/>
                <w:szCs w:val="18"/>
              </w:rPr>
              <w:t> </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2"/>
                <w:sz w:val="18"/>
              </w:rPr>
              <w:t>628,820,879.93</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2"/>
                <w:sz w:val="18"/>
              </w:rPr>
              <w:t>548,608,400.11</w:t>
            </w:r>
          </w:p>
        </w:tc>
        <w:tc>
          <w:tcPr>
            <w:tcW w:w="1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2"/>
                <w:sz w:val="18"/>
              </w:rPr>
              <w:t>536,673,451.68</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2"/>
                <w:sz w:val="18"/>
              </w:rPr>
              <w:t>496,291,587.39</w:t>
            </w:r>
          </w:p>
        </w:tc>
      </w:tr>
      <w:tr>
        <w:trPr>
          <w:trHeight w:val="341" w:hRule="exact"/>
        </w:trPr>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86" w:right="0"/>
              <w:jc w:val="center"/>
              <w:rPr>
                <w:rFonts w:ascii="宋体" w:hAnsi="宋体" w:cs="宋体" w:eastAsia="宋体" w:hint="default"/>
                <w:sz w:val="18"/>
                <w:szCs w:val="18"/>
              </w:rPr>
            </w:pPr>
            <w:r>
              <w:rPr>
                <w:rFonts w:ascii="宋体" w:hAnsi="宋体" w:cs="宋体" w:eastAsia="宋体" w:hint="default"/>
                <w:b/>
                <w:bCs/>
                <w:spacing w:val="-3"/>
                <w:sz w:val="18"/>
                <w:szCs w:val="18"/>
              </w:rPr>
              <w:t>合计</w:t>
            </w:r>
            <w:r>
              <w:rPr>
                <w:rFonts w:ascii="宋体" w:hAnsi="宋体" w:cs="宋体" w:eastAsia="宋体" w:hint="default"/>
                <w:b/>
                <w:bCs/>
                <w:w w:val="100"/>
                <w:sz w:val="18"/>
                <w:szCs w:val="18"/>
              </w:rPr>
              <w:t> </w:t>
            </w:r>
            <w:r>
              <w:rPr>
                <w:rFonts w:ascii="宋体" w:hAnsi="宋体" w:cs="宋体" w:eastAsia="宋体" w:hint="default"/>
                <w:w w:val="100"/>
                <w:sz w:val="18"/>
                <w:szCs w:val="18"/>
              </w:rPr>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b/>
                <w:spacing w:val="-1"/>
                <w:sz w:val="18"/>
              </w:rPr>
              <w:t>2,150,582,711.38</w:t>
            </w:r>
            <w:r>
              <w:rPr>
                <w:rFonts w:ascii="宋体"/>
                <w:spacing w:val="-1"/>
                <w:sz w:val="18"/>
              </w:rPr>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b/>
                <w:spacing w:val="-1"/>
                <w:sz w:val="18"/>
              </w:rPr>
              <w:t>2,003,047,375.08</w:t>
            </w:r>
            <w:r>
              <w:rPr>
                <w:rFonts w:ascii="宋体"/>
                <w:spacing w:val="-1"/>
                <w:sz w:val="18"/>
              </w:rPr>
            </w:r>
          </w:p>
        </w:tc>
        <w:tc>
          <w:tcPr>
            <w:tcW w:w="1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b/>
                <w:spacing w:val="-1"/>
                <w:sz w:val="18"/>
              </w:rPr>
              <w:t>1,891,065,779.51</w:t>
            </w:r>
            <w:r>
              <w:rPr>
                <w:rFonts w:ascii="宋体"/>
                <w:spacing w:val="-1"/>
                <w:sz w:val="18"/>
              </w:rPr>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b/>
                <w:spacing w:val="-1"/>
                <w:sz w:val="18"/>
              </w:rPr>
              <w:t>1,783,809,759.11</w:t>
            </w:r>
            <w:r>
              <w:rPr>
                <w:rFonts w:ascii="宋体"/>
                <w:spacing w:val="-1"/>
                <w:sz w:val="18"/>
              </w:rPr>
            </w:r>
          </w:p>
        </w:tc>
      </w:tr>
    </w:tbl>
    <w:p>
      <w:pPr>
        <w:spacing w:line="240" w:lineRule="auto" w:before="2"/>
        <w:rPr>
          <w:rFonts w:ascii="宋体" w:hAnsi="宋体" w:cs="宋体" w:eastAsia="宋体" w:hint="default"/>
          <w:sz w:val="14"/>
          <w:szCs w:val="14"/>
        </w:rPr>
      </w:pPr>
    </w:p>
    <w:p>
      <w:pPr>
        <w:pStyle w:val="Heading3"/>
        <w:spacing w:line="240" w:lineRule="auto"/>
        <w:ind w:right="855"/>
        <w:jc w:val="left"/>
        <w:rPr>
          <w:rFonts w:ascii="宋体" w:hAnsi="宋体" w:cs="宋体" w:eastAsia="宋体" w:hint="default"/>
        </w:rPr>
      </w:pPr>
      <w:r>
        <w:rPr/>
        <w:t>（</w:t>
      </w:r>
      <w:r>
        <w:rPr>
          <w:rFonts w:ascii="Times New Roman" w:hAnsi="Times New Roman" w:cs="Times New Roman" w:eastAsia="Times New Roman" w:hint="default"/>
        </w:rPr>
        <w:t>3</w:t>
      </w:r>
      <w:r>
        <w:rPr/>
        <w:t>）公司前</w:t>
      </w:r>
      <w:r>
        <w:rPr>
          <w:rFonts w:ascii="Times New Roman" w:hAnsi="Times New Roman" w:cs="Times New Roman" w:eastAsia="Times New Roman" w:hint="default"/>
        </w:rPr>
        <w:t>5</w:t>
      </w:r>
      <w:r>
        <w:rPr/>
        <w:t>名客户</w:t>
      </w:r>
      <w:r>
        <w:rPr>
          <w:rFonts w:ascii="宋体" w:hAnsi="宋体" w:cs="宋体" w:eastAsia="宋体" w:hint="default"/>
        </w:rPr>
        <w:t> </w:t>
      </w:r>
    </w:p>
    <w:p>
      <w:pPr>
        <w:spacing w:line="240" w:lineRule="auto" w:before="11"/>
        <w:rPr>
          <w:rFonts w:ascii="宋体" w:hAnsi="宋体" w:cs="宋体" w:eastAsia="宋体" w:hint="default"/>
          <w:sz w:val="17"/>
          <w:szCs w:val="17"/>
        </w:rPr>
      </w:pPr>
    </w:p>
    <w:p>
      <w:pPr>
        <w:pStyle w:val="BodyText"/>
        <w:spacing w:line="240" w:lineRule="auto" w:before="46"/>
        <w:ind w:left="0" w:right="1035"/>
        <w:jc w:val="right"/>
        <w:rPr>
          <w:rFonts w:ascii="宋体" w:hAnsi="宋体" w:cs="宋体" w:eastAsia="宋体" w:hint="default"/>
        </w:rPr>
      </w:pPr>
      <w:r>
        <w:rPr>
          <w:spacing w:val="-3"/>
        </w:rPr>
        <w:t>单位：元</w:t>
      </w:r>
      <w:r>
        <w:rPr>
          <w:rFonts w:ascii="宋体" w:hAnsi="宋体" w:cs="宋体" w:eastAsia="宋体" w:hint="default"/>
        </w:rPr>
        <w:t> </w:t>
      </w:r>
    </w:p>
    <w:p>
      <w:pPr>
        <w:spacing w:line="240" w:lineRule="auto" w:before="5"/>
        <w:rPr>
          <w:rFonts w:ascii="宋体" w:hAnsi="宋体" w:cs="宋体" w:eastAsia="宋体" w:hint="default"/>
          <w:sz w:val="23"/>
          <w:szCs w:val="23"/>
        </w:rPr>
      </w:pPr>
    </w:p>
    <w:tbl>
      <w:tblPr>
        <w:tblW w:w="0" w:type="auto"/>
        <w:jc w:val="left"/>
        <w:tblInd w:w="148" w:type="dxa"/>
        <w:tblLayout w:type="fixed"/>
        <w:tblCellMar>
          <w:top w:w="0" w:type="dxa"/>
          <w:left w:w="0" w:type="dxa"/>
          <w:bottom w:w="0" w:type="dxa"/>
          <w:right w:w="0" w:type="dxa"/>
        </w:tblCellMar>
        <w:tblLook w:val="01E0"/>
      </w:tblPr>
      <w:tblGrid>
        <w:gridCol w:w="3539"/>
        <w:gridCol w:w="2646"/>
        <w:gridCol w:w="3540"/>
      </w:tblGrid>
      <w:tr>
        <w:trPr>
          <w:trHeight w:val="350" w:hRule="exact"/>
        </w:trPr>
        <w:tc>
          <w:tcPr>
            <w:tcW w:w="3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4" w:right="0"/>
              <w:jc w:val="center"/>
              <w:rPr>
                <w:rFonts w:ascii="宋体" w:hAnsi="宋体" w:cs="宋体" w:eastAsia="宋体" w:hint="default"/>
                <w:sz w:val="20"/>
                <w:szCs w:val="20"/>
              </w:rPr>
            </w:pPr>
            <w:r>
              <w:rPr>
                <w:rFonts w:ascii="宋体" w:hAnsi="宋体" w:cs="宋体" w:eastAsia="宋体" w:hint="default"/>
                <w:b/>
                <w:bCs/>
                <w:sz w:val="20"/>
                <w:szCs w:val="20"/>
              </w:rPr>
              <w:t>客户名称</w:t>
            </w:r>
            <w:r>
              <w:rPr>
                <w:rFonts w:ascii="宋体" w:hAnsi="宋体" w:cs="宋体" w:eastAsia="宋体" w:hint="default"/>
                <w:sz w:val="20"/>
                <w:szCs w:val="20"/>
              </w:rPr>
            </w: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518" w:right="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2019</w:t>
            </w:r>
            <w:r>
              <w:rPr>
                <w:rFonts w:ascii="宋体" w:hAnsi="宋体" w:cs="宋体" w:eastAsia="宋体" w:hint="default"/>
                <w:b/>
                <w:bCs/>
                <w:sz w:val="20"/>
                <w:szCs w:val="20"/>
              </w:rPr>
              <w:t>年度营业收入</w:t>
            </w:r>
            <w:r>
              <w:rPr>
                <w:rFonts w:ascii="宋体" w:hAnsi="宋体" w:cs="宋体" w:eastAsia="宋体" w:hint="default"/>
                <w:sz w:val="20"/>
                <w:szCs w:val="20"/>
              </w:rPr>
            </w:r>
          </w:p>
        </w:tc>
        <w:tc>
          <w:tcPr>
            <w:tcW w:w="3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59" w:right="0"/>
              <w:jc w:val="left"/>
              <w:rPr>
                <w:rFonts w:ascii="宋体" w:hAnsi="宋体" w:cs="宋体" w:eastAsia="宋体" w:hint="default"/>
                <w:sz w:val="20"/>
                <w:szCs w:val="20"/>
              </w:rPr>
            </w:pPr>
            <w:r>
              <w:rPr>
                <w:rFonts w:ascii="宋体" w:hAnsi="宋体" w:cs="宋体" w:eastAsia="宋体" w:hint="default"/>
                <w:b/>
                <w:bCs/>
                <w:sz w:val="20"/>
                <w:szCs w:val="20"/>
              </w:rPr>
              <w:t>占公司全部营业收入的比例（</w:t>
            </w:r>
            <w:r>
              <w:rPr>
                <w:rFonts w:ascii="Times New Roman" w:hAnsi="Times New Roman" w:cs="Times New Roman" w:eastAsia="Times New Roman" w:hint="default"/>
                <w:b/>
                <w:bCs/>
                <w:sz w:val="20"/>
                <w:szCs w:val="20"/>
              </w:rPr>
              <w:t>%</w:t>
            </w:r>
            <w:r>
              <w:rPr>
                <w:rFonts w:ascii="宋体" w:hAnsi="宋体" w:cs="宋体" w:eastAsia="宋体" w:hint="default"/>
                <w:b/>
                <w:bCs/>
                <w:sz w:val="20"/>
                <w:szCs w:val="20"/>
              </w:rPr>
              <w:t>）</w:t>
            </w:r>
            <w:r>
              <w:rPr>
                <w:rFonts w:ascii="宋体" w:hAnsi="宋体" w:cs="宋体" w:eastAsia="宋体" w:hint="default"/>
                <w:sz w:val="20"/>
                <w:szCs w:val="20"/>
              </w:rPr>
            </w:r>
          </w:p>
        </w:tc>
      </w:tr>
      <w:tr>
        <w:trPr>
          <w:trHeight w:val="355" w:hRule="exact"/>
        </w:trPr>
        <w:tc>
          <w:tcPr>
            <w:tcW w:w="3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4" w:right="0"/>
              <w:jc w:val="left"/>
              <w:rPr>
                <w:rFonts w:ascii="宋体" w:hAnsi="宋体" w:cs="宋体" w:eastAsia="宋体" w:hint="default"/>
                <w:sz w:val="20"/>
                <w:szCs w:val="20"/>
              </w:rPr>
            </w:pPr>
            <w:r>
              <w:rPr>
                <w:rFonts w:ascii="宋体" w:hAnsi="宋体" w:cs="宋体" w:eastAsia="宋体" w:hint="default"/>
                <w:sz w:val="20"/>
                <w:szCs w:val="20"/>
              </w:rPr>
              <w:t>第一名</w:t>
            </w: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4"/>
              <w:jc w:val="right"/>
              <w:rPr>
                <w:rFonts w:ascii="Times New Roman" w:hAnsi="Times New Roman" w:cs="Times New Roman" w:eastAsia="Times New Roman" w:hint="default"/>
                <w:sz w:val="20"/>
                <w:szCs w:val="20"/>
              </w:rPr>
            </w:pPr>
            <w:r>
              <w:rPr>
                <w:rFonts w:ascii="Times New Roman"/>
                <w:spacing w:val="-1"/>
                <w:sz w:val="20"/>
              </w:rPr>
              <w:t>192,307,309.95</w:t>
            </w:r>
          </w:p>
        </w:tc>
        <w:tc>
          <w:tcPr>
            <w:tcW w:w="3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right"/>
              <w:rPr>
                <w:rFonts w:ascii="Times New Roman" w:hAnsi="Times New Roman" w:cs="Times New Roman" w:eastAsia="Times New Roman" w:hint="default"/>
                <w:sz w:val="20"/>
                <w:szCs w:val="20"/>
              </w:rPr>
            </w:pPr>
            <w:r>
              <w:rPr>
                <w:rFonts w:ascii="Times New Roman"/>
                <w:sz w:val="20"/>
              </w:rPr>
              <w:t>8.85</w:t>
            </w:r>
          </w:p>
        </w:tc>
      </w:tr>
      <w:tr>
        <w:trPr>
          <w:trHeight w:val="360" w:hRule="exact"/>
        </w:trPr>
        <w:tc>
          <w:tcPr>
            <w:tcW w:w="3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4" w:right="0"/>
              <w:jc w:val="left"/>
              <w:rPr>
                <w:rFonts w:ascii="宋体" w:hAnsi="宋体" w:cs="宋体" w:eastAsia="宋体" w:hint="default"/>
                <w:sz w:val="20"/>
                <w:szCs w:val="20"/>
              </w:rPr>
            </w:pPr>
            <w:r>
              <w:rPr>
                <w:rFonts w:ascii="宋体" w:hAnsi="宋体" w:cs="宋体" w:eastAsia="宋体" w:hint="default"/>
                <w:sz w:val="20"/>
                <w:szCs w:val="20"/>
              </w:rPr>
              <w:t>第二名</w:t>
            </w: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4"/>
              <w:jc w:val="right"/>
              <w:rPr>
                <w:rFonts w:ascii="Times New Roman" w:hAnsi="Times New Roman" w:cs="Times New Roman" w:eastAsia="Times New Roman" w:hint="default"/>
                <w:sz w:val="20"/>
                <w:szCs w:val="20"/>
              </w:rPr>
            </w:pPr>
            <w:r>
              <w:rPr>
                <w:rFonts w:ascii="Times New Roman"/>
                <w:spacing w:val="-1"/>
                <w:sz w:val="20"/>
              </w:rPr>
              <w:t>145,326,357.47</w:t>
            </w:r>
          </w:p>
        </w:tc>
        <w:tc>
          <w:tcPr>
            <w:tcW w:w="3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right"/>
              <w:rPr>
                <w:rFonts w:ascii="Times New Roman" w:hAnsi="Times New Roman" w:cs="Times New Roman" w:eastAsia="Times New Roman" w:hint="default"/>
                <w:sz w:val="20"/>
                <w:szCs w:val="20"/>
              </w:rPr>
            </w:pPr>
            <w:r>
              <w:rPr>
                <w:rFonts w:ascii="Times New Roman"/>
                <w:sz w:val="20"/>
              </w:rPr>
              <w:t>6.69</w:t>
            </w:r>
          </w:p>
        </w:tc>
      </w:tr>
      <w:tr>
        <w:trPr>
          <w:trHeight w:val="351" w:hRule="exact"/>
        </w:trPr>
        <w:tc>
          <w:tcPr>
            <w:tcW w:w="3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4" w:right="0"/>
              <w:jc w:val="left"/>
              <w:rPr>
                <w:rFonts w:ascii="宋体" w:hAnsi="宋体" w:cs="宋体" w:eastAsia="宋体" w:hint="default"/>
                <w:sz w:val="20"/>
                <w:szCs w:val="20"/>
              </w:rPr>
            </w:pPr>
            <w:r>
              <w:rPr>
                <w:rFonts w:ascii="宋体" w:hAnsi="宋体" w:cs="宋体" w:eastAsia="宋体" w:hint="default"/>
                <w:sz w:val="20"/>
                <w:szCs w:val="20"/>
              </w:rPr>
              <w:t>第三名</w:t>
            </w: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4"/>
              <w:jc w:val="right"/>
              <w:rPr>
                <w:rFonts w:ascii="Times New Roman" w:hAnsi="Times New Roman" w:cs="Times New Roman" w:eastAsia="Times New Roman" w:hint="default"/>
                <w:sz w:val="20"/>
                <w:szCs w:val="20"/>
              </w:rPr>
            </w:pPr>
            <w:r>
              <w:rPr>
                <w:rFonts w:ascii="Times New Roman"/>
                <w:spacing w:val="-1"/>
                <w:sz w:val="20"/>
              </w:rPr>
              <w:t>86,963,234.14</w:t>
            </w:r>
          </w:p>
        </w:tc>
        <w:tc>
          <w:tcPr>
            <w:tcW w:w="3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0"/>
              <w:jc w:val="right"/>
              <w:rPr>
                <w:rFonts w:ascii="Times New Roman" w:hAnsi="Times New Roman" w:cs="Times New Roman" w:eastAsia="Times New Roman" w:hint="default"/>
                <w:sz w:val="20"/>
                <w:szCs w:val="20"/>
              </w:rPr>
            </w:pPr>
            <w:r>
              <w:rPr>
                <w:rFonts w:ascii="Times New Roman"/>
                <w:sz w:val="20"/>
              </w:rPr>
              <w:t>4.00</w:t>
            </w:r>
          </w:p>
        </w:tc>
      </w:tr>
      <w:tr>
        <w:trPr>
          <w:trHeight w:val="350" w:hRule="exact"/>
        </w:trPr>
        <w:tc>
          <w:tcPr>
            <w:tcW w:w="3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4" w:right="0"/>
              <w:jc w:val="left"/>
              <w:rPr>
                <w:rFonts w:ascii="宋体" w:hAnsi="宋体" w:cs="宋体" w:eastAsia="宋体" w:hint="default"/>
                <w:sz w:val="20"/>
                <w:szCs w:val="20"/>
              </w:rPr>
            </w:pPr>
            <w:r>
              <w:rPr>
                <w:rFonts w:ascii="宋体" w:hAnsi="宋体" w:cs="宋体" w:eastAsia="宋体" w:hint="default"/>
                <w:sz w:val="20"/>
                <w:szCs w:val="20"/>
              </w:rPr>
              <w:t>第四名</w:t>
            </w: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4"/>
              <w:jc w:val="right"/>
              <w:rPr>
                <w:rFonts w:ascii="Times New Roman" w:hAnsi="Times New Roman" w:cs="Times New Roman" w:eastAsia="Times New Roman" w:hint="default"/>
                <w:sz w:val="20"/>
                <w:szCs w:val="20"/>
              </w:rPr>
            </w:pPr>
            <w:r>
              <w:rPr>
                <w:rFonts w:ascii="Times New Roman"/>
                <w:spacing w:val="-1"/>
                <w:sz w:val="20"/>
              </w:rPr>
              <w:t>79,042,446.01</w:t>
            </w:r>
          </w:p>
        </w:tc>
        <w:tc>
          <w:tcPr>
            <w:tcW w:w="3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right"/>
              <w:rPr>
                <w:rFonts w:ascii="Times New Roman" w:hAnsi="Times New Roman" w:cs="Times New Roman" w:eastAsia="Times New Roman" w:hint="default"/>
                <w:sz w:val="20"/>
                <w:szCs w:val="20"/>
              </w:rPr>
            </w:pPr>
            <w:r>
              <w:rPr>
                <w:rFonts w:ascii="Times New Roman"/>
                <w:sz w:val="20"/>
              </w:rPr>
              <w:t>3.64</w:t>
            </w:r>
          </w:p>
        </w:tc>
      </w:tr>
      <w:tr>
        <w:trPr>
          <w:trHeight w:val="350" w:hRule="exact"/>
        </w:trPr>
        <w:tc>
          <w:tcPr>
            <w:tcW w:w="3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4" w:right="0"/>
              <w:jc w:val="left"/>
              <w:rPr>
                <w:rFonts w:ascii="宋体" w:hAnsi="宋体" w:cs="宋体" w:eastAsia="宋体" w:hint="default"/>
                <w:sz w:val="20"/>
                <w:szCs w:val="20"/>
              </w:rPr>
            </w:pPr>
            <w:r>
              <w:rPr>
                <w:rFonts w:ascii="宋体" w:hAnsi="宋体" w:cs="宋体" w:eastAsia="宋体" w:hint="default"/>
                <w:sz w:val="20"/>
                <w:szCs w:val="20"/>
              </w:rPr>
              <w:t>第五名</w:t>
            </w: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4"/>
              <w:jc w:val="right"/>
              <w:rPr>
                <w:rFonts w:ascii="Times New Roman" w:hAnsi="Times New Roman" w:cs="Times New Roman" w:eastAsia="Times New Roman" w:hint="default"/>
                <w:sz w:val="20"/>
                <w:szCs w:val="20"/>
              </w:rPr>
            </w:pPr>
            <w:r>
              <w:rPr>
                <w:rFonts w:ascii="Times New Roman"/>
                <w:spacing w:val="-1"/>
                <w:sz w:val="20"/>
              </w:rPr>
              <w:t>78,351,779.19</w:t>
            </w:r>
          </w:p>
        </w:tc>
        <w:tc>
          <w:tcPr>
            <w:tcW w:w="3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right"/>
              <w:rPr>
                <w:rFonts w:ascii="Times New Roman" w:hAnsi="Times New Roman" w:cs="Times New Roman" w:eastAsia="Times New Roman" w:hint="default"/>
                <w:sz w:val="20"/>
                <w:szCs w:val="20"/>
              </w:rPr>
            </w:pPr>
            <w:r>
              <w:rPr>
                <w:rFonts w:ascii="Times New Roman"/>
                <w:sz w:val="20"/>
              </w:rPr>
              <w:t>3.61</w:t>
            </w:r>
          </w:p>
        </w:tc>
      </w:tr>
      <w:tr>
        <w:trPr>
          <w:trHeight w:val="355" w:hRule="exact"/>
        </w:trPr>
        <w:tc>
          <w:tcPr>
            <w:tcW w:w="3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3"/>
              <w:jc w:val="center"/>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4"/>
              <w:jc w:val="right"/>
              <w:rPr>
                <w:rFonts w:ascii="Times New Roman" w:hAnsi="Times New Roman" w:cs="Times New Roman" w:eastAsia="Times New Roman" w:hint="default"/>
                <w:sz w:val="20"/>
                <w:szCs w:val="20"/>
              </w:rPr>
            </w:pPr>
            <w:r>
              <w:rPr>
                <w:rFonts w:ascii="Times New Roman"/>
                <w:b/>
                <w:spacing w:val="-1"/>
                <w:sz w:val="20"/>
              </w:rPr>
              <w:t>581,991,126.76</w:t>
            </w:r>
            <w:r>
              <w:rPr>
                <w:rFonts w:ascii="Times New Roman"/>
                <w:spacing w:val="-1"/>
                <w:sz w:val="20"/>
              </w:rPr>
            </w:r>
          </w:p>
        </w:tc>
        <w:tc>
          <w:tcPr>
            <w:tcW w:w="3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right"/>
              <w:rPr>
                <w:rFonts w:ascii="Times New Roman" w:hAnsi="Times New Roman" w:cs="Times New Roman" w:eastAsia="Times New Roman" w:hint="default"/>
                <w:sz w:val="20"/>
                <w:szCs w:val="20"/>
              </w:rPr>
            </w:pPr>
            <w:r>
              <w:rPr>
                <w:rFonts w:ascii="Times New Roman"/>
                <w:b/>
                <w:sz w:val="20"/>
              </w:rPr>
              <w:t>26.79</w:t>
            </w:r>
            <w:r>
              <w:rPr>
                <w:rFonts w:ascii="Times New Roman"/>
                <w:sz w:val="20"/>
              </w:rPr>
            </w:r>
          </w:p>
        </w:tc>
      </w:tr>
    </w:tbl>
    <w:p>
      <w:pPr>
        <w:spacing w:after="0" w:line="240" w:lineRule="auto"/>
        <w:jc w:val="right"/>
        <w:rPr>
          <w:rFonts w:ascii="Times New Roman" w:hAnsi="Times New Roman" w:cs="Times New Roman" w:eastAsia="Times New Roman" w:hint="default"/>
          <w:sz w:val="20"/>
          <w:szCs w:val="20"/>
        </w:rPr>
        <w:sectPr>
          <w:pgSz w:w="11910" w:h="16840"/>
          <w:pgMar w:header="746" w:footer="974" w:top="1060" w:bottom="1160" w:left="980" w:right="0"/>
        </w:sectPr>
      </w:pPr>
    </w:p>
    <w:p>
      <w:pPr>
        <w:spacing w:line="240" w:lineRule="auto" w:before="12"/>
        <w:rPr>
          <w:rFonts w:ascii="宋体" w:hAnsi="宋体" w:cs="宋体" w:eastAsia="宋体" w:hint="default"/>
          <w:sz w:val="24"/>
          <w:szCs w:val="24"/>
        </w:rPr>
      </w:pPr>
    </w:p>
    <w:p>
      <w:pPr>
        <w:pStyle w:val="Heading4"/>
        <w:spacing w:line="240" w:lineRule="auto" w:before="36"/>
        <w:ind w:right="855"/>
        <w:jc w:val="left"/>
        <w:rPr>
          <w:b w:val="0"/>
          <w:bCs w:val="0"/>
        </w:rPr>
      </w:pPr>
      <w:r>
        <w:rPr>
          <w:rFonts w:ascii="Times New Roman" w:hAnsi="Times New Roman" w:cs="Times New Roman" w:eastAsia="Times New Roman" w:hint="default"/>
        </w:rPr>
        <w:t>5</w:t>
      </w:r>
      <w:r>
        <w:rPr/>
        <w:t>、投资收益</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6"/>
        <w:ind w:left="0" w:right="1121"/>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328"/>
        <w:gridCol w:w="3059"/>
        <w:gridCol w:w="3188"/>
      </w:tblGrid>
      <w:tr>
        <w:trPr>
          <w:trHeight w:val="404"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成本法核算的长期股权投资收益</w:t>
            </w:r>
          </w:p>
        </w:tc>
        <w:tc>
          <w:tcPr>
            <w:tcW w:w="3059" w:type="dxa"/>
            <w:tcBorders>
              <w:top w:val="single" w:sz="4" w:space="0" w:color="000000"/>
              <w:left w:val="single" w:sz="4" w:space="0" w:color="000000"/>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198,472.20</w:t>
            </w:r>
          </w:p>
        </w:tc>
      </w:tr>
      <w:tr>
        <w:trPr>
          <w:trHeight w:val="398"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权益法核算的长期股权投资收益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-2,345,551.05</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-5,775,838.14</w:t>
            </w: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处置长期股权投资产生的投资收益</w:t>
            </w:r>
          </w:p>
        </w:tc>
        <w:tc>
          <w:tcPr>
            <w:tcW w:w="3059" w:type="dxa"/>
            <w:tcBorders>
              <w:top w:val="single" w:sz="4" w:space="0" w:color="000000"/>
              <w:left w:val="single" w:sz="4" w:space="0" w:color="000000"/>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77,586,445.60</w:t>
            </w:r>
          </w:p>
        </w:tc>
      </w:tr>
      <w:tr>
        <w:trPr>
          <w:trHeight w:val="404"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可供出售金融资产在持有期间的投资收益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9,268,569.85</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9,340,000.00</w:t>
            </w: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59" w:type="dxa"/>
            <w:tcBorders>
              <w:top w:val="single" w:sz="4" w:space="0" w:color="000000"/>
              <w:left w:val="single" w:sz="4" w:space="0" w:color="000000"/>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268,453.73</w:t>
            </w:r>
          </w:p>
        </w:tc>
      </w:tr>
      <w:tr>
        <w:trPr>
          <w:trHeight w:val="398"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6,923,018.80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81,617,533.39</w:t>
            </w:r>
          </w:p>
        </w:tc>
      </w:tr>
    </w:tbl>
    <w:p>
      <w:pPr>
        <w:spacing w:line="240" w:lineRule="auto" w:before="1"/>
        <w:rPr>
          <w:rFonts w:ascii="宋体" w:hAnsi="宋体" w:cs="宋体" w:eastAsia="宋体" w:hint="default"/>
          <w:sz w:val="18"/>
          <w:szCs w:val="18"/>
        </w:rPr>
      </w:pPr>
    </w:p>
    <w:p>
      <w:pPr>
        <w:pStyle w:val="Heading2"/>
        <w:spacing w:line="240" w:lineRule="auto" w:before="26"/>
        <w:ind w:right="855"/>
        <w:jc w:val="left"/>
        <w:rPr>
          <w:b w:val="0"/>
          <w:bCs w:val="0"/>
        </w:rPr>
      </w:pPr>
      <w:r>
        <w:rPr/>
        <w:t>十六、补充资料</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855"/>
        <w:jc w:val="left"/>
        <w:rPr>
          <w:b w:val="0"/>
          <w:bCs w:val="0"/>
        </w:rPr>
      </w:pPr>
      <w:r>
        <w:rPr>
          <w:rFonts w:ascii="Times New Roman" w:hAnsi="Times New Roman" w:cs="Times New Roman" w:eastAsia="Times New Roman" w:hint="default"/>
        </w:rPr>
        <w:t>1</w:t>
      </w:r>
      <w:r>
        <w:rPr/>
        <w:t>、当期非经常性损益明细表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6"/>
        <w:ind w:right="855"/>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1"/>
        </w:rPr>
        <w:t> </w:t>
      </w:r>
      <w:r>
        <w:rPr/>
        <w:t>不适用</w:t>
      </w:r>
    </w:p>
    <w:p>
      <w:pPr>
        <w:pStyle w:val="BodyText"/>
        <w:spacing w:line="240" w:lineRule="auto" w:before="106"/>
        <w:ind w:left="0" w:right="1121"/>
        <w:jc w:val="right"/>
      </w:pPr>
      <w:r>
        <w:rPr/>
        <w:t>单位：</w:t>
      </w:r>
      <w:r>
        <w:rPr>
          <w:spacing w:val="5"/>
        </w:rPr>
        <w:t> </w:t>
      </w:r>
      <w:r>
        <w:rPr/>
        <w:t>元</w:t>
      </w:r>
    </w:p>
    <w:p>
      <w:pPr>
        <w:spacing w:line="240" w:lineRule="auto" w:before="0"/>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8"/>
        <w:gridCol w:w="3059"/>
        <w:gridCol w:w="3188"/>
      </w:tblGrid>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非流动资产处置损益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161.98</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102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47"/>
              <w:jc w:val="both"/>
              <w:rPr>
                <w:rFonts w:ascii="宋体" w:hAnsi="宋体" w:cs="宋体" w:eastAsia="宋体" w:hint="default"/>
                <w:sz w:val="18"/>
                <w:szCs w:val="18"/>
              </w:rPr>
            </w:pPr>
            <w:r>
              <w:rPr>
                <w:rFonts w:ascii="宋体" w:hAnsi="宋体" w:cs="宋体" w:eastAsia="宋体" w:hint="default"/>
                <w:spacing w:val="-3"/>
                <w:sz w:val="18"/>
                <w:szCs w:val="18"/>
              </w:rPr>
              <w:t>计入当期损益的政府补助（与企业业务密</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切相关，按照国家统一标准定额或定量享</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受的政府补助除外）</w:t>
            </w:r>
          </w:p>
        </w:tc>
        <w:tc>
          <w:tcPr>
            <w:tcW w:w="30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1,688,419.01</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除上述各项之外的其他营业外收入和支出</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-322,113.68</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其他符合非经常性损益定义的损益项目</w:t>
            </w:r>
          </w:p>
        </w:tc>
        <w:tc>
          <w:tcPr>
            <w:tcW w:w="3059" w:type="dxa"/>
            <w:tcBorders>
              <w:top w:val="single" w:sz="4" w:space="0" w:color="000000"/>
              <w:left w:val="single" w:sz="4" w:space="0" w:color="000000"/>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68,355.63</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少数股东权益影响额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83,861.63</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1,214,250.05</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3"/>
        <w:ind w:right="855"/>
        <w:jc w:val="left"/>
      </w:pPr>
      <w:r>
        <w:rPr>
          <w:w w:val="101"/>
        </w:rPr>
        <w:t>对</w:t>
      </w:r>
      <w:r>
        <w:rPr>
          <w:spacing w:val="-5"/>
          <w:w w:val="101"/>
        </w:rPr>
        <w:t>公</w:t>
      </w:r>
      <w:r>
        <w:rPr>
          <w:w w:val="101"/>
        </w:rPr>
        <w:t>司</w:t>
      </w:r>
      <w:r>
        <w:rPr>
          <w:spacing w:val="-5"/>
          <w:w w:val="101"/>
        </w:rPr>
        <w:t>根</w:t>
      </w:r>
      <w:r>
        <w:rPr>
          <w:spacing w:val="-68"/>
          <w:w w:val="101"/>
        </w:rPr>
        <w:t>据</w:t>
      </w:r>
      <w:r>
        <w:rPr>
          <w:w w:val="101"/>
        </w:rPr>
        <w:t>《</w:t>
      </w:r>
      <w:r>
        <w:rPr>
          <w:spacing w:val="-5"/>
          <w:w w:val="101"/>
        </w:rPr>
        <w:t>公</w:t>
      </w:r>
      <w:r>
        <w:rPr>
          <w:w w:val="101"/>
        </w:rPr>
        <w:t>开</w:t>
      </w:r>
      <w:r>
        <w:rPr>
          <w:spacing w:val="-5"/>
          <w:w w:val="101"/>
        </w:rPr>
        <w:t>发</w:t>
      </w:r>
      <w:r>
        <w:rPr>
          <w:w w:val="101"/>
        </w:rPr>
        <w:t>行</w:t>
      </w:r>
      <w:r>
        <w:rPr>
          <w:spacing w:val="-5"/>
          <w:w w:val="101"/>
        </w:rPr>
        <w:t>证</w:t>
      </w:r>
      <w:r>
        <w:rPr>
          <w:w w:val="101"/>
        </w:rPr>
        <w:t>券</w:t>
      </w:r>
      <w:r>
        <w:rPr>
          <w:spacing w:val="-5"/>
          <w:w w:val="101"/>
        </w:rPr>
        <w:t>的</w:t>
      </w:r>
      <w:r>
        <w:rPr>
          <w:w w:val="101"/>
        </w:rPr>
        <w:t>公</w:t>
      </w:r>
      <w:r>
        <w:rPr>
          <w:spacing w:val="-5"/>
          <w:w w:val="101"/>
        </w:rPr>
        <w:t>司</w:t>
      </w:r>
      <w:r>
        <w:rPr>
          <w:w w:val="101"/>
        </w:rPr>
        <w:t>信</w:t>
      </w:r>
      <w:r>
        <w:rPr>
          <w:spacing w:val="-5"/>
          <w:w w:val="101"/>
        </w:rPr>
        <w:t>息</w:t>
      </w:r>
      <w:r>
        <w:rPr>
          <w:w w:val="101"/>
        </w:rPr>
        <w:t>披</w:t>
      </w:r>
      <w:r>
        <w:rPr>
          <w:spacing w:val="-5"/>
          <w:w w:val="101"/>
        </w:rPr>
        <w:t>露</w:t>
      </w:r>
      <w:r>
        <w:rPr>
          <w:w w:val="101"/>
        </w:rPr>
        <w:t>解</w:t>
      </w:r>
      <w:r>
        <w:rPr>
          <w:spacing w:val="-5"/>
          <w:w w:val="101"/>
        </w:rPr>
        <w:t>释</w:t>
      </w:r>
      <w:r>
        <w:rPr>
          <w:w w:val="101"/>
        </w:rPr>
        <w:t>性</w:t>
      </w:r>
      <w:r>
        <w:rPr>
          <w:spacing w:val="-5"/>
          <w:w w:val="101"/>
        </w:rPr>
        <w:t>公</w:t>
      </w:r>
      <w:r>
        <w:rPr>
          <w:w w:val="101"/>
        </w:rPr>
        <w:t>告第</w:t>
      </w:r>
      <w:r>
        <w:rPr>
          <w:spacing w:val="-46"/>
        </w:rPr>
        <w:t> </w:t>
      </w:r>
      <w:r>
        <w:rPr>
          <w:rFonts w:ascii="Times New Roman" w:hAnsi="Times New Roman" w:cs="Times New Roman" w:eastAsia="Times New Roman" w:hint="default"/>
          <w:w w:val="101"/>
        </w:rPr>
        <w:t>1</w:t>
      </w:r>
      <w:r>
        <w:rPr>
          <w:rFonts w:ascii="Times New Roman" w:hAnsi="Times New Roman" w:cs="Times New Roman" w:eastAsia="Times New Roman" w:hint="default"/>
          <w:spacing w:val="-2"/>
        </w:rPr>
        <w:t> </w:t>
      </w:r>
      <w:r>
        <w:rPr>
          <w:spacing w:val="-5"/>
          <w:w w:val="101"/>
        </w:rPr>
        <w:t>号</w:t>
      </w:r>
      <w:r>
        <w:rPr>
          <w:rFonts w:ascii="Times New Roman" w:hAnsi="Times New Roman" w:cs="Times New Roman" w:eastAsia="Times New Roman" w:hint="default"/>
          <w:w w:val="101"/>
        </w:rPr>
        <w:t>—</w:t>
      </w:r>
      <w:r>
        <w:rPr>
          <w:rFonts w:ascii="Times New Roman" w:hAnsi="Times New Roman" w:cs="Times New Roman" w:eastAsia="Times New Roman" w:hint="default"/>
          <w:spacing w:val="-5"/>
          <w:w w:val="101"/>
        </w:rPr>
        <w:t>—</w:t>
      </w:r>
      <w:r>
        <w:rPr>
          <w:w w:val="101"/>
        </w:rPr>
        <w:t>非</w:t>
      </w:r>
      <w:r>
        <w:rPr>
          <w:spacing w:val="-5"/>
          <w:w w:val="101"/>
        </w:rPr>
        <w:t>经</w:t>
      </w:r>
      <w:r>
        <w:rPr>
          <w:w w:val="101"/>
        </w:rPr>
        <w:t>常</w:t>
      </w:r>
      <w:r>
        <w:rPr>
          <w:spacing w:val="-5"/>
          <w:w w:val="101"/>
        </w:rPr>
        <w:t>性</w:t>
      </w:r>
      <w:r>
        <w:rPr>
          <w:w w:val="101"/>
        </w:rPr>
        <w:t>损益</w:t>
      </w:r>
      <w:r>
        <w:rPr>
          <w:spacing w:val="-73"/>
          <w:w w:val="101"/>
        </w:rPr>
        <w:t>》</w:t>
      </w:r>
      <w:r>
        <w:rPr>
          <w:w w:val="101"/>
        </w:rPr>
        <w:t>定</w:t>
      </w:r>
      <w:r>
        <w:rPr>
          <w:spacing w:val="-5"/>
          <w:w w:val="101"/>
        </w:rPr>
        <w:t>义</w:t>
      </w:r>
      <w:r>
        <w:rPr>
          <w:w w:val="101"/>
        </w:rPr>
        <w:t>界</w:t>
      </w:r>
      <w:r>
        <w:rPr>
          <w:spacing w:val="-5"/>
          <w:w w:val="101"/>
        </w:rPr>
        <w:t>定</w:t>
      </w:r>
      <w:r>
        <w:rPr>
          <w:w w:val="101"/>
        </w:rPr>
        <w:t>的</w:t>
      </w:r>
      <w:r>
        <w:rPr>
          <w:spacing w:val="-5"/>
          <w:w w:val="101"/>
        </w:rPr>
        <w:t>非</w:t>
      </w:r>
      <w:r>
        <w:rPr>
          <w:w w:val="101"/>
        </w:rPr>
        <w:t>经</w:t>
      </w:r>
      <w:r>
        <w:rPr>
          <w:spacing w:val="-5"/>
          <w:w w:val="101"/>
        </w:rPr>
        <w:t>常</w:t>
      </w:r>
      <w:r>
        <w:rPr>
          <w:w w:val="101"/>
        </w:rPr>
        <w:t>性</w:t>
      </w:r>
      <w:r>
        <w:rPr>
          <w:spacing w:val="-5"/>
          <w:w w:val="101"/>
        </w:rPr>
        <w:t>损</w:t>
      </w:r>
      <w:r>
        <w:rPr>
          <w:w w:val="101"/>
        </w:rPr>
        <w:t>益</w:t>
      </w:r>
      <w:r>
        <w:rPr>
          <w:spacing w:val="-5"/>
          <w:w w:val="101"/>
        </w:rPr>
        <w:t>项</w:t>
      </w:r>
      <w:r>
        <w:rPr>
          <w:w w:val="101"/>
        </w:rPr>
        <w:t>目</w:t>
      </w:r>
      <w:r>
        <w:rPr>
          <w:spacing w:val="-68"/>
          <w:w w:val="101"/>
        </w:rPr>
        <w:t>，</w:t>
      </w:r>
      <w:r>
        <w:rPr>
          <w:spacing w:val="-5"/>
          <w:w w:val="101"/>
        </w:rPr>
        <w:t>以</w:t>
      </w:r>
      <w:r>
        <w:rPr>
          <w:w w:val="101"/>
        </w:rPr>
        <w:t>及</w:t>
      </w:r>
      <w:r>
        <w:rPr>
          <w:spacing w:val="-73"/>
          <w:w w:val="101"/>
        </w:rPr>
        <w:t>把</w:t>
      </w:r>
      <w:r>
        <w:rPr>
          <w:w w:val="101"/>
        </w:rPr>
        <w:t>《公</w:t>
      </w:r>
      <w:r>
        <w:rPr/>
      </w:r>
    </w:p>
    <w:p>
      <w:pPr>
        <w:pStyle w:val="BodyText"/>
        <w:spacing w:line="300" w:lineRule="auto" w:before="63"/>
        <w:ind w:right="855"/>
        <w:jc w:val="left"/>
      </w:pPr>
      <w:r>
        <w:rPr>
          <w:spacing w:val="-3"/>
        </w:rPr>
        <w:t>开发行证券的公司信息披露解释性公告第 </w:t>
      </w:r>
      <w:r>
        <w:rPr>
          <w:rFonts w:ascii="Times New Roman" w:hAnsi="Times New Roman" w:cs="Times New Roman" w:eastAsia="Times New Roman" w:hint="default"/>
        </w:rPr>
        <w:t>1 </w:t>
      </w:r>
      <w:r>
        <w:rPr>
          <w:spacing w:val="-5"/>
        </w:rPr>
        <w:t>号</w:t>
      </w:r>
      <w:r>
        <w:rPr>
          <w:rFonts w:ascii="Times New Roman" w:hAnsi="Times New Roman" w:cs="Times New Roman" w:eastAsia="Times New Roman" w:hint="default"/>
          <w:spacing w:val="-5"/>
        </w:rPr>
        <w:t>——</w:t>
      </w:r>
      <w:r>
        <w:rPr>
          <w:spacing w:val="-5"/>
        </w:rPr>
        <w:t>非经常性损益》中列举的非经常性损益项目界定为经常性损益的项目，应</w:t>
      </w:r>
      <w:r>
        <w:rPr>
          <w:spacing w:val="-35"/>
        </w:rPr>
        <w:t> </w:t>
      </w:r>
      <w:r>
        <w:rPr>
          <w:spacing w:val="-35"/>
        </w:rPr>
      </w:r>
      <w:r>
        <w:rPr/>
        <w:t>说明原因。</w:t>
      </w:r>
    </w:p>
    <w:p>
      <w:pPr>
        <w:pStyle w:val="BodyText"/>
        <w:spacing w:line="240" w:lineRule="auto" w:before="70"/>
        <w:ind w:right="855"/>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8"/>
        <w:rPr>
          <w:rFonts w:ascii="宋体" w:hAnsi="宋体" w:cs="宋体" w:eastAsia="宋体" w:hint="default"/>
          <w:sz w:val="25"/>
          <w:szCs w:val="25"/>
        </w:rPr>
      </w:pPr>
    </w:p>
    <w:p>
      <w:pPr>
        <w:pStyle w:val="Heading4"/>
        <w:spacing w:line="240" w:lineRule="auto"/>
        <w:ind w:right="855"/>
        <w:jc w:val="left"/>
        <w:rPr>
          <w:b w:val="0"/>
          <w:bCs w:val="0"/>
        </w:rPr>
      </w:pPr>
      <w:r>
        <w:rPr>
          <w:rFonts w:ascii="Times New Roman" w:hAnsi="Times New Roman" w:cs="Times New Roman" w:eastAsia="Times New Roman" w:hint="default"/>
        </w:rPr>
        <w:t>2</w:t>
      </w:r>
      <w:r>
        <w:rPr/>
        <w:t>、净资产收益率及每股收益</w:t>
      </w:r>
      <w:r>
        <w:rPr>
          <w:b w:val="0"/>
          <w:bCs w:val="0"/>
        </w:rPr>
      </w:r>
    </w:p>
    <w:p>
      <w:pPr>
        <w:spacing w:line="240" w:lineRule="auto" w:before="11"/>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2665"/>
        <w:gridCol w:w="3078"/>
        <w:gridCol w:w="1916"/>
        <w:gridCol w:w="1911"/>
      </w:tblGrid>
      <w:tr>
        <w:trPr>
          <w:trHeight w:val="207" w:hRule="exact"/>
        </w:trPr>
        <w:tc>
          <w:tcPr>
            <w:tcW w:w="2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3078"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7" w:hRule="exact"/>
        </w:trPr>
        <w:tc>
          <w:tcPr>
            <w:tcW w:w="266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878"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7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634"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7" w:type="dxa"/>
            <w:gridSpan w:val="2"/>
            <w:vMerge/>
            <w:tcBorders>
              <w:left w:val="single" w:sz="4" w:space="0" w:color="000000"/>
              <w:bottom w:val="single" w:sz="4" w:space="0" w:color="000000"/>
              <w:right w:val="single" w:sz="4" w:space="0" w:color="000000"/>
            </w:tcBorders>
            <w:shd w:val="clear" w:color="auto" w:fill="D2D2D2"/>
          </w:tcPr>
          <w:p>
            <w:pPr/>
          </w:p>
        </w:tc>
      </w:tr>
      <w:tr>
        <w:trPr>
          <w:trHeight w:val="197" w:hRule="exact"/>
        </w:trPr>
        <w:tc>
          <w:tcPr>
            <w:tcW w:w="2665" w:type="dxa"/>
            <w:vMerge/>
            <w:tcBorders>
              <w:left w:val="single" w:sz="4" w:space="0" w:color="000000"/>
              <w:bottom w:val="nil" w:sz="6" w:space="0" w:color="auto"/>
              <w:right w:val="single" w:sz="4" w:space="0" w:color="000000"/>
            </w:tcBorders>
            <w:shd w:val="clear" w:color="auto" w:fill="D2D2D2"/>
          </w:tcPr>
          <w:p>
            <w:pPr/>
          </w:p>
        </w:tc>
        <w:tc>
          <w:tcPr>
            <w:tcW w:w="3078"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28" w:right="0"/>
              <w:jc w:val="left"/>
              <w:rPr>
                <w:rFonts w:ascii="宋体" w:hAnsi="宋体" w:cs="宋体" w:eastAsia="宋体" w:hint="default"/>
                <w:sz w:val="18"/>
                <w:szCs w:val="18"/>
              </w:rPr>
            </w:pPr>
            <w:r>
              <w:rPr>
                <w:rFonts w:ascii="宋体" w:hAnsi="宋体" w:cs="宋体" w:eastAsia="宋体" w:hint="default"/>
                <w:spacing w:val="-3"/>
                <w:sz w:val="18"/>
                <w:szCs w:val="18"/>
              </w:rPr>
              <w:t>基本每股收益（元</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股）</w:t>
            </w:r>
            <w:r>
              <w:rPr>
                <w:rFonts w:ascii="宋体" w:hAnsi="宋体" w:cs="宋体" w:eastAsia="宋体" w:hint="default"/>
                <w:sz w:val="18"/>
                <w:szCs w:val="18"/>
              </w:rPr>
            </w:r>
          </w:p>
        </w:tc>
        <w:tc>
          <w:tcPr>
            <w:tcW w:w="19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28" w:right="0"/>
              <w:jc w:val="left"/>
              <w:rPr>
                <w:rFonts w:ascii="宋体" w:hAnsi="宋体" w:cs="宋体" w:eastAsia="宋体" w:hint="default"/>
                <w:sz w:val="18"/>
                <w:szCs w:val="18"/>
              </w:rPr>
            </w:pPr>
            <w:r>
              <w:rPr>
                <w:rFonts w:ascii="宋体" w:hAnsi="宋体" w:cs="宋体" w:eastAsia="宋体" w:hint="default"/>
                <w:spacing w:val="-3"/>
                <w:sz w:val="18"/>
                <w:szCs w:val="18"/>
              </w:rPr>
              <w:t>稀释每股收益（元</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股）</w:t>
            </w:r>
            <w:r>
              <w:rPr>
                <w:rFonts w:ascii="宋体" w:hAnsi="宋体" w:cs="宋体" w:eastAsia="宋体" w:hint="default"/>
                <w:sz w:val="18"/>
                <w:szCs w:val="18"/>
              </w:rPr>
            </w:r>
          </w:p>
        </w:tc>
      </w:tr>
      <w:tr>
        <w:trPr>
          <w:trHeight w:val="206" w:hRule="exact"/>
        </w:trPr>
        <w:tc>
          <w:tcPr>
            <w:tcW w:w="2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3078"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1" w:type="dxa"/>
            <w:vMerge/>
            <w:tcBorders>
              <w:left w:val="single" w:sz="4" w:space="0" w:color="000000"/>
              <w:bottom w:val="single" w:sz="4" w:space="0" w:color="000000"/>
              <w:right w:val="single" w:sz="4" w:space="0" w:color="000000"/>
            </w:tcBorders>
            <w:shd w:val="clear" w:color="auto" w:fill="D2D2D2"/>
          </w:tcPr>
          <w:p>
            <w:pPr/>
          </w:p>
        </w:tc>
      </w:tr>
      <w:tr>
        <w:trPr>
          <w:trHeight w:val="398" w:hRule="exact"/>
        </w:trPr>
        <w:tc>
          <w:tcPr>
            <w:tcW w:w="2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80"/>
              <w:jc w:val="center"/>
              <w:rPr>
                <w:rFonts w:ascii="宋体" w:hAnsi="宋体" w:cs="宋体" w:eastAsia="宋体" w:hint="default"/>
                <w:sz w:val="18"/>
                <w:szCs w:val="18"/>
              </w:rPr>
            </w:pPr>
            <w:r>
              <w:rPr>
                <w:rFonts w:ascii="宋体" w:hAnsi="宋体" w:cs="宋体" w:eastAsia="宋体" w:hint="default"/>
                <w:spacing w:val="-3"/>
                <w:sz w:val="18"/>
                <w:szCs w:val="18"/>
              </w:rPr>
              <w:t>归属于公司普通股股东的净利润</w:t>
            </w:r>
          </w:p>
        </w:tc>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3.85%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0.1846</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0.1846</w:t>
            </w:r>
          </w:p>
        </w:tc>
      </w:tr>
      <w:tr>
        <w:trPr>
          <w:trHeight w:val="403" w:hRule="exact"/>
        </w:trPr>
        <w:tc>
          <w:tcPr>
            <w:tcW w:w="2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7"/>
              <w:ind w:right="80"/>
              <w:jc w:val="center"/>
              <w:rPr>
                <w:rFonts w:ascii="宋体" w:hAnsi="宋体" w:cs="宋体" w:eastAsia="宋体" w:hint="default"/>
                <w:sz w:val="18"/>
                <w:szCs w:val="18"/>
              </w:rPr>
            </w:pPr>
            <w:r>
              <w:rPr>
                <w:rFonts w:ascii="宋体" w:hAnsi="宋体" w:cs="宋体" w:eastAsia="宋体" w:hint="default"/>
                <w:spacing w:val="-3"/>
                <w:sz w:val="18"/>
                <w:szCs w:val="18"/>
              </w:rPr>
              <w:t>扣除非经常性损益后归属于公司</w:t>
            </w:r>
          </w:p>
        </w:tc>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3.77%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0.1808</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0.1808</w:t>
            </w:r>
          </w:p>
        </w:tc>
      </w:tr>
    </w:tbl>
    <w:p>
      <w:pPr>
        <w:spacing w:after="0" w:line="240" w:lineRule="auto"/>
        <w:jc w:val="right"/>
        <w:rPr>
          <w:rFonts w:ascii="Times New Roman" w:hAnsi="Times New Roman" w:cs="Times New Roman" w:eastAsia="Times New Roman" w:hint="default"/>
          <w:sz w:val="18"/>
          <w:szCs w:val="18"/>
        </w:rPr>
        <w:sectPr>
          <w:pgSz w:w="11910" w:h="16840"/>
          <w:pgMar w:header="746" w:footer="974"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2665"/>
        <w:gridCol w:w="3078"/>
        <w:gridCol w:w="1916"/>
        <w:gridCol w:w="1911"/>
      </w:tblGrid>
      <w:tr>
        <w:trPr>
          <w:trHeight w:val="360" w:hRule="exact"/>
        </w:trPr>
        <w:tc>
          <w:tcPr>
            <w:tcW w:w="2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普通股股东的净利润</w:t>
            </w:r>
          </w:p>
        </w:tc>
        <w:tc>
          <w:tcPr>
            <w:tcW w:w="3078"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b/>
          <w:bCs/>
          <w:sz w:val="19"/>
          <w:szCs w:val="19"/>
        </w:rPr>
      </w:pPr>
    </w:p>
    <w:p>
      <w:pPr>
        <w:spacing w:before="36"/>
        <w:ind w:left="153" w:right="85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sz w:val="21"/>
          <w:szCs w:val="21"/>
        </w:rPr>
      </w:r>
    </w:p>
    <w:p>
      <w:pPr>
        <w:spacing w:line="240" w:lineRule="auto" w:before="10"/>
        <w:rPr>
          <w:rFonts w:ascii="宋体" w:hAnsi="宋体" w:cs="宋体" w:eastAsia="宋体" w:hint="default"/>
          <w:b/>
          <w:bCs/>
          <w:sz w:val="26"/>
          <w:szCs w:val="26"/>
        </w:rPr>
      </w:pPr>
    </w:p>
    <w:p>
      <w:pPr>
        <w:pStyle w:val="BodyText"/>
        <w:spacing w:line="240" w:lineRule="auto"/>
        <w:ind w:left="570" w:right="855"/>
        <w:jc w:val="left"/>
      </w:pPr>
      <w:r>
        <w:rPr>
          <w:spacing w:val="-3"/>
        </w:rPr>
        <w:t>本公司合并财务报表主要项目的异常情况及原因的说明</w:t>
      </w:r>
    </w:p>
    <w:p>
      <w:pPr>
        <w:spacing w:line="240" w:lineRule="auto" w:before="2"/>
        <w:rPr>
          <w:rFonts w:ascii="宋体" w:hAnsi="宋体" w:cs="宋体" w:eastAsia="宋体" w:hint="default"/>
          <w:sz w:val="24"/>
          <w:szCs w:val="24"/>
        </w:rPr>
      </w:pPr>
    </w:p>
    <w:p>
      <w:pPr>
        <w:pStyle w:val="BodyText"/>
        <w:spacing w:line="240" w:lineRule="auto"/>
        <w:ind w:left="570" w:right="855"/>
        <w:jc w:val="left"/>
        <w:rPr>
          <w:rFonts w:ascii="宋体" w:hAnsi="宋体" w:cs="宋体" w:eastAsia="宋体" w:hint="default"/>
        </w:rPr>
      </w:pPr>
      <w:r>
        <w:rPr>
          <w:spacing w:val="-3"/>
        </w:rPr>
        <w:t>（</w:t>
      </w:r>
      <w:r>
        <w:rPr>
          <w:rFonts w:ascii="宋体" w:hAnsi="宋体" w:cs="宋体" w:eastAsia="宋体" w:hint="default"/>
          <w:spacing w:val="-3"/>
        </w:rPr>
        <w:t>1</w:t>
      </w:r>
      <w:r>
        <w:rPr>
          <w:spacing w:val="-3"/>
        </w:rPr>
        <w:t>）资产负债表项目：</w:t>
      </w:r>
      <w:r>
        <w:rPr>
          <w:rFonts w:ascii="宋体" w:hAnsi="宋体" w:cs="宋体" w:eastAsia="宋体" w:hint="default"/>
        </w:rPr>
        <w:t> </w:t>
      </w:r>
    </w:p>
    <w:p>
      <w:pPr>
        <w:spacing w:line="240" w:lineRule="auto" w:before="2"/>
        <w:rPr>
          <w:rFonts w:ascii="宋体" w:hAnsi="宋体" w:cs="宋体" w:eastAsia="宋体" w:hint="default"/>
          <w:sz w:val="24"/>
          <w:szCs w:val="24"/>
        </w:rPr>
      </w:pPr>
    </w:p>
    <w:p>
      <w:pPr>
        <w:pStyle w:val="BodyText"/>
        <w:spacing w:line="319" w:lineRule="auto"/>
        <w:ind w:right="1128" w:firstLine="441"/>
        <w:jc w:val="left"/>
        <w:rPr>
          <w:rFonts w:ascii="宋体" w:hAnsi="宋体" w:cs="宋体" w:eastAsia="宋体" w:hint="default"/>
        </w:rPr>
      </w:pPr>
      <w:r>
        <w:rPr>
          <w:spacing w:val="-3"/>
        </w:rPr>
        <w:t>①应收账款年末数较年初数增加</w:t>
      </w:r>
      <w:r>
        <w:rPr>
          <w:rFonts w:ascii="宋体" w:hAnsi="宋体" w:cs="宋体" w:eastAsia="宋体" w:hint="default"/>
          <w:spacing w:val="-3"/>
        </w:rPr>
        <w:t>98,274,771.2</w:t>
      </w:r>
      <w:r>
        <w:rPr>
          <w:spacing w:val="-3"/>
        </w:rPr>
        <w:t>元，增长</w:t>
      </w:r>
      <w:r>
        <w:rPr>
          <w:rFonts w:ascii="宋体" w:hAnsi="宋体" w:cs="宋体" w:eastAsia="宋体" w:hint="default"/>
          <w:spacing w:val="-3"/>
        </w:rPr>
        <w:t>20.23%</w:t>
      </w:r>
      <w:r>
        <w:rPr>
          <w:spacing w:val="-3"/>
        </w:rPr>
        <w:t>，主要原因是本年营业收入规模较去年同期增长较多引</w:t>
      </w:r>
      <w:r>
        <w:rPr>
          <w:w w:val="101"/>
        </w:rPr>
        <w:t> </w:t>
      </w:r>
      <w:r>
        <w:rPr>
          <w:spacing w:val="-3"/>
        </w:rPr>
        <w:t>起。</w:t>
      </w:r>
      <w:r>
        <w:rPr>
          <w:rFonts w:ascii="宋体" w:hAnsi="宋体" w:cs="宋体" w:eastAsia="宋体" w:hint="default"/>
        </w:rPr>
        <w:t> </w:t>
      </w:r>
    </w:p>
    <w:p>
      <w:pPr>
        <w:pStyle w:val="BodyText"/>
        <w:spacing w:line="240" w:lineRule="auto" w:before="137"/>
        <w:ind w:left="594" w:right="855"/>
        <w:jc w:val="left"/>
        <w:rPr>
          <w:rFonts w:ascii="宋体" w:hAnsi="宋体" w:cs="宋体" w:eastAsia="宋体" w:hint="default"/>
        </w:rPr>
      </w:pPr>
      <w:r>
        <w:rPr>
          <w:spacing w:val="-3"/>
        </w:rPr>
        <w:t>②预付款项年末数较年初数增加</w:t>
      </w:r>
      <w:r>
        <w:rPr>
          <w:rFonts w:ascii="宋体" w:hAnsi="宋体" w:cs="宋体" w:eastAsia="宋体" w:hint="default"/>
          <w:spacing w:val="-3"/>
        </w:rPr>
        <w:t>21,606,394.42</w:t>
      </w:r>
      <w:r>
        <w:rPr>
          <w:spacing w:val="-3"/>
        </w:rPr>
        <w:t>元，增长</w:t>
      </w:r>
      <w:r>
        <w:rPr>
          <w:rFonts w:ascii="宋体" w:hAnsi="宋体" w:cs="宋体" w:eastAsia="宋体" w:hint="default"/>
          <w:spacing w:val="-3"/>
        </w:rPr>
        <w:t>31.07%</w:t>
      </w:r>
      <w:r>
        <w:rPr>
          <w:spacing w:val="-3"/>
        </w:rPr>
        <w:t>，主要原因是合同订单预付采购款增加；</w:t>
      </w:r>
      <w:r>
        <w:rPr>
          <w:rFonts w:ascii="宋体" w:hAnsi="宋体" w:cs="宋体" w:eastAsia="宋体" w:hint="default"/>
        </w:rPr>
        <w:t> </w:t>
      </w:r>
    </w:p>
    <w:p>
      <w:pPr>
        <w:spacing w:line="240" w:lineRule="auto" w:before="0"/>
        <w:rPr>
          <w:rFonts w:ascii="宋体" w:hAnsi="宋体" w:cs="宋体" w:eastAsia="宋体" w:hint="default"/>
          <w:sz w:val="15"/>
          <w:szCs w:val="15"/>
        </w:rPr>
      </w:pPr>
    </w:p>
    <w:p>
      <w:pPr>
        <w:pStyle w:val="BodyText"/>
        <w:spacing w:line="240" w:lineRule="auto"/>
        <w:ind w:left="594" w:right="855"/>
        <w:jc w:val="left"/>
        <w:rPr>
          <w:rFonts w:ascii="宋体" w:hAnsi="宋体" w:cs="宋体" w:eastAsia="宋体" w:hint="default"/>
        </w:rPr>
      </w:pPr>
      <w:r>
        <w:rPr>
          <w:spacing w:val="-3"/>
        </w:rPr>
        <w:t>③存货年末数较年初数增加</w:t>
      </w:r>
      <w:r>
        <w:rPr>
          <w:rFonts w:ascii="宋体" w:hAnsi="宋体" w:cs="宋体" w:eastAsia="宋体" w:hint="default"/>
          <w:spacing w:val="-3"/>
        </w:rPr>
        <w:t>695,731,697.93</w:t>
      </w:r>
      <w:r>
        <w:rPr>
          <w:spacing w:val="-3"/>
        </w:rPr>
        <w:t>元，增长</w:t>
      </w:r>
      <w:r>
        <w:rPr>
          <w:rFonts w:ascii="宋体" w:hAnsi="宋体" w:cs="宋体" w:eastAsia="宋体" w:hint="default"/>
          <w:spacing w:val="-3"/>
        </w:rPr>
        <w:t>115.15%</w:t>
      </w:r>
      <w:r>
        <w:rPr>
          <w:spacing w:val="-3"/>
        </w:rPr>
        <w:t>，主要原因是执行合同订单库存备货所致。</w:t>
      </w:r>
      <w:r>
        <w:rPr>
          <w:rFonts w:ascii="宋体" w:hAnsi="宋体" w:cs="宋体" w:eastAsia="宋体" w:hint="default"/>
        </w:rPr>
        <w:t> </w:t>
      </w:r>
    </w:p>
    <w:p>
      <w:pPr>
        <w:spacing w:line="240" w:lineRule="auto" w:before="0"/>
        <w:rPr>
          <w:rFonts w:ascii="宋体" w:hAnsi="宋体" w:cs="宋体" w:eastAsia="宋体" w:hint="default"/>
          <w:sz w:val="15"/>
          <w:szCs w:val="15"/>
        </w:rPr>
      </w:pPr>
    </w:p>
    <w:p>
      <w:pPr>
        <w:pStyle w:val="BodyText"/>
        <w:spacing w:line="240" w:lineRule="auto"/>
        <w:ind w:left="594" w:right="855"/>
        <w:jc w:val="left"/>
        <w:rPr>
          <w:rFonts w:ascii="宋体" w:hAnsi="宋体" w:cs="宋体" w:eastAsia="宋体" w:hint="default"/>
        </w:rPr>
      </w:pPr>
      <w:r>
        <w:rPr>
          <w:spacing w:val="-3"/>
        </w:rPr>
        <w:t>④其他流动资产年末数较年初数增加</w:t>
      </w:r>
      <w:r>
        <w:rPr>
          <w:rFonts w:ascii="宋体" w:hAnsi="宋体" w:cs="宋体" w:eastAsia="宋体" w:hint="default"/>
          <w:spacing w:val="-3"/>
        </w:rPr>
        <w:t>8,817,513.32</w:t>
      </w:r>
      <w:r>
        <w:rPr>
          <w:spacing w:val="-3"/>
        </w:rPr>
        <w:t>元，增长</w:t>
      </w:r>
      <w:r>
        <w:rPr>
          <w:rFonts w:ascii="宋体" w:hAnsi="宋体" w:cs="宋体" w:eastAsia="宋体" w:hint="default"/>
          <w:spacing w:val="-3"/>
        </w:rPr>
        <w:t>169.77%</w:t>
      </w:r>
      <w:r>
        <w:rPr>
          <w:spacing w:val="-3"/>
        </w:rPr>
        <w:t>，主要原因是存在待抵扣进项税。</w:t>
      </w:r>
      <w:r>
        <w:rPr>
          <w:rFonts w:ascii="宋体" w:hAnsi="宋体" w:cs="宋体" w:eastAsia="宋体" w:hint="default"/>
        </w:rPr>
        <w:t> </w:t>
      </w:r>
    </w:p>
    <w:p>
      <w:pPr>
        <w:spacing w:line="240" w:lineRule="auto" w:before="1"/>
        <w:rPr>
          <w:rFonts w:ascii="宋体" w:hAnsi="宋体" w:cs="宋体" w:eastAsia="宋体" w:hint="default"/>
          <w:sz w:val="15"/>
          <w:szCs w:val="15"/>
        </w:rPr>
      </w:pPr>
    </w:p>
    <w:p>
      <w:pPr>
        <w:pStyle w:val="BodyText"/>
        <w:spacing w:line="316" w:lineRule="auto"/>
        <w:ind w:right="855" w:firstLine="441"/>
        <w:jc w:val="left"/>
        <w:rPr>
          <w:rFonts w:ascii="宋体" w:hAnsi="宋体" w:cs="宋体" w:eastAsia="宋体" w:hint="default"/>
        </w:rPr>
      </w:pPr>
      <w:r>
        <w:rPr>
          <w:spacing w:val="-4"/>
        </w:rPr>
        <w:t>⑤长期股权投资年末数较年初数减少</w:t>
      </w:r>
      <w:r>
        <w:rPr>
          <w:rFonts w:ascii="宋体" w:hAnsi="宋体" w:cs="宋体" w:eastAsia="宋体" w:hint="default"/>
          <w:spacing w:val="-4"/>
        </w:rPr>
        <w:t>20,967,564.42</w:t>
      </w:r>
      <w:r>
        <w:rPr>
          <w:spacing w:val="-4"/>
        </w:rPr>
        <w:t>元，下降</w:t>
      </w:r>
      <w:r>
        <w:rPr>
          <w:rFonts w:ascii="宋体" w:hAnsi="宋体" w:cs="宋体" w:eastAsia="宋体" w:hint="default"/>
          <w:spacing w:val="-4"/>
        </w:rPr>
        <w:t>38.68%</w:t>
      </w:r>
      <w:r>
        <w:rPr>
          <w:spacing w:val="-4"/>
        </w:rPr>
        <w:t>，主要原因是公司本期处置联营企业云南曲靖珠江</w:t>
      </w:r>
      <w:r>
        <w:rPr>
          <w:w w:val="101"/>
        </w:rPr>
        <w:t> </w:t>
      </w:r>
      <w:r>
        <w:rPr>
          <w:spacing w:val="-3"/>
        </w:rPr>
        <w:t>源科技股份有限公司的股权所致。</w:t>
      </w:r>
      <w:r>
        <w:rPr>
          <w:rFonts w:ascii="宋体" w:hAnsi="宋体" w:cs="宋体" w:eastAsia="宋体" w:hint="default"/>
        </w:rPr>
        <w:t> </w:t>
      </w:r>
    </w:p>
    <w:p>
      <w:pPr>
        <w:pStyle w:val="BodyText"/>
        <w:spacing w:line="240" w:lineRule="auto" w:before="139"/>
        <w:ind w:left="594" w:right="855"/>
        <w:jc w:val="left"/>
        <w:rPr>
          <w:rFonts w:ascii="宋体" w:hAnsi="宋体" w:cs="宋体" w:eastAsia="宋体" w:hint="default"/>
        </w:rPr>
      </w:pPr>
      <w:r>
        <w:rPr>
          <w:w w:val="101"/>
        </w:rPr>
        <w:t>⑥</w:t>
      </w:r>
      <w:r>
        <w:rPr>
          <w:spacing w:val="-5"/>
          <w:w w:val="101"/>
        </w:rPr>
        <w:t>商</w:t>
      </w:r>
      <w:r>
        <w:rPr>
          <w:w w:val="101"/>
        </w:rPr>
        <w:t>誉</w:t>
      </w:r>
      <w:r>
        <w:rPr>
          <w:spacing w:val="-5"/>
          <w:w w:val="101"/>
        </w:rPr>
        <w:t>年</w:t>
      </w:r>
      <w:r>
        <w:rPr>
          <w:w w:val="101"/>
        </w:rPr>
        <w:t>末</w:t>
      </w:r>
      <w:r>
        <w:rPr>
          <w:spacing w:val="-5"/>
          <w:w w:val="101"/>
        </w:rPr>
        <w:t>数</w:t>
      </w:r>
      <w:r>
        <w:rPr>
          <w:w w:val="101"/>
        </w:rPr>
        <w:t>较</w:t>
      </w:r>
      <w:r>
        <w:rPr>
          <w:spacing w:val="-5"/>
          <w:w w:val="101"/>
        </w:rPr>
        <w:t>年</w:t>
      </w:r>
      <w:r>
        <w:rPr>
          <w:w w:val="101"/>
        </w:rPr>
        <w:t>初</w:t>
      </w:r>
      <w:r>
        <w:rPr>
          <w:spacing w:val="-5"/>
          <w:w w:val="101"/>
        </w:rPr>
        <w:t>数</w:t>
      </w:r>
      <w:r>
        <w:rPr>
          <w:w w:val="101"/>
        </w:rPr>
        <w:t>增加</w:t>
      </w:r>
      <w:r>
        <w:rPr>
          <w:rFonts w:ascii="宋体" w:hAnsi="宋体" w:cs="宋体" w:eastAsia="宋体" w:hint="default"/>
          <w:spacing w:val="-5"/>
          <w:w w:val="101"/>
        </w:rPr>
        <w:t>8</w:t>
      </w:r>
      <w:r>
        <w:rPr>
          <w:rFonts w:ascii="宋体" w:hAnsi="宋体" w:cs="宋体" w:eastAsia="宋体" w:hint="default"/>
          <w:w w:val="101"/>
        </w:rPr>
        <w:t>,31</w:t>
      </w:r>
      <w:r>
        <w:rPr>
          <w:rFonts w:ascii="宋体" w:hAnsi="宋体" w:cs="宋体" w:eastAsia="宋体" w:hint="default"/>
          <w:spacing w:val="-5"/>
          <w:w w:val="101"/>
        </w:rPr>
        <w:t>5</w:t>
      </w:r>
      <w:r>
        <w:rPr>
          <w:rFonts w:ascii="宋体" w:hAnsi="宋体" w:cs="宋体" w:eastAsia="宋体" w:hint="default"/>
          <w:w w:val="101"/>
        </w:rPr>
        <w:t>,67</w:t>
      </w:r>
      <w:r>
        <w:rPr>
          <w:rFonts w:ascii="宋体" w:hAnsi="宋体" w:cs="宋体" w:eastAsia="宋体" w:hint="default"/>
          <w:spacing w:val="-5"/>
          <w:w w:val="101"/>
        </w:rPr>
        <w:t>2</w:t>
      </w:r>
      <w:r>
        <w:rPr>
          <w:rFonts w:ascii="宋体" w:hAnsi="宋体" w:cs="宋体" w:eastAsia="宋体" w:hint="default"/>
          <w:w w:val="101"/>
        </w:rPr>
        <w:t>.8</w:t>
      </w:r>
      <w:r>
        <w:rPr>
          <w:spacing w:val="-5"/>
          <w:w w:val="101"/>
        </w:rPr>
        <w:t>元</w:t>
      </w:r>
      <w:r>
        <w:rPr>
          <w:w w:val="101"/>
        </w:rPr>
        <w:t>，</w:t>
      </w:r>
      <w:r>
        <w:rPr>
          <w:spacing w:val="-5"/>
          <w:w w:val="101"/>
        </w:rPr>
        <w:t>增</w:t>
      </w:r>
      <w:r>
        <w:rPr>
          <w:w w:val="101"/>
        </w:rPr>
        <w:t>长</w:t>
      </w:r>
      <w:r>
        <w:rPr>
          <w:rFonts w:ascii="宋体" w:hAnsi="宋体" w:cs="宋体" w:eastAsia="宋体" w:hint="default"/>
          <w:w w:val="101"/>
        </w:rPr>
        <w:t>3</w:t>
      </w:r>
      <w:r>
        <w:rPr>
          <w:rFonts w:ascii="宋体" w:hAnsi="宋体" w:cs="宋体" w:eastAsia="宋体" w:hint="default"/>
          <w:spacing w:val="-5"/>
          <w:w w:val="101"/>
        </w:rPr>
        <w:t>1</w:t>
      </w:r>
      <w:r>
        <w:rPr>
          <w:rFonts w:ascii="宋体" w:hAnsi="宋体" w:cs="宋体" w:eastAsia="宋体" w:hint="default"/>
          <w:w w:val="101"/>
        </w:rPr>
        <w:t>.23</w:t>
      </w:r>
      <w:r>
        <w:rPr>
          <w:rFonts w:ascii="宋体" w:hAnsi="宋体" w:cs="宋体" w:eastAsia="宋体" w:hint="default"/>
          <w:spacing w:val="-5"/>
          <w:w w:val="101"/>
        </w:rPr>
        <w:t>%</w:t>
      </w:r>
      <w:r>
        <w:rPr>
          <w:w w:val="101"/>
        </w:rPr>
        <w:t>，</w:t>
      </w:r>
      <w:r>
        <w:rPr>
          <w:spacing w:val="-5"/>
          <w:w w:val="101"/>
        </w:rPr>
        <w:t>主</w:t>
      </w:r>
      <w:r>
        <w:rPr>
          <w:w w:val="101"/>
        </w:rPr>
        <w:t>要</w:t>
      </w:r>
      <w:r>
        <w:rPr>
          <w:spacing w:val="-5"/>
          <w:w w:val="101"/>
        </w:rPr>
        <w:t>原</w:t>
      </w:r>
      <w:r>
        <w:rPr>
          <w:w w:val="101"/>
        </w:rPr>
        <w:t>因</w:t>
      </w:r>
      <w:r>
        <w:rPr>
          <w:spacing w:val="-5"/>
          <w:w w:val="101"/>
        </w:rPr>
        <w:t>是</w:t>
      </w:r>
      <w:r>
        <w:rPr>
          <w:w w:val="101"/>
        </w:rPr>
        <w:t>本</w:t>
      </w:r>
      <w:r>
        <w:rPr>
          <w:spacing w:val="-5"/>
          <w:w w:val="101"/>
        </w:rPr>
        <w:t>期</w:t>
      </w:r>
      <w:r>
        <w:rPr>
          <w:w w:val="101"/>
        </w:rPr>
        <w:t>合</w:t>
      </w:r>
      <w:r>
        <w:rPr>
          <w:spacing w:val="-5"/>
          <w:w w:val="101"/>
        </w:rPr>
        <w:t>并</w:t>
      </w:r>
      <w:r>
        <w:rPr>
          <w:w w:val="101"/>
        </w:rPr>
        <w:t>广</w:t>
      </w:r>
      <w:r>
        <w:rPr>
          <w:spacing w:val="-5"/>
          <w:w w:val="101"/>
        </w:rPr>
        <w:t>州</w:t>
      </w:r>
      <w:r>
        <w:rPr>
          <w:w w:val="101"/>
        </w:rPr>
        <w:t>市</w:t>
      </w:r>
      <w:r>
        <w:rPr>
          <w:spacing w:val="-5"/>
          <w:w w:val="101"/>
        </w:rPr>
        <w:t>海</w:t>
      </w:r>
      <w:r>
        <w:rPr>
          <w:w w:val="101"/>
        </w:rPr>
        <w:t>捷</w:t>
      </w:r>
      <w:r>
        <w:rPr>
          <w:spacing w:val="-5"/>
          <w:w w:val="101"/>
        </w:rPr>
        <w:t>计</w:t>
      </w:r>
      <w:r>
        <w:rPr>
          <w:w w:val="101"/>
        </w:rPr>
        <w:t>算</w:t>
      </w:r>
      <w:r>
        <w:rPr>
          <w:spacing w:val="-5"/>
          <w:w w:val="101"/>
        </w:rPr>
        <w:t>机</w:t>
      </w:r>
      <w:r>
        <w:rPr>
          <w:w w:val="101"/>
        </w:rPr>
        <w:t>科</w:t>
      </w:r>
      <w:r>
        <w:rPr>
          <w:spacing w:val="-5"/>
          <w:w w:val="101"/>
        </w:rPr>
        <w:t>技</w:t>
      </w:r>
      <w:r>
        <w:rPr>
          <w:w w:val="101"/>
        </w:rPr>
        <w:t>有</w:t>
      </w:r>
      <w:r>
        <w:rPr>
          <w:spacing w:val="-5"/>
          <w:w w:val="101"/>
        </w:rPr>
        <w:t>限</w:t>
      </w:r>
      <w:r>
        <w:rPr>
          <w:w w:val="101"/>
        </w:rPr>
        <w:t>公</w:t>
      </w:r>
      <w:r>
        <w:rPr>
          <w:spacing w:val="-5"/>
          <w:w w:val="101"/>
        </w:rPr>
        <w:t>司</w:t>
      </w:r>
      <w:r>
        <w:rPr>
          <w:w w:val="101"/>
        </w:rPr>
        <w:t>增</w:t>
      </w:r>
      <w:r>
        <w:rPr>
          <w:spacing w:val="-5"/>
          <w:w w:val="101"/>
        </w:rPr>
        <w:t>加</w:t>
      </w:r>
      <w:r>
        <w:rPr>
          <w:spacing w:val="-76"/>
          <w:w w:val="101"/>
        </w:rPr>
        <w:t>。</w:t>
      </w:r>
      <w:r>
        <w:rPr>
          <w:rFonts w:ascii="宋体" w:hAnsi="宋体" w:cs="宋体" w:eastAsia="宋体" w:hint="default"/>
          <w:spacing w:val="-5"/>
          <w:w w:val="101"/>
        </w:rPr>
        <w:t> </w:t>
      </w:r>
      <w:r>
        <w:rPr>
          <w:rFonts w:ascii="宋体" w:hAnsi="宋体" w:cs="宋体" w:eastAsia="宋体" w:hint="default"/>
          <w:w w:val="101"/>
        </w:rPr>
        <w:t> </w:t>
      </w:r>
      <w:r>
        <w:rPr>
          <w:rFonts w:ascii="宋体" w:hAnsi="宋体" w:cs="宋体" w:eastAsia="宋体" w:hint="default"/>
        </w:rPr>
      </w:r>
    </w:p>
    <w:p>
      <w:pPr>
        <w:spacing w:line="240" w:lineRule="auto" w:before="0"/>
        <w:rPr>
          <w:rFonts w:ascii="宋体" w:hAnsi="宋体" w:cs="宋体" w:eastAsia="宋体" w:hint="default"/>
          <w:sz w:val="15"/>
          <w:szCs w:val="15"/>
        </w:rPr>
      </w:pPr>
    </w:p>
    <w:p>
      <w:pPr>
        <w:pStyle w:val="BodyText"/>
        <w:spacing w:line="240" w:lineRule="auto"/>
        <w:ind w:left="594" w:right="855"/>
        <w:jc w:val="left"/>
        <w:rPr>
          <w:rFonts w:ascii="宋体" w:hAnsi="宋体" w:cs="宋体" w:eastAsia="宋体" w:hint="default"/>
        </w:rPr>
      </w:pPr>
      <w:r>
        <w:rPr>
          <w:spacing w:val="-3"/>
        </w:rPr>
        <w:t>⑦长期待摊费用年末数较年初数增加</w:t>
      </w:r>
      <w:r>
        <w:rPr>
          <w:rFonts w:ascii="宋体" w:hAnsi="宋体" w:cs="宋体" w:eastAsia="宋体" w:hint="default"/>
          <w:spacing w:val="-3"/>
        </w:rPr>
        <w:t>19,236,205.93</w:t>
      </w:r>
      <w:r>
        <w:rPr>
          <w:spacing w:val="-3"/>
        </w:rPr>
        <w:t>元，增长</w:t>
      </w:r>
      <w:r>
        <w:rPr>
          <w:rFonts w:ascii="宋体" w:hAnsi="宋体" w:cs="宋体" w:eastAsia="宋体" w:hint="default"/>
          <w:spacing w:val="-3"/>
        </w:rPr>
        <w:t>582.09%</w:t>
      </w:r>
      <w:r>
        <w:rPr>
          <w:spacing w:val="-3"/>
        </w:rPr>
        <w:t>，主要原因是待摊的预付租金增加。</w:t>
      </w:r>
      <w:r>
        <w:rPr>
          <w:rFonts w:ascii="宋体" w:hAnsi="宋体" w:cs="宋体" w:eastAsia="宋体" w:hint="default"/>
        </w:rPr>
        <w:t> </w:t>
      </w:r>
    </w:p>
    <w:p>
      <w:pPr>
        <w:spacing w:line="240" w:lineRule="auto" w:before="1"/>
        <w:rPr>
          <w:rFonts w:ascii="宋体" w:hAnsi="宋体" w:cs="宋体" w:eastAsia="宋体" w:hint="default"/>
          <w:sz w:val="15"/>
          <w:szCs w:val="15"/>
        </w:rPr>
      </w:pPr>
    </w:p>
    <w:p>
      <w:pPr>
        <w:pStyle w:val="BodyText"/>
        <w:spacing w:line="240" w:lineRule="auto"/>
        <w:ind w:left="594" w:right="855"/>
        <w:jc w:val="left"/>
        <w:rPr>
          <w:rFonts w:ascii="宋体" w:hAnsi="宋体" w:cs="宋体" w:eastAsia="宋体" w:hint="default"/>
        </w:rPr>
      </w:pPr>
      <w:r>
        <w:rPr>
          <w:w w:val="101"/>
        </w:rPr>
        <w:t>⑧</w:t>
      </w:r>
      <w:r>
        <w:rPr>
          <w:spacing w:val="-5"/>
          <w:w w:val="101"/>
        </w:rPr>
        <w:t>短</w:t>
      </w:r>
      <w:r>
        <w:rPr>
          <w:w w:val="101"/>
        </w:rPr>
        <w:t>期</w:t>
      </w:r>
      <w:r>
        <w:rPr>
          <w:spacing w:val="-5"/>
          <w:w w:val="101"/>
        </w:rPr>
        <w:t>借</w:t>
      </w:r>
      <w:r>
        <w:rPr>
          <w:w w:val="101"/>
        </w:rPr>
        <w:t>款</w:t>
      </w:r>
      <w:r>
        <w:rPr>
          <w:spacing w:val="-5"/>
          <w:w w:val="101"/>
        </w:rPr>
        <w:t>年</w:t>
      </w:r>
      <w:r>
        <w:rPr>
          <w:w w:val="101"/>
        </w:rPr>
        <w:t>末</w:t>
      </w:r>
      <w:r>
        <w:rPr>
          <w:spacing w:val="-5"/>
          <w:w w:val="101"/>
        </w:rPr>
        <w:t>数</w:t>
      </w:r>
      <w:r>
        <w:rPr>
          <w:w w:val="101"/>
        </w:rPr>
        <w:t>较</w:t>
      </w:r>
      <w:r>
        <w:rPr>
          <w:spacing w:val="-5"/>
          <w:w w:val="101"/>
        </w:rPr>
        <w:t>年</w:t>
      </w:r>
      <w:r>
        <w:rPr>
          <w:w w:val="101"/>
        </w:rPr>
        <w:t>初</w:t>
      </w:r>
      <w:r>
        <w:rPr>
          <w:spacing w:val="-5"/>
          <w:w w:val="101"/>
        </w:rPr>
        <w:t>数</w:t>
      </w:r>
      <w:r>
        <w:rPr>
          <w:w w:val="101"/>
        </w:rPr>
        <w:t>增</w:t>
      </w:r>
      <w:r>
        <w:rPr>
          <w:spacing w:val="1"/>
          <w:w w:val="101"/>
        </w:rPr>
        <w:t>加</w:t>
      </w:r>
      <w:r>
        <w:rPr>
          <w:rFonts w:ascii="宋体" w:hAnsi="宋体" w:cs="宋体" w:eastAsia="宋体" w:hint="default"/>
          <w:spacing w:val="-5"/>
          <w:w w:val="101"/>
        </w:rPr>
        <w:t>2</w:t>
      </w:r>
      <w:r>
        <w:rPr>
          <w:rFonts w:ascii="宋体" w:hAnsi="宋体" w:cs="宋体" w:eastAsia="宋体" w:hint="default"/>
          <w:w w:val="101"/>
        </w:rPr>
        <w:t>86,</w:t>
      </w:r>
      <w:r>
        <w:rPr>
          <w:rFonts w:ascii="宋体" w:hAnsi="宋体" w:cs="宋体" w:eastAsia="宋体" w:hint="default"/>
          <w:spacing w:val="-5"/>
          <w:w w:val="101"/>
        </w:rPr>
        <w:t>6</w:t>
      </w:r>
      <w:r>
        <w:rPr>
          <w:rFonts w:ascii="宋体" w:hAnsi="宋体" w:cs="宋体" w:eastAsia="宋体" w:hint="default"/>
          <w:w w:val="101"/>
        </w:rPr>
        <w:t>05,</w:t>
      </w:r>
      <w:r>
        <w:rPr>
          <w:rFonts w:ascii="宋体" w:hAnsi="宋体" w:cs="宋体" w:eastAsia="宋体" w:hint="default"/>
          <w:spacing w:val="-5"/>
          <w:w w:val="101"/>
        </w:rPr>
        <w:t>5</w:t>
      </w:r>
      <w:r>
        <w:rPr>
          <w:rFonts w:ascii="宋体" w:hAnsi="宋体" w:cs="宋体" w:eastAsia="宋体" w:hint="default"/>
          <w:w w:val="101"/>
        </w:rPr>
        <w:t>67.</w:t>
      </w:r>
      <w:r>
        <w:rPr>
          <w:rFonts w:ascii="宋体" w:hAnsi="宋体" w:cs="宋体" w:eastAsia="宋体" w:hint="default"/>
          <w:spacing w:val="-5"/>
          <w:w w:val="101"/>
        </w:rPr>
        <w:t>1</w:t>
      </w:r>
      <w:r>
        <w:rPr>
          <w:w w:val="101"/>
        </w:rPr>
        <w:t>元</w:t>
      </w:r>
      <w:r>
        <w:rPr>
          <w:spacing w:val="-87"/>
          <w:w w:val="101"/>
        </w:rPr>
        <w:t>，</w:t>
      </w:r>
      <w:r>
        <w:rPr>
          <w:w w:val="101"/>
        </w:rPr>
        <w:t>增</w:t>
      </w:r>
      <w:r>
        <w:rPr>
          <w:spacing w:val="-5"/>
          <w:w w:val="101"/>
        </w:rPr>
        <w:t>长</w:t>
      </w:r>
      <w:r>
        <w:rPr>
          <w:rFonts w:ascii="宋体" w:hAnsi="宋体" w:cs="宋体" w:eastAsia="宋体" w:hint="default"/>
          <w:w w:val="101"/>
        </w:rPr>
        <w:t>70.</w:t>
      </w:r>
      <w:r>
        <w:rPr>
          <w:rFonts w:ascii="宋体" w:hAnsi="宋体" w:cs="宋体" w:eastAsia="宋体" w:hint="default"/>
          <w:spacing w:val="-5"/>
          <w:w w:val="101"/>
        </w:rPr>
        <w:t>6</w:t>
      </w:r>
      <w:r>
        <w:rPr>
          <w:rFonts w:ascii="宋体" w:hAnsi="宋体" w:cs="宋体" w:eastAsia="宋体" w:hint="default"/>
          <w:w w:val="101"/>
        </w:rPr>
        <w:t>7</w:t>
      </w:r>
      <w:r>
        <w:rPr>
          <w:rFonts w:ascii="宋体" w:hAnsi="宋体" w:cs="宋体" w:eastAsia="宋体" w:hint="default"/>
          <w:spacing w:val="-5"/>
          <w:w w:val="101"/>
        </w:rPr>
        <w:t>%</w:t>
      </w:r>
      <w:r>
        <w:rPr>
          <w:spacing w:val="-82"/>
          <w:w w:val="101"/>
        </w:rPr>
        <w:t>，</w:t>
      </w:r>
      <w:r>
        <w:rPr>
          <w:w w:val="101"/>
        </w:rPr>
        <w:t>主</w:t>
      </w:r>
      <w:r>
        <w:rPr>
          <w:spacing w:val="-5"/>
          <w:w w:val="101"/>
        </w:rPr>
        <w:t>要</w:t>
      </w:r>
      <w:r>
        <w:rPr>
          <w:w w:val="101"/>
        </w:rPr>
        <w:t>原</w:t>
      </w:r>
      <w:r>
        <w:rPr>
          <w:spacing w:val="-5"/>
          <w:w w:val="101"/>
        </w:rPr>
        <w:t>因</w:t>
      </w:r>
      <w:r>
        <w:rPr>
          <w:w w:val="101"/>
        </w:rPr>
        <w:t>是</w:t>
      </w:r>
      <w:r>
        <w:rPr>
          <w:spacing w:val="-5"/>
          <w:w w:val="101"/>
        </w:rPr>
        <w:t>本</w:t>
      </w:r>
      <w:r>
        <w:rPr>
          <w:w w:val="101"/>
        </w:rPr>
        <w:t>期</w:t>
      </w:r>
      <w:r>
        <w:rPr>
          <w:spacing w:val="-5"/>
          <w:w w:val="101"/>
        </w:rPr>
        <w:t>执</w:t>
      </w:r>
      <w:r>
        <w:rPr>
          <w:w w:val="101"/>
        </w:rPr>
        <w:t>行</w:t>
      </w:r>
      <w:r>
        <w:rPr>
          <w:spacing w:val="-5"/>
          <w:w w:val="101"/>
        </w:rPr>
        <w:t>合</w:t>
      </w:r>
      <w:r>
        <w:rPr>
          <w:w w:val="101"/>
        </w:rPr>
        <w:t>同</w:t>
      </w:r>
      <w:r>
        <w:rPr>
          <w:spacing w:val="-5"/>
          <w:w w:val="101"/>
        </w:rPr>
        <w:t>资</w:t>
      </w:r>
      <w:r>
        <w:rPr>
          <w:w w:val="101"/>
        </w:rPr>
        <w:t>金</w:t>
      </w:r>
      <w:r>
        <w:rPr>
          <w:spacing w:val="-5"/>
          <w:w w:val="101"/>
        </w:rPr>
        <w:t>需</w:t>
      </w:r>
      <w:r>
        <w:rPr>
          <w:w w:val="101"/>
        </w:rPr>
        <w:t>要</w:t>
      </w:r>
      <w:r>
        <w:rPr>
          <w:spacing w:val="-5"/>
          <w:w w:val="101"/>
        </w:rPr>
        <w:t>导</w:t>
      </w:r>
      <w:r>
        <w:rPr>
          <w:w w:val="101"/>
        </w:rPr>
        <w:t>致</w:t>
      </w:r>
      <w:r>
        <w:rPr>
          <w:spacing w:val="-5"/>
          <w:w w:val="101"/>
        </w:rPr>
        <w:t>信</w:t>
      </w:r>
      <w:r>
        <w:rPr>
          <w:w w:val="101"/>
        </w:rPr>
        <w:t>用</w:t>
      </w:r>
      <w:r>
        <w:rPr>
          <w:spacing w:val="-5"/>
          <w:w w:val="101"/>
        </w:rPr>
        <w:t>贷款</w:t>
      </w:r>
      <w:r>
        <w:rPr>
          <w:w w:val="101"/>
        </w:rPr>
        <w:t>增加</w:t>
      </w:r>
      <w:r>
        <w:rPr>
          <w:spacing w:val="-96"/>
          <w:w w:val="101"/>
        </w:rPr>
        <w:t>。</w:t>
      </w:r>
      <w:r>
        <w:rPr>
          <w:rFonts w:ascii="宋体" w:hAnsi="宋体" w:cs="宋体" w:eastAsia="宋体" w:hint="default"/>
          <w:w w:val="101"/>
        </w:rPr>
        <w:t> </w:t>
      </w:r>
      <w:r>
        <w:rPr>
          <w:rFonts w:ascii="宋体" w:hAnsi="宋体" w:cs="宋体" w:eastAsia="宋体" w:hint="default"/>
        </w:rPr>
      </w:r>
    </w:p>
    <w:p>
      <w:pPr>
        <w:spacing w:line="240" w:lineRule="auto" w:before="0"/>
        <w:rPr>
          <w:rFonts w:ascii="宋体" w:hAnsi="宋体" w:cs="宋体" w:eastAsia="宋体" w:hint="default"/>
          <w:sz w:val="15"/>
          <w:szCs w:val="15"/>
        </w:rPr>
      </w:pPr>
    </w:p>
    <w:p>
      <w:pPr>
        <w:pStyle w:val="BodyText"/>
        <w:spacing w:line="316" w:lineRule="auto"/>
        <w:ind w:right="1128" w:firstLine="441"/>
        <w:jc w:val="left"/>
        <w:rPr>
          <w:rFonts w:ascii="宋体" w:hAnsi="宋体" w:cs="宋体" w:eastAsia="宋体" w:hint="default"/>
        </w:rPr>
      </w:pPr>
      <w:r>
        <w:rPr>
          <w:spacing w:val="-3"/>
        </w:rPr>
        <w:t>⑨应付账款年末数较年初数增加</w:t>
      </w:r>
      <w:r>
        <w:rPr>
          <w:rFonts w:ascii="宋体" w:hAnsi="宋体" w:cs="宋体" w:eastAsia="宋体" w:hint="default"/>
          <w:spacing w:val="-3"/>
        </w:rPr>
        <w:t>241,796,153.29</w:t>
      </w:r>
      <w:r>
        <w:rPr>
          <w:spacing w:val="-3"/>
        </w:rPr>
        <w:t>元，增长</w:t>
      </w:r>
      <w:r>
        <w:rPr>
          <w:rFonts w:ascii="宋体" w:hAnsi="宋体" w:cs="宋体" w:eastAsia="宋体" w:hint="default"/>
          <w:spacing w:val="-3"/>
        </w:rPr>
        <w:t>57.49%</w:t>
      </w:r>
      <w:r>
        <w:rPr>
          <w:spacing w:val="-3"/>
        </w:rPr>
        <w:t>，主要原因是合同采购正常商业信用期应付采购款增</w:t>
      </w:r>
      <w:r>
        <w:rPr>
          <w:w w:val="101"/>
        </w:rPr>
        <w:t> </w:t>
      </w:r>
      <w:r>
        <w:rPr>
          <w:spacing w:val="-3"/>
        </w:rPr>
        <w:t>加。</w:t>
      </w:r>
      <w:r>
        <w:rPr>
          <w:rFonts w:ascii="宋体" w:hAnsi="宋体" w:cs="宋体" w:eastAsia="宋体" w:hint="default"/>
        </w:rPr>
        <w:t> </w:t>
      </w:r>
    </w:p>
    <w:p>
      <w:pPr>
        <w:pStyle w:val="BodyText"/>
        <w:spacing w:line="159" w:lineRule="exact" w:before="139"/>
        <w:ind w:left="594" w:right="855"/>
        <w:jc w:val="left"/>
        <w:rPr>
          <w:rFonts w:ascii="宋体" w:hAnsi="宋体" w:cs="宋体" w:eastAsia="宋体" w:hint="default"/>
        </w:rPr>
      </w:pPr>
      <w:r>
        <w:rPr>
          <w:spacing w:val="-3"/>
        </w:rPr>
        <w:t>⑩预收账款年末数较年初数增加</w:t>
      </w:r>
      <w:r>
        <w:rPr>
          <w:rFonts w:ascii="宋体" w:hAnsi="宋体" w:cs="宋体" w:eastAsia="宋体" w:hint="default"/>
          <w:spacing w:val="-3"/>
        </w:rPr>
        <w:t>327,229,905.97</w:t>
      </w:r>
      <w:r>
        <w:rPr>
          <w:spacing w:val="-3"/>
        </w:rPr>
        <w:t>元，增加</w:t>
      </w:r>
      <w:r>
        <w:rPr>
          <w:rFonts w:ascii="宋体" w:hAnsi="宋体" w:cs="宋体" w:eastAsia="宋体" w:hint="default"/>
          <w:spacing w:val="-3"/>
        </w:rPr>
        <w:t>187.86%</w:t>
      </w:r>
      <w:r>
        <w:rPr>
          <w:spacing w:val="-3"/>
        </w:rPr>
        <w:t>，主要原因是客户支付合同预付款增加。</w:t>
      </w:r>
      <w:r>
        <w:rPr>
          <w:rFonts w:ascii="宋体" w:hAnsi="宋体" w:cs="宋体" w:eastAsia="宋体" w:hint="default"/>
        </w:rPr>
        <w:t> </w:t>
      </w:r>
    </w:p>
    <w:p>
      <w:pPr>
        <w:pStyle w:val="BodyText"/>
        <w:spacing w:line="158" w:lineRule="auto" w:before="113"/>
        <w:ind w:right="855" w:firstLine="441"/>
        <w:jc w:val="left"/>
        <w:rPr>
          <w:rFonts w:ascii="宋体" w:hAnsi="宋体" w:cs="宋体" w:eastAsia="宋体" w:hint="default"/>
        </w:rPr>
      </w:pPr>
      <w:r>
        <w:rPr>
          <w:rFonts w:ascii="Cambria Math" w:hAnsi="Cambria Math" w:cs="Cambria Math" w:eastAsia="Cambria Math" w:hint="default"/>
          <w:spacing w:val="-3"/>
        </w:rPr>
        <w:t>⑪</w:t>
      </w:r>
      <w:r>
        <w:rPr>
          <w:spacing w:val="-3"/>
        </w:rPr>
        <w:t>应交税费年末数较年初数减少</w:t>
      </w:r>
      <w:r>
        <w:rPr>
          <w:rFonts w:ascii="宋体" w:hAnsi="宋体" w:cs="宋体" w:eastAsia="宋体" w:hint="default"/>
          <w:spacing w:val="-3"/>
        </w:rPr>
        <w:t>19274481.79</w:t>
      </w:r>
      <w:r>
        <w:rPr>
          <w:spacing w:val="-3"/>
        </w:rPr>
        <w:t>元，下降</w:t>
      </w:r>
      <w:r>
        <w:rPr>
          <w:rFonts w:ascii="宋体" w:hAnsi="宋体" w:cs="宋体" w:eastAsia="宋体" w:hint="default"/>
          <w:spacing w:val="-3"/>
        </w:rPr>
        <w:t>22.83%</w:t>
      </w:r>
      <w:r>
        <w:rPr>
          <w:spacing w:val="-3"/>
        </w:rPr>
        <w:t>，主要原因是年初缴纳出售云南医药工业股份有限公司</w:t>
      </w:r>
      <w:r>
        <w:rPr>
          <w:w w:val="101"/>
        </w:rPr>
        <w:t> </w:t>
      </w:r>
      <w:r>
        <w:rPr>
          <w:spacing w:val="-3"/>
        </w:rPr>
        <w:t>相关税金。</w:t>
      </w:r>
      <w:r>
        <w:rPr>
          <w:rFonts w:ascii="宋体" w:hAnsi="宋体" w:cs="宋体" w:eastAsia="宋体" w:hint="default"/>
        </w:rPr>
        <w:t> </w:t>
      </w:r>
    </w:p>
    <w:p>
      <w:pPr>
        <w:pStyle w:val="BodyText"/>
        <w:spacing w:line="572" w:lineRule="exact"/>
        <w:ind w:left="594" w:right="855"/>
        <w:jc w:val="left"/>
        <w:rPr>
          <w:rFonts w:ascii="宋体" w:hAnsi="宋体" w:cs="宋体" w:eastAsia="宋体" w:hint="default"/>
        </w:rPr>
      </w:pPr>
      <w:r>
        <w:rPr>
          <w:rFonts w:ascii="Cambria Math" w:hAnsi="Cambria Math" w:cs="Cambria Math" w:eastAsia="Cambria Math" w:hint="default"/>
          <w:spacing w:val="-3"/>
        </w:rPr>
        <w:t>⑫</w:t>
      </w:r>
      <w:r>
        <w:rPr>
          <w:spacing w:val="-3"/>
        </w:rPr>
        <w:t>其他应付款年末数较年初数减少</w:t>
      </w:r>
      <w:r>
        <w:rPr>
          <w:rFonts w:ascii="宋体" w:hAnsi="宋体" w:cs="宋体" w:eastAsia="宋体" w:hint="default"/>
          <w:spacing w:val="-3"/>
        </w:rPr>
        <w:t>4,129,732.54</w:t>
      </w:r>
      <w:r>
        <w:rPr>
          <w:spacing w:val="-3"/>
        </w:rPr>
        <w:t>元，下降</w:t>
      </w:r>
      <w:r>
        <w:rPr>
          <w:rFonts w:ascii="宋体" w:hAnsi="宋体" w:cs="宋体" w:eastAsia="宋体" w:hint="default"/>
          <w:spacing w:val="-3"/>
        </w:rPr>
        <w:t>28.78%</w:t>
      </w:r>
      <w:r>
        <w:rPr>
          <w:spacing w:val="-3"/>
        </w:rPr>
        <w:t>，主要原因是部分押金和保证金在本年度支付导致。</w:t>
      </w:r>
      <w:r>
        <w:rPr>
          <w:rFonts w:ascii="宋体" w:hAnsi="宋体" w:cs="宋体" w:eastAsia="宋体" w:hint="default"/>
        </w:rPr>
        <w:t> </w:t>
      </w:r>
    </w:p>
    <w:p>
      <w:pPr>
        <w:pStyle w:val="BodyText"/>
        <w:spacing w:line="495" w:lineRule="exact"/>
        <w:ind w:left="594" w:right="855"/>
        <w:jc w:val="left"/>
        <w:rPr>
          <w:rFonts w:ascii="宋体" w:hAnsi="宋体" w:cs="宋体" w:eastAsia="宋体" w:hint="default"/>
        </w:rPr>
      </w:pPr>
      <w:r>
        <w:rPr>
          <w:rFonts w:ascii="Cambria Math" w:hAnsi="Cambria Math" w:cs="Cambria Math" w:eastAsia="Cambria Math" w:hint="default"/>
          <w:spacing w:val="-3"/>
        </w:rPr>
        <w:t>⑬</w:t>
      </w:r>
      <w:r>
        <w:rPr>
          <w:spacing w:val="-3"/>
        </w:rPr>
        <w:t>实收资本年末数较年初数增加</w:t>
      </w:r>
      <w:r>
        <w:rPr>
          <w:rFonts w:ascii="宋体" w:hAnsi="宋体" w:cs="宋体" w:eastAsia="宋体" w:hint="default"/>
          <w:spacing w:val="-3"/>
        </w:rPr>
        <w:t>73,981,813.00</w:t>
      </w:r>
      <w:r>
        <w:rPr>
          <w:spacing w:val="-3"/>
        </w:rPr>
        <w:t>元，增长</w:t>
      </w:r>
      <w:r>
        <w:rPr>
          <w:rFonts w:ascii="宋体" w:hAnsi="宋体" w:cs="宋体" w:eastAsia="宋体" w:hint="default"/>
          <w:spacing w:val="-3"/>
        </w:rPr>
        <w:t>30%</w:t>
      </w:r>
      <w:r>
        <w:rPr>
          <w:spacing w:val="-3"/>
        </w:rPr>
        <w:t>，主要原因是进行资本公积金转增股本，向全体股东每</w:t>
      </w:r>
      <w:r>
        <w:rPr>
          <w:rFonts w:ascii="宋体" w:hAnsi="宋体" w:cs="宋体" w:eastAsia="宋体" w:hint="default"/>
          <w:spacing w:val="-3"/>
        </w:rPr>
        <w:t>10</w:t>
      </w:r>
    </w:p>
    <w:p>
      <w:pPr>
        <w:pStyle w:val="BodyText"/>
        <w:spacing w:line="40" w:lineRule="exact"/>
        <w:ind w:right="855"/>
        <w:jc w:val="left"/>
        <w:rPr>
          <w:rFonts w:ascii="宋体" w:hAnsi="宋体" w:cs="宋体" w:eastAsia="宋体" w:hint="default"/>
        </w:rPr>
      </w:pPr>
      <w:r>
        <w:rPr/>
        <w:t>股转增</w:t>
      </w:r>
      <w:r>
        <w:rPr>
          <w:rFonts w:ascii="宋体" w:hAnsi="宋体" w:cs="宋体" w:eastAsia="宋体" w:hint="default"/>
        </w:rPr>
        <w:t>3</w:t>
      </w:r>
      <w:r>
        <w:rPr/>
        <w:t>股，合计转增股本</w:t>
      </w:r>
      <w:r>
        <w:rPr>
          <w:rFonts w:ascii="宋体" w:hAnsi="宋体" w:cs="宋体" w:eastAsia="宋体" w:hint="default"/>
        </w:rPr>
        <w:t>73,981,813.00</w:t>
      </w:r>
      <w:r>
        <w:rPr/>
        <w:t>股。</w:t>
      </w:r>
      <w:r>
        <w:rPr>
          <w:rFonts w:ascii="宋体" w:hAnsi="宋体" w:cs="宋体" w:eastAsia="宋体" w:hint="default"/>
        </w:rPr>
        <w:t> </w:t>
      </w:r>
    </w:p>
    <w:p>
      <w:pPr>
        <w:pStyle w:val="BodyText"/>
        <w:spacing w:line="816" w:lineRule="exact"/>
        <w:ind w:left="594" w:right="855"/>
        <w:jc w:val="left"/>
        <w:rPr>
          <w:rFonts w:ascii="宋体" w:hAnsi="宋体" w:cs="宋体" w:eastAsia="宋体" w:hint="default"/>
        </w:rPr>
      </w:pPr>
      <w:r>
        <w:rPr>
          <w:rFonts w:ascii="Cambria Math" w:hAnsi="Cambria Math" w:cs="Cambria Math" w:eastAsia="Cambria Math" w:hint="default"/>
          <w:spacing w:val="-3"/>
        </w:rPr>
        <w:t>⑭</w:t>
      </w:r>
      <w:r>
        <w:rPr>
          <w:spacing w:val="-3"/>
        </w:rPr>
        <w:t>专项储备本年末数较年初数减少</w:t>
      </w:r>
      <w:r>
        <w:rPr>
          <w:rFonts w:ascii="宋体" w:hAnsi="宋体" w:cs="宋体" w:eastAsia="宋体" w:hint="default"/>
          <w:spacing w:val="-3"/>
        </w:rPr>
        <w:t>1,381,606.74</w:t>
      </w:r>
      <w:r>
        <w:rPr>
          <w:spacing w:val="-3"/>
        </w:rPr>
        <w:t>元，下降</w:t>
      </w:r>
      <w:r>
        <w:rPr>
          <w:rFonts w:ascii="宋体" w:hAnsi="宋体" w:cs="宋体" w:eastAsia="宋体" w:hint="default"/>
          <w:spacing w:val="-3"/>
        </w:rPr>
        <w:t>100%</w:t>
      </w:r>
      <w:r>
        <w:rPr>
          <w:spacing w:val="-3"/>
        </w:rPr>
        <w:t>，主要原因是安全生产费转回所致。</w:t>
      </w:r>
      <w:r>
        <w:rPr>
          <w:rFonts w:ascii="宋体" w:hAnsi="宋体" w:cs="宋体" w:eastAsia="宋体" w:hint="default"/>
        </w:rPr>
        <w:t> </w:t>
      </w:r>
    </w:p>
    <w:p>
      <w:pPr>
        <w:pStyle w:val="Heading6"/>
        <w:spacing w:line="125" w:lineRule="exact"/>
        <w:ind w:left="594" w:right="855"/>
        <w:jc w:val="left"/>
        <w:rPr>
          <w:rFonts w:ascii="宋体" w:hAnsi="宋体" w:cs="宋体" w:eastAsia="宋体" w:hint="default"/>
          <w:b w:val="0"/>
          <w:bCs w:val="0"/>
        </w:rPr>
      </w:pPr>
      <w:r>
        <w:rPr/>
        <w:t>（</w:t>
      </w:r>
      <w:r>
        <w:rPr>
          <w:rFonts w:ascii="宋体" w:hAnsi="宋体" w:cs="宋体" w:eastAsia="宋体" w:hint="default"/>
        </w:rPr>
        <w:t>2</w:t>
      </w:r>
      <w:r>
        <w:rPr/>
        <w:t>）利润表、现金流量表项目：</w:t>
      </w:r>
      <w:r>
        <w:rPr>
          <w:rFonts w:ascii="宋体" w:hAnsi="宋体" w:cs="宋体" w:eastAsia="宋体" w:hint="default"/>
          <w:w w:val="100"/>
        </w:rPr>
        <w:t> </w:t>
      </w:r>
      <w:r>
        <w:rPr>
          <w:rFonts w:ascii="宋体" w:hAnsi="宋体" w:cs="宋体" w:eastAsia="宋体" w:hint="default"/>
          <w:b w:val="0"/>
          <w:bCs w:val="0"/>
          <w:w w:val="100"/>
        </w:rPr>
      </w:r>
    </w:p>
    <w:p>
      <w:pPr>
        <w:spacing w:line="240" w:lineRule="auto" w:before="0"/>
        <w:rPr>
          <w:rFonts w:ascii="宋体" w:hAnsi="宋体" w:cs="宋体" w:eastAsia="宋体" w:hint="default"/>
          <w:b/>
          <w:bCs/>
          <w:sz w:val="15"/>
          <w:szCs w:val="15"/>
        </w:rPr>
      </w:pPr>
    </w:p>
    <w:p>
      <w:pPr>
        <w:pStyle w:val="BodyText"/>
        <w:spacing w:line="240" w:lineRule="auto"/>
        <w:ind w:left="594" w:right="855"/>
        <w:jc w:val="left"/>
        <w:rPr>
          <w:rFonts w:ascii="宋体" w:hAnsi="宋体" w:cs="宋体" w:eastAsia="宋体" w:hint="default"/>
        </w:rPr>
      </w:pPr>
      <w:r>
        <w:rPr>
          <w:spacing w:val="-3"/>
        </w:rPr>
        <w:t>①其他收益本年数较上年数减少</w:t>
      </w:r>
      <w:r>
        <w:rPr>
          <w:rFonts w:ascii="宋体" w:hAnsi="宋体" w:cs="宋体" w:eastAsia="宋体" w:hint="default"/>
          <w:spacing w:val="-3"/>
        </w:rPr>
        <w:t>6,519,274.31</w:t>
      </w:r>
      <w:r>
        <w:rPr>
          <w:spacing w:val="-3"/>
        </w:rPr>
        <w:t>元，下降</w:t>
      </w:r>
      <w:r>
        <w:rPr>
          <w:rFonts w:ascii="宋体" w:hAnsi="宋体" w:cs="宋体" w:eastAsia="宋体" w:hint="default"/>
          <w:spacing w:val="-3"/>
        </w:rPr>
        <w:t>30.55%</w:t>
      </w:r>
      <w:r>
        <w:rPr>
          <w:spacing w:val="-3"/>
        </w:rPr>
        <w:t>，主要原因是本期收到的政府补助减少。</w:t>
      </w:r>
      <w:r>
        <w:rPr>
          <w:rFonts w:ascii="宋体" w:hAnsi="宋体" w:cs="宋体" w:eastAsia="宋体" w:hint="default"/>
        </w:rPr>
        <w:t> </w:t>
      </w:r>
    </w:p>
    <w:p>
      <w:pPr>
        <w:spacing w:line="240" w:lineRule="auto" w:before="1"/>
        <w:rPr>
          <w:rFonts w:ascii="宋体" w:hAnsi="宋体" w:cs="宋体" w:eastAsia="宋体" w:hint="default"/>
          <w:sz w:val="15"/>
          <w:szCs w:val="15"/>
        </w:rPr>
      </w:pPr>
    </w:p>
    <w:p>
      <w:pPr>
        <w:pStyle w:val="BodyText"/>
        <w:spacing w:line="316" w:lineRule="auto"/>
        <w:ind w:right="1128" w:firstLine="441"/>
        <w:jc w:val="left"/>
        <w:rPr>
          <w:rFonts w:ascii="宋体" w:hAnsi="宋体" w:cs="宋体" w:eastAsia="宋体" w:hint="default"/>
        </w:rPr>
      </w:pPr>
      <w:r>
        <w:rPr>
          <w:spacing w:val="-4"/>
        </w:rPr>
        <w:t>②投资收益本年数较上年数减少</w:t>
      </w:r>
      <w:r>
        <w:rPr>
          <w:rFonts w:ascii="宋体" w:hAnsi="宋体" w:cs="宋体" w:eastAsia="宋体" w:hint="default"/>
          <w:spacing w:val="-4"/>
        </w:rPr>
        <w:t>80,716,697.26</w:t>
      </w:r>
      <w:r>
        <w:rPr>
          <w:spacing w:val="-4"/>
        </w:rPr>
        <w:t>元，下降</w:t>
      </w:r>
      <w:r>
        <w:rPr>
          <w:rFonts w:ascii="宋体" w:hAnsi="宋体" w:cs="宋体" w:eastAsia="宋体" w:hint="default"/>
          <w:spacing w:val="-4"/>
        </w:rPr>
        <w:t>93.01%</w:t>
      </w:r>
      <w:r>
        <w:rPr>
          <w:spacing w:val="-4"/>
        </w:rPr>
        <w:t>，主要原因是上期出售云南医药工业股份有限公司的股</w:t>
      </w:r>
      <w:r>
        <w:rPr>
          <w:w w:val="101"/>
        </w:rPr>
        <w:t> </w:t>
      </w:r>
      <w:r>
        <w:rPr>
          <w:spacing w:val="-3"/>
        </w:rPr>
        <w:t>权。</w:t>
      </w:r>
      <w:r>
        <w:rPr>
          <w:rFonts w:ascii="宋体" w:hAnsi="宋体" w:cs="宋体" w:eastAsia="宋体" w:hint="default"/>
        </w:rPr>
        <w:t> </w:t>
      </w:r>
    </w:p>
    <w:p>
      <w:pPr>
        <w:pStyle w:val="BodyText"/>
        <w:spacing w:line="316" w:lineRule="auto" w:before="139"/>
        <w:ind w:right="855" w:firstLine="441"/>
        <w:jc w:val="left"/>
        <w:rPr>
          <w:rFonts w:ascii="宋体" w:hAnsi="宋体" w:cs="宋体" w:eastAsia="宋体" w:hint="default"/>
        </w:rPr>
      </w:pPr>
      <w:r>
        <w:rPr>
          <w:spacing w:val="-3"/>
        </w:rPr>
        <w:t>③信用减值损失本年数较上年数增加</w:t>
      </w:r>
      <w:r>
        <w:rPr>
          <w:rFonts w:ascii="宋体" w:hAnsi="宋体" w:cs="宋体" w:eastAsia="宋体" w:hint="default"/>
          <w:spacing w:val="-3"/>
        </w:rPr>
        <w:t>24,608,131.31</w:t>
      </w:r>
      <w:r>
        <w:rPr>
          <w:spacing w:val="-3"/>
        </w:rPr>
        <w:t>元，去年同期为</w:t>
      </w:r>
      <w:r>
        <w:rPr>
          <w:rFonts w:ascii="宋体" w:hAnsi="宋体" w:cs="宋体" w:eastAsia="宋体" w:hint="default"/>
          <w:spacing w:val="-3"/>
        </w:rPr>
        <w:t>0</w:t>
      </w:r>
      <w:r>
        <w:rPr>
          <w:spacing w:val="-3"/>
        </w:rPr>
        <w:t>，主要原因是本期报表应收账款、预付账款、其</w:t>
      </w:r>
      <w:r>
        <w:rPr>
          <w:w w:val="101"/>
        </w:rPr>
        <w:t> </w:t>
      </w:r>
      <w:r>
        <w:rPr>
          <w:spacing w:val="-3"/>
        </w:rPr>
        <w:t>他应收款减值损失在信用减值损失单独列示。</w:t>
      </w:r>
      <w:r>
        <w:rPr>
          <w:rFonts w:ascii="宋体" w:hAnsi="宋体" w:cs="宋体" w:eastAsia="宋体" w:hint="default"/>
        </w:rPr>
        <w:t> </w:t>
      </w:r>
    </w:p>
    <w:p>
      <w:pPr>
        <w:pStyle w:val="BodyText"/>
        <w:spacing w:line="240" w:lineRule="auto" w:before="139"/>
        <w:ind w:left="594" w:right="855"/>
        <w:jc w:val="left"/>
        <w:rPr>
          <w:rFonts w:ascii="宋体" w:hAnsi="宋体" w:cs="宋体" w:eastAsia="宋体" w:hint="default"/>
        </w:rPr>
      </w:pPr>
      <w:r>
        <w:rPr>
          <w:spacing w:val="-3"/>
        </w:rPr>
        <w:t>④营业外收入本年数较上年数减少</w:t>
      </w:r>
      <w:r>
        <w:rPr>
          <w:rFonts w:ascii="宋体" w:hAnsi="宋体" w:cs="宋体" w:eastAsia="宋体" w:hint="default"/>
          <w:spacing w:val="-3"/>
        </w:rPr>
        <w:t>1,627,372.18</w:t>
      </w:r>
      <w:r>
        <w:rPr>
          <w:spacing w:val="-3"/>
        </w:rPr>
        <w:t>元，下降</w:t>
      </w:r>
      <w:r>
        <w:rPr>
          <w:rFonts w:ascii="宋体" w:hAnsi="宋体" w:cs="宋体" w:eastAsia="宋体" w:hint="default"/>
          <w:spacing w:val="-3"/>
        </w:rPr>
        <w:t>81.91%</w:t>
      </w:r>
      <w:r>
        <w:rPr>
          <w:spacing w:val="-3"/>
        </w:rPr>
        <w:t>，主要原因是本期形成的违约金、赔偿金收入少。</w:t>
      </w:r>
      <w:r>
        <w:rPr>
          <w:rFonts w:ascii="宋体" w:hAnsi="宋体" w:cs="宋体" w:eastAsia="宋体" w:hint="default"/>
        </w:rPr>
        <w:t> </w:t>
      </w:r>
    </w:p>
    <w:p>
      <w:pPr>
        <w:spacing w:line="240" w:lineRule="auto" w:before="1"/>
        <w:rPr>
          <w:rFonts w:ascii="宋体" w:hAnsi="宋体" w:cs="宋体" w:eastAsia="宋体" w:hint="default"/>
          <w:sz w:val="15"/>
          <w:szCs w:val="15"/>
        </w:rPr>
      </w:pPr>
    </w:p>
    <w:p>
      <w:pPr>
        <w:pStyle w:val="BodyText"/>
        <w:spacing w:line="316" w:lineRule="auto"/>
        <w:ind w:right="855" w:firstLine="441"/>
        <w:jc w:val="left"/>
        <w:rPr>
          <w:rFonts w:ascii="宋体" w:hAnsi="宋体" w:cs="宋体" w:eastAsia="宋体" w:hint="default"/>
        </w:rPr>
      </w:pPr>
      <w:r>
        <w:rPr>
          <w:spacing w:val="-4"/>
        </w:rPr>
        <w:t>⑤所得税费用本年数较上年数减少</w:t>
      </w:r>
      <w:r>
        <w:rPr>
          <w:rFonts w:ascii="宋体" w:hAnsi="宋体" w:cs="宋体" w:eastAsia="宋体" w:hint="default"/>
          <w:spacing w:val="-4"/>
        </w:rPr>
        <w:t>32,445,977.75</w:t>
      </w:r>
      <w:r>
        <w:rPr>
          <w:spacing w:val="-4"/>
        </w:rPr>
        <w:t>元，下降</w:t>
      </w:r>
      <w:r>
        <w:rPr>
          <w:rFonts w:ascii="宋体" w:hAnsi="宋体" w:cs="宋体" w:eastAsia="宋体" w:hint="default"/>
          <w:spacing w:val="-4"/>
        </w:rPr>
        <w:t>78.88%</w:t>
      </w:r>
      <w:r>
        <w:rPr>
          <w:spacing w:val="-4"/>
        </w:rPr>
        <w:t>，主要原因是上期出售云南医药工业股份有限公司的</w:t>
      </w:r>
      <w:r>
        <w:rPr>
          <w:w w:val="101"/>
        </w:rPr>
        <w:t> </w:t>
      </w:r>
      <w:r>
        <w:rPr>
          <w:spacing w:val="-3"/>
        </w:rPr>
        <w:t>股权，产生的投资收益增加所得税费用，本期无此类事项。</w:t>
      </w:r>
      <w:r>
        <w:rPr>
          <w:rFonts w:ascii="宋体" w:hAnsi="宋体" w:cs="宋体" w:eastAsia="宋体" w:hint="default"/>
        </w:rPr>
        <w:t> </w:t>
      </w:r>
    </w:p>
    <w:p>
      <w:pPr>
        <w:pStyle w:val="BodyText"/>
        <w:spacing w:line="240" w:lineRule="auto" w:before="138"/>
        <w:ind w:left="594" w:right="855"/>
        <w:jc w:val="left"/>
      </w:pPr>
      <w:r>
        <w:rPr>
          <w:spacing w:val="-3"/>
        </w:rPr>
        <w:t>⑥经营活动产生的现金流量净额本年数较上年数减少</w:t>
      </w:r>
      <w:r>
        <w:rPr>
          <w:rFonts w:ascii="宋体" w:hAnsi="宋体" w:cs="宋体" w:eastAsia="宋体" w:hint="default"/>
          <w:spacing w:val="-3"/>
        </w:rPr>
        <w:t>191,429,261.60</w:t>
      </w:r>
      <w:r>
        <w:rPr>
          <w:spacing w:val="-3"/>
        </w:rPr>
        <w:t>元，主要原因是本期 </w:t>
      </w:r>
      <w:r>
        <w:rPr>
          <w:spacing w:val="49"/>
        </w:rPr>
        <w:t> </w:t>
      </w:r>
      <w:r>
        <w:rPr>
          <w:rFonts w:ascii="宋体" w:hAnsi="宋体" w:cs="宋体" w:eastAsia="宋体" w:hint="default"/>
          <w:spacing w:val="49"/>
        </w:rPr>
      </w:r>
      <w:r>
        <w:rPr>
          <w:spacing w:val="-6"/>
        </w:rPr>
        <w:t>购买商品、接受劳务支付的</w:t>
      </w:r>
    </w:p>
    <w:p>
      <w:pPr>
        <w:spacing w:after="0" w:line="240" w:lineRule="auto"/>
        <w:jc w:val="left"/>
        <w:sectPr>
          <w:pgSz w:w="11910" w:h="16840"/>
          <w:pgMar w:header="746" w:footer="974"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6"/>
        <w:ind w:right="855"/>
        <w:jc w:val="left"/>
        <w:rPr>
          <w:rFonts w:ascii="宋体" w:hAnsi="宋体" w:cs="宋体" w:eastAsia="宋体" w:hint="default"/>
        </w:rPr>
      </w:pPr>
      <w:r>
        <w:rPr>
          <w:spacing w:val="-3"/>
        </w:rPr>
        <w:t>现金增加。</w:t>
      </w:r>
      <w:r>
        <w:rPr>
          <w:rFonts w:ascii="宋体" w:hAnsi="宋体" w:cs="宋体" w:eastAsia="宋体" w:hint="default"/>
        </w:rPr>
        <w:t> </w:t>
      </w:r>
    </w:p>
    <w:p>
      <w:pPr>
        <w:spacing w:line="240" w:lineRule="auto" w:before="0"/>
        <w:rPr>
          <w:rFonts w:ascii="宋体" w:hAnsi="宋体" w:cs="宋体" w:eastAsia="宋体" w:hint="default"/>
          <w:sz w:val="15"/>
          <w:szCs w:val="15"/>
        </w:rPr>
      </w:pPr>
    </w:p>
    <w:p>
      <w:pPr>
        <w:pStyle w:val="BodyText"/>
        <w:spacing w:line="316" w:lineRule="auto"/>
        <w:ind w:right="855" w:firstLine="441"/>
        <w:jc w:val="left"/>
        <w:rPr>
          <w:rFonts w:ascii="宋体" w:hAnsi="宋体" w:cs="宋体" w:eastAsia="宋体" w:hint="default"/>
        </w:rPr>
      </w:pPr>
      <w:r>
        <w:rPr>
          <w:spacing w:val="-3"/>
        </w:rPr>
        <w:t>⑦投资活动产生的现金流量净额本年数较上年数减少</w:t>
      </w:r>
      <w:r>
        <w:rPr>
          <w:rFonts w:ascii="宋体" w:hAnsi="宋体" w:cs="宋体" w:eastAsia="宋体" w:hint="default"/>
          <w:spacing w:val="-3"/>
        </w:rPr>
        <w:t>504,347,408.85</w:t>
      </w:r>
      <w:r>
        <w:rPr>
          <w:spacing w:val="-3"/>
        </w:rPr>
        <w:t>元，主要原因是上期有收回投资收到出售云南医</w:t>
      </w:r>
      <w:r>
        <w:rPr>
          <w:w w:val="101"/>
        </w:rPr>
        <w:t> </w:t>
      </w:r>
      <w:r>
        <w:rPr>
          <w:spacing w:val="-3"/>
        </w:rPr>
        <w:t>药工业股份有限公司的股权款，本期无此事项。</w:t>
      </w:r>
      <w:r>
        <w:rPr>
          <w:rFonts w:ascii="宋体" w:hAnsi="宋体" w:cs="宋体" w:eastAsia="宋体" w:hint="default"/>
        </w:rPr>
        <w:t> </w:t>
      </w:r>
    </w:p>
    <w:p>
      <w:pPr>
        <w:pStyle w:val="BodyText"/>
        <w:spacing w:line="240" w:lineRule="auto" w:before="139"/>
        <w:ind w:left="594" w:right="855"/>
        <w:jc w:val="left"/>
      </w:pPr>
      <w:r>
        <w:rPr>
          <w:spacing w:val="-3"/>
        </w:rPr>
        <w:t>⑧筹资活动产生的现金流量净额本年数较上年数增加</w:t>
      </w:r>
      <w:r>
        <w:rPr>
          <w:rFonts w:ascii="宋体" w:hAnsi="宋体" w:cs="宋体" w:eastAsia="宋体" w:hint="default"/>
          <w:spacing w:val="-3"/>
        </w:rPr>
        <w:t>376,902,669.94</w:t>
      </w:r>
      <w:r>
        <w:rPr>
          <w:spacing w:val="-3"/>
        </w:rPr>
        <w:t>元，主要原因是取得借款收到的现金增加所致。</w:t>
      </w:r>
    </w:p>
    <w:p>
      <w:pPr>
        <w:spacing w:after="0" w:line="240" w:lineRule="auto"/>
        <w:jc w:val="left"/>
        <w:sectPr>
          <w:pgSz w:w="11910" w:h="16840"/>
          <w:pgMar w:header="746" w:footer="974"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pStyle w:val="Heading1"/>
        <w:spacing w:line="240" w:lineRule="auto"/>
        <w:ind w:left="3284" w:right="855"/>
        <w:jc w:val="left"/>
        <w:rPr>
          <w:b w:val="0"/>
          <w:bCs w:val="0"/>
        </w:rPr>
      </w:pPr>
      <w:bookmarkStart w:name="_bookmark12" w:id="13"/>
      <w:bookmarkEnd w:id="13"/>
      <w:r>
        <w:rPr>
          <w:b w:val="0"/>
          <w:bCs w:val="0"/>
        </w:rPr>
      </w:r>
      <w:r>
        <w:rPr/>
        <w:t>第十三节 备查文件目录</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8"/>
          <w:szCs w:val="18"/>
        </w:rPr>
      </w:pPr>
    </w:p>
    <w:p>
      <w:pPr>
        <w:pStyle w:val="BodyText"/>
        <w:spacing w:line="240" w:lineRule="auto" w:before="46"/>
        <w:ind w:right="855"/>
        <w:jc w:val="left"/>
      </w:pPr>
      <w:r>
        <w:rPr>
          <w:spacing w:val="-3"/>
        </w:rPr>
        <w:t>包括下列文件：</w:t>
      </w:r>
    </w:p>
    <w:p>
      <w:pPr>
        <w:spacing w:line="240" w:lineRule="auto" w:before="0"/>
        <w:rPr>
          <w:rFonts w:ascii="宋体" w:hAnsi="宋体" w:cs="宋体" w:eastAsia="宋体" w:hint="default"/>
          <w:sz w:val="15"/>
          <w:szCs w:val="15"/>
        </w:rPr>
      </w:pPr>
    </w:p>
    <w:p>
      <w:pPr>
        <w:pStyle w:val="BodyText"/>
        <w:spacing w:line="240" w:lineRule="auto"/>
        <w:ind w:right="855"/>
        <w:jc w:val="left"/>
      </w:pPr>
      <w:r>
        <w:rPr>
          <w:spacing w:val="-3"/>
        </w:rPr>
        <w:t>（一）载有法定代表人、主管会计工作负责人、会计机构负责人签名并盖章的会计报表；</w:t>
      </w:r>
    </w:p>
    <w:p>
      <w:pPr>
        <w:spacing w:line="240" w:lineRule="auto" w:before="0"/>
        <w:rPr>
          <w:rFonts w:ascii="宋体" w:hAnsi="宋体" w:cs="宋体" w:eastAsia="宋体" w:hint="default"/>
          <w:sz w:val="15"/>
          <w:szCs w:val="15"/>
        </w:rPr>
      </w:pPr>
    </w:p>
    <w:p>
      <w:pPr>
        <w:pStyle w:val="BodyText"/>
        <w:spacing w:line="240" w:lineRule="auto"/>
        <w:ind w:right="855"/>
        <w:jc w:val="left"/>
      </w:pPr>
      <w:r>
        <w:rPr>
          <w:spacing w:val="-3"/>
        </w:rPr>
        <w:t>（二）载有会计师事务所盖章、注册会计师签名并盖章的审计报告原件；</w:t>
      </w:r>
    </w:p>
    <w:p>
      <w:pPr>
        <w:spacing w:line="240" w:lineRule="auto" w:before="1"/>
        <w:rPr>
          <w:rFonts w:ascii="宋体" w:hAnsi="宋体" w:cs="宋体" w:eastAsia="宋体" w:hint="default"/>
          <w:sz w:val="15"/>
          <w:szCs w:val="15"/>
        </w:rPr>
      </w:pPr>
    </w:p>
    <w:p>
      <w:pPr>
        <w:pStyle w:val="BodyText"/>
        <w:spacing w:line="300" w:lineRule="auto"/>
        <w:ind w:right="855"/>
        <w:jc w:val="left"/>
      </w:pPr>
      <w:r>
        <w:rPr>
          <w:spacing w:val="-3"/>
        </w:rPr>
        <w:t>（三）报告期内在《中国证券报》《证券时报》及巨潮资讯网</w:t>
      </w:r>
      <w:hyperlink r:id="rId23">
        <w:r>
          <w:rPr>
            <w:rFonts w:ascii="Times New Roman" w:hAnsi="Times New Roman" w:cs="Times New Roman" w:eastAsia="Times New Roman" w:hint="default"/>
            <w:spacing w:val="-3"/>
          </w:rPr>
          <w:t>http://www.cninfo.com.cn</w:t>
        </w:r>
        <w:r>
          <w:rPr>
            <w:spacing w:val="-3"/>
          </w:rPr>
          <w:t>上公开披露过的所有公司文件的正本</w:t>
        </w:r>
      </w:hyperlink>
      <w:r>
        <w:rPr>
          <w:spacing w:val="17"/>
        </w:rPr>
        <w:t> </w:t>
      </w:r>
      <w:r>
        <w:rPr>
          <w:spacing w:val="17"/>
        </w:rPr>
      </w:r>
      <w:r>
        <w:rPr>
          <w:spacing w:val="-3"/>
        </w:rPr>
        <w:t>及公告的原稿；</w:t>
      </w:r>
    </w:p>
    <w:p>
      <w:pPr>
        <w:pStyle w:val="BodyText"/>
        <w:spacing w:line="240" w:lineRule="auto" w:before="151"/>
        <w:ind w:right="855"/>
        <w:jc w:val="left"/>
      </w:pPr>
      <w:r>
        <w:rPr>
          <w:spacing w:val="-3"/>
        </w:rPr>
        <w:t>（四）文件存放地：公司董事会办公室。</w:t>
      </w:r>
    </w:p>
    <w:sectPr>
      <w:pgSz w:w="11910" w:h="16840"/>
      <w:pgMar w:header="746" w:footer="974" w:top="106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Cambria Math">
    <w:altName w:val="Cambria Math"/>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982840" type="#_x0000_t75" stroked="false">
          <v:imagedata r:id="rId1" o:title=""/>
        </v:shape>
      </w:pict>
    </w:r>
    <w:r>
      <w:rPr/>
      <w:pict>
        <v:shape style="position:absolute;margin-left:533.219971pt;margin-top:795.901367pt;width:6.6pt;height:11.15pt;mso-position-horizontal-relative:page;mso-position-vertical-relative:page;z-index:-982816" type="#_x0000_t202" filled="false" stroked="false">
          <v:textbox inset="0,0,0,0">
            <w:txbxContent>
              <w:p>
                <w:pPr>
                  <w:pStyle w:val="BodyText"/>
                  <w:spacing w:line="206" w:lineRule="exact"/>
                  <w:ind w:left="20" w:right="0"/>
                  <w:jc w:val="left"/>
                  <w:rPr>
                    <w:rFonts w:ascii="Times New Roman" w:hAnsi="Times New Roman" w:cs="Times New Roman" w:eastAsia="Times New Roman" w:hint="default"/>
                  </w:rPr>
                </w:pPr>
                <w:r>
                  <w:rPr>
                    <w:rFonts w:ascii="Times New Roman"/>
                    <w:w w:val="101"/>
                  </w:rPr>
                  <w:t>1</w:t>
                </w:r>
                <w:r>
                  <w:rPr>
                    <w:rFonts w:ascii="Times New Roman"/>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982792" type="#_x0000_t75" stroked="false">
          <v:imagedata r:id="rId1" o:title=""/>
        </v:shape>
      </w:pict>
    </w:r>
    <w:r>
      <w:rPr/>
      <w:pict>
        <v:shape style="position:absolute;margin-left:527.900024pt;margin-top:782.221375pt;width:13.15pt;height:11.15pt;mso-position-horizontal-relative:page;mso-position-vertical-relative:page;z-index:-982768" type="#_x0000_t202" filled="false" stroked="false">
          <v:textbox inset="0,0,0,0">
            <w:txbxContent>
              <w:p>
                <w:pPr>
                  <w:pStyle w:val="BodyText"/>
                  <w:spacing w:line="206" w:lineRule="exact"/>
                  <w:ind w:left="40" w:right="0"/>
                  <w:jc w:val="left"/>
                  <w:rPr>
                    <w:rFonts w:ascii="Times New Roman" w:hAnsi="Times New Roman" w:cs="Times New Roman" w:eastAsia="Times New Roman" w:hint="default"/>
                  </w:rPr>
                </w:pPr>
                <w:r>
                  <w:rPr>
                    <w:rFonts w:ascii="Times New Roman"/>
                    <w:w w:val="101"/>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982744" type="#_x0000_t75" stroked="false">
          <v:imagedata r:id="rId1" o:title=""/>
        </v:shape>
      </w:pict>
    </w:r>
    <w:r>
      <w:rPr/>
      <w:pict>
        <v:shape style="position:absolute;margin-left:524.340027pt;margin-top:782.221375pt;width:15.7pt;height:11.15pt;mso-position-horizontal-relative:page;mso-position-vertical-relative:page;z-index:-982720" type="#_x0000_t202" filled="false" stroked="false">
          <v:textbox inset="0,0,0,0">
            <w:txbxContent>
              <w:p>
                <w:pPr>
                  <w:pStyle w:val="BodyText"/>
                  <w:spacing w:line="206"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982696" type="#_x0000_t75" stroked="false">
          <v:imagedata r:id="rId1" o:title=""/>
        </v:shape>
      </w:pict>
    </w:r>
    <w:r>
      <w:rPr/>
      <w:pict>
        <v:shape style="position:absolute;margin-left:523.340027pt;margin-top:782.221375pt;width:17.7pt;height:11.15pt;mso-position-horizontal-relative:page;mso-position-vertical-relative:page;z-index:-982672" type="#_x0000_t202" filled="false" stroked="false">
          <v:textbox inset="0,0,0,0">
            <w:txbxContent>
              <w:p>
                <w:pPr>
                  <w:pStyle w:val="BodyText"/>
                  <w:spacing w:line="206" w:lineRule="exact"/>
                  <w:ind w:left="40" w:right="0"/>
                  <w:jc w:val="left"/>
                  <w:rPr>
                    <w:rFonts w:ascii="Times New Roman" w:hAnsi="Times New Roman" w:cs="Times New Roman" w:eastAsia="Times New Roman" w:hint="default"/>
                  </w:rPr>
                </w:pPr>
                <w:r>
                  <w:rPr>
                    <w:rFonts w:ascii="Times New Roman"/>
                    <w:w w:val="101"/>
                  </w:rPr>
                </w:r>
                <w:r>
                  <w:rPr/>
                  <w:fldChar w:fldCharType="begin"/>
                </w:r>
                <w:r>
                  <w:rPr>
                    <w:rFonts w:ascii="Times New Roman"/>
                  </w:rPr>
                  <w:instrText> PAGE </w:instrText>
                </w:r>
                <w:r>
                  <w:rPr/>
                  <w:fldChar w:fldCharType="separate"/>
                </w:r>
                <w:r>
                  <w:rPr/>
                  <w:t>101</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982648" type="#_x0000_t75" stroked="false">
          <v:imagedata r:id="rId1" o:title=""/>
        </v:shape>
      </w:pict>
    </w:r>
    <w:r>
      <w:rPr/>
      <w:pict>
        <v:shape style="position:absolute;margin-left:523.340027pt;margin-top:782.221375pt;width:17.7pt;height:11.15pt;mso-position-horizontal-relative:page;mso-position-vertical-relative:page;z-index:-982624" type="#_x0000_t202" filled="false" stroked="false">
          <v:textbox inset="0,0,0,0">
            <w:txbxContent>
              <w:p>
                <w:pPr>
                  <w:pStyle w:val="BodyText"/>
                  <w:spacing w:line="206" w:lineRule="exact"/>
                  <w:ind w:left="40" w:right="0"/>
                  <w:jc w:val="left"/>
                  <w:rPr>
                    <w:rFonts w:ascii="Times New Roman" w:hAnsi="Times New Roman" w:cs="Times New Roman" w:eastAsia="Times New Roman" w:hint="default"/>
                  </w:rPr>
                </w:pPr>
                <w:r>
                  <w:rPr>
                    <w:rFonts w:ascii="Times New Roman"/>
                    <w:w w:val="101"/>
                  </w:rPr>
                </w:r>
                <w:r>
                  <w:rPr/>
                  <w:fldChar w:fldCharType="begin"/>
                </w:r>
                <w:r>
                  <w:rPr>
                    <w:rFonts w:ascii="Times New Roman"/>
                  </w:rPr>
                  <w:instrText> PAGE </w:instrText>
                </w:r>
                <w:r>
                  <w:rPr/>
                  <w:fldChar w:fldCharType="separate"/>
                </w:r>
                <w:r>
                  <w:rPr/>
                  <w:t>135</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982600" type="#_x0000_t75" stroked="false">
          <v:imagedata r:id="rId1" o:title=""/>
        </v:shape>
      </w:pict>
    </w:r>
    <w:r>
      <w:rPr/>
      <w:pict>
        <v:shape style="position:absolute;margin-left:523.340027pt;margin-top:782.221375pt;width:17.7pt;height:11.15pt;mso-position-horizontal-relative:page;mso-position-vertical-relative:page;z-index:-982576" type="#_x0000_t202" filled="false" stroked="false">
          <v:textbox inset="0,0,0,0">
            <w:txbxContent>
              <w:p>
                <w:pPr>
                  <w:pStyle w:val="BodyText"/>
                  <w:spacing w:line="206" w:lineRule="exact"/>
                  <w:ind w:left="40" w:right="0"/>
                  <w:jc w:val="left"/>
                  <w:rPr>
                    <w:rFonts w:ascii="Times New Roman" w:hAnsi="Times New Roman" w:cs="Times New Roman" w:eastAsia="Times New Roman" w:hint="default"/>
                  </w:rPr>
                </w:pPr>
                <w:r>
                  <w:rPr>
                    <w:rFonts w:ascii="Times New Roman"/>
                    <w:w w:val="101"/>
                  </w:rPr>
                </w:r>
                <w:r>
                  <w:rPr/>
                  <w:fldChar w:fldCharType="begin"/>
                </w:r>
                <w:r>
                  <w:rPr>
                    <w:rFonts w:ascii="Times New Roman"/>
                  </w:rPr>
                  <w:instrText> PAGE </w:instrText>
                </w:r>
                <w:r>
                  <w:rPr/>
                  <w:fldChar w:fldCharType="separate"/>
                </w:r>
                <w:r>
                  <w:rPr/>
                  <w:t>169</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08.239990pt;margin-top:36.302483pt;width:231.8pt;height:11.65pt;mso-position-horizontal-relative:page;mso-position-vertical-relative:page;z-index:-982864" type="#_x0000_t202" filled="false" stroked="false">
          <v:textbox inset="0,0,0,0">
            <w:txbxContent>
              <w:p>
                <w:pPr>
                  <w:pStyle w:val="BodyText"/>
                  <w:spacing w:line="216" w:lineRule="exact"/>
                  <w:ind w:left="20" w:right="0"/>
                  <w:jc w:val="left"/>
                </w:pPr>
                <w:r>
                  <w:rPr>
                    <w:spacing w:val="-3"/>
                  </w:rPr>
                  <w:t>云南南天电子信息产业股份有限公司 </w:t>
                </w:r>
                <w:r>
                  <w:rPr>
                    <w:rFonts w:ascii="Times New Roman" w:hAnsi="Times New Roman" w:cs="Times New Roman" w:eastAsia="Times New Roman" w:hint="default"/>
                  </w:rPr>
                  <w:t>2019</w:t>
                </w:r>
                <w:r>
                  <w:rPr>
                    <w:rFonts w:ascii="Times New Roman" w:hAnsi="Times New Roman" w:cs="Times New Roman" w:eastAsia="Times New Roman" w:hint="default"/>
                    <w:spacing w:val="29"/>
                  </w:rPr>
                  <w:t> </w:t>
                </w:r>
                <w:r>
                  <w:rPr>
                    <w:spacing w:val="-3"/>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BodyText" w:type="paragraph">
    <w:name w:val="Body Text"/>
    <w:basedOn w:val="Normal"/>
    <w:uiPriority w:val="1"/>
    <w:qFormat/>
    <w:pPr>
      <w:ind w:left="153"/>
    </w:pPr>
    <w:rPr>
      <w:rFonts w:ascii="宋体" w:hAnsi="宋体" w:eastAsia="宋体"/>
      <w:sz w:val="18"/>
      <w:szCs w:val="18"/>
    </w:rPr>
  </w:style>
  <w:style w:styleId="Heading1" w:type="paragraph">
    <w:name w:val="Heading 1"/>
    <w:basedOn w:val="Normal"/>
    <w:uiPriority w:val="1"/>
    <w:qFormat/>
    <w:pPr>
      <w:spacing w:before="2"/>
      <w:ind w:left="540"/>
      <w:outlineLvl w:val="1"/>
    </w:pPr>
    <w:rPr>
      <w:rFonts w:ascii="宋体" w:hAnsi="宋体" w:eastAsia="宋体"/>
      <w:b/>
      <w:bCs/>
      <w:sz w:val="32"/>
      <w:szCs w:val="32"/>
    </w:rPr>
  </w:style>
  <w:style w:styleId="Heading2" w:type="paragraph">
    <w:name w:val="Heading 2"/>
    <w:basedOn w:val="Normal"/>
    <w:uiPriority w:val="1"/>
    <w:qFormat/>
    <w:pPr>
      <w:ind w:left="153"/>
      <w:outlineLvl w:val="2"/>
    </w:pPr>
    <w:rPr>
      <w:rFonts w:ascii="宋体" w:hAnsi="宋体" w:eastAsia="宋体"/>
      <w:b/>
      <w:bCs/>
      <w:sz w:val="24"/>
      <w:szCs w:val="24"/>
    </w:rPr>
  </w:style>
  <w:style w:styleId="Heading3" w:type="paragraph">
    <w:name w:val="Heading 3"/>
    <w:basedOn w:val="Normal"/>
    <w:uiPriority w:val="1"/>
    <w:qFormat/>
    <w:pPr>
      <w:spacing w:before="32"/>
      <w:ind w:left="594"/>
      <w:outlineLvl w:val="3"/>
    </w:pPr>
    <w:rPr>
      <w:rFonts w:ascii="宋体" w:hAnsi="宋体" w:eastAsia="宋体"/>
      <w:sz w:val="22"/>
      <w:szCs w:val="22"/>
    </w:rPr>
  </w:style>
  <w:style w:styleId="Heading4" w:type="paragraph">
    <w:name w:val="Heading 4"/>
    <w:basedOn w:val="Normal"/>
    <w:uiPriority w:val="1"/>
    <w:qFormat/>
    <w:pPr>
      <w:ind w:left="153"/>
      <w:outlineLvl w:val="4"/>
    </w:pPr>
    <w:rPr>
      <w:rFonts w:ascii="宋体" w:hAnsi="宋体" w:eastAsia="宋体"/>
      <w:b/>
      <w:bCs/>
      <w:sz w:val="21"/>
      <w:szCs w:val="21"/>
    </w:rPr>
  </w:style>
  <w:style w:styleId="Heading5" w:type="paragraph">
    <w:name w:val="Heading 5"/>
    <w:basedOn w:val="Normal"/>
    <w:uiPriority w:val="1"/>
    <w:qFormat/>
    <w:pPr>
      <w:outlineLvl w:val="5"/>
    </w:pPr>
    <w:rPr>
      <w:rFonts w:ascii="宋体" w:hAnsi="宋体" w:eastAsia="宋体"/>
      <w:sz w:val="20"/>
      <w:szCs w:val="20"/>
    </w:rPr>
  </w:style>
  <w:style w:styleId="Heading6" w:type="paragraph">
    <w:name w:val="Heading 6"/>
    <w:basedOn w:val="Normal"/>
    <w:uiPriority w:val="1"/>
    <w:qFormat/>
    <w:pPr>
      <w:ind w:left="513"/>
      <w:outlineLvl w:val="6"/>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hyperlink" Target="http://www.cninfo.com.cn/" TargetMode="External"/><Relationship Id="rId10" Type="http://schemas.openxmlformats.org/officeDocument/2006/relationships/hyperlink" Target="http://www.nantian.com.cn/" TargetMode="External"/><Relationship Id="rId11" Type="http://schemas.openxmlformats.org/officeDocument/2006/relationships/hyperlink" Target="mailto:000948@nantian.com.cn" TargetMode="External"/><Relationship Id="rId12" Type="http://schemas.openxmlformats.org/officeDocument/2006/relationships/hyperlink" Target="mailto:shensh@nantian.com.cn" TargetMode="External"/><Relationship Id="rId13" Type="http://schemas.openxmlformats.org/officeDocument/2006/relationships/hyperlink" Target="http://w/" TargetMode="External"/><Relationship Id="rId14" Type="http://schemas.openxmlformats.org/officeDocument/2006/relationships/hyperlink" Target="http://irm.cninfo.com.cn/ssessgs/S000948/index.html" TargetMode="External"/><Relationship Id="rId15" Type="http://schemas.openxmlformats.org/officeDocument/2006/relationships/hyperlink" Target="http://www.cninfo.com.cn&#19978;&#30340;/" TargetMode="External"/><Relationship Id="rId16" Type="http://schemas.openxmlformats.org/officeDocument/2006/relationships/hyperlink" Target="http://www.cninfo.com.cn&#19978;&#25259;&#38706;&#30340;&#30456;&#20851;&#20844;&#21578;/" TargetMode="External"/><Relationship Id="rId17" Type="http://schemas.openxmlformats.org/officeDocument/2006/relationships/hyperlink" Target="http://www.cninfo.com.cn&#25259;&#38706;&#30340;/" TargetMode="External"/><Relationship Id="rId18" Type="http://schemas.openxmlformats.org/officeDocument/2006/relationships/image" Target="media/image3.jpeg"/><Relationship Id="rId19" Type="http://schemas.openxmlformats.org/officeDocument/2006/relationships/footer" Target="footer3.xml"/><Relationship Id="rId20" Type="http://schemas.openxmlformats.org/officeDocument/2006/relationships/footer" Target="footer4.xml"/><Relationship Id="rId21" Type="http://schemas.openxmlformats.org/officeDocument/2006/relationships/footer" Target="footer5.xml"/><Relationship Id="rId22" Type="http://schemas.openxmlformats.org/officeDocument/2006/relationships/footer" Target="footer6.xml"/><Relationship Id="rId23" Type="http://schemas.openxmlformats.org/officeDocument/2006/relationships/hyperlink" Target="http://www.cninfo.com.cn&#19978;&#20844;&#24320;&#25259;&#38706;&#36807;&#30340;&#25152;&#26377;&#20844;&#21496;&#25991;&#20214;&#30340;&#27491;&#26412;/"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footer5.xml.rels><?xml version="1.0" encoding="UTF-8" standalone="yes"?>
<Relationships xmlns="http://schemas.openxmlformats.org/package/2006/relationships"><Relationship Id="rId1" Type="http://schemas.openxmlformats.org/officeDocument/2006/relationships/image" Target="media/image1.jpeg"/></Relationships>

</file>

<file path=word/_rels/footer6.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云南南天电子信息产业股份有限公司</dc:creator>
  <dc:title>云南南天电子信息产业股份有限公司2019年年度报告全文</dc:title>
  <dcterms:created xsi:type="dcterms:W3CDTF">2020-05-19T07:23:56Z</dcterms:created>
  <dcterms:modified xsi:type="dcterms:W3CDTF">2020-05-19T07:23:56Z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2020-04-24T00:00:00Z</vt:filetime>
  </property>
  <property fmtid="{D5CDD505-2E9C-101B-9397-08002B2CF9AE}" pid="3" name="Creator">
    <vt:lpwstr>Microsoft® Word 适用于 Office 365</vt:lpwstr>
  </property>
  <property fmtid="{D5CDD505-2E9C-101B-9397-08002B2CF9AE}" pid="4" name="LastSaved">
    <vt:filetime>2020-05-18T00:00:00Z</vt:filetime>
  </property>
</Properties>
</file>